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1775D" w14:textId="77777777" w:rsidR="00B5067E" w:rsidRDefault="00C443D6">
      <w:pPr>
        <w:spacing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TABELUL DE SINTEZĂ</w:t>
      </w:r>
    </w:p>
    <w:p w14:paraId="5A2D1F72" w14:textId="77777777" w:rsidR="00B5067E" w:rsidRDefault="00C443D6">
      <w:pPr>
        <w:spacing w:after="0" w:line="240" w:lineRule="auto"/>
        <w:ind w:firstLine="142"/>
        <w:jc w:val="center"/>
        <w:rPr>
          <w:rFonts w:ascii="Times New Roman" w:eastAsia="Times New Roman" w:hAnsi="Times New Roman" w:cs="Times New Roman"/>
          <w:b/>
          <w:bCs/>
        </w:rPr>
      </w:pPr>
      <w:r>
        <w:rPr>
          <w:rFonts w:ascii="Times New Roman" w:eastAsia="Times New Roman" w:hAnsi="Times New Roman" w:cs="Times New Roman"/>
          <w:b/>
          <w:bCs/>
          <w:color w:val="000000"/>
        </w:rPr>
        <w:t xml:space="preserve">la proiectul Hotărârii Guvernului </w:t>
      </w:r>
      <w:r>
        <w:rPr>
          <w:rFonts w:ascii="Times New Roman" w:eastAsia="Times New Roman" w:hAnsi="Times New Roman" w:cs="Times New Roman"/>
          <w:b/>
          <w:bCs/>
        </w:rPr>
        <w:t>privind cadrul național de analiză integrată și gestionare a riscurilor</w:t>
      </w:r>
    </w:p>
    <w:p w14:paraId="101C5194" w14:textId="77777777" w:rsidR="00B5067E" w:rsidRDefault="00C443D6">
      <w:pPr>
        <w:spacing w:after="0" w:line="240" w:lineRule="auto"/>
        <w:ind w:firstLine="142"/>
        <w:jc w:val="center"/>
        <w:rPr>
          <w:rFonts w:ascii="Times New Roman" w:eastAsia="Times New Roman" w:hAnsi="Times New Roman" w:cs="Times New Roman"/>
          <w:b/>
          <w:bCs/>
        </w:rPr>
      </w:pPr>
      <w:r>
        <w:rPr>
          <w:rFonts w:ascii="Times New Roman" w:eastAsia="Times New Roman" w:hAnsi="Times New Roman" w:cs="Times New Roman"/>
          <w:b/>
          <w:bCs/>
        </w:rPr>
        <w:t>la adresa securității naționale</w:t>
      </w:r>
    </w:p>
    <w:p w14:paraId="2972433B" w14:textId="77777777" w:rsidR="00B5067E" w:rsidRDefault="00C443D6">
      <w:pPr>
        <w:jc w:val="center"/>
        <w:rPr>
          <w:rFonts w:ascii="Times New Roman" w:eastAsia="Times New Roman" w:hAnsi="Times New Roman" w:cs="Times New Roman"/>
        </w:rPr>
      </w:pPr>
      <w:r>
        <w:rPr>
          <w:rFonts w:ascii="Times New Roman" w:eastAsia="Times New Roman" w:hAnsi="Times New Roman" w:cs="Times New Roman"/>
        </w:rPr>
        <w:t>(număr unic 393/CNMC/2026)</w:t>
      </w:r>
    </w:p>
    <w:tbl>
      <w:tblPr>
        <w:tblStyle w:val="a"/>
        <w:tblW w:w="144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5"/>
        <w:gridCol w:w="1845"/>
        <w:gridCol w:w="2557"/>
        <w:gridCol w:w="23"/>
        <w:gridCol w:w="5400"/>
        <w:gridCol w:w="3990"/>
      </w:tblGrid>
      <w:tr w:rsidR="00B5067E" w14:paraId="78DAB598" w14:textId="77777777" w:rsidTr="000E7DFC">
        <w:tc>
          <w:tcPr>
            <w:tcW w:w="625" w:type="dxa"/>
            <w:shd w:val="clear" w:color="auto" w:fill="A5C9EB"/>
          </w:tcPr>
          <w:p w14:paraId="1F89E535" w14:textId="34F3EBB0" w:rsidR="00B5067E" w:rsidRDefault="00C443D6" w:rsidP="00CC4A60">
            <w:pPr>
              <w:pBdr>
                <w:between w:val="single" w:sz="4" w:space="1" w:color="000000"/>
              </w:pBdr>
              <w:rPr>
                <w:rFonts w:ascii="Times New Roman" w:eastAsia="Times New Roman" w:hAnsi="Times New Roman" w:cs="Times New Roman"/>
                <w:b/>
                <w:bCs/>
              </w:rPr>
            </w:pPr>
            <w:r>
              <w:rPr>
                <w:rFonts w:ascii="Times New Roman" w:eastAsia="Times New Roman" w:hAnsi="Times New Roman" w:cs="Times New Roman"/>
                <w:b/>
                <w:bCs/>
              </w:rPr>
              <w:t>N</w:t>
            </w:r>
            <w:r w:rsidR="000E7DFC">
              <w:rPr>
                <w:rFonts w:ascii="Times New Roman" w:eastAsia="Times New Roman" w:hAnsi="Times New Roman" w:cs="Times New Roman"/>
                <w:b/>
                <w:bCs/>
              </w:rPr>
              <w:t>r.</w:t>
            </w:r>
          </w:p>
        </w:tc>
        <w:tc>
          <w:tcPr>
            <w:tcW w:w="1845" w:type="dxa"/>
            <w:shd w:val="clear" w:color="auto" w:fill="A5C9EB"/>
          </w:tcPr>
          <w:p w14:paraId="082AF3A1" w14:textId="77777777" w:rsidR="00B5067E" w:rsidRDefault="00C443D6">
            <w:pPr>
              <w:pBdr>
                <w:between w:val="single" w:sz="4" w:space="1" w:color="000000"/>
              </w:pBdr>
              <w:rPr>
                <w:rFonts w:ascii="Times New Roman" w:eastAsia="Times New Roman" w:hAnsi="Times New Roman" w:cs="Times New Roman"/>
                <w:b/>
                <w:bCs/>
              </w:rPr>
            </w:pPr>
            <w:r>
              <w:rPr>
                <w:rFonts w:ascii="Times New Roman" w:eastAsia="Times New Roman" w:hAnsi="Times New Roman" w:cs="Times New Roman"/>
                <w:b/>
                <w:bCs/>
              </w:rPr>
              <w:t>Instituția avizatoare</w:t>
            </w:r>
          </w:p>
        </w:tc>
        <w:tc>
          <w:tcPr>
            <w:tcW w:w="2580" w:type="dxa"/>
            <w:gridSpan w:val="2"/>
            <w:shd w:val="clear" w:color="auto" w:fill="A5C9EB"/>
          </w:tcPr>
          <w:p w14:paraId="72D12500" w14:textId="77777777" w:rsidR="00B5067E" w:rsidRDefault="00C443D6" w:rsidP="00E2097D">
            <w:pPr>
              <w:pBdr>
                <w:between w:val="single" w:sz="4" w:space="1" w:color="000000"/>
              </w:pBdr>
              <w:jc w:val="center"/>
              <w:rPr>
                <w:rFonts w:ascii="Times New Roman" w:eastAsia="Times New Roman" w:hAnsi="Times New Roman" w:cs="Times New Roman"/>
                <w:b/>
                <w:bCs/>
              </w:rPr>
            </w:pPr>
            <w:r>
              <w:rPr>
                <w:rFonts w:ascii="Times New Roman" w:eastAsia="Times New Roman" w:hAnsi="Times New Roman" w:cs="Times New Roman"/>
                <w:b/>
                <w:bCs/>
              </w:rPr>
              <w:t>Nr. crt.</w:t>
            </w:r>
          </w:p>
        </w:tc>
        <w:tc>
          <w:tcPr>
            <w:tcW w:w="5400" w:type="dxa"/>
            <w:shd w:val="clear" w:color="auto" w:fill="A5C9EB"/>
          </w:tcPr>
          <w:p w14:paraId="5C857612" w14:textId="77777777" w:rsidR="00B5067E" w:rsidRDefault="00C443D6">
            <w:pPr>
              <w:pBdr>
                <w:between w:val="single" w:sz="4" w:space="1" w:color="000000"/>
              </w:pBdr>
              <w:jc w:val="center"/>
              <w:rPr>
                <w:rFonts w:ascii="Times New Roman" w:eastAsia="Times New Roman" w:hAnsi="Times New Roman" w:cs="Times New Roman"/>
                <w:b/>
                <w:bCs/>
              </w:rPr>
            </w:pPr>
            <w:r>
              <w:rPr>
                <w:rFonts w:ascii="Times New Roman" w:eastAsia="Times New Roman" w:hAnsi="Times New Roman" w:cs="Times New Roman"/>
                <w:b/>
                <w:bCs/>
              </w:rPr>
              <w:t>Conținutul obiecției, propunerii, recomandării, concluziei</w:t>
            </w:r>
          </w:p>
        </w:tc>
        <w:tc>
          <w:tcPr>
            <w:tcW w:w="3990" w:type="dxa"/>
            <w:shd w:val="clear" w:color="auto" w:fill="A5C9EB"/>
          </w:tcPr>
          <w:p w14:paraId="070F8129" w14:textId="77777777" w:rsidR="00B5067E" w:rsidRDefault="00C443D6">
            <w:pPr>
              <w:pBdr>
                <w:between w:val="single" w:sz="4" w:space="1" w:color="000000"/>
              </w:pBdr>
              <w:jc w:val="center"/>
              <w:rPr>
                <w:rFonts w:ascii="Times New Roman" w:eastAsia="Times New Roman" w:hAnsi="Times New Roman" w:cs="Times New Roman"/>
                <w:b/>
                <w:bCs/>
              </w:rPr>
            </w:pPr>
            <w:r>
              <w:rPr>
                <w:rFonts w:ascii="Times New Roman" w:eastAsia="Times New Roman" w:hAnsi="Times New Roman" w:cs="Times New Roman"/>
                <w:b/>
                <w:bCs/>
              </w:rPr>
              <w:t>Argumentarea autorului proiectului</w:t>
            </w:r>
          </w:p>
        </w:tc>
      </w:tr>
      <w:tr w:rsidR="00E2097D" w14:paraId="588F803E" w14:textId="77777777" w:rsidTr="000E7DFC">
        <w:tc>
          <w:tcPr>
            <w:tcW w:w="625" w:type="dxa"/>
            <w:vMerge w:val="restart"/>
          </w:tcPr>
          <w:p w14:paraId="79756ECB" w14:textId="77777777" w:rsidR="00E2097D" w:rsidRDefault="00E2097D">
            <w:pPr>
              <w:pBdr>
                <w:between w:val="single" w:sz="4" w:space="1" w:color="000000"/>
              </w:pBdr>
              <w:jc w:val="both"/>
              <w:rPr>
                <w:rFonts w:ascii="Times New Roman" w:eastAsia="Times New Roman" w:hAnsi="Times New Roman" w:cs="Times New Roman"/>
                <w:b/>
                <w:bCs/>
              </w:rPr>
            </w:pPr>
            <w:r>
              <w:rPr>
                <w:rFonts w:ascii="Times New Roman" w:eastAsia="Times New Roman" w:hAnsi="Times New Roman" w:cs="Times New Roman"/>
                <w:b/>
                <w:bCs/>
              </w:rPr>
              <w:t>1.</w:t>
            </w:r>
          </w:p>
        </w:tc>
        <w:tc>
          <w:tcPr>
            <w:tcW w:w="1845" w:type="dxa"/>
            <w:vMerge w:val="restart"/>
          </w:tcPr>
          <w:p w14:paraId="29285536" w14:textId="77777777" w:rsidR="00E2097D" w:rsidRDefault="00E2097D">
            <w:pPr>
              <w:rPr>
                <w:rFonts w:ascii="Times New Roman" w:eastAsia="Times New Roman" w:hAnsi="Times New Roman" w:cs="Times New Roman"/>
                <w:b/>
                <w:bCs/>
              </w:rPr>
            </w:pPr>
            <w:r>
              <w:rPr>
                <w:rFonts w:ascii="Times New Roman" w:eastAsia="Times New Roman" w:hAnsi="Times New Roman" w:cs="Times New Roman"/>
                <w:b/>
                <w:bCs/>
              </w:rPr>
              <w:t xml:space="preserve">Banca Națională a Moldovei, </w:t>
            </w:r>
          </w:p>
          <w:p w14:paraId="0B59CF03" w14:textId="77777777" w:rsidR="00E2097D" w:rsidRDefault="00E2097D">
            <w:pPr>
              <w:rPr>
                <w:rFonts w:ascii="Times New Roman" w:eastAsia="Times New Roman" w:hAnsi="Times New Roman" w:cs="Times New Roman"/>
                <w:b/>
                <w:bCs/>
              </w:rPr>
            </w:pPr>
            <w:r>
              <w:rPr>
                <w:rFonts w:ascii="Times New Roman" w:eastAsia="Times New Roman" w:hAnsi="Times New Roman" w:cs="Times New Roman"/>
              </w:rPr>
              <w:t>(</w:t>
            </w:r>
            <w:r>
              <w:rPr>
                <w:rFonts w:ascii="Times New Roman" w:eastAsia="Times New Roman" w:hAnsi="Times New Roman" w:cs="Times New Roman"/>
                <w:i/>
                <w:iCs/>
              </w:rPr>
              <w:t>nr. 31-002/62/2336 din 12.05.2026)</w:t>
            </w:r>
          </w:p>
        </w:tc>
        <w:tc>
          <w:tcPr>
            <w:tcW w:w="2580" w:type="dxa"/>
            <w:gridSpan w:val="2"/>
          </w:tcPr>
          <w:p w14:paraId="0F676A21"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1</w:t>
            </w:r>
          </w:p>
        </w:tc>
        <w:tc>
          <w:tcPr>
            <w:tcW w:w="5400" w:type="dxa"/>
          </w:tcPr>
          <w:p w14:paraId="0D5F24C5"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Unele prevederi ale proiectului excedează temeiul legal stabilit la art. 6 alin. (7) din Legea nr. 248/2025 și obiectul de reglementare al metodologiei, fiind necesară reglementarea acestora la nivel de lege sau completarea cadrului legal primar.</w:t>
            </w:r>
          </w:p>
        </w:tc>
        <w:tc>
          <w:tcPr>
            <w:tcW w:w="3990" w:type="dxa"/>
          </w:tcPr>
          <w:p w14:paraId="16125690"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 parțial</w:t>
            </w:r>
            <w:r>
              <w:rPr>
                <w:rFonts w:ascii="Times New Roman" w:eastAsia="Times New Roman" w:hAnsi="Times New Roman" w:cs="Times New Roman"/>
              </w:rPr>
              <w:t>. Prevederile proiectului au fost revizuite și reformulate pentru delimitarea mai clară a normelor metodologice de normele cu caracter primar. Totodată, unele prevederi au fost excluse sau ajustate pentru a corespunde limitelor competențelor de reglementare conferite Guvernului prin Legea nr. 248/2025.</w:t>
            </w:r>
          </w:p>
        </w:tc>
      </w:tr>
      <w:tr w:rsidR="00E2097D" w14:paraId="54808D69" w14:textId="77777777" w:rsidTr="000E7DFC">
        <w:tc>
          <w:tcPr>
            <w:tcW w:w="625" w:type="dxa"/>
            <w:vMerge/>
          </w:tcPr>
          <w:p w14:paraId="1437B1A1"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37A61E91"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7AEF798A"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2</w:t>
            </w:r>
          </w:p>
        </w:tc>
        <w:tc>
          <w:tcPr>
            <w:tcW w:w="5400" w:type="dxa"/>
          </w:tcPr>
          <w:p w14:paraId="50168D4E"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Se solicită clarificarea noțiunii de „autorități cu legitimitate democratică” prevăzută la pct. 8.6 și reevaluarea normei în raport cu autonomia Băncii Naționale a Moldovei.</w:t>
            </w:r>
          </w:p>
        </w:tc>
        <w:tc>
          <w:tcPr>
            <w:tcW w:w="3990" w:type="dxa"/>
          </w:tcPr>
          <w:p w14:paraId="0C37D204"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Norma a fost revizuită prin precizarea caracterului general al principiului controlului democratic și excluderea oricăror interpretări ce ar putea afecta independența funcțională și instituțională a Băncii Naționale a Moldovei, garantată prin lege.</w:t>
            </w:r>
          </w:p>
        </w:tc>
      </w:tr>
      <w:tr w:rsidR="00E2097D" w14:paraId="695DD1DF" w14:textId="77777777" w:rsidTr="000E7DFC">
        <w:tc>
          <w:tcPr>
            <w:tcW w:w="625" w:type="dxa"/>
            <w:vMerge/>
          </w:tcPr>
          <w:p w14:paraId="62BDEA8E"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2ADC3BA1"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5DE8547F"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3</w:t>
            </w:r>
          </w:p>
        </w:tc>
        <w:tc>
          <w:tcPr>
            <w:tcW w:w="5400" w:type="dxa"/>
          </w:tcPr>
          <w:p w14:paraId="34FE7124"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Se atenționează asupra necesității respectării independenței BNM în procesul de coordonare a evaluărilor de risc și în procedura de desemnare a instituțiilor principale/de sprijin gestionare a riscurilor.</w:t>
            </w:r>
          </w:p>
        </w:tc>
        <w:tc>
          <w:tcPr>
            <w:tcW w:w="3990" w:type="dxa"/>
          </w:tcPr>
          <w:p w14:paraId="2047463A"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 parțial</w:t>
            </w:r>
            <w:r>
              <w:rPr>
                <w:rFonts w:ascii="Times New Roman" w:eastAsia="Times New Roman" w:hAnsi="Times New Roman" w:cs="Times New Roman"/>
              </w:rPr>
              <w:t>. Proiectul a fost completat cu prevederi care stabilesc că mecanismele de coordonare și desemnare instituțională se aplică cu respectarea competențelor legale și a independenței autorităților autonome, inclusiv a Băncii Naționale a Moldovei.</w:t>
            </w:r>
          </w:p>
        </w:tc>
      </w:tr>
      <w:tr w:rsidR="00E2097D" w14:paraId="500F9687" w14:textId="77777777" w:rsidTr="000E7DFC">
        <w:tc>
          <w:tcPr>
            <w:tcW w:w="625" w:type="dxa"/>
            <w:vMerge/>
          </w:tcPr>
          <w:p w14:paraId="4F4937B2"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46EA7FC8"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2D34E683"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4.1</w:t>
            </w:r>
          </w:p>
        </w:tc>
        <w:tc>
          <w:tcPr>
            <w:tcW w:w="5400" w:type="dxa"/>
          </w:tcPr>
          <w:p w14:paraId="617BF4AC"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Aspectele prevăzute la pct. 3.13.5 să fie expuse în nota de fundamentare, nu în metodologie.</w:t>
            </w:r>
          </w:p>
        </w:tc>
        <w:tc>
          <w:tcPr>
            <w:tcW w:w="3990" w:type="dxa"/>
          </w:tcPr>
          <w:p w14:paraId="6B665674"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Conținutul respectiv a fost exclus din proiectul metodologiei și inclus, după caz, în nota de fundamentare a proiectului.</w:t>
            </w:r>
          </w:p>
        </w:tc>
      </w:tr>
      <w:tr w:rsidR="00E2097D" w14:paraId="40F35ADC" w14:textId="77777777" w:rsidTr="000E7DFC">
        <w:tc>
          <w:tcPr>
            <w:tcW w:w="625" w:type="dxa"/>
            <w:vMerge/>
          </w:tcPr>
          <w:p w14:paraId="010E9296"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271A3A4B"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343B12C2"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4.2</w:t>
            </w:r>
          </w:p>
        </w:tc>
        <w:tc>
          <w:tcPr>
            <w:tcW w:w="5400" w:type="dxa"/>
          </w:tcPr>
          <w:p w14:paraId="594B74B4"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Se propune definirea noțiunilor de „risc cronic”, „risc acut” și reglementarea criteriilor privind toleranța la risc.</w:t>
            </w:r>
          </w:p>
        </w:tc>
        <w:tc>
          <w:tcPr>
            <w:tcW w:w="3990" w:type="dxa"/>
          </w:tcPr>
          <w:p w14:paraId="3EC905E1"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 parțial</w:t>
            </w:r>
            <w:r>
              <w:rPr>
                <w:rFonts w:ascii="Times New Roman" w:eastAsia="Times New Roman" w:hAnsi="Times New Roman" w:cs="Times New Roman"/>
              </w:rPr>
              <w:t>. Proiectul a fost completat cu clarificări conceptuale privind delimitarea riscurilor acute și cronice. Totodată, aspectele operaționale privind stabilirea nivelurilor de toleranță la risc vor fi dezvoltate în documentele metodologice subsecvente.</w:t>
            </w:r>
          </w:p>
        </w:tc>
      </w:tr>
      <w:tr w:rsidR="00E2097D" w14:paraId="653A98CA" w14:textId="77777777" w:rsidTr="000E7DFC">
        <w:tc>
          <w:tcPr>
            <w:tcW w:w="625" w:type="dxa"/>
            <w:vMerge/>
          </w:tcPr>
          <w:p w14:paraId="52F186C2"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16CB9C57"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1C39839C"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4.3</w:t>
            </w:r>
          </w:p>
        </w:tc>
        <w:tc>
          <w:tcPr>
            <w:tcW w:w="5400" w:type="dxa"/>
          </w:tcPr>
          <w:p w14:paraId="657AAE84"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Se solicită precizarea schimbărilor majore ale mediului de securitate care pot declanșa reevaluarea.</w:t>
            </w:r>
          </w:p>
        </w:tc>
        <w:tc>
          <w:tcPr>
            <w:tcW w:w="3990" w:type="dxa"/>
          </w:tcPr>
          <w:p w14:paraId="2E85FCA9"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Norma a fost completată cu referiri generale la situațiile care pot determina reevaluarea extraordinară a riscurilor.</w:t>
            </w:r>
          </w:p>
        </w:tc>
      </w:tr>
      <w:tr w:rsidR="00E2097D" w14:paraId="2322DC3A" w14:textId="77777777" w:rsidTr="000E7DFC">
        <w:tc>
          <w:tcPr>
            <w:tcW w:w="625" w:type="dxa"/>
            <w:vMerge/>
          </w:tcPr>
          <w:p w14:paraId="14045C78"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065C2E54"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196A11FA"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4.4</w:t>
            </w:r>
          </w:p>
        </w:tc>
        <w:tc>
          <w:tcPr>
            <w:tcW w:w="5400" w:type="dxa"/>
          </w:tcPr>
          <w:p w14:paraId="154065E9"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La pct. 13, substituirea expresiei „răspund de” cu „asigură”.</w:t>
            </w:r>
          </w:p>
        </w:tc>
        <w:tc>
          <w:tcPr>
            <w:tcW w:w="3990" w:type="dxa"/>
          </w:tcPr>
          <w:p w14:paraId="62925710"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Modificarea a fost operată pentru uniformizarea terminologiei utilizate în proiect.</w:t>
            </w:r>
          </w:p>
        </w:tc>
      </w:tr>
      <w:tr w:rsidR="00E2097D" w14:paraId="3158D5CD" w14:textId="77777777" w:rsidTr="000E7DFC">
        <w:tc>
          <w:tcPr>
            <w:tcW w:w="625" w:type="dxa"/>
            <w:vMerge/>
          </w:tcPr>
          <w:p w14:paraId="0B6767A1"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18FF34B4"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11958D20"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4.5</w:t>
            </w:r>
          </w:p>
        </w:tc>
        <w:tc>
          <w:tcPr>
            <w:tcW w:w="5400" w:type="dxa"/>
          </w:tcPr>
          <w:p w14:paraId="3153ACCA"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Completarea pct. 17 după sintagma „secretul de stat” cu expresia „alt secret ocrotit de lege”.</w:t>
            </w:r>
          </w:p>
        </w:tc>
        <w:tc>
          <w:tcPr>
            <w:tcW w:w="3990" w:type="dxa"/>
          </w:tcPr>
          <w:p w14:paraId="721882A5"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xml:space="preserve"> Norma a fost completată pentru a include toate categoriile de informații protejate conform legislației speciale.</w:t>
            </w:r>
          </w:p>
        </w:tc>
      </w:tr>
      <w:tr w:rsidR="00E2097D" w14:paraId="7012771D" w14:textId="77777777" w:rsidTr="000E7DFC">
        <w:tc>
          <w:tcPr>
            <w:tcW w:w="625" w:type="dxa"/>
            <w:vMerge/>
          </w:tcPr>
          <w:p w14:paraId="380ED5A4"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2C26C8F3"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66F7D9FB"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4.6</w:t>
            </w:r>
          </w:p>
        </w:tc>
        <w:tc>
          <w:tcPr>
            <w:tcW w:w="5400" w:type="dxa"/>
          </w:tcPr>
          <w:p w14:paraId="4D726BDE"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Norma de la pct. 17.1 este contradictorie între exigența de confidențialitate și accesul la informații.</w:t>
            </w:r>
          </w:p>
        </w:tc>
        <w:tc>
          <w:tcPr>
            <w:tcW w:w="3990" w:type="dxa"/>
          </w:tcPr>
          <w:p w14:paraId="39A0FCE4"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 parțial</w:t>
            </w:r>
            <w:r>
              <w:rPr>
                <w:rFonts w:ascii="Times New Roman" w:eastAsia="Times New Roman" w:hAnsi="Times New Roman" w:cs="Times New Roman"/>
              </w:rPr>
              <w:t>. Textul a fost reformulat pentru a evidenția aplicarea concomitentă a legislației privind accesul la informații și a normelor speciale privind protecția informațiilor cu acces restricționat.</w:t>
            </w:r>
          </w:p>
        </w:tc>
      </w:tr>
      <w:tr w:rsidR="00E2097D" w14:paraId="3401FBA5" w14:textId="77777777" w:rsidTr="000E7DFC">
        <w:tc>
          <w:tcPr>
            <w:tcW w:w="625" w:type="dxa"/>
            <w:vMerge/>
          </w:tcPr>
          <w:p w14:paraId="0F708DE5"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6C00557E"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63DCB1AA"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4.7</w:t>
            </w:r>
          </w:p>
        </w:tc>
        <w:tc>
          <w:tcPr>
            <w:tcW w:w="5400" w:type="dxa"/>
          </w:tcPr>
          <w:p w14:paraId="2498C05E"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La pct. 24.3, desemnarea instituției principale pentru coordonarea răspunsului trebuie realizată ținând cont de competențele legale ale instituțiilor vizate.</w:t>
            </w:r>
          </w:p>
        </w:tc>
        <w:tc>
          <w:tcPr>
            <w:tcW w:w="3990" w:type="dxa"/>
          </w:tcPr>
          <w:p w14:paraId="1318A86C"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Proiectul a fost ajustat prin precizarea expresă a respectării atribuțiilor legale ale autorităților desemnate.</w:t>
            </w:r>
          </w:p>
        </w:tc>
      </w:tr>
      <w:tr w:rsidR="00E2097D" w14:paraId="6F9676EC" w14:textId="77777777" w:rsidTr="000E7DFC">
        <w:tc>
          <w:tcPr>
            <w:tcW w:w="625" w:type="dxa"/>
            <w:vMerge/>
          </w:tcPr>
          <w:p w14:paraId="4B1FBC90"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1B91AF11"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3EF5CEFB"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4.8</w:t>
            </w:r>
          </w:p>
        </w:tc>
        <w:tc>
          <w:tcPr>
            <w:tcW w:w="5400" w:type="dxa"/>
          </w:tcPr>
          <w:p w14:paraId="771248AC"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Inconsistențe privind clasificarea nivelurilor de risc și structura matricei de risc din Figura nr. 1.</w:t>
            </w:r>
          </w:p>
        </w:tc>
        <w:tc>
          <w:tcPr>
            <w:tcW w:w="3990" w:type="dxa"/>
          </w:tcPr>
          <w:p w14:paraId="137AF85B"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 parțial.</w:t>
            </w:r>
            <w:r>
              <w:rPr>
                <w:rFonts w:ascii="Times New Roman" w:eastAsia="Times New Roman" w:hAnsi="Times New Roman" w:cs="Times New Roman"/>
              </w:rPr>
              <w:t xml:space="preserve"> Figura și clasificarea nivelurilor de risc au fost revizuite pentru asigurarea coerenței metodologice și corelarea cu practicile internaționale relevante.</w:t>
            </w:r>
          </w:p>
        </w:tc>
      </w:tr>
      <w:tr w:rsidR="00E2097D" w14:paraId="4E224ADE" w14:textId="77777777" w:rsidTr="000E7DFC">
        <w:tc>
          <w:tcPr>
            <w:tcW w:w="625" w:type="dxa"/>
            <w:vMerge/>
          </w:tcPr>
          <w:p w14:paraId="7A5D40F4"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6691CF58"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02CC42CE"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4.9</w:t>
            </w:r>
          </w:p>
        </w:tc>
        <w:tc>
          <w:tcPr>
            <w:tcW w:w="5400" w:type="dxa"/>
          </w:tcPr>
          <w:p w14:paraId="712B9886"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Necesitatea uniformizării pct. 36.2 și pct. 41.2.1 privind numărul nivelurilor de prioritate ale riscurilor.</w:t>
            </w:r>
          </w:p>
        </w:tc>
        <w:tc>
          <w:tcPr>
            <w:tcW w:w="3990" w:type="dxa"/>
          </w:tcPr>
          <w:p w14:paraId="308735A8"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Prevederile au fost uniformizate prin utilizarea unei clasificări unitare a nivelurilor de prioritate ale riscurilor.</w:t>
            </w:r>
          </w:p>
        </w:tc>
      </w:tr>
      <w:tr w:rsidR="00E2097D" w14:paraId="6DAA4333" w14:textId="77777777" w:rsidTr="000E7DFC">
        <w:tc>
          <w:tcPr>
            <w:tcW w:w="625" w:type="dxa"/>
            <w:vMerge/>
          </w:tcPr>
          <w:p w14:paraId="149F0283"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33302997"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59B86311"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4.10</w:t>
            </w:r>
          </w:p>
        </w:tc>
        <w:tc>
          <w:tcPr>
            <w:tcW w:w="5400" w:type="dxa"/>
          </w:tcPr>
          <w:p w14:paraId="11BD5B85"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Lipsa componentei cantitative reale în metoda „cantitativă” prevăzută la pct. 38.2.</w:t>
            </w:r>
          </w:p>
        </w:tc>
        <w:tc>
          <w:tcPr>
            <w:tcW w:w="3990" w:type="dxa"/>
          </w:tcPr>
          <w:p w14:paraId="286CB6B7"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 parțial.</w:t>
            </w:r>
            <w:r>
              <w:rPr>
                <w:rFonts w:ascii="Times New Roman" w:eastAsia="Times New Roman" w:hAnsi="Times New Roman" w:cs="Times New Roman"/>
              </w:rPr>
              <w:t xml:space="preserve"> Textul a fost completat cu precizări suplimentare privind utilizarea indicatorilor cantitativi și calitativi în procesul de evaluare a riscurilor.</w:t>
            </w:r>
          </w:p>
        </w:tc>
      </w:tr>
      <w:tr w:rsidR="00E2097D" w14:paraId="47C28FDB" w14:textId="77777777" w:rsidTr="000E7DFC">
        <w:tc>
          <w:tcPr>
            <w:tcW w:w="625" w:type="dxa"/>
            <w:vMerge/>
          </w:tcPr>
          <w:p w14:paraId="37E0E8A0"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4A490795"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6EB4C794"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4.11</w:t>
            </w:r>
          </w:p>
        </w:tc>
        <w:tc>
          <w:tcPr>
            <w:tcW w:w="5400" w:type="dxa"/>
          </w:tcPr>
          <w:p w14:paraId="28595A8C"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Formula de calcul a scorului permite interpretări discreționare prin utilizarea alternativă a maximului sau mediei ponderate.</w:t>
            </w:r>
          </w:p>
        </w:tc>
        <w:tc>
          <w:tcPr>
            <w:tcW w:w="3990" w:type="dxa"/>
          </w:tcPr>
          <w:p w14:paraId="06F3885A"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Proiectul a fost completat cu criterii metodologice privind aplicarea formulelor de calcul și utilizarea metodelor de agregare a scorurilor.</w:t>
            </w:r>
          </w:p>
        </w:tc>
      </w:tr>
      <w:tr w:rsidR="00E2097D" w14:paraId="789ABD49" w14:textId="77777777" w:rsidTr="000E7DFC">
        <w:tc>
          <w:tcPr>
            <w:tcW w:w="625" w:type="dxa"/>
            <w:vMerge/>
          </w:tcPr>
          <w:p w14:paraId="0E159004"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6C42998E"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5209CDF4"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4.12</w:t>
            </w:r>
          </w:p>
        </w:tc>
        <w:tc>
          <w:tcPr>
            <w:tcW w:w="5400" w:type="dxa"/>
          </w:tcPr>
          <w:p w14:paraId="5D2EDCBC"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Necesitatea clarificării noțiunii de „decizie de oportunitate” și a regimului de confidențialitate aplicabil fișelor de risc.</w:t>
            </w:r>
          </w:p>
        </w:tc>
        <w:tc>
          <w:tcPr>
            <w:tcW w:w="3990" w:type="dxa"/>
          </w:tcPr>
          <w:p w14:paraId="69D702FE"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Proiectul a fost completat cu prevederi privind criteriile de transmitere a raportului și aplicarea regimului de confidențialitate asupra informațiilor conținute în fișele de risc.</w:t>
            </w:r>
          </w:p>
        </w:tc>
      </w:tr>
      <w:tr w:rsidR="00B5067E" w14:paraId="6C63355D" w14:textId="77777777" w:rsidTr="000E7DFC">
        <w:tc>
          <w:tcPr>
            <w:tcW w:w="625" w:type="dxa"/>
            <w:shd w:val="clear" w:color="auto" w:fill="00B0F0"/>
          </w:tcPr>
          <w:p w14:paraId="635C92C0" w14:textId="77777777" w:rsidR="00B5067E" w:rsidRDefault="00B5067E">
            <w:pPr>
              <w:pBdr>
                <w:between w:val="single" w:sz="4" w:space="1" w:color="000000"/>
              </w:pBdr>
              <w:jc w:val="both"/>
              <w:rPr>
                <w:rFonts w:ascii="Times New Roman" w:eastAsia="Times New Roman" w:hAnsi="Times New Roman" w:cs="Times New Roman"/>
              </w:rPr>
            </w:pPr>
          </w:p>
        </w:tc>
        <w:tc>
          <w:tcPr>
            <w:tcW w:w="1845" w:type="dxa"/>
            <w:shd w:val="clear" w:color="auto" w:fill="00B0F0"/>
          </w:tcPr>
          <w:p w14:paraId="7176CC0E" w14:textId="77777777" w:rsidR="00B5067E" w:rsidRDefault="00B5067E">
            <w:pPr>
              <w:pBdr>
                <w:between w:val="single" w:sz="4" w:space="1" w:color="000000"/>
              </w:pBdr>
              <w:rPr>
                <w:rFonts w:ascii="Times New Roman" w:eastAsia="Times New Roman" w:hAnsi="Times New Roman" w:cs="Times New Roman"/>
              </w:rPr>
            </w:pPr>
          </w:p>
        </w:tc>
        <w:tc>
          <w:tcPr>
            <w:tcW w:w="2580" w:type="dxa"/>
            <w:gridSpan w:val="2"/>
            <w:shd w:val="clear" w:color="auto" w:fill="00B0F0"/>
          </w:tcPr>
          <w:p w14:paraId="757F1C09" w14:textId="77777777" w:rsidR="00B5067E" w:rsidRDefault="00B5067E" w:rsidP="00E2097D">
            <w:pPr>
              <w:pBdr>
                <w:between w:val="single" w:sz="4" w:space="1" w:color="000000"/>
              </w:pBdr>
              <w:jc w:val="center"/>
              <w:rPr>
                <w:rFonts w:ascii="Times New Roman" w:eastAsia="Times New Roman" w:hAnsi="Times New Roman" w:cs="Times New Roman"/>
              </w:rPr>
            </w:pPr>
          </w:p>
        </w:tc>
        <w:tc>
          <w:tcPr>
            <w:tcW w:w="5400" w:type="dxa"/>
            <w:shd w:val="clear" w:color="auto" w:fill="00B0F0"/>
          </w:tcPr>
          <w:p w14:paraId="2863754A" w14:textId="77777777" w:rsidR="00B5067E" w:rsidRDefault="00B5067E">
            <w:pPr>
              <w:pBdr>
                <w:between w:val="single" w:sz="4" w:space="1" w:color="000000"/>
              </w:pBdr>
              <w:jc w:val="both"/>
              <w:rPr>
                <w:rFonts w:ascii="Times New Roman" w:eastAsia="Times New Roman" w:hAnsi="Times New Roman" w:cs="Times New Roman"/>
              </w:rPr>
            </w:pPr>
          </w:p>
        </w:tc>
        <w:tc>
          <w:tcPr>
            <w:tcW w:w="3990" w:type="dxa"/>
            <w:shd w:val="clear" w:color="auto" w:fill="00B0F0"/>
          </w:tcPr>
          <w:p w14:paraId="0A9760A4" w14:textId="77777777" w:rsidR="00B5067E" w:rsidRDefault="00B5067E">
            <w:pPr>
              <w:pBdr>
                <w:between w:val="single" w:sz="4" w:space="1" w:color="000000"/>
              </w:pBdr>
              <w:jc w:val="both"/>
              <w:rPr>
                <w:rFonts w:ascii="Times New Roman" w:eastAsia="Times New Roman" w:hAnsi="Times New Roman" w:cs="Times New Roman"/>
                <w:b/>
                <w:bCs/>
              </w:rPr>
            </w:pPr>
          </w:p>
        </w:tc>
      </w:tr>
      <w:tr w:rsidR="00E2097D" w14:paraId="6537FAC6" w14:textId="77777777" w:rsidTr="000E7DFC">
        <w:tc>
          <w:tcPr>
            <w:tcW w:w="625" w:type="dxa"/>
            <w:vMerge w:val="restart"/>
          </w:tcPr>
          <w:p w14:paraId="35031D0F" w14:textId="77777777" w:rsidR="00E2097D" w:rsidRDefault="00E2097D">
            <w:pPr>
              <w:pBdr>
                <w:between w:val="single" w:sz="4" w:space="1" w:color="000000"/>
              </w:pBdr>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2. </w:t>
            </w:r>
          </w:p>
        </w:tc>
        <w:tc>
          <w:tcPr>
            <w:tcW w:w="1845" w:type="dxa"/>
            <w:vMerge w:val="restart"/>
          </w:tcPr>
          <w:p w14:paraId="537E8E0F" w14:textId="57D316DA" w:rsidR="00E2097D" w:rsidRDefault="00E2097D">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Serviciul de Informații și Securitate, </w:t>
            </w:r>
          </w:p>
          <w:p w14:paraId="391CA579" w14:textId="77777777" w:rsidR="00E2097D" w:rsidRDefault="00E2097D">
            <w:pPr>
              <w:rPr>
                <w:rFonts w:ascii="Times New Roman" w:eastAsia="Times New Roman" w:hAnsi="Times New Roman" w:cs="Times New Roman"/>
                <w:i/>
                <w:iCs/>
              </w:rPr>
            </w:pPr>
            <w:r>
              <w:rPr>
                <w:rFonts w:ascii="Times New Roman" w:eastAsia="Times New Roman" w:hAnsi="Times New Roman" w:cs="Times New Roman"/>
                <w:i/>
                <w:iCs/>
                <w:color w:val="000000"/>
              </w:rPr>
              <w:t>(Nr. IE/4625 din 08.05.2025)</w:t>
            </w:r>
          </w:p>
        </w:tc>
        <w:tc>
          <w:tcPr>
            <w:tcW w:w="2580" w:type="dxa"/>
            <w:gridSpan w:val="2"/>
          </w:tcPr>
          <w:p w14:paraId="1B04EC80"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1</w:t>
            </w:r>
          </w:p>
        </w:tc>
        <w:tc>
          <w:tcPr>
            <w:tcW w:w="5400" w:type="dxa"/>
          </w:tcPr>
          <w:p w14:paraId="26F1A04D"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La pct. 7, formularea privind completarea noțiunilor din Legea nr. 248/2025 și Legea nr. 249/2025 este necorespunzătoare, întrucât poate fi interpretată ca modificare/completare a actelor normative superioare prin metodologie, ceea ce contravine normelor de tehnică legislativă. Totodată, unele noțiuni sunt deja reglementate în Legea nr. 248/2025 și nu necesită reiterare. De asemenea, termenul „infrastructură critică” este definit în Legea nr. 223/2025 ca „infrastructură critică națională”, fiind necesară uniformizarea terminologică.</w:t>
            </w:r>
          </w:p>
        </w:tc>
        <w:tc>
          <w:tcPr>
            <w:tcW w:w="3990" w:type="dxa"/>
          </w:tcPr>
          <w:p w14:paraId="1E9F6D7C" w14:textId="177DC13A"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 parțial.</w:t>
            </w:r>
            <w:r>
              <w:rPr>
                <w:rFonts w:ascii="Times New Roman" w:eastAsia="Times New Roman" w:hAnsi="Times New Roman" w:cs="Times New Roman"/>
              </w:rPr>
              <w:t xml:space="preserve"> Pct. 7 </w:t>
            </w:r>
            <w:r w:rsidR="00AC399B">
              <w:rPr>
                <w:rFonts w:ascii="Times New Roman" w:eastAsia="Times New Roman" w:hAnsi="Times New Roman" w:cs="Times New Roman"/>
              </w:rPr>
              <w:t>a fost</w:t>
            </w:r>
            <w:r>
              <w:rPr>
                <w:rFonts w:ascii="Times New Roman" w:eastAsia="Times New Roman" w:hAnsi="Times New Roman" w:cs="Times New Roman"/>
              </w:rPr>
              <w:t xml:space="preserve"> revizuit pentru a elimina orice formulare care ar sugera modificarea sau completarea actelor normative ierarhic superioare și pentru a exclude duplicarea noțiunilor deja definite în legislația aplicabilă. Se va asigura utilizarea consecventă a termenului „infrastructură critică națională” în întregul document.</w:t>
            </w:r>
          </w:p>
        </w:tc>
      </w:tr>
      <w:tr w:rsidR="00E2097D" w14:paraId="6E73E275" w14:textId="77777777" w:rsidTr="000E7DFC">
        <w:tc>
          <w:tcPr>
            <w:tcW w:w="625" w:type="dxa"/>
            <w:vMerge/>
          </w:tcPr>
          <w:p w14:paraId="2F9C57C5"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1BDFF23E"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795CE78C"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2</w:t>
            </w:r>
          </w:p>
        </w:tc>
        <w:tc>
          <w:tcPr>
            <w:tcW w:w="5400" w:type="dxa"/>
          </w:tcPr>
          <w:p w14:paraId="7C2BDA72"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 xml:space="preserve">La pct. 9 și 10, enumerarea atribuțiilor Centrului Național de Management al Crizelor este nejustificată, întrucât acestea sunt deja stabilite prin art. 45–46 din </w:t>
            </w:r>
            <w:r>
              <w:rPr>
                <w:rFonts w:ascii="Times New Roman" w:eastAsia="Times New Roman" w:hAnsi="Times New Roman" w:cs="Times New Roman"/>
              </w:rPr>
              <w:lastRenderedPageBreak/>
              <w:t>Legea nr. 248/2025 și HG nr. 579/2025. Reluarea sau redefinirea atribuțiilor în metodologie este inoportună.</w:t>
            </w:r>
          </w:p>
        </w:tc>
        <w:tc>
          <w:tcPr>
            <w:tcW w:w="3990" w:type="dxa"/>
          </w:tcPr>
          <w:p w14:paraId="39683988" w14:textId="0C2949C9"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lastRenderedPageBreak/>
              <w:t>Se acceptă</w:t>
            </w:r>
            <w:r>
              <w:rPr>
                <w:rFonts w:ascii="Times New Roman" w:eastAsia="Times New Roman" w:hAnsi="Times New Roman" w:cs="Times New Roman"/>
              </w:rPr>
              <w:t xml:space="preserve">. Prevederile </w:t>
            </w:r>
            <w:r w:rsidR="00AC399B">
              <w:rPr>
                <w:rFonts w:ascii="Times New Roman" w:eastAsia="Times New Roman" w:hAnsi="Times New Roman" w:cs="Times New Roman"/>
              </w:rPr>
              <w:t xml:space="preserve">au fost </w:t>
            </w:r>
            <w:r>
              <w:rPr>
                <w:rFonts w:ascii="Times New Roman" w:eastAsia="Times New Roman" w:hAnsi="Times New Roman" w:cs="Times New Roman"/>
              </w:rPr>
              <w:t xml:space="preserve">revizuite prin eliminarea enumerării atribuțiilor și înlocuirea acestora cu trimitere la actele normative în vigoare </w:t>
            </w:r>
            <w:r>
              <w:rPr>
                <w:rFonts w:ascii="Times New Roman" w:eastAsia="Times New Roman" w:hAnsi="Times New Roman" w:cs="Times New Roman"/>
              </w:rPr>
              <w:lastRenderedPageBreak/>
              <w:t>care reglementează competențele Centrului Național de Management al Crizelor.</w:t>
            </w:r>
          </w:p>
        </w:tc>
      </w:tr>
      <w:tr w:rsidR="00E2097D" w14:paraId="46B790EB" w14:textId="77777777" w:rsidTr="000E7DFC">
        <w:tc>
          <w:tcPr>
            <w:tcW w:w="625" w:type="dxa"/>
            <w:vMerge/>
          </w:tcPr>
          <w:p w14:paraId="6EC38A5A"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5E9F959B"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2B3B3F57"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3</w:t>
            </w:r>
          </w:p>
        </w:tc>
        <w:tc>
          <w:tcPr>
            <w:tcW w:w="5400" w:type="dxa"/>
          </w:tcPr>
          <w:p w14:paraId="1AF9B2E4"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Pct. 14 subpct. 14.3 prevede atribuirea către autoritățile administrației publice locale a rolului de instituții principale în situații de criză, fără a fi indicat temeiul juridic. Prevederea ridică probleme de compatibilitate cu Legea nr. 248/2025, în condițiile în care APL nu dețin, în mod expres, o asemenea competență.</w:t>
            </w:r>
          </w:p>
        </w:tc>
        <w:tc>
          <w:tcPr>
            <w:tcW w:w="3990" w:type="dxa"/>
          </w:tcPr>
          <w:p w14:paraId="785096D6" w14:textId="507A2E50"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 parțial</w:t>
            </w:r>
            <w:r>
              <w:rPr>
                <w:rFonts w:ascii="Times New Roman" w:eastAsia="Times New Roman" w:hAnsi="Times New Roman" w:cs="Times New Roman"/>
              </w:rPr>
              <w:t xml:space="preserve">. Textul </w:t>
            </w:r>
            <w:r w:rsidR="00AC399B">
              <w:rPr>
                <w:rFonts w:ascii="Times New Roman" w:eastAsia="Times New Roman" w:hAnsi="Times New Roman" w:cs="Times New Roman"/>
              </w:rPr>
              <w:t>a fost</w:t>
            </w:r>
            <w:r>
              <w:rPr>
                <w:rFonts w:ascii="Times New Roman" w:eastAsia="Times New Roman" w:hAnsi="Times New Roman" w:cs="Times New Roman"/>
              </w:rPr>
              <w:t xml:space="preserve"> reanalizat din perspectiva compatibilității cu Legea nr. 248/2025 și va fi reformulat astfel încât să fie exclusă atribuirea de competențe care nu au temei legal expres sau să fie clarificat rolul APL în cadrul mecanismului de gestionare a crizelor.</w:t>
            </w:r>
          </w:p>
        </w:tc>
      </w:tr>
      <w:tr w:rsidR="00E2097D" w14:paraId="197C78E4" w14:textId="77777777" w:rsidTr="000E7DFC">
        <w:tc>
          <w:tcPr>
            <w:tcW w:w="625" w:type="dxa"/>
            <w:vMerge/>
          </w:tcPr>
          <w:p w14:paraId="0B3F66E9"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1A5B9C76"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478E2DF6"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4</w:t>
            </w:r>
          </w:p>
        </w:tc>
        <w:tc>
          <w:tcPr>
            <w:tcW w:w="5400" w:type="dxa"/>
          </w:tcPr>
          <w:p w14:paraId="34862111"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La pct. 15 subpct. 15.2, sintagma „inclusiv gestionării infrastructurii critice” este redundantă și excedează cadrul stabilit de Legea nr. 223/2025. De asemenea, este necesară clarificarea cadrului de cooperare instituțională dintre CNPIC și Centrul Național de Management al Crizelor.</w:t>
            </w:r>
          </w:p>
        </w:tc>
        <w:tc>
          <w:tcPr>
            <w:tcW w:w="3990" w:type="dxa"/>
          </w:tcPr>
          <w:p w14:paraId="18AF55D5" w14:textId="7440EFEB"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xml:space="preserve">. Sintagma </w:t>
            </w:r>
            <w:r w:rsidR="00AC399B">
              <w:rPr>
                <w:rFonts w:ascii="Times New Roman" w:eastAsia="Times New Roman" w:hAnsi="Times New Roman" w:cs="Times New Roman"/>
              </w:rPr>
              <w:t>a fost</w:t>
            </w:r>
            <w:r>
              <w:rPr>
                <w:rFonts w:ascii="Times New Roman" w:eastAsia="Times New Roman" w:hAnsi="Times New Roman" w:cs="Times New Roman"/>
              </w:rPr>
              <w:t xml:space="preserve"> exclusă pentru a evita suprapunerea cu atribuțiile reglementate prin legislația specială. Totodată, va fi introdusă o formulare care să stabilească explicit cadrul de cooperare instituțională între CNPIC și Centrul Național de Management al Crizelor.</w:t>
            </w:r>
          </w:p>
        </w:tc>
      </w:tr>
      <w:tr w:rsidR="00E2097D" w14:paraId="0B1AA645" w14:textId="77777777" w:rsidTr="000E7DFC">
        <w:tc>
          <w:tcPr>
            <w:tcW w:w="625" w:type="dxa"/>
            <w:vMerge/>
          </w:tcPr>
          <w:p w14:paraId="57367242"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5ECA26FD"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0C46B006"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5</w:t>
            </w:r>
          </w:p>
        </w:tc>
        <w:tc>
          <w:tcPr>
            <w:tcW w:w="5400" w:type="dxa"/>
          </w:tcPr>
          <w:p w14:paraId="0EDB902D"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Se constată necorelare între pct. 36 subpct. 36.2 și pct. 40 subpct. 41.1 și 41.2.1 privind nivelurile de risc, fiind prevăzute în mod neunitar patru, respectiv cinci niveluri de risc.</w:t>
            </w:r>
          </w:p>
        </w:tc>
        <w:tc>
          <w:tcPr>
            <w:tcW w:w="3990" w:type="dxa"/>
          </w:tcPr>
          <w:p w14:paraId="1836D874" w14:textId="42523D42"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xml:space="preserve">. Prevederile </w:t>
            </w:r>
            <w:r w:rsidR="00AC399B">
              <w:rPr>
                <w:rFonts w:ascii="Times New Roman" w:eastAsia="Times New Roman" w:hAnsi="Times New Roman" w:cs="Times New Roman"/>
              </w:rPr>
              <w:t>au fost</w:t>
            </w:r>
            <w:r>
              <w:rPr>
                <w:rFonts w:ascii="Times New Roman" w:eastAsia="Times New Roman" w:hAnsi="Times New Roman" w:cs="Times New Roman"/>
              </w:rPr>
              <w:t xml:space="preserve"> corelate și uniformizate în întregul document, astfel încât clasificarea nivelurilor de risc să fie unitară și coerentă din punct de vedere normativ.</w:t>
            </w:r>
          </w:p>
        </w:tc>
      </w:tr>
      <w:tr w:rsidR="00B5067E" w14:paraId="7D3C2F7D" w14:textId="77777777" w:rsidTr="000E7DFC">
        <w:tc>
          <w:tcPr>
            <w:tcW w:w="625" w:type="dxa"/>
            <w:shd w:val="clear" w:color="auto" w:fill="00B0F0"/>
          </w:tcPr>
          <w:p w14:paraId="18696D86" w14:textId="77777777" w:rsidR="00B5067E" w:rsidRDefault="00B5067E">
            <w:pPr>
              <w:pBdr>
                <w:between w:val="single" w:sz="4" w:space="1" w:color="000000"/>
              </w:pBdr>
              <w:jc w:val="both"/>
              <w:rPr>
                <w:rFonts w:ascii="Times New Roman" w:eastAsia="Times New Roman" w:hAnsi="Times New Roman" w:cs="Times New Roman"/>
              </w:rPr>
            </w:pPr>
          </w:p>
        </w:tc>
        <w:tc>
          <w:tcPr>
            <w:tcW w:w="1845" w:type="dxa"/>
            <w:shd w:val="clear" w:color="auto" w:fill="00B0F0"/>
          </w:tcPr>
          <w:p w14:paraId="1F9B79F6" w14:textId="77777777" w:rsidR="00B5067E" w:rsidRDefault="00B5067E">
            <w:pPr>
              <w:pBdr>
                <w:between w:val="single" w:sz="4" w:space="1" w:color="000000"/>
              </w:pBdr>
              <w:rPr>
                <w:rFonts w:ascii="Times New Roman" w:eastAsia="Times New Roman" w:hAnsi="Times New Roman" w:cs="Times New Roman"/>
              </w:rPr>
            </w:pPr>
          </w:p>
        </w:tc>
        <w:tc>
          <w:tcPr>
            <w:tcW w:w="2580" w:type="dxa"/>
            <w:gridSpan w:val="2"/>
            <w:shd w:val="clear" w:color="auto" w:fill="00B0F0"/>
          </w:tcPr>
          <w:p w14:paraId="2AA28266" w14:textId="77777777" w:rsidR="00B5067E" w:rsidRDefault="00B5067E" w:rsidP="00E2097D">
            <w:pPr>
              <w:pBdr>
                <w:between w:val="single" w:sz="4" w:space="1" w:color="000000"/>
              </w:pBdr>
              <w:jc w:val="center"/>
              <w:rPr>
                <w:rFonts w:ascii="Times New Roman" w:eastAsia="Times New Roman" w:hAnsi="Times New Roman" w:cs="Times New Roman"/>
              </w:rPr>
            </w:pPr>
          </w:p>
        </w:tc>
        <w:tc>
          <w:tcPr>
            <w:tcW w:w="5400" w:type="dxa"/>
            <w:shd w:val="clear" w:color="auto" w:fill="00B0F0"/>
          </w:tcPr>
          <w:p w14:paraId="37714717" w14:textId="77777777" w:rsidR="00B5067E" w:rsidRDefault="00B5067E">
            <w:pPr>
              <w:pBdr>
                <w:between w:val="single" w:sz="4" w:space="1" w:color="000000"/>
              </w:pBdr>
              <w:jc w:val="both"/>
              <w:rPr>
                <w:rFonts w:ascii="Times New Roman" w:eastAsia="Times New Roman" w:hAnsi="Times New Roman" w:cs="Times New Roman"/>
              </w:rPr>
            </w:pPr>
          </w:p>
        </w:tc>
        <w:tc>
          <w:tcPr>
            <w:tcW w:w="3990" w:type="dxa"/>
            <w:shd w:val="clear" w:color="auto" w:fill="00B0F0"/>
          </w:tcPr>
          <w:p w14:paraId="0FC11480" w14:textId="77777777" w:rsidR="00B5067E" w:rsidRDefault="00B5067E">
            <w:pPr>
              <w:pBdr>
                <w:between w:val="single" w:sz="4" w:space="1" w:color="000000"/>
              </w:pBdr>
              <w:jc w:val="both"/>
              <w:rPr>
                <w:rFonts w:ascii="Times New Roman" w:eastAsia="Times New Roman" w:hAnsi="Times New Roman" w:cs="Times New Roman"/>
                <w:b/>
                <w:bCs/>
              </w:rPr>
            </w:pPr>
          </w:p>
        </w:tc>
      </w:tr>
      <w:tr w:rsidR="00E2097D" w14:paraId="2A0DC6D1" w14:textId="77777777" w:rsidTr="000E7DFC">
        <w:tc>
          <w:tcPr>
            <w:tcW w:w="625" w:type="dxa"/>
            <w:vMerge w:val="restart"/>
          </w:tcPr>
          <w:p w14:paraId="08F6C912" w14:textId="77777777" w:rsidR="00E2097D" w:rsidRDefault="00E2097D">
            <w:pPr>
              <w:pBdr>
                <w:between w:val="single" w:sz="4" w:space="1" w:color="000000"/>
              </w:pBdr>
              <w:jc w:val="both"/>
              <w:rPr>
                <w:rFonts w:ascii="Times New Roman" w:eastAsia="Times New Roman" w:hAnsi="Times New Roman" w:cs="Times New Roman"/>
                <w:b/>
                <w:bCs/>
              </w:rPr>
            </w:pPr>
            <w:r>
              <w:rPr>
                <w:rFonts w:ascii="Times New Roman" w:eastAsia="Times New Roman" w:hAnsi="Times New Roman" w:cs="Times New Roman"/>
                <w:b/>
                <w:bCs/>
              </w:rPr>
              <w:t>3.</w:t>
            </w:r>
          </w:p>
        </w:tc>
        <w:tc>
          <w:tcPr>
            <w:tcW w:w="1845" w:type="dxa"/>
            <w:vMerge w:val="restart"/>
          </w:tcPr>
          <w:p w14:paraId="7E8C7859" w14:textId="77777777" w:rsidR="00E2097D" w:rsidRDefault="00E2097D">
            <w:pPr>
              <w:rPr>
                <w:rFonts w:ascii="Times New Roman" w:eastAsia="Times New Roman" w:hAnsi="Times New Roman" w:cs="Times New Roman"/>
              </w:rPr>
            </w:pPr>
            <w:r>
              <w:rPr>
                <w:rFonts w:ascii="Times New Roman" w:eastAsia="Times New Roman" w:hAnsi="Times New Roman" w:cs="Times New Roman"/>
                <w:b/>
                <w:bCs/>
              </w:rPr>
              <w:t>Agenția Națională pentru Reglementare în Comunicații (ARCOM)</w:t>
            </w:r>
            <w:r>
              <w:rPr>
                <w:rFonts w:ascii="Times New Roman" w:eastAsia="Times New Roman" w:hAnsi="Times New Roman" w:cs="Times New Roman"/>
              </w:rPr>
              <w:t xml:space="preserve"> </w:t>
            </w:r>
          </w:p>
          <w:p w14:paraId="6DF1F31A" w14:textId="77777777" w:rsidR="00E2097D" w:rsidRDefault="00E2097D">
            <w:pPr>
              <w:rPr>
                <w:rFonts w:ascii="Times New Roman" w:eastAsia="Times New Roman" w:hAnsi="Times New Roman" w:cs="Times New Roman"/>
                <w:b/>
                <w:bCs/>
                <w:i/>
                <w:iCs/>
              </w:rPr>
            </w:pPr>
            <w:r>
              <w:rPr>
                <w:rFonts w:ascii="Times New Roman" w:eastAsia="Times New Roman" w:hAnsi="Times New Roman" w:cs="Times New Roman"/>
                <w:i/>
                <w:iCs/>
              </w:rPr>
              <w:t>(Nr. 01-DRA/944 din 08 mai 2026)</w:t>
            </w:r>
          </w:p>
        </w:tc>
        <w:tc>
          <w:tcPr>
            <w:tcW w:w="2580" w:type="dxa"/>
            <w:gridSpan w:val="2"/>
          </w:tcPr>
          <w:p w14:paraId="7608278D"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1.1</w:t>
            </w:r>
          </w:p>
        </w:tc>
        <w:tc>
          <w:tcPr>
            <w:tcW w:w="5400" w:type="dxa"/>
          </w:tcPr>
          <w:p w14:paraId="31E236D9"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La pct. 7.13 textul se substituie cu: „infrastructură critică națională – astfel cum este definită în Legea nr. 223/2025 privind identificarea, desemnarea și protecția infrastructurilor critice naționale”</w:t>
            </w:r>
          </w:p>
        </w:tc>
        <w:tc>
          <w:tcPr>
            <w:tcW w:w="3990" w:type="dxa"/>
          </w:tcPr>
          <w:p w14:paraId="4E5EE897" w14:textId="3025E07F" w:rsidR="00E2097D" w:rsidRDefault="00E2097D">
            <w:pPr>
              <w:pBdr>
                <w:between w:val="single" w:sz="4" w:space="1" w:color="000000"/>
              </w:pBdr>
              <w:jc w:val="both"/>
              <w:rPr>
                <w:rFonts w:ascii="Times New Roman" w:eastAsia="Times New Roman" w:hAnsi="Times New Roman" w:cs="Times New Roman"/>
                <w:b/>
                <w:bCs/>
              </w:rPr>
            </w:pPr>
            <w:r>
              <w:rPr>
                <w:rFonts w:ascii="Times New Roman" w:eastAsia="Times New Roman" w:hAnsi="Times New Roman" w:cs="Times New Roman"/>
                <w:b/>
                <w:bCs/>
              </w:rPr>
              <w:t>Se acceptă</w:t>
            </w:r>
            <w:r w:rsidR="00AC399B">
              <w:rPr>
                <w:rFonts w:ascii="Times New Roman" w:eastAsia="Times New Roman" w:hAnsi="Times New Roman" w:cs="Times New Roman"/>
                <w:b/>
                <w:bCs/>
              </w:rPr>
              <w:t xml:space="preserve">, </w:t>
            </w:r>
            <w:r w:rsidR="00AC399B" w:rsidRPr="00AC399B">
              <w:rPr>
                <w:rFonts w:ascii="Times New Roman" w:eastAsia="Times New Roman" w:hAnsi="Times New Roman" w:cs="Times New Roman"/>
              </w:rPr>
              <w:t>p</w:t>
            </w:r>
            <w:r>
              <w:rPr>
                <w:rFonts w:ascii="Times New Roman" w:eastAsia="Times New Roman" w:hAnsi="Times New Roman" w:cs="Times New Roman"/>
              </w:rPr>
              <w:t>entru integrarea noțiunilor deja definite în actele normative de nivel superior, în scopul asigurării coerenței legislative și evitării dublării definițiilor.</w:t>
            </w:r>
          </w:p>
        </w:tc>
      </w:tr>
      <w:tr w:rsidR="00E2097D" w14:paraId="53943DE2" w14:textId="77777777" w:rsidTr="000E7DFC">
        <w:trPr>
          <w:trHeight w:val="1002"/>
        </w:trPr>
        <w:tc>
          <w:tcPr>
            <w:tcW w:w="625" w:type="dxa"/>
            <w:vMerge/>
          </w:tcPr>
          <w:p w14:paraId="6D911138"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714E949E"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6EA8543A"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1.2</w:t>
            </w:r>
          </w:p>
        </w:tc>
        <w:tc>
          <w:tcPr>
            <w:tcW w:w="5400" w:type="dxa"/>
          </w:tcPr>
          <w:p w14:paraId="4AB42563"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La pct. 7.22 textul se substituie cu: „Registrul național de riscuri – astfel cum este definit în Legea nr. 248/2025 privind managementul situațiilor de criză”</w:t>
            </w:r>
          </w:p>
        </w:tc>
        <w:tc>
          <w:tcPr>
            <w:tcW w:w="3990" w:type="dxa"/>
          </w:tcPr>
          <w:p w14:paraId="7C0B2B97" w14:textId="4F9EFF63" w:rsidR="00E2097D" w:rsidRDefault="00E2097D">
            <w:pPr>
              <w:pBdr>
                <w:between w:val="single" w:sz="4" w:space="1" w:color="000000"/>
              </w:pBdr>
              <w:jc w:val="both"/>
              <w:rPr>
                <w:rFonts w:ascii="Times New Roman" w:eastAsia="Times New Roman" w:hAnsi="Times New Roman" w:cs="Times New Roman"/>
                <w:b/>
                <w:bCs/>
              </w:rPr>
            </w:pPr>
            <w:r>
              <w:rPr>
                <w:rFonts w:ascii="Times New Roman" w:eastAsia="Times New Roman" w:hAnsi="Times New Roman" w:cs="Times New Roman"/>
                <w:b/>
                <w:bCs/>
              </w:rPr>
              <w:t>Se acceptă</w:t>
            </w:r>
            <w:r w:rsidR="00AC399B">
              <w:rPr>
                <w:rFonts w:ascii="Times New Roman" w:eastAsia="Times New Roman" w:hAnsi="Times New Roman" w:cs="Times New Roman"/>
              </w:rPr>
              <w:t>, p</w:t>
            </w:r>
            <w:r>
              <w:rPr>
                <w:rFonts w:ascii="Times New Roman" w:eastAsia="Times New Roman" w:hAnsi="Times New Roman" w:cs="Times New Roman"/>
              </w:rPr>
              <w:t>entru corelarea terminologică cu legislația de nivel superior și utilizarea uniformă a noțiunilor consacrate.</w:t>
            </w:r>
          </w:p>
        </w:tc>
      </w:tr>
      <w:tr w:rsidR="00E2097D" w14:paraId="2CE7A7AA" w14:textId="77777777" w:rsidTr="000E7DFC">
        <w:tc>
          <w:tcPr>
            <w:tcW w:w="625" w:type="dxa"/>
            <w:vMerge/>
          </w:tcPr>
          <w:p w14:paraId="7916F505"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00C2AC91"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4762F1F2"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2</w:t>
            </w:r>
          </w:p>
        </w:tc>
        <w:tc>
          <w:tcPr>
            <w:tcW w:w="5400" w:type="dxa"/>
          </w:tcPr>
          <w:p w14:paraId="39E89E64"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Completarea pct. 17 cu un nou subpunct 17.2: „Solicitarea, prelucrarea, transmiterea și utilizarea informațiilor cu caracter tehnic, operațional sau comercial sensibil nu pot fi utilizate în scopuri de reglementare sau sancționare fără o bază legală distinctă.”</w:t>
            </w:r>
          </w:p>
        </w:tc>
        <w:tc>
          <w:tcPr>
            <w:tcW w:w="3990" w:type="dxa"/>
          </w:tcPr>
          <w:p w14:paraId="2C114097" w14:textId="77777777" w:rsidR="00E2097D" w:rsidRDefault="00E2097D">
            <w:pPr>
              <w:pBdr>
                <w:between w:val="single" w:sz="4" w:space="1" w:color="000000"/>
              </w:pBdr>
              <w:jc w:val="both"/>
              <w:rPr>
                <w:rFonts w:ascii="Times New Roman" w:eastAsia="Times New Roman" w:hAnsi="Times New Roman" w:cs="Times New Roman"/>
                <w:b/>
                <w:bCs/>
              </w:rPr>
            </w:pPr>
            <w:r>
              <w:rPr>
                <w:rFonts w:ascii="Times New Roman" w:eastAsia="Times New Roman" w:hAnsi="Times New Roman" w:cs="Times New Roman"/>
                <w:b/>
                <w:bCs/>
              </w:rPr>
              <w:t xml:space="preserve">Se acceptă. </w:t>
            </w:r>
            <w:r>
              <w:rPr>
                <w:rFonts w:ascii="Times New Roman" w:eastAsia="Times New Roman" w:hAnsi="Times New Roman" w:cs="Times New Roman"/>
              </w:rPr>
              <w:t>Lipsa unor garanții specifice privind protecția informațiilor sensibile (topologii de rețea, vulnerabilități, arhitecturi IT etc.), dincolo de referința generică la regimul informațiilor clasificate, poate expune operatorii la riscuri de divulgare și utilizare necorespunzătoare a datelor.</w:t>
            </w:r>
          </w:p>
        </w:tc>
      </w:tr>
      <w:tr w:rsidR="00E2097D" w14:paraId="0E083C66" w14:textId="77777777" w:rsidTr="000E7DFC">
        <w:tc>
          <w:tcPr>
            <w:tcW w:w="625" w:type="dxa"/>
            <w:vMerge/>
          </w:tcPr>
          <w:p w14:paraId="4E17F12F"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078C7C68"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338D5D93"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3</w:t>
            </w:r>
          </w:p>
        </w:tc>
        <w:tc>
          <w:tcPr>
            <w:tcW w:w="5400" w:type="dxa"/>
          </w:tcPr>
          <w:p w14:paraId="514BA84B"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Modificarea pct. 39.2.2: definirea metodologiei PEV (Potențial – Expunere – Vulnerabilitate / Capacitate de pregătire) prin explicitarea componentelor acesteia</w:t>
            </w:r>
          </w:p>
        </w:tc>
        <w:tc>
          <w:tcPr>
            <w:tcW w:w="3990" w:type="dxa"/>
          </w:tcPr>
          <w:p w14:paraId="5E84218E" w14:textId="77777777" w:rsidR="00E2097D" w:rsidRDefault="00E2097D">
            <w:pPr>
              <w:pBdr>
                <w:between w:val="single" w:sz="4" w:space="1" w:color="000000"/>
              </w:pBdr>
              <w:jc w:val="both"/>
              <w:rPr>
                <w:rFonts w:ascii="Times New Roman" w:eastAsia="Times New Roman" w:hAnsi="Times New Roman" w:cs="Times New Roman"/>
                <w:b/>
                <w:bCs/>
              </w:rPr>
            </w:pPr>
            <w:r>
              <w:rPr>
                <w:rFonts w:ascii="Times New Roman" w:eastAsia="Times New Roman" w:hAnsi="Times New Roman" w:cs="Times New Roman"/>
                <w:b/>
                <w:bCs/>
              </w:rPr>
              <w:t xml:space="preserve">Se acceptă. </w:t>
            </w:r>
            <w:r>
              <w:rPr>
                <w:rFonts w:ascii="Times New Roman" w:eastAsia="Times New Roman" w:hAnsi="Times New Roman" w:cs="Times New Roman"/>
              </w:rPr>
              <w:t>Metodologia PEV nu este suficient definită în proiect, ceea ce poate genera interpretări divergente între instituții și afectează</w:t>
            </w:r>
            <w:r>
              <w:rPr>
                <w:rFonts w:ascii="Times New Roman" w:eastAsia="Times New Roman" w:hAnsi="Times New Roman" w:cs="Times New Roman"/>
                <w:b/>
                <w:bCs/>
              </w:rPr>
              <w:t xml:space="preserve"> </w:t>
            </w:r>
            <w:r>
              <w:rPr>
                <w:rFonts w:ascii="Times New Roman" w:eastAsia="Times New Roman" w:hAnsi="Times New Roman" w:cs="Times New Roman"/>
              </w:rPr>
              <w:t>comparabilitatea și uniformitatea evaluărilor de risc la nivel național.</w:t>
            </w:r>
          </w:p>
        </w:tc>
      </w:tr>
      <w:tr w:rsidR="00E2097D" w14:paraId="0FF688C5" w14:textId="77777777" w:rsidTr="000E7DFC">
        <w:tc>
          <w:tcPr>
            <w:tcW w:w="625" w:type="dxa"/>
            <w:vMerge/>
          </w:tcPr>
          <w:p w14:paraId="6D01D989"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7B035DB8"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4B2F4CE9"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3 (nou) / 4</w:t>
            </w:r>
          </w:p>
        </w:tc>
        <w:tc>
          <w:tcPr>
            <w:tcW w:w="5400" w:type="dxa"/>
          </w:tcPr>
          <w:p w14:paraId="70A6643A"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Introducerea pct. 39.3: aprobarea detaliată a metodologiei PEV, scalelor și instrucțiunilor de aplicare de către CNMC, în coordonare cu Serviciul CNS și autoritățile sectoriale competente</w:t>
            </w:r>
          </w:p>
        </w:tc>
        <w:tc>
          <w:tcPr>
            <w:tcW w:w="3990" w:type="dxa"/>
          </w:tcPr>
          <w:p w14:paraId="3A600041" w14:textId="77777777" w:rsidR="00E2097D" w:rsidRDefault="00E2097D">
            <w:pPr>
              <w:pBdr>
                <w:between w:val="single" w:sz="4" w:space="1" w:color="000000"/>
              </w:pBdr>
              <w:jc w:val="both"/>
              <w:rPr>
                <w:rFonts w:ascii="Times New Roman" w:eastAsia="Times New Roman" w:hAnsi="Times New Roman" w:cs="Times New Roman"/>
                <w:b/>
                <w:bCs/>
              </w:rPr>
            </w:pPr>
            <w:r>
              <w:rPr>
                <w:rFonts w:ascii="Times New Roman" w:eastAsia="Times New Roman" w:hAnsi="Times New Roman" w:cs="Times New Roman"/>
                <w:b/>
                <w:bCs/>
              </w:rPr>
              <w:t>Se acceptă</w:t>
            </w:r>
            <w:r>
              <w:rPr>
                <w:rFonts w:ascii="Times New Roman" w:eastAsia="Times New Roman" w:hAnsi="Times New Roman" w:cs="Times New Roman"/>
              </w:rPr>
              <w:t>. Necesitatea asigurării unui cadru tehnic unitar și detaliat de aplicare a metodologiei PEV, pentru evitarea interpretărilor diferite și asigurarea coerenței interinstituționale în evaluarea riscurilor.</w:t>
            </w:r>
          </w:p>
        </w:tc>
      </w:tr>
      <w:tr w:rsidR="00E2097D" w14:paraId="7CA34480" w14:textId="77777777" w:rsidTr="000E7DFC">
        <w:tc>
          <w:tcPr>
            <w:tcW w:w="625" w:type="dxa"/>
            <w:vMerge/>
          </w:tcPr>
          <w:p w14:paraId="7FE9A828"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41E50862"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0A7F6934"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4</w:t>
            </w:r>
          </w:p>
        </w:tc>
        <w:tc>
          <w:tcPr>
            <w:tcW w:w="5400" w:type="dxa"/>
          </w:tcPr>
          <w:p w14:paraId="54F39BF3"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Modificarea pct. 36.2: stabilirea a cinci niveluri de gravitate (foarte scăzut, scăzut, moderat, înalt și critic), în loc de patru</w:t>
            </w:r>
          </w:p>
        </w:tc>
        <w:tc>
          <w:tcPr>
            <w:tcW w:w="3990" w:type="dxa"/>
          </w:tcPr>
          <w:p w14:paraId="20B28BA0" w14:textId="77777777" w:rsidR="00E2097D" w:rsidRDefault="00E2097D">
            <w:pPr>
              <w:pBdr>
                <w:between w:val="single" w:sz="4" w:space="1" w:color="000000"/>
              </w:pBdr>
              <w:jc w:val="both"/>
              <w:rPr>
                <w:rFonts w:ascii="Times New Roman" w:eastAsia="Times New Roman" w:hAnsi="Times New Roman" w:cs="Times New Roman"/>
                <w:b/>
                <w:bCs/>
              </w:rPr>
            </w:pPr>
            <w:r>
              <w:rPr>
                <w:rFonts w:ascii="Times New Roman" w:eastAsia="Times New Roman" w:hAnsi="Times New Roman" w:cs="Times New Roman"/>
                <w:b/>
                <w:bCs/>
              </w:rPr>
              <w:t xml:space="preserve">Se acceptă. </w:t>
            </w:r>
            <w:r>
              <w:rPr>
                <w:rFonts w:ascii="Times New Roman" w:eastAsia="Times New Roman" w:hAnsi="Times New Roman" w:cs="Times New Roman"/>
              </w:rPr>
              <w:t>Existența unei contradicții interne între pct. 36.2 și pct. 41.2.1 privind numărul nivelurilor de risc generează incoerență normativă și poate conduce la aplicare neuniformă a matricei de risc.</w:t>
            </w:r>
          </w:p>
        </w:tc>
      </w:tr>
      <w:tr w:rsidR="00E2097D" w14:paraId="357DCBED" w14:textId="77777777" w:rsidTr="000E7DFC">
        <w:tc>
          <w:tcPr>
            <w:tcW w:w="625" w:type="dxa"/>
            <w:vMerge/>
          </w:tcPr>
          <w:p w14:paraId="1E87D85D"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5C8436FC"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573E3B29" w14:textId="77777777" w:rsidR="00E2097D" w:rsidRDefault="00E2097D" w:rsidP="00E2097D">
            <w:pPr>
              <w:pBdr>
                <w:between w:val="single" w:sz="4" w:space="1" w:color="000000"/>
              </w:pBdr>
              <w:jc w:val="center"/>
              <w:rPr>
                <w:rFonts w:ascii="Times New Roman" w:eastAsia="Times New Roman" w:hAnsi="Times New Roman" w:cs="Times New Roman"/>
              </w:rPr>
            </w:pPr>
          </w:p>
        </w:tc>
        <w:tc>
          <w:tcPr>
            <w:tcW w:w="5400" w:type="dxa"/>
          </w:tcPr>
          <w:p w14:paraId="09707707"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Concluzie: ARCOM avizează favorabil, cu observații, proiectul Hotărârii Guvernului nr. 393/CNMC/2026</w:t>
            </w:r>
          </w:p>
        </w:tc>
        <w:tc>
          <w:tcPr>
            <w:tcW w:w="3990" w:type="dxa"/>
          </w:tcPr>
          <w:p w14:paraId="3A9306EF" w14:textId="77777777" w:rsidR="00E2097D" w:rsidRDefault="00E2097D">
            <w:pPr>
              <w:pBdr>
                <w:between w:val="single" w:sz="4" w:space="1" w:color="000000"/>
              </w:pBdr>
              <w:jc w:val="both"/>
              <w:rPr>
                <w:rFonts w:ascii="Times New Roman" w:eastAsia="Times New Roman" w:hAnsi="Times New Roman" w:cs="Times New Roman"/>
                <w:b/>
                <w:bCs/>
              </w:rPr>
            </w:pPr>
            <w:r>
              <w:rPr>
                <w:rFonts w:ascii="Times New Roman" w:eastAsia="Times New Roman" w:hAnsi="Times New Roman" w:cs="Times New Roman"/>
                <w:b/>
                <w:bCs/>
              </w:rPr>
              <w:t xml:space="preserve">Se acceptă. </w:t>
            </w:r>
            <w:r>
              <w:rPr>
                <w:rFonts w:ascii="Times New Roman" w:eastAsia="Times New Roman" w:hAnsi="Times New Roman" w:cs="Times New Roman"/>
              </w:rPr>
              <w:t>Observațiile vizează îmbunătățirea coerenței legislative, clarității metodologice și consolidării garanțiilor de protecție a informațiilor sensibile în implementarea actului normativ.</w:t>
            </w:r>
          </w:p>
        </w:tc>
      </w:tr>
      <w:tr w:rsidR="00B5067E" w14:paraId="4E3E8A5F" w14:textId="77777777" w:rsidTr="000E7DFC">
        <w:tc>
          <w:tcPr>
            <w:tcW w:w="625" w:type="dxa"/>
            <w:shd w:val="clear" w:color="auto" w:fill="00B0F0"/>
          </w:tcPr>
          <w:p w14:paraId="3605196A" w14:textId="77777777" w:rsidR="00B5067E" w:rsidRDefault="00B5067E">
            <w:pPr>
              <w:pBdr>
                <w:between w:val="single" w:sz="4" w:space="1" w:color="000000"/>
              </w:pBdr>
              <w:jc w:val="both"/>
              <w:rPr>
                <w:rFonts w:ascii="Times New Roman" w:eastAsia="Times New Roman" w:hAnsi="Times New Roman" w:cs="Times New Roman"/>
              </w:rPr>
            </w:pPr>
          </w:p>
        </w:tc>
        <w:tc>
          <w:tcPr>
            <w:tcW w:w="1845" w:type="dxa"/>
            <w:shd w:val="clear" w:color="auto" w:fill="00B0F0"/>
          </w:tcPr>
          <w:p w14:paraId="7CACDAEF" w14:textId="77777777" w:rsidR="00B5067E" w:rsidRDefault="00B5067E">
            <w:pPr>
              <w:pBdr>
                <w:between w:val="single" w:sz="4" w:space="1" w:color="000000"/>
              </w:pBdr>
              <w:rPr>
                <w:rFonts w:ascii="Times New Roman" w:eastAsia="Times New Roman" w:hAnsi="Times New Roman" w:cs="Times New Roman"/>
              </w:rPr>
            </w:pPr>
          </w:p>
        </w:tc>
        <w:tc>
          <w:tcPr>
            <w:tcW w:w="2580" w:type="dxa"/>
            <w:gridSpan w:val="2"/>
            <w:shd w:val="clear" w:color="auto" w:fill="00B0F0"/>
          </w:tcPr>
          <w:p w14:paraId="0E580474" w14:textId="77777777" w:rsidR="00B5067E" w:rsidRDefault="00B5067E" w:rsidP="00E2097D">
            <w:pPr>
              <w:pBdr>
                <w:between w:val="single" w:sz="4" w:space="1" w:color="000000"/>
              </w:pBdr>
              <w:jc w:val="center"/>
              <w:rPr>
                <w:rFonts w:ascii="Times New Roman" w:eastAsia="Times New Roman" w:hAnsi="Times New Roman" w:cs="Times New Roman"/>
              </w:rPr>
            </w:pPr>
          </w:p>
        </w:tc>
        <w:tc>
          <w:tcPr>
            <w:tcW w:w="5400" w:type="dxa"/>
            <w:shd w:val="clear" w:color="auto" w:fill="00B0F0"/>
          </w:tcPr>
          <w:p w14:paraId="61AF92E8" w14:textId="77777777" w:rsidR="00B5067E" w:rsidRDefault="00B5067E">
            <w:pPr>
              <w:pBdr>
                <w:between w:val="single" w:sz="4" w:space="1" w:color="000000"/>
              </w:pBdr>
              <w:jc w:val="both"/>
              <w:rPr>
                <w:rFonts w:ascii="Times New Roman" w:eastAsia="Times New Roman" w:hAnsi="Times New Roman" w:cs="Times New Roman"/>
              </w:rPr>
            </w:pPr>
          </w:p>
        </w:tc>
        <w:tc>
          <w:tcPr>
            <w:tcW w:w="3990" w:type="dxa"/>
            <w:shd w:val="clear" w:color="auto" w:fill="00B0F0"/>
          </w:tcPr>
          <w:p w14:paraId="27A3B409" w14:textId="77777777" w:rsidR="00B5067E" w:rsidRDefault="00B5067E">
            <w:pPr>
              <w:pBdr>
                <w:between w:val="single" w:sz="4" w:space="1" w:color="000000"/>
              </w:pBdr>
              <w:jc w:val="both"/>
              <w:rPr>
                <w:rFonts w:ascii="Times New Roman" w:eastAsia="Times New Roman" w:hAnsi="Times New Roman" w:cs="Times New Roman"/>
                <w:b/>
                <w:bCs/>
              </w:rPr>
            </w:pPr>
          </w:p>
        </w:tc>
      </w:tr>
      <w:tr w:rsidR="00E2097D" w14:paraId="3591CBAB" w14:textId="77777777" w:rsidTr="000E7DFC">
        <w:tc>
          <w:tcPr>
            <w:tcW w:w="625" w:type="dxa"/>
            <w:vMerge w:val="restart"/>
          </w:tcPr>
          <w:p w14:paraId="504F34D4" w14:textId="77777777" w:rsidR="00E2097D" w:rsidRDefault="00E2097D">
            <w:pPr>
              <w:pBdr>
                <w:between w:val="single" w:sz="4" w:space="1" w:color="000000"/>
              </w:pBdr>
              <w:jc w:val="both"/>
              <w:rPr>
                <w:rFonts w:ascii="Times New Roman" w:eastAsia="Times New Roman" w:hAnsi="Times New Roman" w:cs="Times New Roman"/>
                <w:b/>
                <w:bCs/>
              </w:rPr>
            </w:pPr>
            <w:r>
              <w:rPr>
                <w:rFonts w:ascii="Times New Roman" w:eastAsia="Times New Roman" w:hAnsi="Times New Roman" w:cs="Times New Roman"/>
                <w:b/>
                <w:bCs/>
              </w:rPr>
              <w:t>4.</w:t>
            </w:r>
          </w:p>
        </w:tc>
        <w:tc>
          <w:tcPr>
            <w:tcW w:w="1845" w:type="dxa"/>
            <w:vMerge w:val="restart"/>
          </w:tcPr>
          <w:p w14:paraId="09AA8C73" w14:textId="46599019" w:rsidR="00E2097D" w:rsidRDefault="00E2097D">
            <w:pPr>
              <w:rPr>
                <w:rFonts w:ascii="Times New Roman" w:eastAsia="Times New Roman" w:hAnsi="Times New Roman" w:cs="Times New Roman"/>
                <w:color w:val="EE0000"/>
              </w:rPr>
            </w:pPr>
            <w:r>
              <w:rPr>
                <w:rFonts w:ascii="Times New Roman" w:eastAsia="Times New Roman" w:hAnsi="Times New Roman" w:cs="Times New Roman"/>
                <w:b/>
                <w:bCs/>
              </w:rPr>
              <w:t xml:space="preserve">Ministerul Finanţelor </w:t>
            </w:r>
          </w:p>
          <w:p w14:paraId="6EDACCAD" w14:textId="0017CF09" w:rsidR="00E2097D" w:rsidRDefault="00E2097D">
            <w:pPr>
              <w:rPr>
                <w:rFonts w:ascii="Times New Roman" w:eastAsia="Times New Roman" w:hAnsi="Times New Roman" w:cs="Times New Roman"/>
                <w:i/>
                <w:iCs/>
              </w:rPr>
            </w:pPr>
            <w:r>
              <w:rPr>
                <w:rFonts w:ascii="Times New Roman" w:eastAsia="Times New Roman" w:hAnsi="Times New Roman" w:cs="Times New Roman"/>
                <w:i/>
                <w:iCs/>
              </w:rPr>
              <w:lastRenderedPageBreak/>
              <w:t>(Nr. 07/4-03/140/715 din 08.05.2026)</w:t>
            </w:r>
          </w:p>
        </w:tc>
        <w:tc>
          <w:tcPr>
            <w:tcW w:w="2557" w:type="dxa"/>
          </w:tcPr>
          <w:p w14:paraId="5AEAEBD4"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lastRenderedPageBreak/>
              <w:t>1</w:t>
            </w:r>
          </w:p>
        </w:tc>
        <w:tc>
          <w:tcPr>
            <w:tcW w:w="5423" w:type="dxa"/>
            <w:gridSpan w:val="2"/>
          </w:tcPr>
          <w:p w14:paraId="0165FBE9"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 xml:space="preserve">La Metodologia de elaborare a Evaluării Naționale de Risc, subpct. 8.4: „finanțării” se substituie cu </w:t>
            </w:r>
            <w:r>
              <w:rPr>
                <w:rFonts w:ascii="Times New Roman" w:eastAsia="Times New Roman" w:hAnsi="Times New Roman" w:cs="Times New Roman"/>
              </w:rPr>
              <w:lastRenderedPageBreak/>
              <w:t>„planificării”, iar sintagma „alocarea de resurse” se substituie cu „planificarea mijloacelor”. Totodată, subpct. 8.3 și 8.4 se renumerotează (8.3 devine 8.4, iar 8.4 devine 8.3).</w:t>
            </w:r>
          </w:p>
        </w:tc>
        <w:tc>
          <w:tcPr>
            <w:tcW w:w="3990" w:type="dxa"/>
          </w:tcPr>
          <w:p w14:paraId="407DCF98"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lastRenderedPageBreak/>
              <w:t>Se acceptă parțial.</w:t>
            </w:r>
            <w:r>
              <w:rPr>
                <w:rFonts w:ascii="Times New Roman" w:eastAsia="Times New Roman" w:hAnsi="Times New Roman" w:cs="Times New Roman"/>
              </w:rPr>
              <w:t xml:space="preserve"> Substituirea termenilor „finanțării” și „alocarea de </w:t>
            </w:r>
            <w:r>
              <w:rPr>
                <w:rFonts w:ascii="Times New Roman" w:eastAsia="Times New Roman" w:hAnsi="Times New Roman" w:cs="Times New Roman"/>
              </w:rPr>
              <w:lastRenderedPageBreak/>
              <w:t>resurse” este acceptată, deoarece contribuie la uniformizarea terminologică și evitarea interpretării restrictive exclusiv financiare. Totuși, renumerotarea subpct. 8.3–8.4 nu se acceptă, întrucât afectează structura logică a secțiunii și ar genera necesitatea corelării mai multor trimiteri interne din metodologie, ceea ce poate produce erori de aplicare.</w:t>
            </w:r>
          </w:p>
        </w:tc>
      </w:tr>
      <w:tr w:rsidR="00E2097D" w14:paraId="6F31D918" w14:textId="77777777" w:rsidTr="000E7DFC">
        <w:tc>
          <w:tcPr>
            <w:tcW w:w="625" w:type="dxa"/>
            <w:vMerge/>
          </w:tcPr>
          <w:p w14:paraId="353F2F12"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53FD981C" w14:textId="77777777" w:rsidR="00E2097D" w:rsidRDefault="00E2097D">
            <w:pPr>
              <w:pBdr>
                <w:between w:val="single" w:sz="4" w:space="1" w:color="000000"/>
              </w:pBdr>
              <w:rPr>
                <w:rFonts w:ascii="Times New Roman" w:eastAsia="Times New Roman" w:hAnsi="Times New Roman" w:cs="Times New Roman"/>
              </w:rPr>
            </w:pPr>
          </w:p>
        </w:tc>
        <w:tc>
          <w:tcPr>
            <w:tcW w:w="2557" w:type="dxa"/>
          </w:tcPr>
          <w:p w14:paraId="42C14A74"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2</w:t>
            </w:r>
          </w:p>
        </w:tc>
        <w:tc>
          <w:tcPr>
            <w:tcW w:w="5423" w:type="dxa"/>
            <w:gridSpan w:val="2"/>
          </w:tcPr>
          <w:p w14:paraId="0C522DA5"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Se propune excluderea subpct. 14.2</w:t>
            </w:r>
          </w:p>
        </w:tc>
        <w:tc>
          <w:tcPr>
            <w:tcW w:w="3990" w:type="dxa"/>
          </w:tcPr>
          <w:p w14:paraId="47ADBCD4"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xml:space="preserve"> Subpunctul este exclus pentru a evita suprapunerea competențelor instituționale în domeniul evaluării riscurilor de dezastre și pentru a asigura delimitarea clară a atribuțiilor între autoritățile responsabile. Eliminarea contribuie la consolidarea coerenței cadrului normativ și la evitarea dublării reglementărilor existente.</w:t>
            </w:r>
          </w:p>
        </w:tc>
      </w:tr>
      <w:tr w:rsidR="00E2097D" w14:paraId="32B6DA65" w14:textId="77777777" w:rsidTr="000E7DFC">
        <w:tc>
          <w:tcPr>
            <w:tcW w:w="625" w:type="dxa"/>
            <w:vMerge/>
          </w:tcPr>
          <w:p w14:paraId="666263E1"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679E99CF" w14:textId="77777777" w:rsidR="00E2097D" w:rsidRDefault="00E2097D">
            <w:pPr>
              <w:pBdr>
                <w:between w:val="single" w:sz="4" w:space="1" w:color="000000"/>
              </w:pBdr>
              <w:rPr>
                <w:rFonts w:ascii="Times New Roman" w:eastAsia="Times New Roman" w:hAnsi="Times New Roman" w:cs="Times New Roman"/>
              </w:rPr>
            </w:pPr>
          </w:p>
        </w:tc>
        <w:tc>
          <w:tcPr>
            <w:tcW w:w="2557" w:type="dxa"/>
          </w:tcPr>
          <w:p w14:paraId="4A7F89B1"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3</w:t>
            </w:r>
          </w:p>
        </w:tc>
        <w:tc>
          <w:tcPr>
            <w:tcW w:w="5423" w:type="dxa"/>
            <w:gridSpan w:val="2"/>
          </w:tcPr>
          <w:p w14:paraId="19D22FEF"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Subpct. 55.1 se modifică: „coordonată” se substituie cu „efectuată”</w:t>
            </w:r>
          </w:p>
        </w:tc>
        <w:tc>
          <w:tcPr>
            <w:tcW w:w="3990" w:type="dxa"/>
          </w:tcPr>
          <w:p w14:paraId="2F859521"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xml:space="preserve"> Modificarea clarifică natura atribuției instituției responsabile, stabilind expres caracterul executiv al activității de evaluare a riscurilor de dezastre. Aceasta elimină ambiguitățile dintre funcțiile de coordonare și cele de realizare efectivă, asigurând o aplicare uniformă a normei.</w:t>
            </w:r>
          </w:p>
        </w:tc>
      </w:tr>
      <w:tr w:rsidR="00E2097D" w14:paraId="744FC2F3" w14:textId="77777777" w:rsidTr="000E7DFC">
        <w:tc>
          <w:tcPr>
            <w:tcW w:w="625" w:type="dxa"/>
            <w:vMerge/>
          </w:tcPr>
          <w:p w14:paraId="2BE53281"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12CF423A" w14:textId="77777777" w:rsidR="00E2097D" w:rsidRDefault="00E2097D">
            <w:pPr>
              <w:pBdr>
                <w:between w:val="single" w:sz="4" w:space="1" w:color="000000"/>
              </w:pBdr>
              <w:rPr>
                <w:rFonts w:ascii="Times New Roman" w:eastAsia="Times New Roman" w:hAnsi="Times New Roman" w:cs="Times New Roman"/>
              </w:rPr>
            </w:pPr>
          </w:p>
        </w:tc>
        <w:tc>
          <w:tcPr>
            <w:tcW w:w="2557" w:type="dxa"/>
          </w:tcPr>
          <w:p w14:paraId="342C69DC"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4</w:t>
            </w:r>
          </w:p>
        </w:tc>
        <w:tc>
          <w:tcPr>
            <w:tcW w:w="5423" w:type="dxa"/>
            <w:gridSpan w:val="2"/>
          </w:tcPr>
          <w:p w14:paraId="26E5FF01"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Se recomandă verificarea și corectarea numerotării începând cu subpct. 20.1</w:t>
            </w:r>
          </w:p>
        </w:tc>
        <w:tc>
          <w:tcPr>
            <w:tcW w:w="3990" w:type="dxa"/>
          </w:tcPr>
          <w:p w14:paraId="60749A49" w14:textId="684F2A89"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xml:space="preserve"> S</w:t>
            </w:r>
            <w:r w:rsidR="00AC399B">
              <w:rPr>
                <w:rFonts w:ascii="Times New Roman" w:eastAsia="Times New Roman" w:hAnsi="Times New Roman" w:cs="Times New Roman"/>
              </w:rPr>
              <w:t>-a</w:t>
            </w:r>
            <w:r>
              <w:rPr>
                <w:rFonts w:ascii="Times New Roman" w:eastAsia="Times New Roman" w:hAnsi="Times New Roman" w:cs="Times New Roman"/>
              </w:rPr>
              <w:t xml:space="preserve"> efectua</w:t>
            </w:r>
            <w:r w:rsidR="00AC399B">
              <w:rPr>
                <w:rFonts w:ascii="Times New Roman" w:eastAsia="Times New Roman" w:hAnsi="Times New Roman" w:cs="Times New Roman"/>
              </w:rPr>
              <w:t>t</w:t>
            </w:r>
            <w:r>
              <w:rPr>
                <w:rFonts w:ascii="Times New Roman" w:eastAsia="Times New Roman" w:hAnsi="Times New Roman" w:cs="Times New Roman"/>
              </w:rPr>
              <w:t xml:space="preserve"> revizuirea tehnico-legislativă a numerotării pentru a elimina erorile de structură și pentru a asigura coerența internă a actului normativ, evitând dificultăți de interpretare și aplicare.</w:t>
            </w:r>
          </w:p>
        </w:tc>
      </w:tr>
      <w:tr w:rsidR="00E2097D" w14:paraId="58D6E98F" w14:textId="77777777" w:rsidTr="000E7DFC">
        <w:tc>
          <w:tcPr>
            <w:tcW w:w="625" w:type="dxa"/>
            <w:vMerge/>
          </w:tcPr>
          <w:p w14:paraId="32F6DBB7"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4357C3A3" w14:textId="77777777" w:rsidR="00E2097D" w:rsidRDefault="00E2097D">
            <w:pPr>
              <w:pBdr>
                <w:between w:val="single" w:sz="4" w:space="1" w:color="000000"/>
              </w:pBdr>
              <w:rPr>
                <w:rFonts w:ascii="Times New Roman" w:eastAsia="Times New Roman" w:hAnsi="Times New Roman" w:cs="Times New Roman"/>
              </w:rPr>
            </w:pPr>
          </w:p>
        </w:tc>
        <w:tc>
          <w:tcPr>
            <w:tcW w:w="2557" w:type="dxa"/>
          </w:tcPr>
          <w:p w14:paraId="18F91AFC"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5</w:t>
            </w:r>
          </w:p>
        </w:tc>
        <w:tc>
          <w:tcPr>
            <w:tcW w:w="5423" w:type="dxa"/>
            <w:gridSpan w:val="2"/>
          </w:tcPr>
          <w:p w14:paraId="278CF610"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Subpct. 26.1.2: „financiare proprii” se substituie cu „mijloace financiare”</w:t>
            </w:r>
          </w:p>
        </w:tc>
        <w:tc>
          <w:tcPr>
            <w:tcW w:w="3990" w:type="dxa"/>
          </w:tcPr>
          <w:p w14:paraId="65C88659"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xml:space="preserve"> Modificarea asigură uniformizarea terminologică cu legislația financiar-bugetară în vigoare și elimină formularea redundantă, sporind claritatea normei.</w:t>
            </w:r>
          </w:p>
        </w:tc>
      </w:tr>
      <w:tr w:rsidR="00E2097D" w14:paraId="7E809204" w14:textId="77777777" w:rsidTr="000E7DFC">
        <w:tc>
          <w:tcPr>
            <w:tcW w:w="625" w:type="dxa"/>
            <w:vMerge/>
          </w:tcPr>
          <w:p w14:paraId="47CAFC00"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513258CD" w14:textId="77777777" w:rsidR="00E2097D" w:rsidRDefault="00E2097D">
            <w:pPr>
              <w:pBdr>
                <w:between w:val="single" w:sz="4" w:space="1" w:color="000000"/>
              </w:pBdr>
              <w:rPr>
                <w:rFonts w:ascii="Times New Roman" w:eastAsia="Times New Roman" w:hAnsi="Times New Roman" w:cs="Times New Roman"/>
              </w:rPr>
            </w:pPr>
          </w:p>
        </w:tc>
        <w:tc>
          <w:tcPr>
            <w:tcW w:w="2557" w:type="dxa"/>
          </w:tcPr>
          <w:p w14:paraId="13859148"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6</w:t>
            </w:r>
          </w:p>
        </w:tc>
        <w:tc>
          <w:tcPr>
            <w:tcW w:w="5423" w:type="dxa"/>
            <w:gridSpan w:val="2"/>
          </w:tcPr>
          <w:p w14:paraId="062344B6"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Subpct. 37.2.3: se exclude sintagma „și finanțe”</w:t>
            </w:r>
          </w:p>
        </w:tc>
        <w:tc>
          <w:tcPr>
            <w:tcW w:w="3990" w:type="dxa"/>
          </w:tcPr>
          <w:p w14:paraId="120FAD85"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 parțial.</w:t>
            </w:r>
            <w:r>
              <w:rPr>
                <w:rFonts w:ascii="Times New Roman" w:eastAsia="Times New Roman" w:hAnsi="Times New Roman" w:cs="Times New Roman"/>
              </w:rPr>
              <w:t xml:space="preserve"> Se acceptă excluderea sintagmei „și finanțe”, întrucât domeniul este acoperit de cadrul legal special (Legea nr. 181/2014 privind finanțele publice și responsabilitatea bugetar-fiscală). Totuși, se menține referința generală la componenta economică, pentru a nu restrânge artificial aria de analiză a riscurilor sistemice.</w:t>
            </w:r>
          </w:p>
        </w:tc>
      </w:tr>
      <w:tr w:rsidR="00E2097D" w14:paraId="04BBA5F5" w14:textId="77777777" w:rsidTr="000E7DFC">
        <w:trPr>
          <w:trHeight w:val="1543"/>
        </w:trPr>
        <w:tc>
          <w:tcPr>
            <w:tcW w:w="625" w:type="dxa"/>
            <w:vMerge/>
          </w:tcPr>
          <w:p w14:paraId="256EA754"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21160F5E" w14:textId="77777777" w:rsidR="00E2097D" w:rsidRDefault="00E2097D">
            <w:pPr>
              <w:pBdr>
                <w:between w:val="single" w:sz="4" w:space="1" w:color="000000"/>
              </w:pBdr>
              <w:rPr>
                <w:rFonts w:ascii="Times New Roman" w:eastAsia="Times New Roman" w:hAnsi="Times New Roman" w:cs="Times New Roman"/>
              </w:rPr>
            </w:pPr>
          </w:p>
        </w:tc>
        <w:tc>
          <w:tcPr>
            <w:tcW w:w="2557" w:type="dxa"/>
          </w:tcPr>
          <w:p w14:paraId="6658586C"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7</w:t>
            </w:r>
          </w:p>
        </w:tc>
        <w:tc>
          <w:tcPr>
            <w:tcW w:w="5423" w:type="dxa"/>
            <w:gridSpan w:val="2"/>
          </w:tcPr>
          <w:p w14:paraId="664507D1"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Subpct. 57.1.2: excluderea sintagmei „economie și finanțe”</w:t>
            </w:r>
          </w:p>
        </w:tc>
        <w:tc>
          <w:tcPr>
            <w:tcW w:w="3990" w:type="dxa"/>
          </w:tcPr>
          <w:p w14:paraId="0149BBF0"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 parțial.</w:t>
            </w:r>
            <w:r>
              <w:rPr>
                <w:rFonts w:ascii="Times New Roman" w:eastAsia="Times New Roman" w:hAnsi="Times New Roman" w:cs="Times New Roman"/>
              </w:rPr>
              <w:t xml:space="preserve"> Se acceptă excluderea sintagmei „finanțe” pentru evitarea suprapunerilor normative cu cadrul bugetar-fiscal. Totuși, sintagma „economie” se menține, întrucât reprezintă un domeniu-cadru esențial în evaluarea riscurilor naționale și este necesar pentru analiza integrată a vulnerabilităților sistemice.</w:t>
            </w:r>
          </w:p>
        </w:tc>
      </w:tr>
      <w:tr w:rsidR="00B5067E" w14:paraId="460679C1" w14:textId="77777777" w:rsidTr="000E7DFC">
        <w:trPr>
          <w:trHeight w:val="421"/>
        </w:trPr>
        <w:tc>
          <w:tcPr>
            <w:tcW w:w="625" w:type="dxa"/>
            <w:shd w:val="clear" w:color="auto" w:fill="00B0F0"/>
          </w:tcPr>
          <w:p w14:paraId="2DDA4B39" w14:textId="77777777" w:rsidR="00B5067E" w:rsidRDefault="00B5067E">
            <w:pPr>
              <w:pBdr>
                <w:between w:val="single" w:sz="4" w:space="1" w:color="000000"/>
              </w:pBdr>
              <w:jc w:val="both"/>
              <w:rPr>
                <w:rFonts w:ascii="Times New Roman" w:eastAsia="Times New Roman" w:hAnsi="Times New Roman" w:cs="Times New Roman"/>
              </w:rPr>
            </w:pPr>
          </w:p>
        </w:tc>
        <w:tc>
          <w:tcPr>
            <w:tcW w:w="1845" w:type="dxa"/>
            <w:shd w:val="clear" w:color="auto" w:fill="00B0F0"/>
          </w:tcPr>
          <w:p w14:paraId="2A8496EB" w14:textId="77777777" w:rsidR="00B5067E" w:rsidRDefault="00B5067E">
            <w:pPr>
              <w:pBdr>
                <w:between w:val="single" w:sz="4" w:space="1" w:color="000000"/>
              </w:pBdr>
              <w:rPr>
                <w:rFonts w:ascii="Times New Roman" w:eastAsia="Times New Roman" w:hAnsi="Times New Roman" w:cs="Times New Roman"/>
              </w:rPr>
            </w:pPr>
          </w:p>
        </w:tc>
        <w:tc>
          <w:tcPr>
            <w:tcW w:w="2557" w:type="dxa"/>
            <w:shd w:val="clear" w:color="auto" w:fill="00B0F0"/>
          </w:tcPr>
          <w:p w14:paraId="3B9E7B51" w14:textId="77777777" w:rsidR="00B5067E" w:rsidRDefault="00B5067E" w:rsidP="00E2097D">
            <w:pPr>
              <w:pBdr>
                <w:between w:val="single" w:sz="4" w:space="1" w:color="000000"/>
              </w:pBdr>
              <w:jc w:val="center"/>
              <w:rPr>
                <w:rFonts w:ascii="Times New Roman" w:eastAsia="Times New Roman" w:hAnsi="Times New Roman" w:cs="Times New Roman"/>
              </w:rPr>
            </w:pPr>
          </w:p>
        </w:tc>
        <w:tc>
          <w:tcPr>
            <w:tcW w:w="5423" w:type="dxa"/>
            <w:gridSpan w:val="2"/>
            <w:shd w:val="clear" w:color="auto" w:fill="00B0F0"/>
          </w:tcPr>
          <w:p w14:paraId="49EDAEA0" w14:textId="77777777" w:rsidR="00B5067E" w:rsidRDefault="00B5067E">
            <w:pPr>
              <w:pBdr>
                <w:between w:val="single" w:sz="4" w:space="1" w:color="000000"/>
              </w:pBdr>
              <w:jc w:val="both"/>
              <w:rPr>
                <w:rFonts w:ascii="Times New Roman" w:eastAsia="Times New Roman" w:hAnsi="Times New Roman" w:cs="Times New Roman"/>
              </w:rPr>
            </w:pPr>
          </w:p>
        </w:tc>
        <w:tc>
          <w:tcPr>
            <w:tcW w:w="3990" w:type="dxa"/>
            <w:shd w:val="clear" w:color="auto" w:fill="00B0F0"/>
          </w:tcPr>
          <w:p w14:paraId="3E510A57" w14:textId="77777777" w:rsidR="00B5067E" w:rsidRDefault="00B5067E">
            <w:pPr>
              <w:pBdr>
                <w:between w:val="single" w:sz="4" w:space="1" w:color="000000"/>
              </w:pBdr>
              <w:jc w:val="both"/>
              <w:rPr>
                <w:rFonts w:ascii="Times New Roman" w:eastAsia="Times New Roman" w:hAnsi="Times New Roman" w:cs="Times New Roman"/>
                <w:b/>
                <w:bCs/>
              </w:rPr>
            </w:pPr>
          </w:p>
        </w:tc>
      </w:tr>
      <w:tr w:rsidR="00E2097D" w14:paraId="51B8BCA5" w14:textId="77777777" w:rsidTr="000E7DFC">
        <w:tc>
          <w:tcPr>
            <w:tcW w:w="625" w:type="dxa"/>
            <w:vMerge w:val="restart"/>
          </w:tcPr>
          <w:p w14:paraId="0179CC44" w14:textId="77777777" w:rsidR="00E2097D" w:rsidRDefault="00E2097D">
            <w:pPr>
              <w:pBdr>
                <w:between w:val="single" w:sz="4" w:space="1" w:color="000000"/>
              </w:pBdr>
              <w:jc w:val="both"/>
              <w:rPr>
                <w:rFonts w:ascii="Times New Roman" w:eastAsia="Times New Roman" w:hAnsi="Times New Roman" w:cs="Times New Roman"/>
                <w:b/>
                <w:bCs/>
              </w:rPr>
            </w:pPr>
            <w:r>
              <w:rPr>
                <w:rFonts w:ascii="Times New Roman" w:eastAsia="Times New Roman" w:hAnsi="Times New Roman" w:cs="Times New Roman"/>
                <w:b/>
                <w:bCs/>
              </w:rPr>
              <w:t>5.</w:t>
            </w:r>
          </w:p>
        </w:tc>
        <w:tc>
          <w:tcPr>
            <w:tcW w:w="1845" w:type="dxa"/>
            <w:vMerge w:val="restart"/>
          </w:tcPr>
          <w:p w14:paraId="389DF670" w14:textId="77777777" w:rsidR="00E2097D" w:rsidRDefault="00E2097D">
            <w:pPr>
              <w:rPr>
                <w:rFonts w:ascii="Times New Roman" w:eastAsia="Times New Roman" w:hAnsi="Times New Roman" w:cs="Times New Roman"/>
                <w:b/>
                <w:bCs/>
              </w:rPr>
            </w:pPr>
            <w:r>
              <w:rPr>
                <w:rFonts w:ascii="Times New Roman" w:eastAsia="Times New Roman" w:hAnsi="Times New Roman" w:cs="Times New Roman"/>
                <w:b/>
                <w:bCs/>
              </w:rPr>
              <w:t>Comisia Națională a Pieței Financiare</w:t>
            </w:r>
          </w:p>
          <w:p w14:paraId="1F040733" w14:textId="77777777" w:rsidR="00E2097D" w:rsidRDefault="00E2097D">
            <w:pPr>
              <w:rPr>
                <w:rFonts w:ascii="Times New Roman" w:eastAsia="Times New Roman" w:hAnsi="Times New Roman" w:cs="Times New Roman"/>
                <w:i/>
                <w:iCs/>
              </w:rPr>
            </w:pPr>
            <w:r>
              <w:rPr>
                <w:rFonts w:ascii="Times New Roman" w:eastAsia="Times New Roman" w:hAnsi="Times New Roman" w:cs="Times New Roman"/>
                <w:b/>
                <w:bCs/>
                <w:i/>
                <w:iCs/>
              </w:rPr>
              <w:t>(</w:t>
            </w:r>
            <w:r>
              <w:rPr>
                <w:rFonts w:ascii="Times New Roman" w:eastAsia="Times New Roman" w:hAnsi="Times New Roman" w:cs="Times New Roman"/>
                <w:i/>
                <w:iCs/>
              </w:rPr>
              <w:t>Nr. 07-4/1879 din 14.05.2026)</w:t>
            </w:r>
          </w:p>
        </w:tc>
        <w:tc>
          <w:tcPr>
            <w:tcW w:w="2580" w:type="dxa"/>
            <w:gridSpan w:val="2"/>
          </w:tcPr>
          <w:p w14:paraId="7894ECAA"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1</w:t>
            </w:r>
          </w:p>
        </w:tc>
        <w:tc>
          <w:tcPr>
            <w:tcW w:w="5400" w:type="dxa"/>
          </w:tcPr>
          <w:p w14:paraId="04483E5B" w14:textId="77777777" w:rsidR="00E2097D" w:rsidRDefault="00E2097D">
            <w:pPr>
              <w:pBdr>
                <w:between w:val="single" w:sz="4" w:space="1" w:color="000000"/>
              </w:pBdr>
              <w:ind w:left="37" w:hanging="37"/>
              <w:jc w:val="both"/>
              <w:rPr>
                <w:rFonts w:ascii="Times New Roman" w:eastAsia="Times New Roman" w:hAnsi="Times New Roman" w:cs="Times New Roman"/>
              </w:rPr>
            </w:pPr>
            <w:r>
              <w:rPr>
                <w:rFonts w:ascii="Times New Roman" w:eastAsia="Times New Roman" w:hAnsi="Times New Roman" w:cs="Times New Roman"/>
              </w:rPr>
              <w:t>Se solicită clarificarea noțiunii „formulare standardizate” prevăzute la pct. 2 din proiect, în contextul în care metodologia face deja referire la „fișa de risc” ca document standardizat. Se ridică întrebarea dacă fișa de risc este unicul formular sau dacă există formulare suplimentare.</w:t>
            </w:r>
          </w:p>
        </w:tc>
        <w:tc>
          <w:tcPr>
            <w:tcW w:w="3990" w:type="dxa"/>
          </w:tcPr>
          <w:p w14:paraId="628CE1A1" w14:textId="6EDB8DDC"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xml:space="preserve"> </w:t>
            </w:r>
            <w:r w:rsidR="00AC399B">
              <w:rPr>
                <w:rFonts w:ascii="Times New Roman" w:eastAsia="Times New Roman" w:hAnsi="Times New Roman" w:cs="Times New Roman"/>
              </w:rPr>
              <w:t>S-a</w:t>
            </w:r>
            <w:r>
              <w:rPr>
                <w:rFonts w:ascii="Times New Roman" w:eastAsia="Times New Roman" w:hAnsi="Times New Roman" w:cs="Times New Roman"/>
              </w:rPr>
              <w:t xml:space="preserve"> clarifica</w:t>
            </w:r>
            <w:r w:rsidR="00AC399B">
              <w:rPr>
                <w:rFonts w:ascii="Times New Roman" w:eastAsia="Times New Roman" w:hAnsi="Times New Roman" w:cs="Times New Roman"/>
              </w:rPr>
              <w:t>t</w:t>
            </w:r>
            <w:r>
              <w:rPr>
                <w:rFonts w:ascii="Times New Roman" w:eastAsia="Times New Roman" w:hAnsi="Times New Roman" w:cs="Times New Roman"/>
              </w:rPr>
              <w:t xml:space="preserve"> în textul hotărârii că „fișa de risc” constituie formularul principal standardizat, iar orice alte formulare suplimentare vor fi aprobate expres prin instrucțiuni metodologice ale CNMC. Clarificarea este necesară pentru a elimina incertitudinile de aplicare și pentru a asigura unitatea documentelor utilizate în procesul de evaluare a riscurilor.</w:t>
            </w:r>
          </w:p>
        </w:tc>
      </w:tr>
      <w:tr w:rsidR="00E2097D" w14:paraId="0D367A7E" w14:textId="77777777" w:rsidTr="000E7DFC">
        <w:tc>
          <w:tcPr>
            <w:tcW w:w="625" w:type="dxa"/>
            <w:vMerge/>
          </w:tcPr>
          <w:p w14:paraId="3729FA02"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6068E010"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3268AEA3"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2</w:t>
            </w:r>
          </w:p>
        </w:tc>
        <w:tc>
          <w:tcPr>
            <w:tcW w:w="5400" w:type="dxa"/>
          </w:tcPr>
          <w:p w14:paraId="75008179"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Se propune modificarea pct. 3 prin calcularea termenului de evaluare în funcție de data transmiterii formularelor și extinderea termenului de la 4 la 6 luni, inclusiv pentru a reflecta timpul necesar elaborării și completării formularelor de către CNMC și CNPF.</w:t>
            </w:r>
          </w:p>
        </w:tc>
        <w:tc>
          <w:tcPr>
            <w:tcW w:w="3990" w:type="dxa"/>
          </w:tcPr>
          <w:p w14:paraId="2F73EC21"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 parțial.</w:t>
            </w:r>
            <w:r>
              <w:rPr>
                <w:rFonts w:ascii="Times New Roman" w:eastAsia="Times New Roman" w:hAnsi="Times New Roman" w:cs="Times New Roman"/>
              </w:rPr>
              <w:t xml:space="preserve"> Se acceptă recalibrarea modului de calcul al termenului, acesta urmând a curge de la data recepționării formularelor. Totuși, extinderea termenului la 6 luni nu se acceptă, fiind considerată excesivă în raport cu necesitatea asigurării operativității procesului de evaluare a riscurilor. Se menține termenul de 4 luni, considerat suficient pentru derularea procedurii.</w:t>
            </w:r>
          </w:p>
        </w:tc>
      </w:tr>
      <w:tr w:rsidR="00E2097D" w14:paraId="348540A9" w14:textId="77777777" w:rsidTr="000E7DFC">
        <w:tc>
          <w:tcPr>
            <w:tcW w:w="625" w:type="dxa"/>
            <w:vMerge/>
          </w:tcPr>
          <w:p w14:paraId="7E05F8B4"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462315CA"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4B07BEB9"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3</w:t>
            </w:r>
          </w:p>
        </w:tc>
        <w:tc>
          <w:tcPr>
            <w:tcW w:w="5400" w:type="dxa"/>
          </w:tcPr>
          <w:p w14:paraId="032C9EF8"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Se solicită clarificarea noțiunii de „instituție cu legitimitate democratică” din pct. 8.6, precum și corelarea cu statutul CNPF de autoritate autonomă și independentă. Se solicită evitarea afectării independenței funcționale.</w:t>
            </w:r>
          </w:p>
        </w:tc>
        <w:tc>
          <w:tcPr>
            <w:tcW w:w="3990" w:type="dxa"/>
          </w:tcPr>
          <w:p w14:paraId="61DB48D0" w14:textId="3BE8108F"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 parțial.</w:t>
            </w:r>
            <w:r>
              <w:rPr>
                <w:rFonts w:ascii="Times New Roman" w:eastAsia="Times New Roman" w:hAnsi="Times New Roman" w:cs="Times New Roman"/>
              </w:rPr>
              <w:t xml:space="preserve"> S</w:t>
            </w:r>
            <w:r w:rsidR="00AC399B">
              <w:rPr>
                <w:rFonts w:ascii="Times New Roman" w:eastAsia="Times New Roman" w:hAnsi="Times New Roman" w:cs="Times New Roman"/>
              </w:rPr>
              <w:t xml:space="preserve">-au </w:t>
            </w:r>
            <w:r>
              <w:rPr>
                <w:rFonts w:ascii="Times New Roman" w:eastAsia="Times New Roman" w:hAnsi="Times New Roman" w:cs="Times New Roman"/>
              </w:rPr>
              <w:t>introdu</w:t>
            </w:r>
            <w:r w:rsidR="00AC399B">
              <w:rPr>
                <w:rFonts w:ascii="Times New Roman" w:eastAsia="Times New Roman" w:hAnsi="Times New Roman" w:cs="Times New Roman"/>
              </w:rPr>
              <w:t>s</w:t>
            </w:r>
            <w:r>
              <w:rPr>
                <w:rFonts w:ascii="Times New Roman" w:eastAsia="Times New Roman" w:hAnsi="Times New Roman" w:cs="Times New Roman"/>
              </w:rPr>
              <w:t xml:space="preserve"> clarificări interpretative care precizează că exercitarea controlului democratic nu afectează independența funcțională a autorităților autonome, inclusiv a CNPF. Totodată, nu se acceptă excluderea principiului controlului democratic, întrucât acesta reprezintă un element fundamental al cadrului de guvernanță și responsabilitate publică.</w:t>
            </w:r>
          </w:p>
        </w:tc>
      </w:tr>
      <w:tr w:rsidR="00E2097D" w14:paraId="00450560" w14:textId="77777777" w:rsidTr="000E7DFC">
        <w:tc>
          <w:tcPr>
            <w:tcW w:w="625" w:type="dxa"/>
            <w:vMerge/>
          </w:tcPr>
          <w:p w14:paraId="770E6FDA"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7FE603F0"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3632173B"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4</w:t>
            </w:r>
          </w:p>
        </w:tc>
        <w:tc>
          <w:tcPr>
            <w:tcW w:w="5400" w:type="dxa"/>
          </w:tcPr>
          <w:p w14:paraId="3AB214D1"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Se propune completarea pct. 13 cu o prevedere explicită privind neafectarea independenței funcționale a autorităților autonome în cadrul mecanismului național de gestionare a riscurilor.</w:t>
            </w:r>
          </w:p>
        </w:tc>
        <w:tc>
          <w:tcPr>
            <w:tcW w:w="3990" w:type="dxa"/>
          </w:tcPr>
          <w:p w14:paraId="5CD55C5B"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xml:space="preserve"> Se introduce textul propus, cu ajustări redacționale minore, pentru a asigura protecția explicită a independenței instituționale și pentru a elimina orice interpretări de subordonare ierarhică a autorităților autonome.</w:t>
            </w:r>
          </w:p>
        </w:tc>
      </w:tr>
      <w:tr w:rsidR="00E2097D" w14:paraId="269C5889" w14:textId="77777777" w:rsidTr="000E7DFC">
        <w:tc>
          <w:tcPr>
            <w:tcW w:w="625" w:type="dxa"/>
            <w:vMerge/>
          </w:tcPr>
          <w:p w14:paraId="72EBE014"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5E0065E9"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5052939B"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5</w:t>
            </w:r>
          </w:p>
        </w:tc>
        <w:tc>
          <w:tcPr>
            <w:tcW w:w="5400" w:type="dxa"/>
          </w:tcPr>
          <w:p w14:paraId="0AF573BC"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Se solicită definirea noțiunii „risc identificat ca atipic” utilizată la pct. 44.2, pentru a asigura claritatea și aplicarea uniformă a metodologiei.</w:t>
            </w:r>
          </w:p>
        </w:tc>
        <w:tc>
          <w:tcPr>
            <w:tcW w:w="3990" w:type="dxa"/>
          </w:tcPr>
          <w:p w14:paraId="05659F49" w14:textId="12FAE829"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xml:space="preserve"> Se introduce o definiție distinctă în glosarul metodologiei, pentru a delimita criteriile de identificare a riscurilor atipice și pentru a asigura coerența aplicării la nivel interinstituțional.</w:t>
            </w:r>
          </w:p>
        </w:tc>
      </w:tr>
      <w:tr w:rsidR="00E2097D" w14:paraId="709E6956" w14:textId="77777777" w:rsidTr="000E7DFC">
        <w:tc>
          <w:tcPr>
            <w:tcW w:w="625" w:type="dxa"/>
            <w:vMerge/>
          </w:tcPr>
          <w:p w14:paraId="56FD4F44"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4ED6D931"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2356FF73"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6</w:t>
            </w:r>
          </w:p>
        </w:tc>
        <w:tc>
          <w:tcPr>
            <w:tcW w:w="5400" w:type="dxa"/>
          </w:tcPr>
          <w:p w14:paraId="5B929FAA"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Se propune completarea după pct. 56.2 cu prevederi care să clarifice că aplicarea cadrului național nu afectează mecanismele sectoriale de management al riscurilor prevăzute de legislația specială.</w:t>
            </w:r>
          </w:p>
        </w:tc>
        <w:tc>
          <w:tcPr>
            <w:tcW w:w="3990" w:type="dxa"/>
          </w:tcPr>
          <w:p w14:paraId="23042223"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xml:space="preserve"> Completarea este necesară pentru a evita suprapunerea de competențe și dublarea proceselor de evaluare a riscurilor. Se introduce principiul complementarității între cadrul național integrat și mecanismele sectoriale existente.</w:t>
            </w:r>
          </w:p>
        </w:tc>
      </w:tr>
      <w:tr w:rsidR="00E2097D" w14:paraId="545AF06A" w14:textId="77777777" w:rsidTr="000E7DFC">
        <w:tc>
          <w:tcPr>
            <w:tcW w:w="625" w:type="dxa"/>
            <w:vMerge/>
          </w:tcPr>
          <w:p w14:paraId="083BF32B"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7EEC73E3"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5026BF4E"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7</w:t>
            </w:r>
          </w:p>
        </w:tc>
        <w:tc>
          <w:tcPr>
            <w:tcW w:w="5400" w:type="dxa"/>
          </w:tcPr>
          <w:p w14:paraId="7985E647"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Se solicită prezentarea instrucțiunilor suplimentare prevăzute la pct. 59 încă din etapa de avizare, pentru a permite evaluarea completă a mecanismului de implementare.</w:t>
            </w:r>
          </w:p>
        </w:tc>
        <w:tc>
          <w:tcPr>
            <w:tcW w:w="3990" w:type="dxa"/>
          </w:tcPr>
          <w:p w14:paraId="20E034EB"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respinge.</w:t>
            </w:r>
            <w:r>
              <w:rPr>
                <w:rFonts w:ascii="Times New Roman" w:eastAsia="Times New Roman" w:hAnsi="Times New Roman" w:cs="Times New Roman"/>
              </w:rPr>
              <w:t xml:space="preserve"> Instrucțiunile metodologice sunt documente tehnice subsecvente, elaborate ulterior aprobării actului normativ, în vederea adaptării flexibile la necesitățile de implementare. Totuși, se va asigura consultarea interinstituțională la etapa de elaborare a acestora.</w:t>
            </w:r>
          </w:p>
        </w:tc>
      </w:tr>
      <w:tr w:rsidR="00E2097D" w14:paraId="77CED0A1" w14:textId="77777777" w:rsidTr="000E7DFC">
        <w:tc>
          <w:tcPr>
            <w:tcW w:w="625" w:type="dxa"/>
            <w:vMerge/>
          </w:tcPr>
          <w:p w14:paraId="3FC5F291"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27F77946"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5BF428AD"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8</w:t>
            </w:r>
          </w:p>
        </w:tc>
        <w:tc>
          <w:tcPr>
            <w:tcW w:w="5400" w:type="dxa"/>
          </w:tcPr>
          <w:p w14:paraId="40C9622B"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Se propune coroborarea metodologiei cu prevederile art. 1 din Legea nr. 209/2018 privind Comitetul Național de Stabilitate Financiară, în contextul riscurilor macroprudențiale și sistemice.</w:t>
            </w:r>
          </w:p>
        </w:tc>
        <w:tc>
          <w:tcPr>
            <w:tcW w:w="3990" w:type="dxa"/>
          </w:tcPr>
          <w:p w14:paraId="08C7E5FD" w14:textId="6CD45F51"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xml:space="preserve"> Se introduce referințe de corelare cu cadrul legal privind stabilitatea financiară, pentru a asigura integrarea riscurilor macroprudențiale în evaluarea națională de risc și coerența între mecanismele instituționale existente.</w:t>
            </w:r>
          </w:p>
        </w:tc>
      </w:tr>
      <w:tr w:rsidR="00E2097D" w14:paraId="4D1FF854" w14:textId="77777777" w:rsidTr="000E7DFC">
        <w:tc>
          <w:tcPr>
            <w:tcW w:w="625" w:type="dxa"/>
            <w:vMerge/>
          </w:tcPr>
          <w:p w14:paraId="5426B9C2"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6CB11852"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60FF019D"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9</w:t>
            </w:r>
          </w:p>
        </w:tc>
        <w:tc>
          <w:tcPr>
            <w:tcW w:w="5400" w:type="dxa"/>
          </w:tcPr>
          <w:p w14:paraId="31EDDFBE"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Se propune includerea indicatorilor de avertizare timpurie și a criteriilor de prioritizare a riscurilor în cadrul metodologiei.</w:t>
            </w:r>
          </w:p>
        </w:tc>
        <w:tc>
          <w:tcPr>
            <w:tcW w:w="3990" w:type="dxa"/>
          </w:tcPr>
          <w:p w14:paraId="0DAD5198" w14:textId="6CF9B294"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xml:space="preserve"> Se</w:t>
            </w:r>
            <w:r w:rsidR="00AC399B">
              <w:rPr>
                <w:rFonts w:ascii="Times New Roman" w:eastAsia="Times New Roman" w:hAnsi="Times New Roman" w:cs="Times New Roman"/>
              </w:rPr>
              <w:t xml:space="preserve"> </w:t>
            </w:r>
            <w:r>
              <w:rPr>
                <w:rFonts w:ascii="Times New Roman" w:eastAsia="Times New Roman" w:hAnsi="Times New Roman" w:cs="Times New Roman"/>
              </w:rPr>
              <w:t>complet</w:t>
            </w:r>
            <w:r w:rsidR="00AC399B">
              <w:rPr>
                <w:rFonts w:ascii="Times New Roman" w:eastAsia="Times New Roman" w:hAnsi="Times New Roman" w:cs="Times New Roman"/>
              </w:rPr>
              <w:t>ează</w:t>
            </w:r>
            <w:r>
              <w:rPr>
                <w:rFonts w:ascii="Times New Roman" w:eastAsia="Times New Roman" w:hAnsi="Times New Roman" w:cs="Times New Roman"/>
              </w:rPr>
              <w:t xml:space="preserve"> metodologia cu principiul utilizării indicatorilor de avertizare timpurie, ca instrument de consolidare a componentei preventive și de îmbunătățire a capacității de reacție instituțională.</w:t>
            </w:r>
          </w:p>
        </w:tc>
      </w:tr>
      <w:tr w:rsidR="00E2097D" w14:paraId="70399E91" w14:textId="77777777" w:rsidTr="000E7DFC">
        <w:tc>
          <w:tcPr>
            <w:tcW w:w="625" w:type="dxa"/>
            <w:vMerge/>
          </w:tcPr>
          <w:p w14:paraId="5E868CA0"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6ACDB55B"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70B35F17"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10</w:t>
            </w:r>
          </w:p>
        </w:tc>
        <w:tc>
          <w:tcPr>
            <w:tcW w:w="5400" w:type="dxa"/>
          </w:tcPr>
          <w:p w14:paraId="2C53D916"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Se propune detalierea mecanismului de schimb interinstituțional de informații, inclusiv delimitarea fluxurilor informaționale și cerințele de confidențialitate și protecție a datelor sensibile.</w:t>
            </w:r>
          </w:p>
        </w:tc>
        <w:tc>
          <w:tcPr>
            <w:tcW w:w="3990" w:type="dxa"/>
          </w:tcPr>
          <w:p w14:paraId="27BBF1D7" w14:textId="2500CA98"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xml:space="preserve"> Se va elabora un cadru mai detaliat privind schimbul de informații între instituții, cu prevederi privind clasificarea informațiilor, securitatea datelor și trasabilitatea accesului, în </w:t>
            </w:r>
            <w:r>
              <w:rPr>
                <w:rFonts w:ascii="Times New Roman" w:eastAsia="Times New Roman" w:hAnsi="Times New Roman" w:cs="Times New Roman"/>
              </w:rPr>
              <w:lastRenderedPageBreak/>
              <w:t>conformitate cu legislația aplicabilă</w:t>
            </w:r>
            <w:r w:rsidR="00AC399B">
              <w:rPr>
                <w:rFonts w:ascii="Times New Roman" w:eastAsia="Times New Roman" w:hAnsi="Times New Roman" w:cs="Times New Roman"/>
              </w:rPr>
              <w:t xml:space="preserve"> prin ordin CNMC.</w:t>
            </w:r>
          </w:p>
        </w:tc>
      </w:tr>
      <w:tr w:rsidR="00E2097D" w14:paraId="00D794AF" w14:textId="77777777" w:rsidTr="000E7DFC">
        <w:tc>
          <w:tcPr>
            <w:tcW w:w="625" w:type="dxa"/>
            <w:vMerge/>
          </w:tcPr>
          <w:p w14:paraId="6D851C3B"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2698F181"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5475B542"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11</w:t>
            </w:r>
          </w:p>
        </w:tc>
        <w:tc>
          <w:tcPr>
            <w:tcW w:w="5400" w:type="dxa"/>
          </w:tcPr>
          <w:p w14:paraId="42B7852F"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Se propune instituirea unui mecanism de revizuire periodică și testare a cadrului național de gestionare a riscurilor, inclusiv prin teste de stres, scenarii și simulări.</w:t>
            </w:r>
          </w:p>
        </w:tc>
        <w:tc>
          <w:tcPr>
            <w:tcW w:w="3990" w:type="dxa"/>
          </w:tcPr>
          <w:p w14:paraId="157D3E9C"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xml:space="preserve"> Se introduce principiul revizuirii periodice și testării sistemice a cadrului de evaluare a riscurilor, pentru a asigura actualizarea continuă a metodologiei și verificarea rezilienței mecanismului instituțional.</w:t>
            </w:r>
          </w:p>
        </w:tc>
      </w:tr>
      <w:tr w:rsidR="00E2097D" w14:paraId="2B8F19B5" w14:textId="77777777" w:rsidTr="000E7DFC">
        <w:tc>
          <w:tcPr>
            <w:tcW w:w="625" w:type="dxa"/>
            <w:vMerge/>
          </w:tcPr>
          <w:p w14:paraId="696F9EEA"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7A3070B0"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2F601B01"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Concluzie</w:t>
            </w:r>
          </w:p>
        </w:tc>
        <w:tc>
          <w:tcPr>
            <w:tcW w:w="5400" w:type="dxa"/>
          </w:tcPr>
          <w:p w14:paraId="14F8D400"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Se susține promovarea proiectului, cu luarea în considerare a propunerilor formulate, în vederea consolidării coerenței metodologice, clarității instituționale și aplicabilității practice.</w:t>
            </w:r>
          </w:p>
        </w:tc>
        <w:tc>
          <w:tcPr>
            <w:tcW w:w="3990" w:type="dxa"/>
          </w:tcPr>
          <w:p w14:paraId="28E9C74A"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xml:space="preserve"> Concluzia este reținută, proiectul fiind considerat oportun și necesar pentru consolidarea cadrului național de gestionare integrată a riscurilor, cu implementarea observațiilor acceptate și parțial acceptate.</w:t>
            </w:r>
          </w:p>
        </w:tc>
      </w:tr>
      <w:tr w:rsidR="00B5067E" w14:paraId="79A6672F" w14:textId="77777777" w:rsidTr="000E7DFC">
        <w:tc>
          <w:tcPr>
            <w:tcW w:w="625" w:type="dxa"/>
            <w:shd w:val="clear" w:color="auto" w:fill="00B0F0"/>
          </w:tcPr>
          <w:p w14:paraId="2BD9F498" w14:textId="77777777" w:rsidR="00B5067E" w:rsidRDefault="00B5067E">
            <w:pPr>
              <w:pBdr>
                <w:between w:val="single" w:sz="4" w:space="1" w:color="000000"/>
              </w:pBdr>
              <w:jc w:val="both"/>
              <w:rPr>
                <w:rFonts w:ascii="Times New Roman" w:eastAsia="Times New Roman" w:hAnsi="Times New Roman" w:cs="Times New Roman"/>
              </w:rPr>
            </w:pPr>
          </w:p>
        </w:tc>
        <w:tc>
          <w:tcPr>
            <w:tcW w:w="1845" w:type="dxa"/>
            <w:shd w:val="clear" w:color="auto" w:fill="00B0F0"/>
          </w:tcPr>
          <w:p w14:paraId="63893BC4" w14:textId="77777777" w:rsidR="00B5067E" w:rsidRDefault="00B5067E">
            <w:pPr>
              <w:pBdr>
                <w:between w:val="single" w:sz="4" w:space="1" w:color="000000"/>
              </w:pBdr>
              <w:rPr>
                <w:rFonts w:ascii="Times New Roman" w:eastAsia="Times New Roman" w:hAnsi="Times New Roman" w:cs="Times New Roman"/>
              </w:rPr>
            </w:pPr>
          </w:p>
        </w:tc>
        <w:tc>
          <w:tcPr>
            <w:tcW w:w="2580" w:type="dxa"/>
            <w:gridSpan w:val="2"/>
            <w:shd w:val="clear" w:color="auto" w:fill="00B0F0"/>
          </w:tcPr>
          <w:p w14:paraId="22C6B229" w14:textId="77777777" w:rsidR="00B5067E" w:rsidRDefault="00B5067E" w:rsidP="00E2097D">
            <w:pPr>
              <w:pBdr>
                <w:between w:val="single" w:sz="4" w:space="1" w:color="000000"/>
              </w:pBdr>
              <w:jc w:val="center"/>
              <w:rPr>
                <w:rFonts w:ascii="Times New Roman" w:eastAsia="Times New Roman" w:hAnsi="Times New Roman" w:cs="Times New Roman"/>
              </w:rPr>
            </w:pPr>
          </w:p>
        </w:tc>
        <w:tc>
          <w:tcPr>
            <w:tcW w:w="5400" w:type="dxa"/>
            <w:shd w:val="clear" w:color="auto" w:fill="00B0F0"/>
          </w:tcPr>
          <w:p w14:paraId="3BAD8E36" w14:textId="77777777" w:rsidR="00B5067E" w:rsidRDefault="00B5067E">
            <w:pPr>
              <w:pBdr>
                <w:between w:val="single" w:sz="4" w:space="1" w:color="000000"/>
              </w:pBdr>
              <w:jc w:val="both"/>
              <w:rPr>
                <w:rFonts w:ascii="Times New Roman" w:eastAsia="Times New Roman" w:hAnsi="Times New Roman" w:cs="Times New Roman"/>
              </w:rPr>
            </w:pPr>
          </w:p>
        </w:tc>
        <w:tc>
          <w:tcPr>
            <w:tcW w:w="3990" w:type="dxa"/>
            <w:shd w:val="clear" w:color="auto" w:fill="00B0F0"/>
          </w:tcPr>
          <w:p w14:paraId="0C3573C1" w14:textId="77777777" w:rsidR="00B5067E" w:rsidRDefault="00B5067E">
            <w:pPr>
              <w:pBdr>
                <w:between w:val="single" w:sz="4" w:space="1" w:color="000000"/>
              </w:pBdr>
              <w:jc w:val="both"/>
              <w:rPr>
                <w:rFonts w:ascii="Times New Roman" w:eastAsia="Times New Roman" w:hAnsi="Times New Roman" w:cs="Times New Roman"/>
                <w:b/>
                <w:bCs/>
              </w:rPr>
            </w:pPr>
          </w:p>
        </w:tc>
      </w:tr>
      <w:tr w:rsidR="00E2097D" w14:paraId="7536C94A" w14:textId="77777777" w:rsidTr="000E7DFC">
        <w:tc>
          <w:tcPr>
            <w:tcW w:w="625" w:type="dxa"/>
            <w:vMerge w:val="restart"/>
          </w:tcPr>
          <w:p w14:paraId="7FD17F7D" w14:textId="77777777" w:rsidR="00E2097D" w:rsidRDefault="00E2097D">
            <w:pPr>
              <w:pBdr>
                <w:between w:val="single" w:sz="4" w:space="1" w:color="000000"/>
              </w:pBdr>
              <w:jc w:val="both"/>
              <w:rPr>
                <w:rFonts w:ascii="Times New Roman" w:eastAsia="Times New Roman" w:hAnsi="Times New Roman" w:cs="Times New Roman"/>
                <w:b/>
                <w:bCs/>
              </w:rPr>
            </w:pPr>
            <w:r>
              <w:rPr>
                <w:rFonts w:ascii="Times New Roman" w:eastAsia="Times New Roman" w:hAnsi="Times New Roman" w:cs="Times New Roman"/>
                <w:b/>
                <w:bCs/>
              </w:rPr>
              <w:t>6.</w:t>
            </w:r>
          </w:p>
        </w:tc>
        <w:tc>
          <w:tcPr>
            <w:tcW w:w="1845" w:type="dxa"/>
            <w:vMerge w:val="restart"/>
          </w:tcPr>
          <w:p w14:paraId="2314E3B6" w14:textId="77777777" w:rsidR="00E2097D" w:rsidRDefault="00E2097D">
            <w:pPr>
              <w:rPr>
                <w:rFonts w:ascii="Times New Roman" w:eastAsia="Times New Roman" w:hAnsi="Times New Roman" w:cs="Times New Roman"/>
                <w:b/>
                <w:bCs/>
              </w:rPr>
            </w:pPr>
            <w:r>
              <w:rPr>
                <w:rFonts w:ascii="Times New Roman" w:eastAsia="Times New Roman" w:hAnsi="Times New Roman" w:cs="Times New Roman"/>
                <w:b/>
                <w:bCs/>
              </w:rPr>
              <w:t>Ministerul Muncii și Protecției Sociale</w:t>
            </w:r>
          </w:p>
          <w:p w14:paraId="737075FC" w14:textId="77777777" w:rsidR="00E2097D" w:rsidRDefault="00E2097D">
            <w:pPr>
              <w:rPr>
                <w:rFonts w:ascii="Times New Roman" w:eastAsia="Times New Roman" w:hAnsi="Times New Roman" w:cs="Times New Roman"/>
                <w:b/>
                <w:bCs/>
                <w:i/>
                <w:iCs/>
              </w:rPr>
            </w:pPr>
            <w:r>
              <w:rPr>
                <w:rFonts w:ascii="Times New Roman" w:eastAsia="Times New Roman" w:hAnsi="Times New Roman" w:cs="Times New Roman"/>
                <w:i/>
                <w:iCs/>
              </w:rPr>
              <w:t>(Nr. 14/2467 din 06.05.2026)</w:t>
            </w:r>
          </w:p>
        </w:tc>
        <w:tc>
          <w:tcPr>
            <w:tcW w:w="2580" w:type="dxa"/>
            <w:gridSpan w:val="2"/>
          </w:tcPr>
          <w:p w14:paraId="3C6B3F94"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1</w:t>
            </w:r>
          </w:p>
        </w:tc>
        <w:tc>
          <w:tcPr>
            <w:tcW w:w="5400" w:type="dxa"/>
          </w:tcPr>
          <w:p w14:paraId="7972F47E"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La proiectul Hotărârii de Guvern, pct. 2–4, se propune substituirea cuvântului „maximum” cu „maxim” sau excluderea acestuia.</w:t>
            </w:r>
          </w:p>
        </w:tc>
        <w:tc>
          <w:tcPr>
            <w:tcW w:w="3990" w:type="dxa"/>
          </w:tcPr>
          <w:p w14:paraId="4A1A7CE9"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 parțial.</w:t>
            </w:r>
            <w:r>
              <w:rPr>
                <w:rFonts w:ascii="Times New Roman" w:eastAsia="Times New Roman" w:hAnsi="Times New Roman" w:cs="Times New Roman"/>
              </w:rPr>
              <w:t xml:space="preserve"> Se acceptă excluderea termenului „maximum”, întrucât utilizarea acestuia este redundantă în context normativ și nu adaugă valoare juridică suplimentară. Se respinge substituirea cu „maxim”, deoarece forma este improprie stilului normativ, preferându-se formularea fără adverbe de intensitate pentru claritate și uniformitate legislativă.</w:t>
            </w:r>
          </w:p>
        </w:tc>
      </w:tr>
      <w:tr w:rsidR="00E2097D" w14:paraId="0A04980D" w14:textId="77777777" w:rsidTr="000E7DFC">
        <w:tc>
          <w:tcPr>
            <w:tcW w:w="625" w:type="dxa"/>
            <w:vMerge/>
          </w:tcPr>
          <w:p w14:paraId="51D50322"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73E614E0"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5CBBDA4C"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2a</w:t>
            </w:r>
          </w:p>
        </w:tc>
        <w:tc>
          <w:tcPr>
            <w:tcW w:w="5400" w:type="dxa"/>
          </w:tcPr>
          <w:p w14:paraId="2DB27871"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La pct. 4 din Metodologie, cuvintele „se aplică” se propune a se substitui cu „se aplică de către”.</w:t>
            </w:r>
          </w:p>
        </w:tc>
        <w:tc>
          <w:tcPr>
            <w:tcW w:w="3990" w:type="dxa"/>
          </w:tcPr>
          <w:p w14:paraId="32C350EE"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xml:space="preserve"> Modificarea este acceptată pentru clarificarea subiectului acțiunii și evitarea ambiguităților privind autoritatea responsabilă de aplicare a prevederilor metodologice.</w:t>
            </w:r>
          </w:p>
        </w:tc>
      </w:tr>
      <w:tr w:rsidR="00E2097D" w14:paraId="541EEBB1" w14:textId="77777777" w:rsidTr="000E7DFC">
        <w:tc>
          <w:tcPr>
            <w:tcW w:w="625" w:type="dxa"/>
            <w:vMerge/>
          </w:tcPr>
          <w:p w14:paraId="6D49D92D"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451D84DD"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187EF352"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2b</w:t>
            </w:r>
          </w:p>
        </w:tc>
        <w:tc>
          <w:tcPr>
            <w:tcW w:w="5400" w:type="dxa"/>
          </w:tcPr>
          <w:p w14:paraId="59494CE1"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La pct. 7.6, cuvântul „plauzibilității” se substituie cu „admisibilității”, inclusiv în toate cazurile din proiect.</w:t>
            </w:r>
          </w:p>
        </w:tc>
        <w:tc>
          <w:tcPr>
            <w:tcW w:w="3990" w:type="dxa"/>
          </w:tcPr>
          <w:p w14:paraId="6C174780"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 parțial.</w:t>
            </w:r>
            <w:r>
              <w:rPr>
                <w:rFonts w:ascii="Times New Roman" w:eastAsia="Times New Roman" w:hAnsi="Times New Roman" w:cs="Times New Roman"/>
              </w:rPr>
              <w:t xml:space="preserve"> Se acceptă înlocuirea termenului „plauzibilității” cu „admisibilității” acolo unde se referă la criterii juridico-administrative </w:t>
            </w:r>
            <w:r>
              <w:rPr>
                <w:rFonts w:ascii="Times New Roman" w:eastAsia="Times New Roman" w:hAnsi="Times New Roman" w:cs="Times New Roman"/>
              </w:rPr>
              <w:lastRenderedPageBreak/>
              <w:t>verificabile. Totuși, se va menține termenul „plauzibilitate” în cazurile în care evaluarea are caracter tehnico-analitic (ex. scenarii de risc), întrucât acesta reflectă mai adecvat probabilitatea și consistența scenariilor.</w:t>
            </w:r>
          </w:p>
        </w:tc>
      </w:tr>
      <w:tr w:rsidR="00E2097D" w14:paraId="50174DF1" w14:textId="77777777" w:rsidTr="000E7DFC">
        <w:tc>
          <w:tcPr>
            <w:tcW w:w="625" w:type="dxa"/>
            <w:vMerge/>
          </w:tcPr>
          <w:p w14:paraId="4144B83F"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045D25A7"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047A2634"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2c</w:t>
            </w:r>
          </w:p>
        </w:tc>
        <w:tc>
          <w:tcPr>
            <w:tcW w:w="5400" w:type="dxa"/>
          </w:tcPr>
          <w:p w14:paraId="5D1844A6"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Se solicită specificarea clară a periodicității raportării de către CNMC la pct. 12.</w:t>
            </w:r>
          </w:p>
        </w:tc>
        <w:tc>
          <w:tcPr>
            <w:tcW w:w="3990" w:type="dxa"/>
          </w:tcPr>
          <w:p w14:paraId="070E7125" w14:textId="6FB97BFA"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xml:space="preserve"> Se</w:t>
            </w:r>
            <w:r w:rsidR="00AC399B">
              <w:rPr>
                <w:rFonts w:ascii="Times New Roman" w:eastAsia="Times New Roman" w:hAnsi="Times New Roman" w:cs="Times New Roman"/>
              </w:rPr>
              <w:t xml:space="preserve"> </w:t>
            </w:r>
            <w:r>
              <w:rPr>
                <w:rFonts w:ascii="Times New Roman" w:eastAsia="Times New Roman" w:hAnsi="Times New Roman" w:cs="Times New Roman"/>
              </w:rPr>
              <w:t>introduce explicit periodicitatea raportării (ex. trimestrial/semestrial, după caz), pentru a asigura predictibilitatea fluxului informațional și monitorizarea eficientă a implementării metodologiei.</w:t>
            </w:r>
          </w:p>
        </w:tc>
      </w:tr>
      <w:tr w:rsidR="00E2097D" w14:paraId="1C0FA65E" w14:textId="77777777" w:rsidTr="000E7DFC">
        <w:tc>
          <w:tcPr>
            <w:tcW w:w="625" w:type="dxa"/>
            <w:vMerge/>
          </w:tcPr>
          <w:p w14:paraId="2915E48E"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47EDD26F"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09AEC4AB"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2d</w:t>
            </w:r>
          </w:p>
        </w:tc>
        <w:tc>
          <w:tcPr>
            <w:tcW w:w="5400" w:type="dxa"/>
          </w:tcPr>
          <w:p w14:paraId="10BB8D85"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La subpct. 12.1, sintagma „de implementare a elaborării Evaluării Naționale de Risc” se substituie cu „de implementare a Evaluării Naționale de Risc”.</w:t>
            </w:r>
          </w:p>
        </w:tc>
        <w:tc>
          <w:tcPr>
            <w:tcW w:w="3990" w:type="dxa"/>
          </w:tcPr>
          <w:p w14:paraId="0630E00A"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xml:space="preserve"> Modificarea este acceptată pentru simplificarea redacțională și eliminarea redundanței terminologice, în scopul creșterii clarității normei.</w:t>
            </w:r>
          </w:p>
        </w:tc>
      </w:tr>
      <w:tr w:rsidR="00E2097D" w14:paraId="5E400DAD" w14:textId="77777777" w:rsidTr="000E7DFC">
        <w:tc>
          <w:tcPr>
            <w:tcW w:w="625" w:type="dxa"/>
            <w:vMerge/>
          </w:tcPr>
          <w:p w14:paraId="1F6E299C"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603F07C2"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6D197F41"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2e</w:t>
            </w:r>
          </w:p>
        </w:tc>
        <w:tc>
          <w:tcPr>
            <w:tcW w:w="5400" w:type="dxa"/>
          </w:tcPr>
          <w:p w14:paraId="0633E265"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Se propune completarea pct. 15.2 cu subpct. 15.2.11 privind implementarea sistemelor de management al securității și sănătății în muncă.</w:t>
            </w:r>
          </w:p>
        </w:tc>
        <w:tc>
          <w:tcPr>
            <w:tcW w:w="3990" w:type="dxa"/>
          </w:tcPr>
          <w:p w14:paraId="0F80E0E3"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xml:space="preserve"> Completarea este acceptată, întrucât integrarea securității și sănătății în muncă în arhitectura de management al riscurilor contribuie la reducerea vulnerabilităților operaționale și la consolidarea rezilienței sectoarelor critice.</w:t>
            </w:r>
          </w:p>
        </w:tc>
      </w:tr>
      <w:tr w:rsidR="00E2097D" w14:paraId="11A359A0" w14:textId="77777777" w:rsidTr="000E7DFC">
        <w:tc>
          <w:tcPr>
            <w:tcW w:w="625" w:type="dxa"/>
            <w:vMerge/>
          </w:tcPr>
          <w:p w14:paraId="5A597BF0"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35F49B14"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03EE0F88"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2f</w:t>
            </w:r>
          </w:p>
        </w:tc>
        <w:tc>
          <w:tcPr>
            <w:tcW w:w="5400" w:type="dxa"/>
          </w:tcPr>
          <w:p w14:paraId="5ED68FE6"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Se solicită revizuirea pct. 14 în raport cu Legea nr. 436/2006 privind administrația publică locală, având în vedere neclaritatea privind atribuțiile autorităților locale ca instituții principale.</w:t>
            </w:r>
          </w:p>
        </w:tc>
        <w:tc>
          <w:tcPr>
            <w:tcW w:w="3990" w:type="dxa"/>
          </w:tcPr>
          <w:p w14:paraId="685B4CEF" w14:textId="0FC60620"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xml:space="preserve"> Se introduc clarificări privind rolul autorităților administrației publice locale în calitate de instituții principale, cu delimitarea expresă a competențelor față de autoritățile centrale și instituțiile de sprijin, în conformitate cu Legea nr. 436/2006.</w:t>
            </w:r>
          </w:p>
        </w:tc>
      </w:tr>
      <w:tr w:rsidR="00E2097D" w14:paraId="6002F5EC" w14:textId="77777777" w:rsidTr="000E7DFC">
        <w:tc>
          <w:tcPr>
            <w:tcW w:w="625" w:type="dxa"/>
            <w:vMerge/>
          </w:tcPr>
          <w:p w14:paraId="42B1F8B6"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409F30B0"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361BB039"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2g</w:t>
            </w:r>
          </w:p>
        </w:tc>
        <w:tc>
          <w:tcPr>
            <w:tcW w:w="5400" w:type="dxa"/>
          </w:tcPr>
          <w:p w14:paraId="5F443DD7"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Se recomandă revizuirea pct. 21.1 privind caracterul metodologic al unei „liste” utilizate în procesul de evaluare.</w:t>
            </w:r>
          </w:p>
        </w:tc>
        <w:tc>
          <w:tcPr>
            <w:tcW w:w="3990" w:type="dxa"/>
          </w:tcPr>
          <w:p w14:paraId="580557B7" w14:textId="21DBDF14"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xml:space="preserve"> Se clarific</w:t>
            </w:r>
            <w:r w:rsidR="00F64672">
              <w:rPr>
                <w:rFonts w:ascii="Times New Roman" w:eastAsia="Times New Roman" w:hAnsi="Times New Roman" w:cs="Times New Roman"/>
              </w:rPr>
              <w:t>ă</w:t>
            </w:r>
            <w:r>
              <w:rPr>
                <w:rFonts w:ascii="Times New Roman" w:eastAsia="Times New Roman" w:hAnsi="Times New Roman" w:cs="Times New Roman"/>
              </w:rPr>
              <w:t xml:space="preserve"> natura juridico-metodologică a listei, stabilindu-se explicit că aceasta reprezintă un instrument metodologic integrat în procesul de evaluare, evitând </w:t>
            </w:r>
            <w:r>
              <w:rPr>
                <w:rFonts w:ascii="Times New Roman" w:eastAsia="Times New Roman" w:hAnsi="Times New Roman" w:cs="Times New Roman"/>
              </w:rPr>
              <w:lastRenderedPageBreak/>
              <w:t>interpretarea ca act administrativ autonom.</w:t>
            </w:r>
          </w:p>
        </w:tc>
      </w:tr>
      <w:tr w:rsidR="00E2097D" w14:paraId="021213BC" w14:textId="77777777" w:rsidTr="000E7DFC">
        <w:tc>
          <w:tcPr>
            <w:tcW w:w="625" w:type="dxa"/>
            <w:vMerge/>
          </w:tcPr>
          <w:p w14:paraId="6CA154E5"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0442C031"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0FD3D9F7"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2h</w:t>
            </w:r>
          </w:p>
        </w:tc>
        <w:tc>
          <w:tcPr>
            <w:tcW w:w="5400" w:type="dxa"/>
          </w:tcPr>
          <w:p w14:paraId="4D5D9B1E"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Se propune revizuirea pct. 24.1 prin clarificarea rolului operatorilor economici, inclusiv gestionarii infrastructurilor critice și furnizorii de servicii esențiale.</w:t>
            </w:r>
          </w:p>
        </w:tc>
        <w:tc>
          <w:tcPr>
            <w:tcW w:w="3990" w:type="dxa"/>
          </w:tcPr>
          <w:p w14:paraId="1B14A531" w14:textId="1F0BC0D5"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xml:space="preserve"> Se introduc precizări privind rolurile și obligațiile operatorilor economici în cadrul procesului de evaluare a riscurilor, pentru a asigura coerența cu prevederile pct. 15.2 și evitarea suprapunerilor funcționale.</w:t>
            </w:r>
          </w:p>
        </w:tc>
      </w:tr>
      <w:tr w:rsidR="00E2097D" w14:paraId="4FB24D0C" w14:textId="77777777" w:rsidTr="000E7DFC">
        <w:tc>
          <w:tcPr>
            <w:tcW w:w="625" w:type="dxa"/>
            <w:vMerge/>
          </w:tcPr>
          <w:p w14:paraId="0A8BB8FD"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2D448367"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3871C772"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2i</w:t>
            </w:r>
          </w:p>
        </w:tc>
        <w:tc>
          <w:tcPr>
            <w:tcW w:w="5400" w:type="dxa"/>
          </w:tcPr>
          <w:p w14:paraId="7FFD447A"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Se solicită definirea noțiunii „screening” și descrierea acțiunilor aferente în cadrul metodologiei.</w:t>
            </w:r>
          </w:p>
        </w:tc>
        <w:tc>
          <w:tcPr>
            <w:tcW w:w="3990" w:type="dxa"/>
          </w:tcPr>
          <w:p w14:paraId="3238FF99" w14:textId="28292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xml:space="preserve"> Se introduc o definiție operațională a termenului „screening”, precum și descrierea etapelor procedurale aferente, pentru asigurarea aplicării uniforme și evitarea interpretărilor divergente.</w:t>
            </w:r>
          </w:p>
        </w:tc>
      </w:tr>
      <w:tr w:rsidR="00E2097D" w14:paraId="4D0D0753" w14:textId="77777777" w:rsidTr="000E7DFC">
        <w:tc>
          <w:tcPr>
            <w:tcW w:w="625" w:type="dxa"/>
            <w:vMerge/>
          </w:tcPr>
          <w:p w14:paraId="0642B59B"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483DB288"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01F6E03B"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2j</w:t>
            </w:r>
          </w:p>
        </w:tc>
        <w:tc>
          <w:tcPr>
            <w:tcW w:w="5400" w:type="dxa"/>
          </w:tcPr>
          <w:p w14:paraId="7704DC38"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La pct. 33.3, cuvântul „prioritate” se substituie cu „prioritare”.</w:t>
            </w:r>
          </w:p>
        </w:tc>
        <w:tc>
          <w:tcPr>
            <w:tcW w:w="3990" w:type="dxa"/>
          </w:tcPr>
          <w:p w14:paraId="108157AB"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xml:space="preserve"> Modificarea este acceptată ca ajustare redacțională necesară pentru corectitudinea gramaticală a textului normativ.</w:t>
            </w:r>
          </w:p>
        </w:tc>
      </w:tr>
      <w:tr w:rsidR="00E2097D" w14:paraId="3E2F5829" w14:textId="77777777" w:rsidTr="000E7DFC">
        <w:tc>
          <w:tcPr>
            <w:tcW w:w="625" w:type="dxa"/>
            <w:vMerge/>
          </w:tcPr>
          <w:p w14:paraId="07DECA95"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090E57ED"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064FCF81"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2k</w:t>
            </w:r>
          </w:p>
        </w:tc>
        <w:tc>
          <w:tcPr>
            <w:tcW w:w="5400" w:type="dxa"/>
          </w:tcPr>
          <w:p w14:paraId="3ED84860"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La pct. 33.10 se solicită clarificarea standardelor și criteriilor de conformitate utilizate la validarea fișei de risc.</w:t>
            </w:r>
          </w:p>
        </w:tc>
        <w:tc>
          <w:tcPr>
            <w:tcW w:w="3990" w:type="dxa"/>
          </w:tcPr>
          <w:p w14:paraId="0A5D73C7" w14:textId="541222BD"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xml:space="preserve"> Se introduc referințe explicite la standardele și criteriile de validare a fișei de risc în cuprinsul metodologiei sau în anexe tehnice, pentru a asigura transparența procesului de validare realizat de CNMC.</w:t>
            </w:r>
          </w:p>
        </w:tc>
      </w:tr>
      <w:tr w:rsidR="00E2097D" w14:paraId="1F7F8ED6" w14:textId="77777777" w:rsidTr="000E7DFC">
        <w:tc>
          <w:tcPr>
            <w:tcW w:w="625" w:type="dxa"/>
            <w:vMerge/>
          </w:tcPr>
          <w:p w14:paraId="3955DF95"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2E6F23EF"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78C24244"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2l</w:t>
            </w:r>
          </w:p>
        </w:tc>
        <w:tc>
          <w:tcPr>
            <w:tcW w:w="5400" w:type="dxa"/>
          </w:tcPr>
          <w:p w14:paraId="4F751E9E"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Se propune revizuirea pct. 30.3 și 33.7 privind competența CNMC de elaborare a listei extinse a riscurilor.</w:t>
            </w:r>
          </w:p>
        </w:tc>
        <w:tc>
          <w:tcPr>
            <w:tcW w:w="3990" w:type="dxa"/>
          </w:tcPr>
          <w:p w14:paraId="5B246D3C"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 parțial.</w:t>
            </w:r>
            <w:r>
              <w:rPr>
                <w:rFonts w:ascii="Times New Roman" w:eastAsia="Times New Roman" w:hAnsi="Times New Roman" w:cs="Times New Roman"/>
              </w:rPr>
              <w:t xml:space="preserve"> CNMC va avea competența de elaborare a listei prioritare a riscurilor, în timp ce autoritățile sectoriale vor contribui cu date și informații specializate. Nu se acceptă atribuirea exclusivă a listei extinse CNMC, pentru a menține caracterul participativ și interinstituțional al procesului.</w:t>
            </w:r>
          </w:p>
        </w:tc>
      </w:tr>
      <w:tr w:rsidR="00E2097D" w14:paraId="6369604C" w14:textId="77777777" w:rsidTr="000E7DFC">
        <w:tc>
          <w:tcPr>
            <w:tcW w:w="625" w:type="dxa"/>
            <w:vMerge/>
          </w:tcPr>
          <w:p w14:paraId="7B975AC4"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788205CA"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2F250880"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2m</w:t>
            </w:r>
          </w:p>
        </w:tc>
        <w:tc>
          <w:tcPr>
            <w:tcW w:w="5400" w:type="dxa"/>
          </w:tcPr>
          <w:p w14:paraId="3AC3E28E"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Se propune completarea pct. 37.2 cu un subpct. privind securitatea și sănătatea în muncă și riscurile ocupaționale sistemice.</w:t>
            </w:r>
          </w:p>
        </w:tc>
        <w:tc>
          <w:tcPr>
            <w:tcW w:w="3990" w:type="dxa"/>
          </w:tcPr>
          <w:p w14:paraId="07D72314"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xml:space="preserve"> Completarea este acceptată, întrucât riscurile ocupaționale au impact direct asupra continuității serviciilor esențiale și asupra funcționării sectoarelor critice, fiind necesară includerea lor distinctă în evaluarea națională de risc.</w:t>
            </w:r>
          </w:p>
        </w:tc>
      </w:tr>
      <w:tr w:rsidR="00E2097D" w14:paraId="4A882857" w14:textId="77777777" w:rsidTr="000E7DFC">
        <w:tc>
          <w:tcPr>
            <w:tcW w:w="625" w:type="dxa"/>
            <w:vMerge/>
          </w:tcPr>
          <w:p w14:paraId="5CA03FFD"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0AC3BAD5"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11E342C4"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2n</w:t>
            </w:r>
          </w:p>
        </w:tc>
        <w:tc>
          <w:tcPr>
            <w:tcW w:w="5400" w:type="dxa"/>
          </w:tcPr>
          <w:p w14:paraId="56851452"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La pct. 57.2, se propune substituirea sintagmei „punctul anterior” cu „pct. 57.1”.</w:t>
            </w:r>
          </w:p>
        </w:tc>
        <w:tc>
          <w:tcPr>
            <w:tcW w:w="3990" w:type="dxa"/>
          </w:tcPr>
          <w:p w14:paraId="4A6973B1"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xml:space="preserve"> Modificarea este acceptată pentru corectitudine tehnico-legislativă și evitarea ambiguităților de trimitere normativă.</w:t>
            </w:r>
          </w:p>
        </w:tc>
      </w:tr>
      <w:tr w:rsidR="00E2097D" w14:paraId="66D657D0" w14:textId="77777777" w:rsidTr="000E7DFC">
        <w:tc>
          <w:tcPr>
            <w:tcW w:w="625" w:type="dxa"/>
            <w:shd w:val="clear" w:color="auto" w:fill="00B0F0"/>
          </w:tcPr>
          <w:p w14:paraId="2348514F" w14:textId="77777777" w:rsidR="00E2097D" w:rsidRDefault="00E2097D">
            <w:pPr>
              <w:pBdr>
                <w:between w:val="single" w:sz="4" w:space="1" w:color="000000"/>
              </w:pBdr>
              <w:jc w:val="both"/>
              <w:rPr>
                <w:rFonts w:ascii="Times New Roman" w:eastAsia="Times New Roman" w:hAnsi="Times New Roman" w:cs="Times New Roman"/>
                <w:b/>
                <w:bCs/>
              </w:rPr>
            </w:pPr>
          </w:p>
        </w:tc>
        <w:tc>
          <w:tcPr>
            <w:tcW w:w="1845" w:type="dxa"/>
            <w:shd w:val="clear" w:color="auto" w:fill="00B0F0"/>
          </w:tcPr>
          <w:p w14:paraId="28641AFE" w14:textId="77777777" w:rsidR="00E2097D" w:rsidRDefault="00E2097D">
            <w:pPr>
              <w:rPr>
                <w:rFonts w:ascii="Times New Roman" w:eastAsia="Times New Roman" w:hAnsi="Times New Roman" w:cs="Times New Roman"/>
                <w:b/>
                <w:bCs/>
              </w:rPr>
            </w:pPr>
          </w:p>
        </w:tc>
        <w:tc>
          <w:tcPr>
            <w:tcW w:w="2580" w:type="dxa"/>
            <w:gridSpan w:val="2"/>
            <w:shd w:val="clear" w:color="auto" w:fill="00B0F0"/>
          </w:tcPr>
          <w:p w14:paraId="236C4D34" w14:textId="77777777" w:rsidR="00E2097D" w:rsidRDefault="00E2097D" w:rsidP="00E2097D">
            <w:pPr>
              <w:pBdr>
                <w:between w:val="single" w:sz="4" w:space="1" w:color="000000"/>
              </w:pBdr>
              <w:jc w:val="center"/>
              <w:rPr>
                <w:rFonts w:ascii="Times New Roman" w:eastAsia="Times New Roman" w:hAnsi="Times New Roman" w:cs="Times New Roman"/>
              </w:rPr>
            </w:pPr>
          </w:p>
        </w:tc>
        <w:tc>
          <w:tcPr>
            <w:tcW w:w="5400" w:type="dxa"/>
            <w:shd w:val="clear" w:color="auto" w:fill="00B0F0"/>
          </w:tcPr>
          <w:p w14:paraId="0CDA8FF2" w14:textId="77777777" w:rsidR="00E2097D" w:rsidRDefault="00E2097D">
            <w:pPr>
              <w:pBdr>
                <w:between w:val="single" w:sz="4" w:space="1" w:color="000000"/>
              </w:pBdr>
              <w:jc w:val="both"/>
              <w:rPr>
                <w:rFonts w:ascii="Times New Roman" w:eastAsia="Times New Roman" w:hAnsi="Times New Roman" w:cs="Times New Roman"/>
              </w:rPr>
            </w:pPr>
          </w:p>
        </w:tc>
        <w:tc>
          <w:tcPr>
            <w:tcW w:w="3990" w:type="dxa"/>
            <w:shd w:val="clear" w:color="auto" w:fill="00B0F0"/>
          </w:tcPr>
          <w:p w14:paraId="37D0F867" w14:textId="77777777" w:rsidR="00E2097D" w:rsidRDefault="00E2097D">
            <w:pPr>
              <w:pBdr>
                <w:between w:val="single" w:sz="4" w:space="1" w:color="000000"/>
              </w:pBdr>
              <w:jc w:val="both"/>
              <w:rPr>
                <w:rFonts w:ascii="Times New Roman" w:eastAsia="Times New Roman" w:hAnsi="Times New Roman" w:cs="Times New Roman"/>
                <w:b/>
                <w:bCs/>
              </w:rPr>
            </w:pPr>
          </w:p>
        </w:tc>
      </w:tr>
      <w:tr w:rsidR="00B5067E" w14:paraId="022A6523" w14:textId="77777777" w:rsidTr="000E7DFC">
        <w:tc>
          <w:tcPr>
            <w:tcW w:w="625" w:type="dxa"/>
          </w:tcPr>
          <w:p w14:paraId="64805FAE" w14:textId="77777777" w:rsidR="00B5067E" w:rsidRDefault="00C443D6">
            <w:pPr>
              <w:pBdr>
                <w:between w:val="single" w:sz="4" w:space="1" w:color="000000"/>
              </w:pBdr>
              <w:jc w:val="both"/>
              <w:rPr>
                <w:rFonts w:ascii="Times New Roman" w:eastAsia="Times New Roman" w:hAnsi="Times New Roman" w:cs="Times New Roman"/>
                <w:b/>
                <w:bCs/>
              </w:rPr>
            </w:pPr>
            <w:r>
              <w:rPr>
                <w:rFonts w:ascii="Times New Roman" w:eastAsia="Times New Roman" w:hAnsi="Times New Roman" w:cs="Times New Roman"/>
                <w:b/>
                <w:bCs/>
              </w:rPr>
              <w:t>7.</w:t>
            </w:r>
          </w:p>
        </w:tc>
        <w:tc>
          <w:tcPr>
            <w:tcW w:w="1845" w:type="dxa"/>
          </w:tcPr>
          <w:p w14:paraId="2BE37A64" w14:textId="06D0B1A6" w:rsidR="00B5067E" w:rsidRDefault="00C443D6">
            <w:pPr>
              <w:rPr>
                <w:rFonts w:ascii="Times New Roman" w:eastAsia="Times New Roman" w:hAnsi="Times New Roman" w:cs="Times New Roman"/>
                <w:b/>
                <w:bCs/>
              </w:rPr>
            </w:pPr>
            <w:r>
              <w:rPr>
                <w:rFonts w:ascii="Times New Roman" w:eastAsia="Times New Roman" w:hAnsi="Times New Roman" w:cs="Times New Roman"/>
                <w:b/>
                <w:bCs/>
              </w:rPr>
              <w:t>C</w:t>
            </w:r>
            <w:r w:rsidR="00E2097D">
              <w:rPr>
                <w:rFonts w:ascii="Times New Roman" w:eastAsia="Times New Roman" w:hAnsi="Times New Roman" w:cs="Times New Roman"/>
                <w:b/>
                <w:bCs/>
              </w:rPr>
              <w:t>ancelaria de Stat</w:t>
            </w:r>
            <w:r>
              <w:rPr>
                <w:rFonts w:ascii="Times New Roman" w:eastAsia="Times New Roman" w:hAnsi="Times New Roman" w:cs="Times New Roman"/>
                <w:b/>
                <w:bCs/>
              </w:rPr>
              <w:t xml:space="preserve"> RM </w:t>
            </w:r>
          </w:p>
          <w:p w14:paraId="50DB228C" w14:textId="77777777" w:rsidR="00B5067E" w:rsidRDefault="00C443D6">
            <w:pPr>
              <w:rPr>
                <w:rFonts w:ascii="Times New Roman" w:eastAsia="Times New Roman" w:hAnsi="Times New Roman" w:cs="Times New Roman"/>
                <w:b/>
                <w:bCs/>
                <w:i/>
                <w:iCs/>
              </w:rPr>
            </w:pPr>
            <w:r>
              <w:rPr>
                <w:rFonts w:ascii="Times New Roman" w:eastAsia="Times New Roman" w:hAnsi="Times New Roman" w:cs="Times New Roman"/>
                <w:i/>
                <w:iCs/>
              </w:rPr>
              <w:t>(Nr. 29-69–5514 din 14.05.2026)</w:t>
            </w:r>
          </w:p>
        </w:tc>
        <w:tc>
          <w:tcPr>
            <w:tcW w:w="2580" w:type="dxa"/>
            <w:gridSpan w:val="2"/>
          </w:tcPr>
          <w:p w14:paraId="01C934FF" w14:textId="77777777" w:rsidR="00B5067E" w:rsidRDefault="00C443D6"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1</w:t>
            </w:r>
          </w:p>
        </w:tc>
        <w:tc>
          <w:tcPr>
            <w:tcW w:w="5400" w:type="dxa"/>
          </w:tcPr>
          <w:p w14:paraId="1F02CFD7" w14:textId="77777777" w:rsidR="00B5067E" w:rsidRDefault="00C443D6">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Se comunică susținerea proiectului de hotărâre privind aprobarea Metodologiei de elaborare a Evaluării Naționale de Risc la adresa securității naționale, fără formularea unor obiecții de principiu asupra conținutului de bază al reglementării.</w:t>
            </w:r>
          </w:p>
        </w:tc>
        <w:tc>
          <w:tcPr>
            <w:tcW w:w="3990" w:type="dxa"/>
          </w:tcPr>
          <w:p w14:paraId="49EC1D3C" w14:textId="77777777" w:rsidR="00B5067E" w:rsidRDefault="00C443D6">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xml:space="preserve"> Se ia act de susținerea proiectului de către CS RM, fapt ce confirmă oportunitatea, necesitatea și relevanța instituirii cadrului național integrat de evaluare a riscurilor la adresa securității naționale. Această poziție favorabilă validează, la nivel instituțional, coerența conceptuală a mecanismului propus, precum și compatibilitatea acestuia cu arhitectura generală a sistemului național de management al riscurilor.</w:t>
            </w:r>
          </w:p>
        </w:tc>
      </w:tr>
      <w:tr w:rsidR="00B5067E" w14:paraId="24D18993" w14:textId="77777777" w:rsidTr="000E7DFC">
        <w:tc>
          <w:tcPr>
            <w:tcW w:w="625" w:type="dxa"/>
          </w:tcPr>
          <w:p w14:paraId="2F769721" w14:textId="77777777" w:rsidR="00B5067E" w:rsidRDefault="00B5067E">
            <w:pPr>
              <w:pBdr>
                <w:between w:val="single" w:sz="4" w:space="1" w:color="000000"/>
              </w:pBdr>
              <w:jc w:val="both"/>
              <w:rPr>
                <w:rFonts w:ascii="Times New Roman" w:eastAsia="Times New Roman" w:hAnsi="Times New Roman" w:cs="Times New Roman"/>
              </w:rPr>
            </w:pPr>
          </w:p>
        </w:tc>
        <w:tc>
          <w:tcPr>
            <w:tcW w:w="1845" w:type="dxa"/>
          </w:tcPr>
          <w:p w14:paraId="7390954B" w14:textId="77777777" w:rsidR="00B5067E" w:rsidRDefault="00B5067E">
            <w:pPr>
              <w:pBdr>
                <w:between w:val="single" w:sz="4" w:space="1" w:color="000000"/>
              </w:pBdr>
              <w:rPr>
                <w:rFonts w:ascii="Times New Roman" w:eastAsia="Times New Roman" w:hAnsi="Times New Roman" w:cs="Times New Roman"/>
              </w:rPr>
            </w:pPr>
          </w:p>
        </w:tc>
        <w:tc>
          <w:tcPr>
            <w:tcW w:w="2580" w:type="dxa"/>
            <w:gridSpan w:val="2"/>
          </w:tcPr>
          <w:p w14:paraId="0CBC59F5" w14:textId="77777777" w:rsidR="00B5067E" w:rsidRDefault="00C443D6"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2</w:t>
            </w:r>
          </w:p>
        </w:tc>
        <w:tc>
          <w:tcPr>
            <w:tcW w:w="5400" w:type="dxa"/>
          </w:tcPr>
          <w:p w14:paraId="30D3BB49" w14:textId="77777777" w:rsidR="00B5067E" w:rsidRDefault="00C443D6">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 xml:space="preserve">La pct. 14 și pct. 56.1.3 din Metodologie, sintagmele „autoritățile administrației publice locale de nivelul I și II” și „unitățile administrativ-teritoriale de nivelul I și II” se propune a fi substituite cu „autoritățile administrației publice locale de nivelul întâi și al doilea” și „unitățile administrativ-teritoriale de nivelul întâi și al doilea”, în conformitate cu Legea nr. 436/2006 privind administrația publică locală și Legea nr. 764/2001 privind organizarea administrativ-teritorială a Republicii Moldova. Se invocă necesitatea respectării tehnicii legislative și a corelării </w:t>
            </w:r>
            <w:r>
              <w:rPr>
                <w:rFonts w:ascii="Times New Roman" w:eastAsia="Times New Roman" w:hAnsi="Times New Roman" w:cs="Times New Roman"/>
              </w:rPr>
              <w:lastRenderedPageBreak/>
              <w:t>terminologice cu actele normative de nivel superior, în special în ceea ce privește denumirea nivelurilor administrației publice locale, pentru a evita interpretările divergente și neuniformitatea aplicării.</w:t>
            </w:r>
          </w:p>
        </w:tc>
        <w:tc>
          <w:tcPr>
            <w:tcW w:w="3990" w:type="dxa"/>
          </w:tcPr>
          <w:p w14:paraId="45C4AA99" w14:textId="77777777" w:rsidR="00B5067E" w:rsidRDefault="00C443D6">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lastRenderedPageBreak/>
              <w:t>Se acceptă.</w:t>
            </w:r>
            <w:r>
              <w:rPr>
                <w:rFonts w:ascii="Times New Roman" w:eastAsia="Times New Roman" w:hAnsi="Times New Roman" w:cs="Times New Roman"/>
              </w:rPr>
              <w:t xml:space="preserve"> Modificarea este acceptată integral, întrucât asigură alinierea strictă la terminologia consacrată de legislația națională în vigoare, în special Legea nr. 436/2006 și Legea nr. 764/2001. Înlocuirea numerelor romane „I și II” cu formularea „întâi și al doilea” contribuie la uniformizarea limbajului juridic și la evitarea oricăror ambiguități de interpretare în procesul de implementare la nivelul autorităților </w:t>
            </w:r>
            <w:r>
              <w:rPr>
                <w:rFonts w:ascii="Times New Roman" w:eastAsia="Times New Roman" w:hAnsi="Times New Roman" w:cs="Times New Roman"/>
              </w:rPr>
              <w:lastRenderedPageBreak/>
              <w:t>administrației publice locale. Totodată, ajustarea respectă exigențele Legii nr. 100/2017 privind actele normative, în special principiile clarității, previzibilității și corelării ierarhice a actelor normative, asigurând o aplicare uniformă a prevederilor în toate unitățile administrativ-teritoriale.</w:t>
            </w:r>
          </w:p>
        </w:tc>
      </w:tr>
      <w:tr w:rsidR="00B5067E" w14:paraId="4BC387E2" w14:textId="77777777" w:rsidTr="000E7DFC">
        <w:tc>
          <w:tcPr>
            <w:tcW w:w="625" w:type="dxa"/>
          </w:tcPr>
          <w:p w14:paraId="159785A7" w14:textId="77777777" w:rsidR="00B5067E" w:rsidRDefault="00B5067E">
            <w:pPr>
              <w:pBdr>
                <w:between w:val="single" w:sz="4" w:space="1" w:color="000000"/>
              </w:pBdr>
              <w:jc w:val="both"/>
              <w:rPr>
                <w:rFonts w:ascii="Times New Roman" w:eastAsia="Times New Roman" w:hAnsi="Times New Roman" w:cs="Times New Roman"/>
              </w:rPr>
            </w:pPr>
          </w:p>
        </w:tc>
        <w:tc>
          <w:tcPr>
            <w:tcW w:w="1845" w:type="dxa"/>
          </w:tcPr>
          <w:p w14:paraId="70EF0273" w14:textId="77777777" w:rsidR="00B5067E" w:rsidRDefault="00B5067E">
            <w:pPr>
              <w:pBdr>
                <w:between w:val="single" w:sz="4" w:space="1" w:color="000000"/>
              </w:pBdr>
              <w:rPr>
                <w:rFonts w:ascii="Times New Roman" w:eastAsia="Times New Roman" w:hAnsi="Times New Roman" w:cs="Times New Roman"/>
              </w:rPr>
            </w:pPr>
          </w:p>
        </w:tc>
        <w:tc>
          <w:tcPr>
            <w:tcW w:w="2580" w:type="dxa"/>
            <w:gridSpan w:val="2"/>
          </w:tcPr>
          <w:p w14:paraId="1C3DEB1E" w14:textId="77777777" w:rsidR="00B5067E" w:rsidRDefault="00C443D6"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3</w:t>
            </w:r>
          </w:p>
        </w:tc>
        <w:tc>
          <w:tcPr>
            <w:tcW w:w="5400" w:type="dxa"/>
          </w:tcPr>
          <w:p w14:paraId="0E71A2C3" w14:textId="77777777" w:rsidR="00B5067E" w:rsidRDefault="00C443D6">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La pct. 1 din proiect, se propune corelarea denumirii Metodologiei cu art. 6 alin. (7) din Legea nr. 248/2025 privind managementul situațiilor de criză, precum și cu art. 3 alin. (4) din Legea nr. 100/2017 privind actele normative. Se subliniază necesitatea integrării organice a actului normativ în cadrul legislativ existent, astfel încât acesta să nu depășească limitele competenței stabilite prin legea de bază și să nu contravină scopului și principiilor actelor normative de nivel superior.</w:t>
            </w:r>
          </w:p>
        </w:tc>
        <w:tc>
          <w:tcPr>
            <w:tcW w:w="3990" w:type="dxa"/>
          </w:tcPr>
          <w:p w14:paraId="387DC38B" w14:textId="329BD2D4" w:rsidR="00B5067E" w:rsidRDefault="00C443D6">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xml:space="preserve"> Denumirea Metodologiei </w:t>
            </w:r>
            <w:r w:rsidR="00F64672">
              <w:rPr>
                <w:rFonts w:ascii="Times New Roman" w:eastAsia="Times New Roman" w:hAnsi="Times New Roman" w:cs="Times New Roman"/>
              </w:rPr>
              <w:t xml:space="preserve">a fost </w:t>
            </w:r>
            <w:r>
              <w:rPr>
                <w:rFonts w:ascii="Times New Roman" w:eastAsia="Times New Roman" w:hAnsi="Times New Roman" w:cs="Times New Roman"/>
              </w:rPr>
              <w:t>revizuită și ajustată în conformitate cu prevederile art. 6 alin. (7) din Legea nr. 248/2025, astfel încât să reflecte fidel obiectul de reglementare stabilit de legea-cadru. Această intervenție este necesară pentru asigurarea coerenței verticale a sistemului normativ și pentru evitarea extinderii nejustificate a sferei de aplicare a actului subordonat. Totodată, se respectă principiile prevăzute de art. 3 alin. (4) din Legea nr. 100/2017, inclusiv cerința de corelare cu actele normative de nivel superior și integrarea organică în cadrul legislativ în vigoare. Modificarea contribuie la consolidarea securității juridice și la asigurarea unei interpretări unitare a actului normativ de către toate autoritățile implicate.</w:t>
            </w:r>
          </w:p>
        </w:tc>
      </w:tr>
      <w:tr w:rsidR="00E2097D" w14:paraId="544B7999" w14:textId="77777777" w:rsidTr="000E7DFC">
        <w:trPr>
          <w:trHeight w:val="1705"/>
        </w:trPr>
        <w:tc>
          <w:tcPr>
            <w:tcW w:w="625" w:type="dxa"/>
          </w:tcPr>
          <w:p w14:paraId="66B7E5D9" w14:textId="77777777" w:rsidR="00E2097D" w:rsidRDefault="00E2097D">
            <w:pPr>
              <w:pBdr>
                <w:between w:val="single" w:sz="4" w:space="1" w:color="000000"/>
              </w:pBdr>
              <w:jc w:val="both"/>
              <w:rPr>
                <w:rFonts w:ascii="Times New Roman" w:eastAsia="Times New Roman" w:hAnsi="Times New Roman" w:cs="Times New Roman"/>
                <w:b/>
                <w:bCs/>
                <w:color w:val="000000"/>
              </w:rPr>
            </w:pPr>
          </w:p>
        </w:tc>
        <w:tc>
          <w:tcPr>
            <w:tcW w:w="1845" w:type="dxa"/>
          </w:tcPr>
          <w:p w14:paraId="37F9AD1E" w14:textId="77777777" w:rsidR="00E2097D" w:rsidRDefault="00E2097D">
            <w:pPr>
              <w:rPr>
                <w:rFonts w:ascii="Times New Roman" w:eastAsia="Times New Roman" w:hAnsi="Times New Roman" w:cs="Times New Roman"/>
                <w:b/>
                <w:bCs/>
                <w:color w:val="000000"/>
              </w:rPr>
            </w:pPr>
          </w:p>
        </w:tc>
        <w:tc>
          <w:tcPr>
            <w:tcW w:w="2580" w:type="dxa"/>
            <w:gridSpan w:val="2"/>
          </w:tcPr>
          <w:p w14:paraId="00733856" w14:textId="77777777" w:rsidR="00E2097D" w:rsidRDefault="00E2097D" w:rsidP="00E2097D">
            <w:pPr>
              <w:pBdr>
                <w:between w:val="single" w:sz="4" w:space="1" w:color="000000"/>
              </w:pBdr>
              <w:jc w:val="center"/>
              <w:rPr>
                <w:rFonts w:ascii="Times New Roman" w:eastAsia="Times New Roman" w:hAnsi="Times New Roman" w:cs="Times New Roman"/>
              </w:rPr>
            </w:pPr>
          </w:p>
        </w:tc>
        <w:tc>
          <w:tcPr>
            <w:tcW w:w="5400" w:type="dxa"/>
          </w:tcPr>
          <w:p w14:paraId="5F44E5F3" w14:textId="77777777" w:rsidR="00E2097D" w:rsidRDefault="00E2097D">
            <w:pPr>
              <w:pBdr>
                <w:between w:val="single" w:sz="4" w:space="1" w:color="000000"/>
              </w:pBdr>
              <w:jc w:val="both"/>
              <w:rPr>
                <w:rFonts w:ascii="Times New Roman" w:eastAsia="Times New Roman" w:hAnsi="Times New Roman" w:cs="Times New Roman"/>
              </w:rPr>
            </w:pPr>
          </w:p>
        </w:tc>
        <w:tc>
          <w:tcPr>
            <w:tcW w:w="3990" w:type="dxa"/>
          </w:tcPr>
          <w:p w14:paraId="713689A5" w14:textId="77777777" w:rsidR="00E2097D" w:rsidRDefault="00E2097D">
            <w:pPr>
              <w:pBdr>
                <w:between w:val="single" w:sz="4" w:space="1" w:color="000000"/>
              </w:pBdr>
              <w:jc w:val="both"/>
              <w:rPr>
                <w:rFonts w:ascii="Times New Roman" w:eastAsia="Times New Roman" w:hAnsi="Times New Roman" w:cs="Times New Roman"/>
                <w:b/>
                <w:bCs/>
              </w:rPr>
            </w:pPr>
          </w:p>
        </w:tc>
      </w:tr>
      <w:tr w:rsidR="00E2097D" w14:paraId="45168903" w14:textId="77777777" w:rsidTr="000E7DFC">
        <w:trPr>
          <w:trHeight w:val="1705"/>
        </w:trPr>
        <w:tc>
          <w:tcPr>
            <w:tcW w:w="625" w:type="dxa"/>
            <w:vMerge w:val="restart"/>
          </w:tcPr>
          <w:p w14:paraId="2740C185" w14:textId="77777777" w:rsidR="00E2097D" w:rsidRDefault="00E2097D">
            <w:pPr>
              <w:pBdr>
                <w:between w:val="single" w:sz="4" w:space="1" w:color="000000"/>
              </w:pBdr>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lastRenderedPageBreak/>
              <w:t>8.</w:t>
            </w:r>
          </w:p>
        </w:tc>
        <w:tc>
          <w:tcPr>
            <w:tcW w:w="1845" w:type="dxa"/>
            <w:vMerge w:val="restart"/>
          </w:tcPr>
          <w:p w14:paraId="7A4CCBAD" w14:textId="77777777" w:rsidR="00E2097D" w:rsidRDefault="00E2097D">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Ministerul Educației și Cercetării</w:t>
            </w:r>
          </w:p>
          <w:p w14:paraId="6F2EAD2C" w14:textId="77777777" w:rsidR="00E2097D" w:rsidRDefault="00E2097D">
            <w:pPr>
              <w:rPr>
                <w:rFonts w:ascii="Times New Roman" w:eastAsia="Times New Roman" w:hAnsi="Times New Roman" w:cs="Times New Roman"/>
                <w:i/>
                <w:iCs/>
              </w:rPr>
            </w:pPr>
            <w:r>
              <w:rPr>
                <w:rFonts w:ascii="Times New Roman" w:eastAsia="Times New Roman" w:hAnsi="Times New Roman" w:cs="Times New Roman"/>
                <w:i/>
                <w:iCs/>
                <w:color w:val="000000"/>
              </w:rPr>
              <w:t>(Nr. 02/272/26 din 04.05.2026)</w:t>
            </w:r>
          </w:p>
        </w:tc>
        <w:tc>
          <w:tcPr>
            <w:tcW w:w="2580" w:type="dxa"/>
            <w:gridSpan w:val="2"/>
          </w:tcPr>
          <w:p w14:paraId="6CB65E9A"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1</w:t>
            </w:r>
          </w:p>
        </w:tc>
        <w:tc>
          <w:tcPr>
            <w:tcW w:w="5400" w:type="dxa"/>
          </w:tcPr>
          <w:p w14:paraId="2B583042"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Se propune modificarea denumirii „Metodologia de elaborare a Evaluării Naționale de Risc la adresa securității naționale” în „Metodologia Evaluării Naționale de Risc la adresa securității naționale”, în vederea simplificării și uniformizării titlului actului normativ.</w:t>
            </w:r>
          </w:p>
        </w:tc>
        <w:tc>
          <w:tcPr>
            <w:tcW w:w="3990" w:type="dxa"/>
          </w:tcPr>
          <w:p w14:paraId="7140269F"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xml:space="preserve"> Modificarea este acceptată, întrucât contribuie la simplificarea denumirii actului normativ, fără a afecta conținutul juridic sau sfera de reglementare. Eliminarea sintagmei „de elaborare a” asigură o formulare mai concisă, clară și adecvată stilului normativ, în conformitate cu regulile de tehnică legislativă prevăzute de Legea nr. 100/2017, sporind totodată coerența terminologică a actului.</w:t>
            </w:r>
          </w:p>
        </w:tc>
      </w:tr>
      <w:tr w:rsidR="00E2097D" w14:paraId="42356630" w14:textId="77777777" w:rsidTr="000E7DFC">
        <w:tc>
          <w:tcPr>
            <w:tcW w:w="625" w:type="dxa"/>
            <w:vMerge/>
          </w:tcPr>
          <w:p w14:paraId="0C931D9F"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02E414F6"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0304DDB0"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2</w:t>
            </w:r>
          </w:p>
        </w:tc>
        <w:tc>
          <w:tcPr>
            <w:tcW w:w="5400" w:type="dxa"/>
          </w:tcPr>
          <w:p w14:paraId="6CB964E1"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La pct. 7 din Metodologie se propune excluderea numerotării subpunctelor aferente noțiunilor explicate, în scopul „aerisirii” textului și al îmbunătățirii lizibilității acestuia.</w:t>
            </w:r>
          </w:p>
        </w:tc>
        <w:tc>
          <w:tcPr>
            <w:tcW w:w="3990" w:type="dxa"/>
          </w:tcPr>
          <w:p w14:paraId="1F600891"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 parțial.</w:t>
            </w:r>
            <w:r>
              <w:rPr>
                <w:rFonts w:ascii="Times New Roman" w:eastAsia="Times New Roman" w:hAnsi="Times New Roman" w:cs="Times New Roman"/>
              </w:rPr>
              <w:t xml:space="preserve"> Se acceptă ajustarea tehnico-redacțională a modului de prezentare a definițiilor, în sensul reorganizării lor într-un format mai compact și mai ușor de parcurs. Totuși, numerotarea subpunctelor nu se exclude integral, deoarece aceasta asigură identificarea univocă a noțiunilor, facilitează trimiterea internă în cuprinsul metodologiei și contribuie la claritatea aplicării. Se va menține structurarea numerotată, cu eventuale ajustări de formă pentru optimizarea lizibilității textului normativ.</w:t>
            </w:r>
          </w:p>
        </w:tc>
      </w:tr>
      <w:tr w:rsidR="00E2097D" w14:paraId="4F33B782" w14:textId="77777777" w:rsidTr="000E7DFC">
        <w:tc>
          <w:tcPr>
            <w:tcW w:w="625" w:type="dxa"/>
            <w:shd w:val="clear" w:color="auto" w:fill="00B0F0"/>
          </w:tcPr>
          <w:p w14:paraId="6B698418"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shd w:val="clear" w:color="auto" w:fill="00B0F0"/>
          </w:tcPr>
          <w:p w14:paraId="49FD8461"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shd w:val="clear" w:color="auto" w:fill="00B0F0"/>
          </w:tcPr>
          <w:p w14:paraId="1DCC5A3A" w14:textId="77777777" w:rsidR="00E2097D" w:rsidRDefault="00E2097D" w:rsidP="00E2097D">
            <w:pPr>
              <w:pBdr>
                <w:between w:val="single" w:sz="4" w:space="1" w:color="000000"/>
              </w:pBdr>
              <w:jc w:val="center"/>
              <w:rPr>
                <w:rFonts w:ascii="Times New Roman" w:eastAsia="Times New Roman" w:hAnsi="Times New Roman" w:cs="Times New Roman"/>
              </w:rPr>
            </w:pPr>
          </w:p>
        </w:tc>
        <w:tc>
          <w:tcPr>
            <w:tcW w:w="5400" w:type="dxa"/>
            <w:shd w:val="clear" w:color="auto" w:fill="00B0F0"/>
          </w:tcPr>
          <w:p w14:paraId="43AE2682" w14:textId="77777777" w:rsidR="00E2097D" w:rsidRDefault="00E2097D">
            <w:pPr>
              <w:pBdr>
                <w:between w:val="single" w:sz="4" w:space="1" w:color="000000"/>
              </w:pBdr>
              <w:jc w:val="both"/>
              <w:rPr>
                <w:rFonts w:ascii="Times New Roman" w:eastAsia="Times New Roman" w:hAnsi="Times New Roman" w:cs="Times New Roman"/>
              </w:rPr>
            </w:pPr>
          </w:p>
        </w:tc>
        <w:tc>
          <w:tcPr>
            <w:tcW w:w="3990" w:type="dxa"/>
            <w:shd w:val="clear" w:color="auto" w:fill="00B0F0"/>
          </w:tcPr>
          <w:p w14:paraId="0B080EFD" w14:textId="77777777" w:rsidR="00E2097D" w:rsidRDefault="00E2097D">
            <w:pPr>
              <w:pBdr>
                <w:between w:val="single" w:sz="4" w:space="1" w:color="000000"/>
              </w:pBdr>
              <w:jc w:val="both"/>
              <w:rPr>
                <w:rFonts w:ascii="Times New Roman" w:eastAsia="Times New Roman" w:hAnsi="Times New Roman" w:cs="Times New Roman"/>
                <w:b/>
                <w:bCs/>
              </w:rPr>
            </w:pPr>
          </w:p>
        </w:tc>
      </w:tr>
      <w:tr w:rsidR="00E2097D" w14:paraId="5619758E" w14:textId="77777777" w:rsidTr="000E7DFC">
        <w:tc>
          <w:tcPr>
            <w:tcW w:w="625" w:type="dxa"/>
            <w:vMerge w:val="restart"/>
          </w:tcPr>
          <w:p w14:paraId="159E0C2B" w14:textId="77777777" w:rsidR="00E2097D" w:rsidRDefault="00E2097D">
            <w:pPr>
              <w:pBdr>
                <w:between w:val="single" w:sz="4" w:space="1" w:color="000000"/>
              </w:pBdr>
              <w:jc w:val="both"/>
              <w:rPr>
                <w:rFonts w:ascii="Times New Roman" w:eastAsia="Times New Roman" w:hAnsi="Times New Roman" w:cs="Times New Roman"/>
                <w:b/>
                <w:bCs/>
              </w:rPr>
            </w:pPr>
            <w:r>
              <w:rPr>
                <w:rFonts w:ascii="Times New Roman" w:eastAsia="Times New Roman" w:hAnsi="Times New Roman" w:cs="Times New Roman"/>
                <w:b/>
                <w:bCs/>
              </w:rPr>
              <w:t>9.</w:t>
            </w:r>
          </w:p>
        </w:tc>
        <w:tc>
          <w:tcPr>
            <w:tcW w:w="1845" w:type="dxa"/>
            <w:vMerge w:val="restart"/>
          </w:tcPr>
          <w:p w14:paraId="6B458118" w14:textId="77777777" w:rsidR="00E2097D" w:rsidRDefault="00E2097D">
            <w:pPr>
              <w:rPr>
                <w:rFonts w:ascii="Times New Roman" w:eastAsia="Times New Roman" w:hAnsi="Times New Roman" w:cs="Times New Roman"/>
                <w:b/>
                <w:bCs/>
              </w:rPr>
            </w:pPr>
            <w:r>
              <w:rPr>
                <w:rFonts w:ascii="Times New Roman" w:eastAsia="Times New Roman" w:hAnsi="Times New Roman" w:cs="Times New Roman"/>
                <w:b/>
                <w:bCs/>
              </w:rPr>
              <w:t>Ministerul Justiției</w:t>
            </w:r>
          </w:p>
          <w:p w14:paraId="64766DC1" w14:textId="77777777" w:rsidR="00E2097D" w:rsidRDefault="00E2097D">
            <w:pPr>
              <w:rPr>
                <w:rFonts w:ascii="Times New Roman" w:eastAsia="Times New Roman" w:hAnsi="Times New Roman" w:cs="Times New Roman"/>
                <w:b/>
                <w:bCs/>
                <w:i/>
                <w:iCs/>
              </w:rPr>
            </w:pPr>
            <w:r>
              <w:rPr>
                <w:rFonts w:ascii="Times New Roman" w:eastAsia="Times New Roman" w:hAnsi="Times New Roman" w:cs="Times New Roman"/>
                <w:i/>
                <w:iCs/>
                <w:color w:val="000000"/>
              </w:rPr>
              <w:t>(Nr. 04/1-4864 din 05.05.2026)</w:t>
            </w:r>
          </w:p>
        </w:tc>
        <w:tc>
          <w:tcPr>
            <w:tcW w:w="2580" w:type="dxa"/>
            <w:gridSpan w:val="2"/>
          </w:tcPr>
          <w:p w14:paraId="2E5D5EA7"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1</w:t>
            </w:r>
          </w:p>
        </w:tc>
        <w:tc>
          <w:tcPr>
            <w:tcW w:w="5400" w:type="dxa"/>
          </w:tcPr>
          <w:p w14:paraId="4F0508D4"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 xml:space="preserve">Sub aspectul fundamentării juridice, proiectul este justificat prin necesitatea instituirii unui cadru național unitar de analiză integrată a riscurilor la adresa securității naționale, în scopul eliminării abordărilor fragmentate și asigurării interoperabilității instituționale. Totodată, proiectul este corelat cu Legea nr. 248/2025 privind managementul situațiilor de criză și Legea nr. 249/2025 privind securitatea </w:t>
            </w:r>
            <w:r>
              <w:rPr>
                <w:rFonts w:ascii="Times New Roman" w:eastAsia="Times New Roman" w:hAnsi="Times New Roman" w:cs="Times New Roman"/>
              </w:rPr>
              <w:lastRenderedPageBreak/>
              <w:t>națională, urmărind consolidarea rezilienței naționale și alinierea la standardele UE și internaționale.</w:t>
            </w:r>
          </w:p>
        </w:tc>
        <w:tc>
          <w:tcPr>
            <w:tcW w:w="3990" w:type="dxa"/>
          </w:tcPr>
          <w:p w14:paraId="0F3096E5"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lastRenderedPageBreak/>
              <w:t>Se acceptă.</w:t>
            </w:r>
            <w:r>
              <w:rPr>
                <w:rFonts w:ascii="Times New Roman" w:eastAsia="Times New Roman" w:hAnsi="Times New Roman" w:cs="Times New Roman"/>
              </w:rPr>
              <w:t xml:space="preserve"> Se reține fundamentarea juridică expusă, aceasta confirmând necesitatea intervenției normative și coerența obiectivelor proiectului cu cadrul legislativ național și angajamentele internaționale ale Republicii Moldova. Argumentele privind interoperabilitatea instituțională și consolidarea rezilienței </w:t>
            </w:r>
            <w:r>
              <w:rPr>
                <w:rFonts w:ascii="Times New Roman" w:eastAsia="Times New Roman" w:hAnsi="Times New Roman" w:cs="Times New Roman"/>
              </w:rPr>
              <w:lastRenderedPageBreak/>
              <w:t>naționale sunt integrate în nota de fundamentare.</w:t>
            </w:r>
          </w:p>
        </w:tc>
      </w:tr>
      <w:tr w:rsidR="00E2097D" w14:paraId="52235FEA" w14:textId="77777777" w:rsidTr="000E7DFC">
        <w:tc>
          <w:tcPr>
            <w:tcW w:w="625" w:type="dxa"/>
            <w:vMerge/>
          </w:tcPr>
          <w:p w14:paraId="29BFA26D"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37C70145"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68888D74"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2</w:t>
            </w:r>
          </w:p>
        </w:tc>
        <w:tc>
          <w:tcPr>
            <w:tcW w:w="5400" w:type="dxa"/>
          </w:tcPr>
          <w:p w14:paraId="59A78FBA"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La proiectul hotărârii, se propune excluderea referinței la art. 6 alin. (1) din Legea nr. 248/2025 și art. 21 din Legea nr. 249/2025, întrucât aceste norme nu stabilesc competența Guvernului de a aproba actul normativ.</w:t>
            </w:r>
          </w:p>
        </w:tc>
        <w:tc>
          <w:tcPr>
            <w:tcW w:w="3990" w:type="dxa"/>
          </w:tcPr>
          <w:p w14:paraId="0C41C4B1" w14:textId="42034759"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xml:space="preserve"> Referințele juridice </w:t>
            </w:r>
            <w:r w:rsidR="00F64672">
              <w:rPr>
                <w:rFonts w:ascii="Times New Roman" w:eastAsia="Times New Roman" w:hAnsi="Times New Roman" w:cs="Times New Roman"/>
              </w:rPr>
              <w:t>sunt</w:t>
            </w:r>
            <w:r>
              <w:rPr>
                <w:rFonts w:ascii="Times New Roman" w:eastAsia="Times New Roman" w:hAnsi="Times New Roman" w:cs="Times New Roman"/>
              </w:rPr>
              <w:t xml:space="preserve"> revizuite și limitate exclusiv la temeiurile care consacră competența Guvernului de a aproba actul normativ, în conformitate cu exigențele de tehnică legislativă și principiul legalității actelor administrative normative.</w:t>
            </w:r>
          </w:p>
        </w:tc>
      </w:tr>
      <w:tr w:rsidR="00E2097D" w14:paraId="24DE941B" w14:textId="77777777" w:rsidTr="000E7DFC">
        <w:tc>
          <w:tcPr>
            <w:tcW w:w="625" w:type="dxa"/>
            <w:vMerge/>
          </w:tcPr>
          <w:p w14:paraId="322374E4"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1548235A"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0B80E2FB"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3</w:t>
            </w:r>
          </w:p>
        </w:tc>
        <w:tc>
          <w:tcPr>
            <w:tcW w:w="5400" w:type="dxa"/>
          </w:tcPr>
          <w:p w14:paraId="6A905BE5"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La pct. 2–4 din proiectul hotărârii, cuvântul „maximum” se substituie cu sintagma „în termen de”, observație aplicabilă și altor dispoziții similare.</w:t>
            </w:r>
          </w:p>
        </w:tc>
        <w:tc>
          <w:tcPr>
            <w:tcW w:w="3990" w:type="dxa"/>
          </w:tcPr>
          <w:p w14:paraId="3F22608B"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xml:space="preserve"> Se realizează uniformizarea terminologică, întrucât expresia „în termen de” este adecvată limbajului normativ și asigură claritate juridică privind calculul termenelor de executare a obligațiilor instituționale.</w:t>
            </w:r>
          </w:p>
        </w:tc>
      </w:tr>
      <w:tr w:rsidR="00E2097D" w14:paraId="19209A8A" w14:textId="77777777" w:rsidTr="000E7DFC">
        <w:tc>
          <w:tcPr>
            <w:tcW w:w="625" w:type="dxa"/>
            <w:vMerge/>
          </w:tcPr>
          <w:p w14:paraId="09E4A0F6"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22FFA5FB"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448F52E5"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4</w:t>
            </w:r>
          </w:p>
        </w:tc>
        <w:tc>
          <w:tcPr>
            <w:tcW w:w="5400" w:type="dxa"/>
          </w:tcPr>
          <w:p w14:paraId="496BE452"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La pct. 6, sintagma „la o lună” se substituie cu „la expirarea termenului de o lună”.</w:t>
            </w:r>
          </w:p>
        </w:tc>
        <w:tc>
          <w:tcPr>
            <w:tcW w:w="3990" w:type="dxa"/>
          </w:tcPr>
          <w:p w14:paraId="4B23026B"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xml:space="preserve"> Modificarea este necesară pentru corectitudinea juridico-tehnică a exprimării termenelor, asigurând un calcul univoc și evitând interpretările divergente privind momentul de referință.</w:t>
            </w:r>
          </w:p>
        </w:tc>
      </w:tr>
      <w:tr w:rsidR="00E2097D" w14:paraId="208A718B" w14:textId="77777777" w:rsidTr="000E7DFC">
        <w:tc>
          <w:tcPr>
            <w:tcW w:w="625" w:type="dxa"/>
            <w:vMerge/>
          </w:tcPr>
          <w:p w14:paraId="12D5678B"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1FF1F6F2"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209B6547"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5</w:t>
            </w:r>
          </w:p>
        </w:tc>
        <w:tc>
          <w:tcPr>
            <w:tcW w:w="5400" w:type="dxa"/>
          </w:tcPr>
          <w:p w14:paraId="04891396"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În formula de atestare a autenticității actului normativ, cuvântul „Ministra” se substituie cu „Ministrul”, conform actelor de numire a Guvernului. Totodată, formula se revizuiește în conformitate cu art. 36 alin. (2) din Legea nr. 136/2017 privind Guvernul, privind contrasemnarea actelor normative.</w:t>
            </w:r>
          </w:p>
        </w:tc>
        <w:tc>
          <w:tcPr>
            <w:tcW w:w="3990" w:type="dxa"/>
          </w:tcPr>
          <w:p w14:paraId="19C11D36" w14:textId="20F827BD"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xml:space="preserve"> S</w:t>
            </w:r>
            <w:r w:rsidR="00F64672">
              <w:rPr>
                <w:rFonts w:ascii="Times New Roman" w:eastAsia="Times New Roman" w:hAnsi="Times New Roman" w:cs="Times New Roman"/>
              </w:rPr>
              <w:t>-au</w:t>
            </w:r>
            <w:r>
              <w:rPr>
                <w:rFonts w:ascii="Times New Roman" w:eastAsia="Times New Roman" w:hAnsi="Times New Roman" w:cs="Times New Roman"/>
              </w:rPr>
              <w:t xml:space="preserve"> efectua</w:t>
            </w:r>
            <w:r w:rsidR="00F64672">
              <w:rPr>
                <w:rFonts w:ascii="Times New Roman" w:eastAsia="Times New Roman" w:hAnsi="Times New Roman" w:cs="Times New Roman"/>
              </w:rPr>
              <w:t>t</w:t>
            </w:r>
            <w:r>
              <w:rPr>
                <w:rFonts w:ascii="Times New Roman" w:eastAsia="Times New Roman" w:hAnsi="Times New Roman" w:cs="Times New Roman"/>
              </w:rPr>
              <w:t xml:space="preserve"> ajustări de redactare și conformitate instituțională a formulei de atestare, în concordanță cu actele de numire în funcție și cu regimul juridic al contrasemnării hotărârilor Guvernului, asigurând validitatea formală a actului.</w:t>
            </w:r>
          </w:p>
        </w:tc>
      </w:tr>
      <w:tr w:rsidR="00E2097D" w14:paraId="0B0677FC" w14:textId="77777777" w:rsidTr="000E7DFC">
        <w:tc>
          <w:tcPr>
            <w:tcW w:w="625" w:type="dxa"/>
            <w:vMerge/>
          </w:tcPr>
          <w:p w14:paraId="7A329B90"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0286DAC1"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0A82BFE9"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6</w:t>
            </w:r>
          </w:p>
        </w:tc>
        <w:tc>
          <w:tcPr>
            <w:tcW w:w="5400" w:type="dxa"/>
          </w:tcPr>
          <w:p w14:paraId="5508FE0D"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La parafa de aprobare din Metodologie, cuvântul „Aprobat” se substituie cu „Aprobată”.</w:t>
            </w:r>
          </w:p>
        </w:tc>
        <w:tc>
          <w:tcPr>
            <w:tcW w:w="3990" w:type="dxa"/>
          </w:tcPr>
          <w:p w14:paraId="5507103B"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xml:space="preserve"> Modificarea este necesară pentru corectitudine gramaticală și concordanță de gen cu denumirea documentului normativ.</w:t>
            </w:r>
          </w:p>
        </w:tc>
      </w:tr>
      <w:tr w:rsidR="00E2097D" w14:paraId="5BCF74ED" w14:textId="77777777" w:rsidTr="000E7DFC">
        <w:tc>
          <w:tcPr>
            <w:tcW w:w="625" w:type="dxa"/>
            <w:vMerge/>
          </w:tcPr>
          <w:p w14:paraId="1235BC24"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327F7065"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5E0798D3"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7</w:t>
            </w:r>
          </w:p>
        </w:tc>
        <w:tc>
          <w:tcPr>
            <w:tcW w:w="5400" w:type="dxa"/>
          </w:tcPr>
          <w:p w14:paraId="647EB117"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La pct. 1, sintagma „denumită în continuare Metodologia” se substituie cu „(în continuare – Metodologia)”.</w:t>
            </w:r>
          </w:p>
        </w:tc>
        <w:tc>
          <w:tcPr>
            <w:tcW w:w="3990" w:type="dxa"/>
          </w:tcPr>
          <w:p w14:paraId="6B5CA269"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xml:space="preserve"> Se realizează uniformizarea stilului normativ și alinierea la regulile de tehnică </w:t>
            </w:r>
            <w:r>
              <w:rPr>
                <w:rFonts w:ascii="Times New Roman" w:eastAsia="Times New Roman" w:hAnsi="Times New Roman" w:cs="Times New Roman"/>
              </w:rPr>
              <w:lastRenderedPageBreak/>
              <w:t>legislativă privind utilizarea parantezelor pentru introducerea abrevierilor sau denumirilor prescurtate.</w:t>
            </w:r>
          </w:p>
        </w:tc>
      </w:tr>
      <w:tr w:rsidR="00E2097D" w14:paraId="1E03EED9" w14:textId="77777777" w:rsidTr="000E7DFC">
        <w:tc>
          <w:tcPr>
            <w:tcW w:w="625" w:type="dxa"/>
            <w:vMerge/>
          </w:tcPr>
          <w:p w14:paraId="40C59FC2"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788EB262"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155E62CC"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8</w:t>
            </w:r>
          </w:p>
        </w:tc>
        <w:tc>
          <w:tcPr>
            <w:tcW w:w="5400" w:type="dxa"/>
          </w:tcPr>
          <w:p w14:paraId="6100F610"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Pct. 7 se reformulează prin integrarea trimiterilor la art. 2 din Legea nr. 248/2025 și art. 3 din Legea nr. 249/2025, urmat de noțiuni proprii. Se constată necesitatea eliminării definițiilor redundante sau divergente față de actele de nivel superior.</w:t>
            </w:r>
          </w:p>
        </w:tc>
        <w:tc>
          <w:tcPr>
            <w:tcW w:w="3990" w:type="dxa"/>
          </w:tcPr>
          <w:p w14:paraId="7CECA85D" w14:textId="0AD1D475"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xml:space="preserve"> Se revizui</w:t>
            </w:r>
            <w:r w:rsidR="00F64672">
              <w:rPr>
                <w:rFonts w:ascii="Times New Roman" w:eastAsia="Times New Roman" w:hAnsi="Times New Roman" w:cs="Times New Roman"/>
              </w:rPr>
              <w:t>e</w:t>
            </w:r>
            <w:r>
              <w:rPr>
                <w:rFonts w:ascii="Times New Roman" w:eastAsia="Times New Roman" w:hAnsi="Times New Roman" w:cs="Times New Roman"/>
              </w:rPr>
              <w:t xml:space="preserve"> structura pct. 7 pentru a asigura preluarea directă a noțiunilor din actele normative de nivel superior și eliminarea definițiilor redundante, evitând astfel riscul interpretărilor divergente și asigurând unitatea terminologică.</w:t>
            </w:r>
          </w:p>
        </w:tc>
      </w:tr>
      <w:tr w:rsidR="00E2097D" w14:paraId="66A78003" w14:textId="77777777" w:rsidTr="000E7DFC">
        <w:tc>
          <w:tcPr>
            <w:tcW w:w="625" w:type="dxa"/>
            <w:vMerge/>
          </w:tcPr>
          <w:p w14:paraId="17EEC670"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3E3F74BB"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236DECB2"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9</w:t>
            </w:r>
          </w:p>
        </w:tc>
        <w:tc>
          <w:tcPr>
            <w:tcW w:w="5400" w:type="dxa"/>
          </w:tcPr>
          <w:p w14:paraId="4B1E3C6F"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Subpct. 11.1 – sintagma „prevederile legislației specifice” este lipsită de claritate și previzibilitate.</w:t>
            </w:r>
          </w:p>
        </w:tc>
        <w:tc>
          <w:tcPr>
            <w:tcW w:w="3990" w:type="dxa"/>
          </w:tcPr>
          <w:p w14:paraId="62014B02" w14:textId="6797581E"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xml:space="preserve"> S</w:t>
            </w:r>
            <w:r w:rsidR="00F64672">
              <w:rPr>
                <w:rFonts w:ascii="Times New Roman" w:eastAsia="Times New Roman" w:hAnsi="Times New Roman" w:cs="Times New Roman"/>
              </w:rPr>
              <w:t xml:space="preserve">-a </w:t>
            </w:r>
            <w:r>
              <w:rPr>
                <w:rFonts w:ascii="Times New Roman" w:eastAsia="Times New Roman" w:hAnsi="Times New Roman" w:cs="Times New Roman"/>
              </w:rPr>
              <w:t>reformula</w:t>
            </w:r>
            <w:r w:rsidR="00F64672">
              <w:rPr>
                <w:rFonts w:ascii="Times New Roman" w:eastAsia="Times New Roman" w:hAnsi="Times New Roman" w:cs="Times New Roman"/>
              </w:rPr>
              <w:t>t</w:t>
            </w:r>
            <w:r>
              <w:rPr>
                <w:rFonts w:ascii="Times New Roman" w:eastAsia="Times New Roman" w:hAnsi="Times New Roman" w:cs="Times New Roman"/>
              </w:rPr>
              <w:t xml:space="preserve"> norma prin indicarea expresă a actelor normative relevante, pentru a respecta principiile clarității, previzibilității și accesibilității normei juridice.</w:t>
            </w:r>
          </w:p>
        </w:tc>
      </w:tr>
      <w:tr w:rsidR="00E2097D" w14:paraId="3CA3BA01" w14:textId="77777777" w:rsidTr="000E7DFC">
        <w:tc>
          <w:tcPr>
            <w:tcW w:w="625" w:type="dxa"/>
            <w:vMerge/>
          </w:tcPr>
          <w:p w14:paraId="42E6EFB2"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30865C20"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2D891703"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10</w:t>
            </w:r>
          </w:p>
        </w:tc>
        <w:tc>
          <w:tcPr>
            <w:tcW w:w="5400" w:type="dxa"/>
          </w:tcPr>
          <w:p w14:paraId="7F448A54"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Subpct. 15.1 – se propune substituirea „autoritățile publice centrale și locale” cu „autoritățile administrației publice centrale și locale”, conform legislației în vigoare.</w:t>
            </w:r>
          </w:p>
        </w:tc>
        <w:tc>
          <w:tcPr>
            <w:tcW w:w="3990" w:type="dxa"/>
          </w:tcPr>
          <w:p w14:paraId="037BBA38"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xml:space="preserve"> Se realizează corelarea terminologică cu Legea nr. 98/2012 și Legea nr. 436/2006, asigurând utilizarea uniformă a noțiunilor privind administrația publică.</w:t>
            </w:r>
          </w:p>
        </w:tc>
      </w:tr>
      <w:tr w:rsidR="00E2097D" w14:paraId="00B1AF53" w14:textId="77777777" w:rsidTr="000E7DFC">
        <w:tc>
          <w:tcPr>
            <w:tcW w:w="625" w:type="dxa"/>
            <w:vMerge/>
          </w:tcPr>
          <w:p w14:paraId="70239306"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1FCC4524"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7A854892"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11</w:t>
            </w:r>
          </w:p>
        </w:tc>
        <w:tc>
          <w:tcPr>
            <w:tcW w:w="5400" w:type="dxa"/>
          </w:tcPr>
          <w:p w14:paraId="663E08B7"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Figura nr. 1 trebuie să aibă temei normativ expres în text și să se refere exclusiv la obiectul reglementării.</w:t>
            </w:r>
          </w:p>
        </w:tc>
        <w:tc>
          <w:tcPr>
            <w:tcW w:w="3990" w:type="dxa"/>
          </w:tcPr>
          <w:p w14:paraId="74E14219" w14:textId="0906CD16"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xml:space="preserve"> S</w:t>
            </w:r>
            <w:r w:rsidR="00F64672">
              <w:rPr>
                <w:rFonts w:ascii="Times New Roman" w:eastAsia="Times New Roman" w:hAnsi="Times New Roman" w:cs="Times New Roman"/>
              </w:rPr>
              <w:t xml:space="preserve">e </w:t>
            </w:r>
            <w:r>
              <w:rPr>
                <w:rFonts w:ascii="Times New Roman" w:eastAsia="Times New Roman" w:hAnsi="Times New Roman" w:cs="Times New Roman"/>
              </w:rPr>
              <w:t>introduce trimitere expresă la figură în textul normativ și se va verifica corespondența acesteia cu obiectul reglementării, pentru a evita elemente grafice nefundamentate juridic.</w:t>
            </w:r>
          </w:p>
        </w:tc>
      </w:tr>
      <w:tr w:rsidR="00E2097D" w14:paraId="06D6C466" w14:textId="77777777" w:rsidTr="000E7DFC">
        <w:tc>
          <w:tcPr>
            <w:tcW w:w="625" w:type="dxa"/>
            <w:vMerge/>
          </w:tcPr>
          <w:p w14:paraId="3B9FA88B"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7711A879"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7B79164D"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12</w:t>
            </w:r>
          </w:p>
        </w:tc>
        <w:tc>
          <w:tcPr>
            <w:tcW w:w="5400" w:type="dxa"/>
          </w:tcPr>
          <w:p w14:paraId="6F597AFC"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Subpct. 38.2 – abrevierile OECD și UE trebuie explicate la prima utilizare, conform art. 54 alin. (1) lit. i) din Legea nr. 100/2017.</w:t>
            </w:r>
          </w:p>
        </w:tc>
        <w:tc>
          <w:tcPr>
            <w:tcW w:w="3990" w:type="dxa"/>
          </w:tcPr>
          <w:p w14:paraId="56D00EDB" w14:textId="60FA2F16"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xml:space="preserve"> Se introduce explicațiile complete ale abrevierilor la prima menționare, pentru respectarea regulilor de tehnică legislativă privind utilizarea abrevierilor în actele normative.</w:t>
            </w:r>
          </w:p>
        </w:tc>
      </w:tr>
      <w:tr w:rsidR="00E2097D" w14:paraId="54772196" w14:textId="77777777" w:rsidTr="000E7DFC">
        <w:tc>
          <w:tcPr>
            <w:tcW w:w="625" w:type="dxa"/>
            <w:vMerge/>
          </w:tcPr>
          <w:p w14:paraId="7839328D"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45553F96"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72753AC6"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13</w:t>
            </w:r>
          </w:p>
        </w:tc>
        <w:tc>
          <w:tcPr>
            <w:tcW w:w="5400" w:type="dxa"/>
          </w:tcPr>
          <w:p w14:paraId="165CC39B"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La pct. 51 se constată dublarea reglementării între subpct. 51.2 și 51.3.</w:t>
            </w:r>
          </w:p>
        </w:tc>
        <w:tc>
          <w:tcPr>
            <w:tcW w:w="3990" w:type="dxa"/>
          </w:tcPr>
          <w:p w14:paraId="7FC8C694" w14:textId="75F5EA9A"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xml:space="preserve"> Se elimin</w:t>
            </w:r>
            <w:r w:rsidR="00F64672">
              <w:rPr>
                <w:rFonts w:ascii="Times New Roman" w:eastAsia="Times New Roman" w:hAnsi="Times New Roman" w:cs="Times New Roman"/>
              </w:rPr>
              <w:t>ă</w:t>
            </w:r>
            <w:r>
              <w:rPr>
                <w:rFonts w:ascii="Times New Roman" w:eastAsia="Times New Roman" w:hAnsi="Times New Roman" w:cs="Times New Roman"/>
              </w:rPr>
              <w:t xml:space="preserve"> suprapunerea normativă și se va realiza comasarea </w:t>
            </w:r>
            <w:r>
              <w:rPr>
                <w:rFonts w:ascii="Times New Roman" w:eastAsia="Times New Roman" w:hAnsi="Times New Roman" w:cs="Times New Roman"/>
              </w:rPr>
              <w:lastRenderedPageBreak/>
              <w:t>sau clarificarea etapelor procesului de evaluare, pentru a evita redundanța și interpretările contradictorii.</w:t>
            </w:r>
          </w:p>
        </w:tc>
      </w:tr>
      <w:tr w:rsidR="00E2097D" w14:paraId="007FB545" w14:textId="77777777" w:rsidTr="000E7DFC">
        <w:tc>
          <w:tcPr>
            <w:tcW w:w="625" w:type="dxa"/>
            <w:vMerge/>
          </w:tcPr>
          <w:p w14:paraId="79506136"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1BAE6023"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0BAADA96"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14</w:t>
            </w:r>
          </w:p>
        </w:tc>
        <w:tc>
          <w:tcPr>
            <w:tcW w:w="5400" w:type="dxa"/>
          </w:tcPr>
          <w:p w14:paraId="349064FD"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Subpct. 57.2 – cuvântul „anterior” se substituie cu trimiterea exactă la norma relevantă.</w:t>
            </w:r>
          </w:p>
        </w:tc>
        <w:tc>
          <w:tcPr>
            <w:tcW w:w="3990" w:type="dxa"/>
          </w:tcPr>
          <w:p w14:paraId="227F161A" w14:textId="7FCCCC7E"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xml:space="preserve"> Se</w:t>
            </w:r>
            <w:r w:rsidR="00F64672">
              <w:rPr>
                <w:rFonts w:ascii="Times New Roman" w:eastAsia="Times New Roman" w:hAnsi="Times New Roman" w:cs="Times New Roman"/>
              </w:rPr>
              <w:t xml:space="preserve"> </w:t>
            </w:r>
            <w:r>
              <w:rPr>
                <w:rFonts w:ascii="Times New Roman" w:eastAsia="Times New Roman" w:hAnsi="Times New Roman" w:cs="Times New Roman"/>
              </w:rPr>
              <w:t>introduce trimitere normativă exactă pentru asigurarea preciziei juridice și evitarea referințelor vagi.</w:t>
            </w:r>
          </w:p>
        </w:tc>
      </w:tr>
      <w:tr w:rsidR="00E2097D" w14:paraId="0BF472E0" w14:textId="77777777" w:rsidTr="000E7DFC">
        <w:tc>
          <w:tcPr>
            <w:tcW w:w="625" w:type="dxa"/>
            <w:vMerge/>
          </w:tcPr>
          <w:p w14:paraId="3E59D908"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17E7CDE5"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32D27BCC"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15</w:t>
            </w:r>
          </w:p>
        </w:tc>
        <w:tc>
          <w:tcPr>
            <w:tcW w:w="5400" w:type="dxa"/>
          </w:tcPr>
          <w:p w14:paraId="4FE3FE07"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Subpct. 58.1 – se exclude sintagma „printre altele” ca fiind imprecisă.</w:t>
            </w:r>
          </w:p>
        </w:tc>
        <w:tc>
          <w:tcPr>
            <w:tcW w:w="3990" w:type="dxa"/>
          </w:tcPr>
          <w:p w14:paraId="78951FDE" w14:textId="5C48FEEA"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xml:space="preserve"> Se elimin</w:t>
            </w:r>
            <w:r w:rsidR="00F64672">
              <w:rPr>
                <w:rFonts w:ascii="Times New Roman" w:eastAsia="Times New Roman" w:hAnsi="Times New Roman" w:cs="Times New Roman"/>
              </w:rPr>
              <w:t>ă</w:t>
            </w:r>
            <w:r>
              <w:rPr>
                <w:rFonts w:ascii="Times New Roman" w:eastAsia="Times New Roman" w:hAnsi="Times New Roman" w:cs="Times New Roman"/>
              </w:rPr>
              <w:t xml:space="preserve"> formularea neconcludentă, pentru a asigura caracterul determinat și previzibil al normei.</w:t>
            </w:r>
          </w:p>
        </w:tc>
      </w:tr>
      <w:tr w:rsidR="00E2097D" w14:paraId="7B0B8431" w14:textId="77777777" w:rsidTr="000E7DFC">
        <w:tc>
          <w:tcPr>
            <w:tcW w:w="625" w:type="dxa"/>
            <w:vMerge/>
          </w:tcPr>
          <w:p w14:paraId="3BE7AC27"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41C43786"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1F92E3FA"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16</w:t>
            </w:r>
          </w:p>
        </w:tc>
        <w:tc>
          <w:tcPr>
            <w:tcW w:w="5400" w:type="dxa"/>
          </w:tcPr>
          <w:p w14:paraId="6140AE8F"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Numerotarea elementelor structurale trebuie revizuită conform art. 52 alin. (3) din Legea nr. 100/2017, pentru asigurarea corectitudinii tehnico-legislative.</w:t>
            </w:r>
          </w:p>
        </w:tc>
        <w:tc>
          <w:tcPr>
            <w:tcW w:w="3990" w:type="dxa"/>
          </w:tcPr>
          <w:p w14:paraId="09757B65" w14:textId="7BA013CD"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xml:space="preserve"> </w:t>
            </w:r>
            <w:r w:rsidR="00F64672">
              <w:rPr>
                <w:rFonts w:ascii="Times New Roman" w:eastAsia="Times New Roman" w:hAnsi="Times New Roman" w:cs="Times New Roman"/>
              </w:rPr>
              <w:t>S-a</w:t>
            </w:r>
            <w:r>
              <w:rPr>
                <w:rFonts w:ascii="Times New Roman" w:eastAsia="Times New Roman" w:hAnsi="Times New Roman" w:cs="Times New Roman"/>
              </w:rPr>
              <w:t xml:space="preserve"> efectua</w:t>
            </w:r>
            <w:r w:rsidR="00F64672">
              <w:rPr>
                <w:rFonts w:ascii="Times New Roman" w:eastAsia="Times New Roman" w:hAnsi="Times New Roman" w:cs="Times New Roman"/>
              </w:rPr>
              <w:t>t</w:t>
            </w:r>
            <w:r>
              <w:rPr>
                <w:rFonts w:ascii="Times New Roman" w:eastAsia="Times New Roman" w:hAnsi="Times New Roman" w:cs="Times New Roman"/>
              </w:rPr>
              <w:t xml:space="preserve"> revizuirea integrală a numerotării punctelor și subpunctelor, pentru a asigura coerența structurii actului normativ și respectarea regulilor de tehnică legislativă.</w:t>
            </w:r>
          </w:p>
        </w:tc>
      </w:tr>
      <w:tr w:rsidR="00B5067E" w14:paraId="46100ECE" w14:textId="77777777" w:rsidTr="000E7DFC">
        <w:tc>
          <w:tcPr>
            <w:tcW w:w="625" w:type="dxa"/>
            <w:shd w:val="clear" w:color="auto" w:fill="00B0F0"/>
          </w:tcPr>
          <w:p w14:paraId="03DB35FA" w14:textId="77777777" w:rsidR="00B5067E" w:rsidRDefault="00B5067E">
            <w:pPr>
              <w:pBdr>
                <w:between w:val="single" w:sz="4" w:space="1" w:color="000000"/>
              </w:pBdr>
              <w:jc w:val="both"/>
              <w:rPr>
                <w:rFonts w:ascii="Times New Roman" w:eastAsia="Times New Roman" w:hAnsi="Times New Roman" w:cs="Times New Roman"/>
              </w:rPr>
            </w:pPr>
          </w:p>
        </w:tc>
        <w:tc>
          <w:tcPr>
            <w:tcW w:w="1845" w:type="dxa"/>
            <w:shd w:val="clear" w:color="auto" w:fill="00B0F0"/>
          </w:tcPr>
          <w:p w14:paraId="0BB27A23" w14:textId="77777777" w:rsidR="00B5067E" w:rsidRDefault="00B5067E">
            <w:pPr>
              <w:pBdr>
                <w:between w:val="single" w:sz="4" w:space="1" w:color="000000"/>
              </w:pBdr>
              <w:rPr>
                <w:rFonts w:ascii="Times New Roman" w:eastAsia="Times New Roman" w:hAnsi="Times New Roman" w:cs="Times New Roman"/>
              </w:rPr>
            </w:pPr>
          </w:p>
        </w:tc>
        <w:tc>
          <w:tcPr>
            <w:tcW w:w="2580" w:type="dxa"/>
            <w:gridSpan w:val="2"/>
            <w:shd w:val="clear" w:color="auto" w:fill="00B0F0"/>
          </w:tcPr>
          <w:p w14:paraId="59043AAC" w14:textId="77777777" w:rsidR="00B5067E" w:rsidRDefault="00B5067E" w:rsidP="00E2097D">
            <w:pPr>
              <w:pBdr>
                <w:between w:val="single" w:sz="4" w:space="1" w:color="000000"/>
              </w:pBdr>
              <w:jc w:val="center"/>
              <w:rPr>
                <w:rFonts w:ascii="Times New Roman" w:eastAsia="Times New Roman" w:hAnsi="Times New Roman" w:cs="Times New Roman"/>
              </w:rPr>
            </w:pPr>
          </w:p>
        </w:tc>
        <w:tc>
          <w:tcPr>
            <w:tcW w:w="5400" w:type="dxa"/>
            <w:shd w:val="clear" w:color="auto" w:fill="00B0F0"/>
          </w:tcPr>
          <w:p w14:paraId="124BCDE6" w14:textId="77777777" w:rsidR="00B5067E" w:rsidRDefault="00B5067E">
            <w:pPr>
              <w:pBdr>
                <w:between w:val="single" w:sz="4" w:space="1" w:color="000000"/>
              </w:pBdr>
              <w:jc w:val="both"/>
              <w:rPr>
                <w:rFonts w:ascii="Times New Roman" w:eastAsia="Times New Roman" w:hAnsi="Times New Roman" w:cs="Times New Roman"/>
              </w:rPr>
            </w:pPr>
          </w:p>
        </w:tc>
        <w:tc>
          <w:tcPr>
            <w:tcW w:w="3990" w:type="dxa"/>
            <w:shd w:val="clear" w:color="auto" w:fill="00B0F0"/>
          </w:tcPr>
          <w:p w14:paraId="0126BC3D" w14:textId="77777777" w:rsidR="00B5067E" w:rsidRDefault="00B5067E">
            <w:pPr>
              <w:pBdr>
                <w:between w:val="single" w:sz="4" w:space="1" w:color="000000"/>
              </w:pBdr>
              <w:jc w:val="both"/>
              <w:rPr>
                <w:rFonts w:ascii="Times New Roman" w:eastAsia="Times New Roman" w:hAnsi="Times New Roman" w:cs="Times New Roman"/>
                <w:b/>
                <w:bCs/>
              </w:rPr>
            </w:pPr>
          </w:p>
        </w:tc>
      </w:tr>
      <w:tr w:rsidR="00E2097D" w14:paraId="577301C5" w14:textId="77777777" w:rsidTr="000E7DFC">
        <w:tc>
          <w:tcPr>
            <w:tcW w:w="625" w:type="dxa"/>
            <w:vMerge w:val="restart"/>
          </w:tcPr>
          <w:p w14:paraId="7114D9D6" w14:textId="77777777" w:rsidR="00E2097D" w:rsidRDefault="00E2097D">
            <w:pPr>
              <w:jc w:val="both"/>
              <w:rPr>
                <w:rFonts w:ascii="Times New Roman" w:eastAsia="Times New Roman" w:hAnsi="Times New Roman" w:cs="Times New Roman"/>
                <w:b/>
                <w:bCs/>
              </w:rPr>
            </w:pPr>
            <w:r>
              <w:rPr>
                <w:rFonts w:ascii="Times New Roman" w:eastAsia="Times New Roman" w:hAnsi="Times New Roman" w:cs="Times New Roman"/>
                <w:b/>
                <w:bCs/>
              </w:rPr>
              <w:t>10.</w:t>
            </w:r>
          </w:p>
        </w:tc>
        <w:tc>
          <w:tcPr>
            <w:tcW w:w="1845" w:type="dxa"/>
            <w:vMerge w:val="restart"/>
          </w:tcPr>
          <w:p w14:paraId="47F5ECB7" w14:textId="77777777" w:rsidR="00E2097D" w:rsidRDefault="00E2097D">
            <w:pPr>
              <w:rPr>
                <w:rFonts w:ascii="Times New Roman" w:eastAsia="Times New Roman" w:hAnsi="Times New Roman" w:cs="Times New Roman"/>
                <w:b/>
                <w:bCs/>
              </w:rPr>
            </w:pPr>
            <w:r>
              <w:rPr>
                <w:rFonts w:ascii="Times New Roman" w:eastAsia="Times New Roman" w:hAnsi="Times New Roman" w:cs="Times New Roman"/>
                <w:b/>
                <w:bCs/>
              </w:rPr>
              <w:t>Ministerul Culturii</w:t>
            </w:r>
          </w:p>
          <w:p w14:paraId="4086F9A1" w14:textId="77777777" w:rsidR="00E2097D" w:rsidRDefault="00E2097D">
            <w:pPr>
              <w:rPr>
                <w:rFonts w:ascii="Times New Roman" w:eastAsia="Times New Roman" w:hAnsi="Times New Roman" w:cs="Times New Roman"/>
                <w:i/>
                <w:iCs/>
                <w:color w:val="000000"/>
              </w:rPr>
            </w:pPr>
            <w:r>
              <w:rPr>
                <w:rFonts w:ascii="Times New Roman" w:eastAsia="Times New Roman" w:hAnsi="Times New Roman" w:cs="Times New Roman"/>
                <w:b/>
                <w:bCs/>
                <w:i/>
                <w:iCs/>
                <w:color w:val="000000"/>
              </w:rPr>
              <w:t>(</w:t>
            </w:r>
            <w:r>
              <w:rPr>
                <w:rFonts w:ascii="Times New Roman" w:eastAsia="Times New Roman" w:hAnsi="Times New Roman" w:cs="Times New Roman"/>
                <w:i/>
                <w:iCs/>
                <w:color w:val="000000"/>
              </w:rPr>
              <w:t>Nr. 07-09/1329 din 05 mai 2026)</w:t>
            </w:r>
          </w:p>
          <w:p w14:paraId="15236477"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09D1EDF1"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1</w:t>
            </w:r>
          </w:p>
        </w:tc>
        <w:tc>
          <w:tcPr>
            <w:tcW w:w="5400" w:type="dxa"/>
          </w:tcPr>
          <w:p w14:paraId="55A1FFAE"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La pct. 37.2.5 se propune modificarea prin excluderea sintagmei „și coeziunea socială”, astfel încât unitatea de analiză să rămână exclusiv „patrimoniul cultural”. Se argumentează necesitatea separării clare a domeniilor de analiză, având în vedere natura diferită a acestora.</w:t>
            </w:r>
          </w:p>
        </w:tc>
        <w:tc>
          <w:tcPr>
            <w:tcW w:w="3990" w:type="dxa"/>
          </w:tcPr>
          <w:p w14:paraId="42DA9AD7"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xml:space="preserve"> Modificarea este acceptată întrucât delimitează în mod clar obiectul de analiză „patrimoniul cultural” ca domeniu distinct, cu caracter material și immaterial, evitând suprapunerea conceptuală cu dimensiuni socio-relaționale. Ajustarea contribuie la coerența metodologică a evaluării riscurilor și la evitarea dublării unităților de analiză în cadrul aceleiași categorii de evaluare.</w:t>
            </w:r>
          </w:p>
        </w:tc>
      </w:tr>
      <w:tr w:rsidR="00E2097D" w14:paraId="1CA34667" w14:textId="77777777" w:rsidTr="000E7DFC">
        <w:tc>
          <w:tcPr>
            <w:tcW w:w="625" w:type="dxa"/>
            <w:vMerge/>
          </w:tcPr>
          <w:p w14:paraId="7217D055"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16A0510E"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1F524973"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2</w:t>
            </w:r>
          </w:p>
        </w:tc>
        <w:tc>
          <w:tcPr>
            <w:tcW w:w="5400" w:type="dxa"/>
          </w:tcPr>
          <w:p w14:paraId="32D87F92"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 xml:space="preserve">Se propune introducerea unei noi unități de analiză la pct. 37.2.8 – „coeziunea socială”, pentru a asigura corelarea cu interesele naționale prevăzute la pct. 57.1.5 și 57.1.7. Se argumentează că patrimoniul cultural și coeziunea socială reprezintă domenii </w:t>
            </w:r>
            <w:r>
              <w:rPr>
                <w:rFonts w:ascii="Times New Roman" w:eastAsia="Times New Roman" w:hAnsi="Times New Roman" w:cs="Times New Roman"/>
              </w:rPr>
              <w:lastRenderedPageBreak/>
              <w:t>distincte, cu metodologii de evaluare și instituții responsabile diferite.</w:t>
            </w:r>
          </w:p>
        </w:tc>
        <w:tc>
          <w:tcPr>
            <w:tcW w:w="3990" w:type="dxa"/>
          </w:tcPr>
          <w:p w14:paraId="36A2BFC2"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lastRenderedPageBreak/>
              <w:t>Se acceptă.</w:t>
            </w:r>
            <w:r>
              <w:rPr>
                <w:rFonts w:ascii="Times New Roman" w:eastAsia="Times New Roman" w:hAnsi="Times New Roman" w:cs="Times New Roman"/>
              </w:rPr>
              <w:t xml:space="preserve"> Introducerea noii unități de analiză este acceptată, întrucât permite o reflectare mai completă a dimensiunilor securității naționale, prin separarea clară între patrimoniul cultural (componentă materială și </w:t>
            </w:r>
            <w:r>
              <w:rPr>
                <w:rFonts w:ascii="Times New Roman" w:eastAsia="Times New Roman" w:hAnsi="Times New Roman" w:cs="Times New Roman"/>
              </w:rPr>
              <w:lastRenderedPageBreak/>
              <w:t>identitară) și coeziunea socială (componentă relațională și societală). Această diferențiere asigură o evaluare mai precisă a riscurilor și o corelare directă cu interesele naționale deja definite, contribuind la creșterea acurateței metodologice și a relevanței analizei integrate.</w:t>
            </w:r>
          </w:p>
        </w:tc>
      </w:tr>
      <w:tr w:rsidR="00E2097D" w14:paraId="32A744C7" w14:textId="77777777" w:rsidTr="000E7DFC">
        <w:tc>
          <w:tcPr>
            <w:tcW w:w="625" w:type="dxa"/>
            <w:vMerge/>
          </w:tcPr>
          <w:p w14:paraId="3ED0977D" w14:textId="77777777" w:rsidR="00E2097D" w:rsidRDefault="00E2097D">
            <w:pPr>
              <w:pBdr>
                <w:between w:val="single" w:sz="4" w:space="1" w:color="000000"/>
              </w:pBdr>
              <w:jc w:val="both"/>
              <w:rPr>
                <w:rFonts w:ascii="Times New Roman" w:eastAsia="Times New Roman" w:hAnsi="Times New Roman" w:cs="Times New Roman"/>
              </w:rPr>
            </w:pPr>
          </w:p>
        </w:tc>
        <w:tc>
          <w:tcPr>
            <w:tcW w:w="1845" w:type="dxa"/>
            <w:vMerge/>
          </w:tcPr>
          <w:p w14:paraId="6350677B" w14:textId="77777777" w:rsidR="00E2097D" w:rsidRDefault="00E2097D">
            <w:pPr>
              <w:pBdr>
                <w:between w:val="single" w:sz="4" w:space="1" w:color="000000"/>
              </w:pBdr>
              <w:rPr>
                <w:rFonts w:ascii="Times New Roman" w:eastAsia="Times New Roman" w:hAnsi="Times New Roman" w:cs="Times New Roman"/>
              </w:rPr>
            </w:pPr>
          </w:p>
        </w:tc>
        <w:tc>
          <w:tcPr>
            <w:tcW w:w="2580" w:type="dxa"/>
            <w:gridSpan w:val="2"/>
          </w:tcPr>
          <w:p w14:paraId="1E9EC80E" w14:textId="77777777" w:rsidR="00E2097D" w:rsidRDefault="00E2097D" w:rsidP="00E2097D">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3</w:t>
            </w:r>
          </w:p>
        </w:tc>
        <w:tc>
          <w:tcPr>
            <w:tcW w:w="5400" w:type="dxa"/>
          </w:tcPr>
          <w:p w14:paraId="4C6D89EA"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La pct. 38.2.3, după sintagma „de mediu” se propune completarea cu textul „a pierderilor ireversibile de patrimoniu cultural și de valori naționale fundamentale”. Se argumentează că pierderea patrimoniului cultural are caracter ireversibil, spre deosebire de alte tipuri de daune, și necesită reflectare distinctă în evaluarea gravității consecințelor.</w:t>
            </w:r>
          </w:p>
        </w:tc>
        <w:tc>
          <w:tcPr>
            <w:tcW w:w="3990" w:type="dxa"/>
          </w:tcPr>
          <w:p w14:paraId="2150C521" w14:textId="77777777" w:rsidR="00E2097D" w:rsidRDefault="00E2097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xml:space="preserve"> Completarea este acceptată, întrucât introduce un criteriu esențial de evaluare a impactului asupra securității identitare și culturale. Recunoașterea caracterului ireversibil al pierderilor de patrimoniu cultural permite o evaluare mai realistă a consecințelor riscurilor, depășind logica strict materială sau economică și contribuind la consolidarea dimensiunii identitare a securității naționale. Această ajustare asigură o abordare mai cuprinzătoare și coerentă a evaluării riscurilor.</w:t>
            </w:r>
          </w:p>
        </w:tc>
      </w:tr>
      <w:tr w:rsidR="00B5067E" w14:paraId="6EB6675E" w14:textId="77777777" w:rsidTr="000E7DFC">
        <w:tc>
          <w:tcPr>
            <w:tcW w:w="625" w:type="dxa"/>
            <w:shd w:val="clear" w:color="auto" w:fill="00B0F0"/>
          </w:tcPr>
          <w:p w14:paraId="56064C33" w14:textId="77777777" w:rsidR="00B5067E" w:rsidRDefault="00B5067E">
            <w:pPr>
              <w:pBdr>
                <w:between w:val="single" w:sz="4" w:space="1" w:color="000000"/>
              </w:pBdr>
              <w:jc w:val="both"/>
              <w:rPr>
                <w:rFonts w:ascii="Times New Roman" w:eastAsia="Times New Roman" w:hAnsi="Times New Roman" w:cs="Times New Roman"/>
              </w:rPr>
            </w:pPr>
          </w:p>
        </w:tc>
        <w:tc>
          <w:tcPr>
            <w:tcW w:w="1845" w:type="dxa"/>
            <w:shd w:val="clear" w:color="auto" w:fill="00B0F0"/>
          </w:tcPr>
          <w:p w14:paraId="4AA62C6C" w14:textId="77777777" w:rsidR="00B5067E" w:rsidRDefault="00B5067E">
            <w:pPr>
              <w:pBdr>
                <w:between w:val="single" w:sz="4" w:space="1" w:color="000000"/>
              </w:pBdr>
              <w:rPr>
                <w:rFonts w:ascii="Times New Roman" w:eastAsia="Times New Roman" w:hAnsi="Times New Roman" w:cs="Times New Roman"/>
              </w:rPr>
            </w:pPr>
          </w:p>
        </w:tc>
        <w:tc>
          <w:tcPr>
            <w:tcW w:w="2580" w:type="dxa"/>
            <w:gridSpan w:val="2"/>
            <w:shd w:val="clear" w:color="auto" w:fill="00B0F0"/>
          </w:tcPr>
          <w:p w14:paraId="64031AA7" w14:textId="77777777" w:rsidR="00B5067E" w:rsidRDefault="00B5067E" w:rsidP="00E2097D">
            <w:pPr>
              <w:pBdr>
                <w:between w:val="single" w:sz="4" w:space="1" w:color="000000"/>
              </w:pBdr>
              <w:jc w:val="center"/>
              <w:rPr>
                <w:rFonts w:ascii="Times New Roman" w:eastAsia="Times New Roman" w:hAnsi="Times New Roman" w:cs="Times New Roman"/>
              </w:rPr>
            </w:pPr>
          </w:p>
        </w:tc>
        <w:tc>
          <w:tcPr>
            <w:tcW w:w="5400" w:type="dxa"/>
            <w:shd w:val="clear" w:color="auto" w:fill="00B0F0"/>
          </w:tcPr>
          <w:p w14:paraId="66225654" w14:textId="77777777" w:rsidR="00B5067E" w:rsidRDefault="00B5067E">
            <w:pPr>
              <w:pBdr>
                <w:between w:val="single" w:sz="4" w:space="1" w:color="000000"/>
              </w:pBdr>
              <w:jc w:val="both"/>
              <w:rPr>
                <w:rFonts w:ascii="Times New Roman" w:eastAsia="Times New Roman" w:hAnsi="Times New Roman" w:cs="Times New Roman"/>
              </w:rPr>
            </w:pPr>
          </w:p>
        </w:tc>
        <w:tc>
          <w:tcPr>
            <w:tcW w:w="3990" w:type="dxa"/>
            <w:shd w:val="clear" w:color="auto" w:fill="00B0F0"/>
          </w:tcPr>
          <w:p w14:paraId="4E56B04D" w14:textId="77777777" w:rsidR="00B5067E" w:rsidRDefault="00B5067E">
            <w:pPr>
              <w:pBdr>
                <w:between w:val="single" w:sz="4" w:space="1" w:color="000000"/>
              </w:pBdr>
              <w:jc w:val="both"/>
              <w:rPr>
                <w:rFonts w:ascii="Times New Roman" w:eastAsia="Times New Roman" w:hAnsi="Times New Roman" w:cs="Times New Roman"/>
                <w:b/>
                <w:bCs/>
              </w:rPr>
            </w:pPr>
          </w:p>
        </w:tc>
      </w:tr>
      <w:tr w:rsidR="00B5067E" w14:paraId="3A23CD4E" w14:textId="77777777" w:rsidTr="000E7DFC">
        <w:tc>
          <w:tcPr>
            <w:tcW w:w="625" w:type="dxa"/>
          </w:tcPr>
          <w:p w14:paraId="66A8627A" w14:textId="77777777" w:rsidR="00B5067E" w:rsidRDefault="00C443D6">
            <w:pPr>
              <w:pBdr>
                <w:between w:val="single" w:sz="4" w:space="1" w:color="000000"/>
              </w:pBdr>
              <w:jc w:val="both"/>
              <w:rPr>
                <w:rFonts w:ascii="Times New Roman" w:eastAsia="Times New Roman" w:hAnsi="Times New Roman" w:cs="Times New Roman"/>
                <w:b/>
                <w:bCs/>
              </w:rPr>
            </w:pPr>
            <w:r>
              <w:rPr>
                <w:rFonts w:ascii="Times New Roman" w:eastAsia="Times New Roman" w:hAnsi="Times New Roman" w:cs="Times New Roman"/>
                <w:b/>
                <w:bCs/>
              </w:rPr>
              <w:t>11.</w:t>
            </w:r>
          </w:p>
        </w:tc>
        <w:tc>
          <w:tcPr>
            <w:tcW w:w="1845" w:type="dxa"/>
          </w:tcPr>
          <w:p w14:paraId="64D6E0B9" w14:textId="77777777" w:rsidR="00B5067E" w:rsidRDefault="00C443D6">
            <w:pPr>
              <w:rPr>
                <w:rFonts w:ascii="Times New Roman" w:eastAsia="Times New Roman" w:hAnsi="Times New Roman" w:cs="Times New Roman"/>
                <w:b/>
                <w:bCs/>
              </w:rPr>
            </w:pPr>
            <w:r>
              <w:rPr>
                <w:rFonts w:ascii="Times New Roman" w:eastAsia="Times New Roman" w:hAnsi="Times New Roman" w:cs="Times New Roman"/>
                <w:b/>
                <w:bCs/>
              </w:rPr>
              <w:t xml:space="preserve">Plenul Consiliului Concurenței </w:t>
            </w:r>
          </w:p>
          <w:p w14:paraId="22780375" w14:textId="77777777" w:rsidR="00B5067E" w:rsidRDefault="00C443D6">
            <w:pPr>
              <w:rPr>
                <w:rFonts w:ascii="Times New Roman" w:eastAsia="Times New Roman" w:hAnsi="Times New Roman" w:cs="Times New Roman"/>
                <w:b/>
                <w:bCs/>
                <w:i/>
                <w:iCs/>
              </w:rPr>
            </w:pPr>
            <w:r>
              <w:rPr>
                <w:rFonts w:ascii="Times New Roman" w:eastAsia="Times New Roman" w:hAnsi="Times New Roman" w:cs="Times New Roman"/>
                <w:b/>
                <w:bCs/>
                <w:i/>
                <w:iCs/>
              </w:rPr>
              <w:t>(</w:t>
            </w:r>
            <w:r>
              <w:rPr>
                <w:rFonts w:ascii="Times New Roman" w:eastAsia="Times New Roman" w:hAnsi="Times New Roman" w:cs="Times New Roman"/>
                <w:i/>
                <w:iCs/>
              </w:rPr>
              <w:t>Nr. DJ-06/ 385 - 726 din 08 mai 2026)</w:t>
            </w:r>
          </w:p>
        </w:tc>
        <w:tc>
          <w:tcPr>
            <w:tcW w:w="2580" w:type="dxa"/>
            <w:gridSpan w:val="2"/>
          </w:tcPr>
          <w:p w14:paraId="712968B5" w14:textId="77777777" w:rsidR="00B5067E" w:rsidRDefault="00B5067E" w:rsidP="00E2097D">
            <w:pPr>
              <w:pBdr>
                <w:between w:val="single" w:sz="4" w:space="1" w:color="000000"/>
              </w:pBdr>
              <w:jc w:val="center"/>
              <w:rPr>
                <w:rFonts w:ascii="Times New Roman" w:eastAsia="Times New Roman" w:hAnsi="Times New Roman" w:cs="Times New Roman"/>
              </w:rPr>
            </w:pPr>
          </w:p>
        </w:tc>
        <w:tc>
          <w:tcPr>
            <w:tcW w:w="5400" w:type="dxa"/>
          </w:tcPr>
          <w:p w14:paraId="5CA2D359" w14:textId="77777777" w:rsidR="00B5067E" w:rsidRDefault="00C443D6">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Se comunică lipsa obiecțiilor și propunerilor asupra proiectului de act normativ.</w:t>
            </w:r>
          </w:p>
        </w:tc>
        <w:tc>
          <w:tcPr>
            <w:tcW w:w="3990" w:type="dxa"/>
          </w:tcPr>
          <w:p w14:paraId="6D92F73D" w14:textId="77777777" w:rsidR="00B5067E" w:rsidRDefault="00C443D6">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ia act.</w:t>
            </w:r>
            <w:r>
              <w:rPr>
                <w:rFonts w:ascii="Times New Roman" w:eastAsia="Times New Roman" w:hAnsi="Times New Roman" w:cs="Times New Roman"/>
              </w:rPr>
              <w:t xml:space="preserve"> Se reține avizul favorabil, fără obiecții și propuneri, ceea ce confirmă că prevederile proiectului nu ridică probleme de compatibilitate cu normele în domeniul concurenței și ajutorului de stat, fiind considerate conforme cu cadrul legal aplicabil.</w:t>
            </w:r>
          </w:p>
        </w:tc>
      </w:tr>
      <w:tr w:rsidR="00B5067E" w14:paraId="586408EA" w14:textId="77777777" w:rsidTr="000E7DFC">
        <w:tc>
          <w:tcPr>
            <w:tcW w:w="625" w:type="dxa"/>
            <w:shd w:val="clear" w:color="auto" w:fill="00B0F0"/>
          </w:tcPr>
          <w:p w14:paraId="0A8803C7" w14:textId="77777777" w:rsidR="00B5067E" w:rsidRDefault="00B5067E">
            <w:pPr>
              <w:pBdr>
                <w:between w:val="single" w:sz="4" w:space="1" w:color="000000"/>
              </w:pBdr>
              <w:jc w:val="both"/>
              <w:rPr>
                <w:rFonts w:ascii="Times New Roman" w:eastAsia="Times New Roman" w:hAnsi="Times New Roman" w:cs="Times New Roman"/>
                <w:b/>
                <w:bCs/>
              </w:rPr>
            </w:pPr>
          </w:p>
        </w:tc>
        <w:tc>
          <w:tcPr>
            <w:tcW w:w="1845" w:type="dxa"/>
            <w:shd w:val="clear" w:color="auto" w:fill="00B0F0"/>
          </w:tcPr>
          <w:p w14:paraId="1F05A5FD" w14:textId="77777777" w:rsidR="00B5067E" w:rsidRDefault="00B5067E">
            <w:pPr>
              <w:pBdr>
                <w:between w:val="single" w:sz="4" w:space="1" w:color="000000"/>
              </w:pBdr>
              <w:rPr>
                <w:rFonts w:ascii="Times New Roman" w:eastAsia="Times New Roman" w:hAnsi="Times New Roman" w:cs="Times New Roman"/>
                <w:b/>
                <w:bCs/>
              </w:rPr>
            </w:pPr>
          </w:p>
        </w:tc>
        <w:tc>
          <w:tcPr>
            <w:tcW w:w="2580" w:type="dxa"/>
            <w:gridSpan w:val="2"/>
            <w:shd w:val="clear" w:color="auto" w:fill="00B0F0"/>
          </w:tcPr>
          <w:p w14:paraId="36BD9355" w14:textId="77777777" w:rsidR="00B5067E" w:rsidRDefault="00B5067E" w:rsidP="00E2097D">
            <w:pPr>
              <w:pBdr>
                <w:between w:val="single" w:sz="4" w:space="1" w:color="000000"/>
              </w:pBdr>
              <w:jc w:val="center"/>
              <w:rPr>
                <w:rFonts w:ascii="Times New Roman" w:eastAsia="Times New Roman" w:hAnsi="Times New Roman" w:cs="Times New Roman"/>
              </w:rPr>
            </w:pPr>
          </w:p>
        </w:tc>
        <w:tc>
          <w:tcPr>
            <w:tcW w:w="5400" w:type="dxa"/>
            <w:shd w:val="clear" w:color="auto" w:fill="00B0F0"/>
          </w:tcPr>
          <w:p w14:paraId="21C9F51A" w14:textId="77777777" w:rsidR="00B5067E" w:rsidRDefault="00B5067E">
            <w:pPr>
              <w:pBdr>
                <w:between w:val="single" w:sz="4" w:space="1" w:color="000000"/>
              </w:pBdr>
              <w:jc w:val="both"/>
              <w:rPr>
                <w:rFonts w:ascii="Times New Roman" w:eastAsia="Times New Roman" w:hAnsi="Times New Roman" w:cs="Times New Roman"/>
              </w:rPr>
            </w:pPr>
          </w:p>
        </w:tc>
        <w:tc>
          <w:tcPr>
            <w:tcW w:w="3990" w:type="dxa"/>
            <w:shd w:val="clear" w:color="auto" w:fill="00B0F0"/>
          </w:tcPr>
          <w:p w14:paraId="5BCCBC63" w14:textId="77777777" w:rsidR="00B5067E" w:rsidRDefault="00B5067E">
            <w:pPr>
              <w:pBdr>
                <w:between w:val="single" w:sz="4" w:space="1" w:color="000000"/>
              </w:pBdr>
              <w:jc w:val="both"/>
              <w:rPr>
                <w:rFonts w:ascii="Times New Roman" w:eastAsia="Times New Roman" w:hAnsi="Times New Roman" w:cs="Times New Roman"/>
                <w:b/>
                <w:bCs/>
              </w:rPr>
            </w:pPr>
          </w:p>
        </w:tc>
      </w:tr>
      <w:tr w:rsidR="00B5067E" w14:paraId="0581079A" w14:textId="77777777" w:rsidTr="000E7DFC">
        <w:tc>
          <w:tcPr>
            <w:tcW w:w="625" w:type="dxa"/>
          </w:tcPr>
          <w:p w14:paraId="10B6E8E1" w14:textId="77777777" w:rsidR="00B5067E" w:rsidRDefault="00C443D6">
            <w:pPr>
              <w:jc w:val="both"/>
              <w:rPr>
                <w:rFonts w:ascii="Times New Roman" w:eastAsia="Times New Roman" w:hAnsi="Times New Roman" w:cs="Times New Roman"/>
                <w:b/>
                <w:bCs/>
              </w:rPr>
            </w:pPr>
            <w:r>
              <w:rPr>
                <w:rFonts w:ascii="Times New Roman" w:eastAsia="Times New Roman" w:hAnsi="Times New Roman" w:cs="Times New Roman"/>
                <w:b/>
                <w:bCs/>
              </w:rPr>
              <w:t>12.</w:t>
            </w:r>
          </w:p>
        </w:tc>
        <w:tc>
          <w:tcPr>
            <w:tcW w:w="1845" w:type="dxa"/>
          </w:tcPr>
          <w:p w14:paraId="5410BA7B" w14:textId="77777777" w:rsidR="00B5067E" w:rsidRDefault="00C443D6">
            <w:pPr>
              <w:rPr>
                <w:rFonts w:ascii="Times New Roman" w:eastAsia="Times New Roman" w:hAnsi="Times New Roman" w:cs="Times New Roman"/>
                <w:b/>
                <w:bCs/>
              </w:rPr>
            </w:pPr>
            <w:r>
              <w:rPr>
                <w:rFonts w:ascii="Times New Roman" w:eastAsia="Times New Roman" w:hAnsi="Times New Roman" w:cs="Times New Roman"/>
                <w:b/>
                <w:bCs/>
              </w:rPr>
              <w:t xml:space="preserve">Agenția Națională pentru </w:t>
            </w:r>
            <w:r>
              <w:rPr>
                <w:rFonts w:ascii="Times New Roman" w:eastAsia="Times New Roman" w:hAnsi="Times New Roman" w:cs="Times New Roman"/>
                <w:b/>
                <w:bCs/>
              </w:rPr>
              <w:lastRenderedPageBreak/>
              <w:t>Siguranța Alimentelor</w:t>
            </w:r>
          </w:p>
          <w:p w14:paraId="3CF7FD74" w14:textId="5BBB13F4" w:rsidR="00B5067E" w:rsidRDefault="00C443D6" w:rsidP="001B0288">
            <w:pPr>
              <w:rPr>
                <w:rFonts w:ascii="Times New Roman" w:eastAsia="Times New Roman" w:hAnsi="Times New Roman" w:cs="Times New Roman"/>
              </w:rPr>
            </w:pPr>
            <w:r>
              <w:rPr>
                <w:rFonts w:ascii="Times New Roman" w:eastAsia="Times New Roman" w:hAnsi="Times New Roman" w:cs="Times New Roman"/>
                <w:i/>
                <w:iCs/>
              </w:rPr>
              <w:t>(N</w:t>
            </w:r>
            <w:r>
              <w:rPr>
                <w:rFonts w:ascii="Times New Roman" w:eastAsia="Times New Roman" w:hAnsi="Times New Roman" w:cs="Times New Roman"/>
                <w:i/>
                <w:iCs/>
                <w:color w:val="000000"/>
              </w:rPr>
              <w:t xml:space="preserve">r. </w:t>
            </w:r>
            <w:r w:rsidRPr="001B0288">
              <w:rPr>
                <w:rFonts w:ascii="Times New Roman" w:eastAsia="Times New Roman" w:hAnsi="Times New Roman" w:cs="Times New Roman"/>
                <w:i/>
                <w:iCs/>
                <w:color w:val="000000" w:themeColor="text1"/>
              </w:rPr>
              <w:t xml:space="preserve">15- 2408  din </w:t>
            </w:r>
            <w:r w:rsidR="001B0288" w:rsidRPr="001B0288">
              <w:rPr>
                <w:rFonts w:ascii="Times New Roman" w:eastAsia="Times New Roman" w:hAnsi="Times New Roman" w:cs="Times New Roman"/>
                <w:i/>
                <w:iCs/>
                <w:color w:val="000000" w:themeColor="text1"/>
              </w:rPr>
              <w:t>08.05.2026</w:t>
            </w:r>
            <w:r>
              <w:rPr>
                <w:rFonts w:ascii="Times New Roman" w:eastAsia="Times New Roman" w:hAnsi="Times New Roman" w:cs="Times New Roman"/>
                <w:i/>
                <w:iCs/>
                <w:color w:val="000000"/>
              </w:rPr>
              <w:t>)</w:t>
            </w:r>
          </w:p>
        </w:tc>
        <w:tc>
          <w:tcPr>
            <w:tcW w:w="2580" w:type="dxa"/>
            <w:gridSpan w:val="2"/>
          </w:tcPr>
          <w:p w14:paraId="10C31759" w14:textId="77777777" w:rsidR="00B5067E" w:rsidRDefault="00B5067E" w:rsidP="00E2097D">
            <w:pPr>
              <w:pBdr>
                <w:between w:val="single" w:sz="4" w:space="1" w:color="000000"/>
              </w:pBdr>
              <w:jc w:val="center"/>
              <w:rPr>
                <w:rFonts w:ascii="Times New Roman" w:eastAsia="Times New Roman" w:hAnsi="Times New Roman" w:cs="Times New Roman"/>
              </w:rPr>
            </w:pPr>
          </w:p>
        </w:tc>
        <w:tc>
          <w:tcPr>
            <w:tcW w:w="5400" w:type="dxa"/>
          </w:tcPr>
          <w:p w14:paraId="27635A65" w14:textId="77777777" w:rsidR="00B5067E" w:rsidRDefault="00C443D6">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Se comunică lipsa obiecțiilor și propunerilor asupra proiectului de act normativ.</w:t>
            </w:r>
          </w:p>
        </w:tc>
        <w:tc>
          <w:tcPr>
            <w:tcW w:w="3990" w:type="dxa"/>
          </w:tcPr>
          <w:p w14:paraId="298F9CD9" w14:textId="77777777" w:rsidR="00B5067E" w:rsidRDefault="00C443D6">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ia act.</w:t>
            </w:r>
            <w:r>
              <w:rPr>
                <w:rFonts w:ascii="Times New Roman" w:eastAsia="Times New Roman" w:hAnsi="Times New Roman" w:cs="Times New Roman"/>
              </w:rPr>
              <w:t xml:space="preserve"> Se reține avizul favorabil, fără obiecții și propuneri, ceea ce confirmă că prevederile proiectului nu afectează domeniul siguranței </w:t>
            </w:r>
            <w:r>
              <w:rPr>
                <w:rFonts w:ascii="Times New Roman" w:eastAsia="Times New Roman" w:hAnsi="Times New Roman" w:cs="Times New Roman"/>
              </w:rPr>
              <w:lastRenderedPageBreak/>
              <w:t>alimentare și nu necesită intervenții de ajustare din perspectiva competențelor instituției.</w:t>
            </w:r>
          </w:p>
        </w:tc>
      </w:tr>
      <w:tr w:rsidR="00B5067E" w14:paraId="73220CB5" w14:textId="77777777" w:rsidTr="000E7DFC">
        <w:tc>
          <w:tcPr>
            <w:tcW w:w="625" w:type="dxa"/>
            <w:shd w:val="clear" w:color="auto" w:fill="00B0F0"/>
          </w:tcPr>
          <w:p w14:paraId="420D5F75" w14:textId="77777777" w:rsidR="00B5067E" w:rsidRDefault="00B5067E">
            <w:pPr>
              <w:jc w:val="both"/>
              <w:rPr>
                <w:rFonts w:ascii="Times New Roman" w:eastAsia="Times New Roman" w:hAnsi="Times New Roman" w:cs="Times New Roman"/>
                <w:b/>
                <w:bCs/>
              </w:rPr>
            </w:pPr>
          </w:p>
        </w:tc>
        <w:tc>
          <w:tcPr>
            <w:tcW w:w="1845" w:type="dxa"/>
            <w:shd w:val="clear" w:color="auto" w:fill="00B0F0"/>
          </w:tcPr>
          <w:p w14:paraId="1613F468" w14:textId="77777777" w:rsidR="00B5067E" w:rsidRDefault="00B5067E">
            <w:pPr>
              <w:rPr>
                <w:rFonts w:ascii="Times New Roman" w:eastAsia="Times New Roman" w:hAnsi="Times New Roman" w:cs="Times New Roman"/>
                <w:b/>
                <w:bCs/>
              </w:rPr>
            </w:pPr>
          </w:p>
        </w:tc>
        <w:tc>
          <w:tcPr>
            <w:tcW w:w="2580" w:type="dxa"/>
            <w:gridSpan w:val="2"/>
            <w:shd w:val="clear" w:color="auto" w:fill="00B0F0"/>
          </w:tcPr>
          <w:p w14:paraId="1693F8A6" w14:textId="77777777" w:rsidR="00B5067E" w:rsidRDefault="00B5067E" w:rsidP="00E2097D">
            <w:pPr>
              <w:pBdr>
                <w:between w:val="single" w:sz="4" w:space="1" w:color="000000"/>
              </w:pBdr>
              <w:jc w:val="center"/>
              <w:rPr>
                <w:rFonts w:ascii="Times New Roman" w:eastAsia="Times New Roman" w:hAnsi="Times New Roman" w:cs="Times New Roman"/>
              </w:rPr>
            </w:pPr>
          </w:p>
        </w:tc>
        <w:tc>
          <w:tcPr>
            <w:tcW w:w="5400" w:type="dxa"/>
            <w:shd w:val="clear" w:color="auto" w:fill="00B0F0"/>
          </w:tcPr>
          <w:p w14:paraId="45B6BAFE" w14:textId="77777777" w:rsidR="00B5067E" w:rsidRDefault="00B5067E">
            <w:pPr>
              <w:pBdr>
                <w:between w:val="single" w:sz="4" w:space="1" w:color="000000"/>
              </w:pBdr>
              <w:jc w:val="both"/>
              <w:rPr>
                <w:rFonts w:ascii="Times New Roman" w:eastAsia="Times New Roman" w:hAnsi="Times New Roman" w:cs="Times New Roman"/>
              </w:rPr>
            </w:pPr>
          </w:p>
        </w:tc>
        <w:tc>
          <w:tcPr>
            <w:tcW w:w="3990" w:type="dxa"/>
            <w:shd w:val="clear" w:color="auto" w:fill="00B0F0"/>
          </w:tcPr>
          <w:p w14:paraId="0E306F14" w14:textId="77777777" w:rsidR="00B5067E" w:rsidRDefault="00B5067E">
            <w:pPr>
              <w:pBdr>
                <w:between w:val="single" w:sz="4" w:space="1" w:color="000000"/>
              </w:pBdr>
              <w:jc w:val="both"/>
              <w:rPr>
                <w:rFonts w:ascii="Times New Roman" w:eastAsia="Times New Roman" w:hAnsi="Times New Roman" w:cs="Times New Roman"/>
                <w:b/>
                <w:bCs/>
              </w:rPr>
            </w:pPr>
          </w:p>
        </w:tc>
      </w:tr>
      <w:tr w:rsidR="00B5067E" w14:paraId="2DF2703A" w14:textId="77777777" w:rsidTr="000E7DFC">
        <w:tc>
          <w:tcPr>
            <w:tcW w:w="625" w:type="dxa"/>
          </w:tcPr>
          <w:p w14:paraId="7C4E6FAA" w14:textId="77777777" w:rsidR="00B5067E" w:rsidRDefault="00C443D6">
            <w:pPr>
              <w:pBdr>
                <w:between w:val="single" w:sz="4" w:space="1" w:color="000000"/>
              </w:pBdr>
              <w:jc w:val="both"/>
              <w:rPr>
                <w:rFonts w:ascii="Times New Roman" w:eastAsia="Times New Roman" w:hAnsi="Times New Roman" w:cs="Times New Roman"/>
                <w:b/>
                <w:bCs/>
              </w:rPr>
            </w:pPr>
            <w:r>
              <w:rPr>
                <w:rFonts w:ascii="Times New Roman" w:eastAsia="Times New Roman" w:hAnsi="Times New Roman" w:cs="Times New Roman"/>
                <w:b/>
                <w:bCs/>
              </w:rPr>
              <w:t>13.</w:t>
            </w:r>
          </w:p>
        </w:tc>
        <w:tc>
          <w:tcPr>
            <w:tcW w:w="1845" w:type="dxa"/>
          </w:tcPr>
          <w:p w14:paraId="681ECCF5" w14:textId="77777777" w:rsidR="00B5067E" w:rsidRDefault="00C443D6">
            <w:pPr>
              <w:rPr>
                <w:rFonts w:ascii="Times New Roman" w:eastAsia="Times New Roman" w:hAnsi="Times New Roman" w:cs="Times New Roman"/>
                <w:b/>
                <w:bCs/>
              </w:rPr>
            </w:pPr>
            <w:r>
              <w:rPr>
                <w:rFonts w:ascii="Times New Roman" w:eastAsia="Times New Roman" w:hAnsi="Times New Roman" w:cs="Times New Roman"/>
                <w:b/>
                <w:bCs/>
              </w:rPr>
              <w:t>Ministerul Infrastructurii și Dezvoltării Regionale</w:t>
            </w:r>
          </w:p>
          <w:p w14:paraId="00A9CB1E" w14:textId="77777777" w:rsidR="00B5067E" w:rsidRDefault="00C443D6">
            <w:pPr>
              <w:rPr>
                <w:rFonts w:ascii="Times New Roman" w:eastAsia="Times New Roman" w:hAnsi="Times New Roman" w:cs="Times New Roman"/>
                <w:b/>
                <w:bCs/>
                <w:i/>
                <w:iCs/>
              </w:rPr>
            </w:pPr>
            <w:r>
              <w:rPr>
                <w:rFonts w:ascii="Times New Roman" w:eastAsia="Times New Roman" w:hAnsi="Times New Roman" w:cs="Times New Roman"/>
                <w:i/>
                <w:iCs/>
                <w:color w:val="000000"/>
              </w:rPr>
              <w:t>(Nr. 04-2489 din 08.05.2026)</w:t>
            </w:r>
          </w:p>
        </w:tc>
        <w:tc>
          <w:tcPr>
            <w:tcW w:w="2580" w:type="dxa"/>
            <w:gridSpan w:val="2"/>
          </w:tcPr>
          <w:p w14:paraId="0CE1F7E5" w14:textId="77777777" w:rsidR="00B5067E" w:rsidRDefault="00B5067E" w:rsidP="00E2097D">
            <w:pPr>
              <w:pBdr>
                <w:between w:val="single" w:sz="4" w:space="1" w:color="000000"/>
              </w:pBdr>
              <w:jc w:val="center"/>
              <w:rPr>
                <w:rFonts w:ascii="Times New Roman" w:eastAsia="Times New Roman" w:hAnsi="Times New Roman" w:cs="Times New Roman"/>
              </w:rPr>
            </w:pPr>
          </w:p>
        </w:tc>
        <w:tc>
          <w:tcPr>
            <w:tcW w:w="5400" w:type="dxa"/>
          </w:tcPr>
          <w:p w14:paraId="53EFD64C" w14:textId="77777777" w:rsidR="00B5067E" w:rsidRDefault="00C443D6">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Se comunică lipsa de obiecții și propuneri asupra proiectului de act normativ.</w:t>
            </w:r>
          </w:p>
        </w:tc>
        <w:tc>
          <w:tcPr>
            <w:tcW w:w="3990" w:type="dxa"/>
          </w:tcPr>
          <w:p w14:paraId="32FCF93D" w14:textId="77777777" w:rsidR="00B5067E" w:rsidRDefault="00C443D6">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ia act.</w:t>
            </w:r>
            <w:r>
              <w:rPr>
                <w:rFonts w:ascii="Times New Roman" w:eastAsia="Times New Roman" w:hAnsi="Times New Roman" w:cs="Times New Roman"/>
              </w:rPr>
              <w:t xml:space="preserve"> Se reține avizul favorabil, fără obiecții și propuneri, ceea ce confirmă că proiectul nu generează incompatibilități cu politicile și reglementările din domeniul infrastructurii și dezvoltării regionale și este considerat compatibil cu cadrul normativ aplicabil.</w:t>
            </w:r>
          </w:p>
        </w:tc>
      </w:tr>
      <w:tr w:rsidR="00B5067E" w14:paraId="1AF63D46" w14:textId="77777777" w:rsidTr="000E7DFC">
        <w:tc>
          <w:tcPr>
            <w:tcW w:w="625" w:type="dxa"/>
            <w:shd w:val="clear" w:color="auto" w:fill="00B0F0"/>
          </w:tcPr>
          <w:p w14:paraId="48C83D75" w14:textId="77777777" w:rsidR="00B5067E" w:rsidRDefault="00B5067E">
            <w:pPr>
              <w:pBdr>
                <w:between w:val="single" w:sz="4" w:space="1" w:color="000000"/>
              </w:pBdr>
              <w:jc w:val="both"/>
              <w:rPr>
                <w:rFonts w:ascii="Times New Roman" w:eastAsia="Times New Roman" w:hAnsi="Times New Roman" w:cs="Times New Roman"/>
                <w:b/>
                <w:bCs/>
              </w:rPr>
            </w:pPr>
          </w:p>
        </w:tc>
        <w:tc>
          <w:tcPr>
            <w:tcW w:w="1845" w:type="dxa"/>
            <w:shd w:val="clear" w:color="auto" w:fill="00B0F0"/>
          </w:tcPr>
          <w:p w14:paraId="44EA89EB" w14:textId="77777777" w:rsidR="00B5067E" w:rsidRDefault="00B5067E">
            <w:pPr>
              <w:rPr>
                <w:rFonts w:ascii="Times New Roman" w:eastAsia="Times New Roman" w:hAnsi="Times New Roman" w:cs="Times New Roman"/>
                <w:b/>
                <w:bCs/>
              </w:rPr>
            </w:pPr>
          </w:p>
        </w:tc>
        <w:tc>
          <w:tcPr>
            <w:tcW w:w="2580" w:type="dxa"/>
            <w:gridSpan w:val="2"/>
            <w:shd w:val="clear" w:color="auto" w:fill="00B0F0"/>
          </w:tcPr>
          <w:p w14:paraId="74B9E318" w14:textId="77777777" w:rsidR="00B5067E" w:rsidRDefault="00B5067E" w:rsidP="00E2097D">
            <w:pPr>
              <w:pBdr>
                <w:between w:val="single" w:sz="4" w:space="1" w:color="000000"/>
              </w:pBdr>
              <w:jc w:val="center"/>
              <w:rPr>
                <w:rFonts w:ascii="Times New Roman" w:eastAsia="Times New Roman" w:hAnsi="Times New Roman" w:cs="Times New Roman"/>
              </w:rPr>
            </w:pPr>
          </w:p>
        </w:tc>
        <w:tc>
          <w:tcPr>
            <w:tcW w:w="5400" w:type="dxa"/>
            <w:shd w:val="clear" w:color="auto" w:fill="00B0F0"/>
          </w:tcPr>
          <w:p w14:paraId="1A4A110C" w14:textId="77777777" w:rsidR="00B5067E" w:rsidRDefault="00B5067E">
            <w:pPr>
              <w:pBdr>
                <w:between w:val="single" w:sz="4" w:space="1" w:color="000000"/>
              </w:pBdr>
              <w:jc w:val="both"/>
              <w:rPr>
                <w:rFonts w:ascii="Times New Roman" w:eastAsia="Times New Roman" w:hAnsi="Times New Roman" w:cs="Times New Roman"/>
              </w:rPr>
            </w:pPr>
          </w:p>
        </w:tc>
        <w:tc>
          <w:tcPr>
            <w:tcW w:w="3990" w:type="dxa"/>
            <w:shd w:val="clear" w:color="auto" w:fill="00B0F0"/>
          </w:tcPr>
          <w:p w14:paraId="267CC09E" w14:textId="77777777" w:rsidR="00B5067E" w:rsidRDefault="00B5067E">
            <w:pPr>
              <w:pBdr>
                <w:between w:val="single" w:sz="4" w:space="1" w:color="000000"/>
              </w:pBdr>
              <w:jc w:val="both"/>
              <w:rPr>
                <w:rFonts w:ascii="Times New Roman" w:eastAsia="Times New Roman" w:hAnsi="Times New Roman" w:cs="Times New Roman"/>
                <w:b/>
                <w:bCs/>
              </w:rPr>
            </w:pPr>
          </w:p>
        </w:tc>
      </w:tr>
      <w:tr w:rsidR="00B5067E" w14:paraId="747B01A2" w14:textId="77777777" w:rsidTr="000E7DFC">
        <w:tc>
          <w:tcPr>
            <w:tcW w:w="625" w:type="dxa"/>
            <w:tcBorders>
              <w:bottom w:val="single" w:sz="4" w:space="0" w:color="000000"/>
            </w:tcBorders>
          </w:tcPr>
          <w:p w14:paraId="73997208" w14:textId="77777777" w:rsidR="00B5067E" w:rsidRDefault="00C443D6">
            <w:pPr>
              <w:pBdr>
                <w:between w:val="single" w:sz="4" w:space="1" w:color="000000"/>
              </w:pBdr>
              <w:jc w:val="both"/>
              <w:rPr>
                <w:rFonts w:ascii="Times New Roman" w:eastAsia="Times New Roman" w:hAnsi="Times New Roman" w:cs="Times New Roman"/>
                <w:b/>
                <w:bCs/>
              </w:rPr>
            </w:pPr>
            <w:r>
              <w:rPr>
                <w:rFonts w:ascii="Times New Roman" w:eastAsia="Times New Roman" w:hAnsi="Times New Roman" w:cs="Times New Roman"/>
                <w:b/>
                <w:bCs/>
              </w:rPr>
              <w:t>14.</w:t>
            </w:r>
          </w:p>
        </w:tc>
        <w:tc>
          <w:tcPr>
            <w:tcW w:w="1845" w:type="dxa"/>
            <w:tcBorders>
              <w:bottom w:val="single" w:sz="4" w:space="0" w:color="000000"/>
            </w:tcBorders>
          </w:tcPr>
          <w:p w14:paraId="60B8814F" w14:textId="77777777" w:rsidR="00B5067E" w:rsidRDefault="00C443D6">
            <w:pPr>
              <w:rPr>
                <w:rFonts w:ascii="Times New Roman" w:eastAsia="Times New Roman" w:hAnsi="Times New Roman" w:cs="Times New Roman"/>
                <w:b/>
                <w:bCs/>
              </w:rPr>
            </w:pPr>
            <w:r>
              <w:rPr>
                <w:rFonts w:ascii="Times New Roman" w:eastAsia="Times New Roman" w:hAnsi="Times New Roman" w:cs="Times New Roman"/>
                <w:b/>
                <w:bCs/>
              </w:rPr>
              <w:t>Ministerul Energiei</w:t>
            </w:r>
          </w:p>
          <w:p w14:paraId="21459CD3" w14:textId="77777777" w:rsidR="00B5067E" w:rsidRDefault="00C443D6">
            <w:pPr>
              <w:rPr>
                <w:rFonts w:ascii="Times New Roman" w:eastAsia="Times New Roman" w:hAnsi="Times New Roman" w:cs="Times New Roman"/>
                <w:b/>
                <w:bCs/>
                <w:i/>
                <w:iCs/>
              </w:rPr>
            </w:pPr>
            <w:r>
              <w:rPr>
                <w:rFonts w:ascii="Times New Roman" w:eastAsia="Times New Roman" w:hAnsi="Times New Roman" w:cs="Times New Roman"/>
                <w:i/>
                <w:iCs/>
              </w:rPr>
              <w:t>(Nr. 05-1152 din 6 mai 2026)</w:t>
            </w:r>
          </w:p>
        </w:tc>
        <w:tc>
          <w:tcPr>
            <w:tcW w:w="2580" w:type="dxa"/>
            <w:gridSpan w:val="2"/>
            <w:tcBorders>
              <w:bottom w:val="single" w:sz="4" w:space="0" w:color="000000"/>
            </w:tcBorders>
          </w:tcPr>
          <w:p w14:paraId="069E1E6D" w14:textId="77777777" w:rsidR="00B5067E" w:rsidRDefault="00B5067E" w:rsidP="00E2097D">
            <w:pPr>
              <w:pBdr>
                <w:between w:val="single" w:sz="4" w:space="1" w:color="000000"/>
              </w:pBdr>
              <w:jc w:val="center"/>
              <w:rPr>
                <w:rFonts w:ascii="Times New Roman" w:eastAsia="Times New Roman" w:hAnsi="Times New Roman" w:cs="Times New Roman"/>
              </w:rPr>
            </w:pPr>
          </w:p>
        </w:tc>
        <w:tc>
          <w:tcPr>
            <w:tcW w:w="5400" w:type="dxa"/>
            <w:tcBorders>
              <w:bottom w:val="single" w:sz="4" w:space="0" w:color="000000"/>
            </w:tcBorders>
          </w:tcPr>
          <w:p w14:paraId="7B01F1EB" w14:textId="77777777" w:rsidR="00B5067E" w:rsidRDefault="00C443D6">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Se comunică lipsa de propuneri și/sau obiecții asupra proiectului de act normativ.</w:t>
            </w:r>
          </w:p>
        </w:tc>
        <w:tc>
          <w:tcPr>
            <w:tcW w:w="3990" w:type="dxa"/>
            <w:tcBorders>
              <w:bottom w:val="single" w:sz="4" w:space="0" w:color="000000"/>
            </w:tcBorders>
          </w:tcPr>
          <w:p w14:paraId="14AAB8AA" w14:textId="77777777" w:rsidR="00B5067E" w:rsidRDefault="00C443D6">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ia act.</w:t>
            </w:r>
            <w:r>
              <w:rPr>
                <w:rFonts w:ascii="Times New Roman" w:eastAsia="Times New Roman" w:hAnsi="Times New Roman" w:cs="Times New Roman"/>
              </w:rPr>
              <w:t xml:space="preserve"> Se reține avizul favorabil, fără observații, confirmând că proiectul nu afectează domeniul energetic și nu necesită ajustări din perspectiva competențelor sectoriale ale ministerului.</w:t>
            </w:r>
          </w:p>
        </w:tc>
      </w:tr>
      <w:tr w:rsidR="00B5067E" w14:paraId="01A0F26F" w14:textId="77777777" w:rsidTr="000E7DFC">
        <w:tc>
          <w:tcPr>
            <w:tcW w:w="625" w:type="dxa"/>
            <w:tcBorders>
              <w:top w:val="single" w:sz="4" w:space="0" w:color="000000"/>
              <w:left w:val="single" w:sz="4" w:space="0" w:color="000000"/>
              <w:bottom w:val="single" w:sz="4" w:space="0" w:color="000000"/>
              <w:right w:val="single" w:sz="4" w:space="0" w:color="000000"/>
            </w:tcBorders>
            <w:shd w:val="clear" w:color="auto" w:fill="00B0F0"/>
          </w:tcPr>
          <w:p w14:paraId="2DFAA6AE" w14:textId="77777777" w:rsidR="00B5067E" w:rsidRDefault="00B5067E">
            <w:pPr>
              <w:pBdr>
                <w:between w:val="single" w:sz="4" w:space="1" w:color="000000"/>
              </w:pBdr>
              <w:jc w:val="both"/>
              <w:rPr>
                <w:rFonts w:ascii="Times New Roman" w:eastAsia="Times New Roman" w:hAnsi="Times New Roman" w:cs="Times New Roman"/>
                <w:b/>
                <w:bCs/>
              </w:rPr>
            </w:pPr>
          </w:p>
        </w:tc>
        <w:tc>
          <w:tcPr>
            <w:tcW w:w="1845" w:type="dxa"/>
            <w:tcBorders>
              <w:top w:val="single" w:sz="4" w:space="0" w:color="000000"/>
              <w:left w:val="single" w:sz="4" w:space="0" w:color="000000"/>
              <w:bottom w:val="single" w:sz="4" w:space="0" w:color="000000"/>
              <w:right w:val="single" w:sz="4" w:space="0" w:color="000000"/>
            </w:tcBorders>
            <w:shd w:val="clear" w:color="auto" w:fill="00B0F0"/>
          </w:tcPr>
          <w:p w14:paraId="03D91A63" w14:textId="77777777" w:rsidR="00B5067E" w:rsidRDefault="00B5067E">
            <w:pPr>
              <w:rPr>
                <w:rFonts w:ascii="Times New Roman" w:eastAsia="Times New Roman" w:hAnsi="Times New Roman" w:cs="Times New Roman"/>
                <w:b/>
                <w:bCs/>
              </w:rPr>
            </w:pPr>
          </w:p>
        </w:tc>
        <w:tc>
          <w:tcPr>
            <w:tcW w:w="2580" w:type="dxa"/>
            <w:gridSpan w:val="2"/>
            <w:tcBorders>
              <w:top w:val="single" w:sz="4" w:space="0" w:color="000000"/>
              <w:left w:val="single" w:sz="4" w:space="0" w:color="000000"/>
              <w:bottom w:val="single" w:sz="4" w:space="0" w:color="000000"/>
              <w:right w:val="single" w:sz="4" w:space="0" w:color="000000"/>
            </w:tcBorders>
            <w:shd w:val="clear" w:color="auto" w:fill="00B0F0"/>
          </w:tcPr>
          <w:p w14:paraId="3AD5EBC8" w14:textId="77777777" w:rsidR="00B5067E" w:rsidRDefault="00B5067E" w:rsidP="00E2097D">
            <w:pPr>
              <w:pBdr>
                <w:between w:val="single" w:sz="4" w:space="1" w:color="000000"/>
              </w:pBdr>
              <w:jc w:val="center"/>
              <w:rPr>
                <w:rFonts w:ascii="Times New Roman" w:eastAsia="Times New Roman" w:hAnsi="Times New Roman" w:cs="Times New Roman"/>
              </w:rPr>
            </w:pPr>
          </w:p>
        </w:tc>
        <w:tc>
          <w:tcPr>
            <w:tcW w:w="5400" w:type="dxa"/>
            <w:tcBorders>
              <w:top w:val="single" w:sz="4" w:space="0" w:color="000000"/>
              <w:left w:val="single" w:sz="4" w:space="0" w:color="000000"/>
              <w:bottom w:val="single" w:sz="4" w:space="0" w:color="000000"/>
              <w:right w:val="single" w:sz="4" w:space="0" w:color="000000"/>
            </w:tcBorders>
            <w:shd w:val="clear" w:color="auto" w:fill="00B0F0"/>
          </w:tcPr>
          <w:p w14:paraId="3BC32AC1" w14:textId="77777777" w:rsidR="00B5067E" w:rsidRDefault="00B5067E">
            <w:pPr>
              <w:pBdr>
                <w:between w:val="single" w:sz="4" w:space="1" w:color="000000"/>
              </w:pBdr>
              <w:jc w:val="both"/>
              <w:rPr>
                <w:rFonts w:ascii="Times New Roman" w:eastAsia="Times New Roman" w:hAnsi="Times New Roman" w:cs="Times New Roman"/>
              </w:rPr>
            </w:pPr>
          </w:p>
        </w:tc>
        <w:tc>
          <w:tcPr>
            <w:tcW w:w="3990" w:type="dxa"/>
            <w:tcBorders>
              <w:top w:val="single" w:sz="4" w:space="0" w:color="000000"/>
              <w:left w:val="single" w:sz="4" w:space="0" w:color="000000"/>
              <w:bottom w:val="single" w:sz="4" w:space="0" w:color="000000"/>
              <w:right w:val="single" w:sz="4" w:space="0" w:color="000000"/>
            </w:tcBorders>
            <w:shd w:val="clear" w:color="auto" w:fill="00B0F0"/>
          </w:tcPr>
          <w:p w14:paraId="494BF273" w14:textId="77777777" w:rsidR="00B5067E" w:rsidRDefault="00B5067E">
            <w:pPr>
              <w:pBdr>
                <w:between w:val="single" w:sz="4" w:space="1" w:color="000000"/>
              </w:pBdr>
              <w:jc w:val="both"/>
              <w:rPr>
                <w:rFonts w:ascii="Times New Roman" w:eastAsia="Times New Roman" w:hAnsi="Times New Roman" w:cs="Times New Roman"/>
                <w:b/>
                <w:bCs/>
              </w:rPr>
            </w:pPr>
          </w:p>
        </w:tc>
      </w:tr>
    </w:tbl>
    <w:p w14:paraId="168138D6" w14:textId="77777777" w:rsidR="00B5067E" w:rsidRDefault="00B5067E">
      <w:pPr>
        <w:rPr>
          <w:rFonts w:ascii="Times New Roman" w:eastAsia="Times New Roman" w:hAnsi="Times New Roman" w:cs="Times New Roman"/>
        </w:rPr>
      </w:pPr>
    </w:p>
    <w:tbl>
      <w:tblPr>
        <w:tblStyle w:val="a0"/>
        <w:tblW w:w="142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5"/>
        <w:gridCol w:w="1845"/>
        <w:gridCol w:w="2557"/>
        <w:gridCol w:w="5386"/>
        <w:gridCol w:w="3952"/>
      </w:tblGrid>
      <w:tr w:rsidR="00B5067E" w14:paraId="7BF6B465" w14:textId="77777777" w:rsidTr="00AC399B">
        <w:tc>
          <w:tcPr>
            <w:tcW w:w="555" w:type="dxa"/>
            <w:tcBorders>
              <w:top w:val="single" w:sz="4" w:space="0" w:color="000000"/>
            </w:tcBorders>
          </w:tcPr>
          <w:p w14:paraId="766E192C" w14:textId="77777777" w:rsidR="00B5067E" w:rsidRDefault="00C443D6">
            <w:pPr>
              <w:pBdr>
                <w:between w:val="single" w:sz="4" w:space="1" w:color="000000"/>
              </w:pBdr>
              <w:jc w:val="both"/>
              <w:rPr>
                <w:rFonts w:ascii="Times New Roman" w:eastAsia="Times New Roman" w:hAnsi="Times New Roman" w:cs="Times New Roman"/>
                <w:b/>
                <w:bCs/>
              </w:rPr>
            </w:pPr>
            <w:r>
              <w:rPr>
                <w:rFonts w:ascii="Times New Roman" w:eastAsia="Times New Roman" w:hAnsi="Times New Roman" w:cs="Times New Roman"/>
                <w:b/>
                <w:bCs/>
              </w:rPr>
              <w:t>15.</w:t>
            </w:r>
          </w:p>
        </w:tc>
        <w:tc>
          <w:tcPr>
            <w:tcW w:w="1845" w:type="dxa"/>
            <w:tcBorders>
              <w:top w:val="single" w:sz="4" w:space="0" w:color="000000"/>
            </w:tcBorders>
          </w:tcPr>
          <w:p w14:paraId="78C8917F" w14:textId="77777777" w:rsidR="00B5067E" w:rsidRDefault="00C443D6">
            <w:pPr>
              <w:jc w:val="both"/>
              <w:rPr>
                <w:rFonts w:ascii="Times New Roman" w:eastAsia="Times New Roman" w:hAnsi="Times New Roman" w:cs="Times New Roman"/>
                <w:b/>
                <w:bCs/>
              </w:rPr>
            </w:pPr>
            <w:r>
              <w:rPr>
                <w:rFonts w:ascii="Times New Roman" w:eastAsia="Times New Roman" w:hAnsi="Times New Roman" w:cs="Times New Roman"/>
                <w:b/>
                <w:bCs/>
              </w:rPr>
              <w:t>Ministerul       Afacerilor Externe</w:t>
            </w:r>
          </w:p>
          <w:p w14:paraId="4182BBEF" w14:textId="77777777" w:rsidR="00B5067E" w:rsidRDefault="00C443D6">
            <w:pPr>
              <w:jc w:val="both"/>
              <w:rPr>
                <w:rFonts w:ascii="Times New Roman" w:eastAsia="Times New Roman" w:hAnsi="Times New Roman" w:cs="Times New Roman"/>
                <w:b/>
                <w:bCs/>
                <w:i/>
                <w:iCs/>
              </w:rPr>
            </w:pPr>
            <w:r>
              <w:rPr>
                <w:rFonts w:ascii="Times New Roman" w:eastAsia="Times New Roman" w:hAnsi="Times New Roman" w:cs="Times New Roman"/>
                <w:i/>
                <w:iCs/>
              </w:rPr>
              <w:t>(Nr. DI/3/041.1-5342 din 08 mai 2026)</w:t>
            </w:r>
          </w:p>
        </w:tc>
        <w:tc>
          <w:tcPr>
            <w:tcW w:w="2557" w:type="dxa"/>
            <w:tcBorders>
              <w:top w:val="single" w:sz="4" w:space="0" w:color="000000"/>
            </w:tcBorders>
          </w:tcPr>
          <w:p w14:paraId="4F7090F9" w14:textId="77777777" w:rsidR="00B5067E" w:rsidRDefault="00B5067E">
            <w:pPr>
              <w:pBdr>
                <w:between w:val="single" w:sz="4" w:space="1" w:color="000000"/>
              </w:pBdr>
              <w:jc w:val="both"/>
              <w:rPr>
                <w:rFonts w:ascii="Times New Roman" w:eastAsia="Times New Roman" w:hAnsi="Times New Roman" w:cs="Times New Roman"/>
              </w:rPr>
            </w:pPr>
          </w:p>
        </w:tc>
        <w:tc>
          <w:tcPr>
            <w:tcW w:w="5386" w:type="dxa"/>
            <w:tcBorders>
              <w:top w:val="single" w:sz="4" w:space="0" w:color="000000"/>
            </w:tcBorders>
          </w:tcPr>
          <w:p w14:paraId="2C766F6F" w14:textId="77777777" w:rsidR="00B5067E" w:rsidRDefault="00C443D6">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Se comunică lipsa de obiecții și propuneri asupra proiectului de act normativ.</w:t>
            </w:r>
          </w:p>
        </w:tc>
        <w:tc>
          <w:tcPr>
            <w:tcW w:w="3952" w:type="dxa"/>
            <w:tcBorders>
              <w:top w:val="single" w:sz="4" w:space="0" w:color="000000"/>
            </w:tcBorders>
          </w:tcPr>
          <w:p w14:paraId="569DBA08" w14:textId="77777777" w:rsidR="00B5067E" w:rsidRDefault="00C443D6">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ia act.</w:t>
            </w:r>
            <w:r>
              <w:rPr>
                <w:rFonts w:ascii="Times New Roman" w:eastAsia="Times New Roman" w:hAnsi="Times New Roman" w:cs="Times New Roman"/>
              </w:rPr>
              <w:t xml:space="preserve"> Se reține avizul favorabil, fără obiecții și propuneri, ceea ce confirmă compatibilitatea proiectului cu politica externă a statului și cu angajamentele internaționale asumate de Republica Moldova.</w:t>
            </w:r>
          </w:p>
        </w:tc>
      </w:tr>
      <w:tr w:rsidR="00B5067E" w14:paraId="4E2F5CC6" w14:textId="77777777" w:rsidTr="00AC399B">
        <w:tc>
          <w:tcPr>
            <w:tcW w:w="555" w:type="dxa"/>
            <w:tcBorders>
              <w:top w:val="single" w:sz="4" w:space="0" w:color="000000"/>
            </w:tcBorders>
            <w:shd w:val="clear" w:color="auto" w:fill="00B0F0"/>
          </w:tcPr>
          <w:p w14:paraId="427391AF" w14:textId="77777777" w:rsidR="00B5067E" w:rsidRDefault="00B5067E">
            <w:pPr>
              <w:pBdr>
                <w:between w:val="single" w:sz="4" w:space="1" w:color="000000"/>
              </w:pBdr>
              <w:jc w:val="both"/>
              <w:rPr>
                <w:rFonts w:ascii="Times New Roman" w:eastAsia="Times New Roman" w:hAnsi="Times New Roman" w:cs="Times New Roman"/>
                <w:b/>
                <w:bCs/>
              </w:rPr>
            </w:pPr>
          </w:p>
        </w:tc>
        <w:tc>
          <w:tcPr>
            <w:tcW w:w="1845" w:type="dxa"/>
            <w:tcBorders>
              <w:top w:val="single" w:sz="4" w:space="0" w:color="000000"/>
            </w:tcBorders>
            <w:shd w:val="clear" w:color="auto" w:fill="00B0F0"/>
          </w:tcPr>
          <w:p w14:paraId="66A8BE50" w14:textId="77777777" w:rsidR="00B5067E" w:rsidRDefault="00B5067E">
            <w:pPr>
              <w:jc w:val="both"/>
              <w:rPr>
                <w:rFonts w:ascii="Times New Roman" w:eastAsia="Times New Roman" w:hAnsi="Times New Roman" w:cs="Times New Roman"/>
                <w:b/>
                <w:bCs/>
              </w:rPr>
            </w:pPr>
          </w:p>
        </w:tc>
        <w:tc>
          <w:tcPr>
            <w:tcW w:w="2557" w:type="dxa"/>
            <w:tcBorders>
              <w:top w:val="single" w:sz="4" w:space="0" w:color="000000"/>
            </w:tcBorders>
            <w:shd w:val="clear" w:color="auto" w:fill="00B0F0"/>
          </w:tcPr>
          <w:p w14:paraId="7299F7CC" w14:textId="77777777" w:rsidR="00B5067E" w:rsidRDefault="00B5067E">
            <w:pPr>
              <w:pBdr>
                <w:between w:val="single" w:sz="4" w:space="1" w:color="000000"/>
              </w:pBdr>
              <w:jc w:val="both"/>
              <w:rPr>
                <w:rFonts w:ascii="Times New Roman" w:eastAsia="Times New Roman" w:hAnsi="Times New Roman" w:cs="Times New Roman"/>
              </w:rPr>
            </w:pPr>
          </w:p>
        </w:tc>
        <w:tc>
          <w:tcPr>
            <w:tcW w:w="5386" w:type="dxa"/>
            <w:tcBorders>
              <w:top w:val="single" w:sz="4" w:space="0" w:color="000000"/>
            </w:tcBorders>
            <w:shd w:val="clear" w:color="auto" w:fill="00B0F0"/>
          </w:tcPr>
          <w:p w14:paraId="17C44D2A" w14:textId="77777777" w:rsidR="00B5067E" w:rsidRDefault="00B5067E">
            <w:pPr>
              <w:pBdr>
                <w:between w:val="single" w:sz="4" w:space="1" w:color="000000"/>
              </w:pBdr>
              <w:jc w:val="both"/>
              <w:rPr>
                <w:rFonts w:ascii="Times New Roman" w:eastAsia="Times New Roman" w:hAnsi="Times New Roman" w:cs="Times New Roman"/>
              </w:rPr>
            </w:pPr>
          </w:p>
        </w:tc>
        <w:tc>
          <w:tcPr>
            <w:tcW w:w="3952" w:type="dxa"/>
            <w:tcBorders>
              <w:top w:val="single" w:sz="4" w:space="0" w:color="000000"/>
            </w:tcBorders>
            <w:shd w:val="clear" w:color="auto" w:fill="00B0F0"/>
          </w:tcPr>
          <w:p w14:paraId="60D10811" w14:textId="77777777" w:rsidR="00B5067E" w:rsidRDefault="00B5067E">
            <w:pPr>
              <w:pBdr>
                <w:between w:val="single" w:sz="4" w:space="1" w:color="000000"/>
              </w:pBdr>
              <w:jc w:val="both"/>
              <w:rPr>
                <w:rFonts w:ascii="Times New Roman" w:eastAsia="Times New Roman" w:hAnsi="Times New Roman" w:cs="Times New Roman"/>
                <w:b/>
                <w:bCs/>
              </w:rPr>
            </w:pPr>
          </w:p>
        </w:tc>
      </w:tr>
      <w:tr w:rsidR="00B5067E" w14:paraId="45F4E196" w14:textId="77777777" w:rsidTr="00AC399B">
        <w:tc>
          <w:tcPr>
            <w:tcW w:w="555" w:type="dxa"/>
          </w:tcPr>
          <w:p w14:paraId="0A0707A7" w14:textId="77777777" w:rsidR="00B5067E" w:rsidRDefault="00C443D6">
            <w:pPr>
              <w:pBdr>
                <w:between w:val="single" w:sz="4" w:space="1" w:color="000000"/>
              </w:pBdr>
              <w:jc w:val="both"/>
              <w:rPr>
                <w:rFonts w:ascii="Times New Roman" w:eastAsia="Times New Roman" w:hAnsi="Times New Roman" w:cs="Times New Roman"/>
                <w:b/>
                <w:bCs/>
              </w:rPr>
            </w:pPr>
            <w:r>
              <w:rPr>
                <w:rFonts w:ascii="Times New Roman" w:eastAsia="Times New Roman" w:hAnsi="Times New Roman" w:cs="Times New Roman"/>
                <w:b/>
                <w:bCs/>
              </w:rPr>
              <w:t>16.</w:t>
            </w:r>
          </w:p>
        </w:tc>
        <w:tc>
          <w:tcPr>
            <w:tcW w:w="1845" w:type="dxa"/>
          </w:tcPr>
          <w:p w14:paraId="4ABD3E7A" w14:textId="77777777" w:rsidR="00B5067E" w:rsidRDefault="00C443D6">
            <w:pPr>
              <w:jc w:val="both"/>
              <w:rPr>
                <w:rFonts w:ascii="Times New Roman" w:eastAsia="Times New Roman" w:hAnsi="Times New Roman" w:cs="Times New Roman"/>
                <w:b/>
                <w:bCs/>
              </w:rPr>
            </w:pPr>
            <w:r>
              <w:rPr>
                <w:rFonts w:ascii="Times New Roman" w:eastAsia="Times New Roman" w:hAnsi="Times New Roman" w:cs="Times New Roman"/>
                <w:b/>
                <w:bCs/>
              </w:rPr>
              <w:t>Ministerul Apărării</w:t>
            </w:r>
          </w:p>
          <w:p w14:paraId="5912999F" w14:textId="77777777" w:rsidR="00B5067E" w:rsidRDefault="00C443D6">
            <w:pPr>
              <w:jc w:val="both"/>
              <w:rPr>
                <w:rFonts w:ascii="Times New Roman" w:eastAsia="Times New Roman" w:hAnsi="Times New Roman" w:cs="Times New Roman"/>
                <w:b/>
                <w:bCs/>
                <w:i/>
                <w:iCs/>
              </w:rPr>
            </w:pPr>
            <w:r>
              <w:rPr>
                <w:rFonts w:ascii="Times New Roman" w:eastAsia="Times New Roman" w:hAnsi="Times New Roman" w:cs="Times New Roman"/>
                <w:i/>
                <w:iCs/>
              </w:rPr>
              <w:t>(Nr. 11/747 din 11.05.2026)</w:t>
            </w:r>
          </w:p>
        </w:tc>
        <w:tc>
          <w:tcPr>
            <w:tcW w:w="2557" w:type="dxa"/>
          </w:tcPr>
          <w:p w14:paraId="399C57A8" w14:textId="77777777" w:rsidR="00B5067E" w:rsidRDefault="00B5067E">
            <w:pPr>
              <w:pBdr>
                <w:between w:val="single" w:sz="4" w:space="1" w:color="000000"/>
              </w:pBdr>
              <w:jc w:val="both"/>
              <w:rPr>
                <w:rFonts w:ascii="Times New Roman" w:eastAsia="Times New Roman" w:hAnsi="Times New Roman" w:cs="Times New Roman"/>
              </w:rPr>
            </w:pPr>
          </w:p>
        </w:tc>
        <w:tc>
          <w:tcPr>
            <w:tcW w:w="5386" w:type="dxa"/>
          </w:tcPr>
          <w:p w14:paraId="3DDB9B47" w14:textId="77777777" w:rsidR="00B5067E" w:rsidRDefault="00C443D6">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Se comunică lipsa de obiecții și propuneri asupra proiectului de act normativ.</w:t>
            </w:r>
          </w:p>
        </w:tc>
        <w:tc>
          <w:tcPr>
            <w:tcW w:w="3952" w:type="dxa"/>
          </w:tcPr>
          <w:p w14:paraId="2CE0C511" w14:textId="77777777" w:rsidR="00B5067E" w:rsidRDefault="00C443D6">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ia act.</w:t>
            </w:r>
            <w:r>
              <w:rPr>
                <w:rFonts w:ascii="Times New Roman" w:eastAsia="Times New Roman" w:hAnsi="Times New Roman" w:cs="Times New Roman"/>
              </w:rPr>
              <w:t xml:space="preserve"> Se reține avizul favorabil, fără observații, confirmând că proiectul nu generează impact negativ asupra domeniului apărării naționale și este </w:t>
            </w:r>
            <w:r>
              <w:rPr>
                <w:rFonts w:ascii="Times New Roman" w:eastAsia="Times New Roman" w:hAnsi="Times New Roman" w:cs="Times New Roman"/>
              </w:rPr>
              <w:lastRenderedPageBreak/>
              <w:t>compatibil cu cadrul normativ sectorial.</w:t>
            </w:r>
          </w:p>
        </w:tc>
      </w:tr>
      <w:tr w:rsidR="00B5067E" w14:paraId="0D57BB77" w14:textId="77777777" w:rsidTr="00AC399B">
        <w:tc>
          <w:tcPr>
            <w:tcW w:w="555" w:type="dxa"/>
            <w:shd w:val="clear" w:color="auto" w:fill="00B0F0"/>
          </w:tcPr>
          <w:p w14:paraId="5E7F0B1C" w14:textId="77777777" w:rsidR="00B5067E" w:rsidRDefault="00B5067E">
            <w:pPr>
              <w:pBdr>
                <w:between w:val="single" w:sz="4" w:space="1" w:color="000000"/>
              </w:pBdr>
              <w:jc w:val="both"/>
              <w:rPr>
                <w:rFonts w:ascii="Times New Roman" w:eastAsia="Times New Roman" w:hAnsi="Times New Roman" w:cs="Times New Roman"/>
                <w:b/>
                <w:bCs/>
              </w:rPr>
            </w:pPr>
          </w:p>
        </w:tc>
        <w:tc>
          <w:tcPr>
            <w:tcW w:w="1845" w:type="dxa"/>
            <w:shd w:val="clear" w:color="auto" w:fill="00B0F0"/>
          </w:tcPr>
          <w:p w14:paraId="4ADA2649" w14:textId="77777777" w:rsidR="00B5067E" w:rsidRDefault="00B5067E">
            <w:pPr>
              <w:jc w:val="both"/>
              <w:rPr>
                <w:rFonts w:ascii="Times New Roman" w:eastAsia="Times New Roman" w:hAnsi="Times New Roman" w:cs="Times New Roman"/>
                <w:b/>
                <w:bCs/>
              </w:rPr>
            </w:pPr>
          </w:p>
        </w:tc>
        <w:tc>
          <w:tcPr>
            <w:tcW w:w="2557" w:type="dxa"/>
            <w:shd w:val="clear" w:color="auto" w:fill="00B0F0"/>
          </w:tcPr>
          <w:p w14:paraId="2DFB94B0" w14:textId="77777777" w:rsidR="00B5067E" w:rsidRDefault="00B5067E">
            <w:pPr>
              <w:pBdr>
                <w:between w:val="single" w:sz="4" w:space="1" w:color="000000"/>
              </w:pBdr>
              <w:jc w:val="both"/>
              <w:rPr>
                <w:rFonts w:ascii="Times New Roman" w:eastAsia="Times New Roman" w:hAnsi="Times New Roman" w:cs="Times New Roman"/>
              </w:rPr>
            </w:pPr>
          </w:p>
        </w:tc>
        <w:tc>
          <w:tcPr>
            <w:tcW w:w="5386" w:type="dxa"/>
            <w:shd w:val="clear" w:color="auto" w:fill="00B0F0"/>
          </w:tcPr>
          <w:p w14:paraId="2783F96F" w14:textId="77777777" w:rsidR="00B5067E" w:rsidRDefault="00B5067E">
            <w:pPr>
              <w:pBdr>
                <w:between w:val="single" w:sz="4" w:space="1" w:color="000000"/>
              </w:pBdr>
              <w:jc w:val="both"/>
              <w:rPr>
                <w:rFonts w:ascii="Times New Roman" w:eastAsia="Times New Roman" w:hAnsi="Times New Roman" w:cs="Times New Roman"/>
              </w:rPr>
            </w:pPr>
          </w:p>
        </w:tc>
        <w:tc>
          <w:tcPr>
            <w:tcW w:w="3952" w:type="dxa"/>
            <w:shd w:val="clear" w:color="auto" w:fill="00B0F0"/>
          </w:tcPr>
          <w:p w14:paraId="0D04D478" w14:textId="77777777" w:rsidR="00B5067E" w:rsidRDefault="00B5067E">
            <w:pPr>
              <w:pBdr>
                <w:between w:val="single" w:sz="4" w:space="1" w:color="000000"/>
              </w:pBdr>
              <w:jc w:val="both"/>
              <w:rPr>
                <w:rFonts w:ascii="Times New Roman" w:eastAsia="Times New Roman" w:hAnsi="Times New Roman" w:cs="Times New Roman"/>
                <w:b/>
                <w:bCs/>
              </w:rPr>
            </w:pPr>
          </w:p>
        </w:tc>
      </w:tr>
      <w:tr w:rsidR="00B5067E" w14:paraId="4AE0EAA4" w14:textId="77777777" w:rsidTr="00AC399B">
        <w:tc>
          <w:tcPr>
            <w:tcW w:w="555" w:type="dxa"/>
          </w:tcPr>
          <w:p w14:paraId="79BF7CB9" w14:textId="77777777" w:rsidR="00B5067E" w:rsidRDefault="00C443D6">
            <w:pPr>
              <w:pBdr>
                <w:between w:val="single" w:sz="4" w:space="1" w:color="000000"/>
              </w:pBdr>
              <w:jc w:val="both"/>
              <w:rPr>
                <w:rFonts w:ascii="Times New Roman" w:eastAsia="Times New Roman" w:hAnsi="Times New Roman" w:cs="Times New Roman"/>
                <w:b/>
                <w:bCs/>
              </w:rPr>
            </w:pPr>
            <w:r>
              <w:rPr>
                <w:rFonts w:ascii="Times New Roman" w:eastAsia="Times New Roman" w:hAnsi="Times New Roman" w:cs="Times New Roman"/>
                <w:b/>
                <w:bCs/>
              </w:rPr>
              <w:t>17.</w:t>
            </w:r>
          </w:p>
        </w:tc>
        <w:tc>
          <w:tcPr>
            <w:tcW w:w="1845" w:type="dxa"/>
          </w:tcPr>
          <w:p w14:paraId="4220C3C3" w14:textId="77777777" w:rsidR="00B5067E" w:rsidRDefault="00C443D6">
            <w:pPr>
              <w:jc w:val="both"/>
              <w:rPr>
                <w:rFonts w:ascii="Times New Roman" w:eastAsia="Times New Roman" w:hAnsi="Times New Roman" w:cs="Times New Roman"/>
                <w:b/>
                <w:bCs/>
              </w:rPr>
            </w:pPr>
            <w:r>
              <w:rPr>
                <w:rFonts w:ascii="Times New Roman" w:eastAsia="Times New Roman" w:hAnsi="Times New Roman" w:cs="Times New Roman"/>
                <w:b/>
                <w:bCs/>
              </w:rPr>
              <w:t>Ministerul Sănătății</w:t>
            </w:r>
          </w:p>
          <w:p w14:paraId="7E02E1BC" w14:textId="77777777" w:rsidR="00B5067E" w:rsidRDefault="00C443D6">
            <w:pPr>
              <w:jc w:val="both"/>
              <w:rPr>
                <w:rFonts w:ascii="Times New Roman" w:eastAsia="Times New Roman" w:hAnsi="Times New Roman" w:cs="Times New Roman"/>
                <w:b/>
                <w:bCs/>
                <w:i/>
                <w:iCs/>
              </w:rPr>
            </w:pPr>
            <w:r>
              <w:rPr>
                <w:rFonts w:ascii="Times New Roman" w:eastAsia="Times New Roman" w:hAnsi="Times New Roman" w:cs="Times New Roman"/>
                <w:i/>
                <w:iCs/>
              </w:rPr>
              <w:t>(Nr. 14/1594 din 05.05.2026)</w:t>
            </w:r>
          </w:p>
        </w:tc>
        <w:tc>
          <w:tcPr>
            <w:tcW w:w="2557" w:type="dxa"/>
          </w:tcPr>
          <w:p w14:paraId="4F9AD797" w14:textId="77777777" w:rsidR="00B5067E" w:rsidRDefault="00B5067E">
            <w:pPr>
              <w:pBdr>
                <w:between w:val="single" w:sz="4" w:space="1" w:color="000000"/>
              </w:pBdr>
              <w:jc w:val="both"/>
              <w:rPr>
                <w:rFonts w:ascii="Times New Roman" w:eastAsia="Times New Roman" w:hAnsi="Times New Roman" w:cs="Times New Roman"/>
              </w:rPr>
            </w:pPr>
          </w:p>
        </w:tc>
        <w:tc>
          <w:tcPr>
            <w:tcW w:w="5386" w:type="dxa"/>
          </w:tcPr>
          <w:p w14:paraId="024DA416" w14:textId="77777777" w:rsidR="00B5067E" w:rsidRDefault="00C443D6">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Se comunică lipsa de obiecții și propuneri asupra proiectului de act normativ.</w:t>
            </w:r>
          </w:p>
        </w:tc>
        <w:tc>
          <w:tcPr>
            <w:tcW w:w="3952" w:type="dxa"/>
          </w:tcPr>
          <w:p w14:paraId="779C8681" w14:textId="77777777" w:rsidR="00B5067E" w:rsidRDefault="00C443D6">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ia act.</w:t>
            </w:r>
            <w:r>
              <w:rPr>
                <w:rFonts w:ascii="Times New Roman" w:eastAsia="Times New Roman" w:hAnsi="Times New Roman" w:cs="Times New Roman"/>
              </w:rPr>
              <w:t xml:space="preserve"> Se reține avizul favorabil, fără obiecții, ceea ce confirmă că prevederile proiectului nu afectează sistemul de sănătate publică și sunt conforme cu competențele instituționale.</w:t>
            </w:r>
          </w:p>
        </w:tc>
      </w:tr>
      <w:tr w:rsidR="00B5067E" w14:paraId="769DF897" w14:textId="77777777" w:rsidTr="00AC399B">
        <w:tc>
          <w:tcPr>
            <w:tcW w:w="555" w:type="dxa"/>
            <w:shd w:val="clear" w:color="auto" w:fill="00B0F0"/>
          </w:tcPr>
          <w:p w14:paraId="31967603" w14:textId="77777777" w:rsidR="00B5067E" w:rsidRDefault="00B5067E">
            <w:pPr>
              <w:pBdr>
                <w:between w:val="single" w:sz="4" w:space="1" w:color="000000"/>
              </w:pBdr>
              <w:jc w:val="both"/>
              <w:rPr>
                <w:rFonts w:ascii="Times New Roman" w:eastAsia="Times New Roman" w:hAnsi="Times New Roman" w:cs="Times New Roman"/>
                <w:b/>
                <w:bCs/>
              </w:rPr>
            </w:pPr>
          </w:p>
        </w:tc>
        <w:tc>
          <w:tcPr>
            <w:tcW w:w="1845" w:type="dxa"/>
            <w:shd w:val="clear" w:color="auto" w:fill="00B0F0"/>
          </w:tcPr>
          <w:p w14:paraId="743A2229" w14:textId="77777777" w:rsidR="00B5067E" w:rsidRDefault="00B5067E">
            <w:pPr>
              <w:jc w:val="both"/>
              <w:rPr>
                <w:rFonts w:ascii="Times New Roman" w:eastAsia="Times New Roman" w:hAnsi="Times New Roman" w:cs="Times New Roman"/>
                <w:b/>
                <w:bCs/>
              </w:rPr>
            </w:pPr>
          </w:p>
        </w:tc>
        <w:tc>
          <w:tcPr>
            <w:tcW w:w="2557" w:type="dxa"/>
            <w:shd w:val="clear" w:color="auto" w:fill="00B0F0"/>
          </w:tcPr>
          <w:p w14:paraId="753D6D43" w14:textId="77777777" w:rsidR="00B5067E" w:rsidRDefault="00B5067E">
            <w:pPr>
              <w:pBdr>
                <w:between w:val="single" w:sz="4" w:space="1" w:color="000000"/>
              </w:pBdr>
              <w:jc w:val="both"/>
              <w:rPr>
                <w:rFonts w:ascii="Times New Roman" w:eastAsia="Times New Roman" w:hAnsi="Times New Roman" w:cs="Times New Roman"/>
              </w:rPr>
            </w:pPr>
          </w:p>
        </w:tc>
        <w:tc>
          <w:tcPr>
            <w:tcW w:w="5386" w:type="dxa"/>
            <w:shd w:val="clear" w:color="auto" w:fill="00B0F0"/>
          </w:tcPr>
          <w:p w14:paraId="5095929C" w14:textId="77777777" w:rsidR="00B5067E" w:rsidRDefault="00B5067E">
            <w:pPr>
              <w:pBdr>
                <w:between w:val="single" w:sz="4" w:space="1" w:color="000000"/>
              </w:pBdr>
              <w:jc w:val="both"/>
              <w:rPr>
                <w:rFonts w:ascii="Times New Roman" w:eastAsia="Times New Roman" w:hAnsi="Times New Roman" w:cs="Times New Roman"/>
              </w:rPr>
            </w:pPr>
          </w:p>
        </w:tc>
        <w:tc>
          <w:tcPr>
            <w:tcW w:w="3952" w:type="dxa"/>
            <w:shd w:val="clear" w:color="auto" w:fill="00B0F0"/>
          </w:tcPr>
          <w:p w14:paraId="15263A79" w14:textId="77777777" w:rsidR="00B5067E" w:rsidRDefault="00B5067E">
            <w:pPr>
              <w:pBdr>
                <w:between w:val="single" w:sz="4" w:space="1" w:color="000000"/>
              </w:pBdr>
              <w:jc w:val="both"/>
              <w:rPr>
                <w:rFonts w:ascii="Times New Roman" w:eastAsia="Times New Roman" w:hAnsi="Times New Roman" w:cs="Times New Roman"/>
                <w:b/>
                <w:bCs/>
              </w:rPr>
            </w:pPr>
          </w:p>
        </w:tc>
      </w:tr>
      <w:tr w:rsidR="00B5067E" w14:paraId="2981C6B3" w14:textId="77777777" w:rsidTr="00AC399B">
        <w:tc>
          <w:tcPr>
            <w:tcW w:w="555" w:type="dxa"/>
          </w:tcPr>
          <w:p w14:paraId="2556A162" w14:textId="77777777" w:rsidR="00B5067E" w:rsidRDefault="00C443D6">
            <w:pPr>
              <w:pBdr>
                <w:between w:val="single" w:sz="4" w:space="1" w:color="000000"/>
              </w:pBdr>
              <w:jc w:val="both"/>
              <w:rPr>
                <w:rFonts w:ascii="Times New Roman" w:eastAsia="Times New Roman" w:hAnsi="Times New Roman" w:cs="Times New Roman"/>
                <w:b/>
                <w:bCs/>
              </w:rPr>
            </w:pPr>
            <w:r>
              <w:rPr>
                <w:rFonts w:ascii="Times New Roman" w:eastAsia="Times New Roman" w:hAnsi="Times New Roman" w:cs="Times New Roman"/>
                <w:b/>
                <w:bCs/>
              </w:rPr>
              <w:t>18.</w:t>
            </w:r>
          </w:p>
        </w:tc>
        <w:tc>
          <w:tcPr>
            <w:tcW w:w="1845" w:type="dxa"/>
          </w:tcPr>
          <w:p w14:paraId="0779EF11" w14:textId="77777777" w:rsidR="00B5067E" w:rsidRDefault="00C443D6">
            <w:pPr>
              <w:jc w:val="both"/>
              <w:rPr>
                <w:rFonts w:ascii="Times New Roman" w:eastAsia="Times New Roman" w:hAnsi="Times New Roman" w:cs="Times New Roman"/>
                <w:b/>
                <w:bCs/>
              </w:rPr>
            </w:pPr>
            <w:r>
              <w:rPr>
                <w:rFonts w:ascii="Times New Roman" w:eastAsia="Times New Roman" w:hAnsi="Times New Roman" w:cs="Times New Roman"/>
                <w:b/>
                <w:bCs/>
              </w:rPr>
              <w:t>Ministerul Agriculturii și Industriei Alimentare</w:t>
            </w:r>
          </w:p>
          <w:p w14:paraId="6BD51712" w14:textId="77777777" w:rsidR="00B5067E" w:rsidRDefault="00C443D6">
            <w:pPr>
              <w:jc w:val="both"/>
              <w:rPr>
                <w:rFonts w:ascii="Times New Roman" w:eastAsia="Times New Roman" w:hAnsi="Times New Roman" w:cs="Times New Roman"/>
                <w:b/>
                <w:bCs/>
                <w:i/>
                <w:iCs/>
              </w:rPr>
            </w:pPr>
            <w:r>
              <w:rPr>
                <w:rFonts w:ascii="Times New Roman" w:eastAsia="Times New Roman" w:hAnsi="Times New Roman" w:cs="Times New Roman"/>
                <w:i/>
                <w:iCs/>
              </w:rPr>
              <w:t>(Nr. 23-02/1338 din 07.05.2026)</w:t>
            </w:r>
          </w:p>
        </w:tc>
        <w:tc>
          <w:tcPr>
            <w:tcW w:w="2557" w:type="dxa"/>
          </w:tcPr>
          <w:p w14:paraId="68E2FAB5" w14:textId="77777777" w:rsidR="00B5067E" w:rsidRDefault="00B5067E">
            <w:pPr>
              <w:pBdr>
                <w:between w:val="single" w:sz="4" w:space="1" w:color="000000"/>
              </w:pBdr>
              <w:jc w:val="both"/>
              <w:rPr>
                <w:rFonts w:ascii="Times New Roman" w:eastAsia="Times New Roman" w:hAnsi="Times New Roman" w:cs="Times New Roman"/>
              </w:rPr>
            </w:pPr>
          </w:p>
        </w:tc>
        <w:tc>
          <w:tcPr>
            <w:tcW w:w="5386" w:type="dxa"/>
          </w:tcPr>
          <w:p w14:paraId="66B8E49E" w14:textId="77777777" w:rsidR="00B5067E" w:rsidRDefault="00C443D6">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Se comunică lipsa de obiecții și propuneri asupra proiectului de act normativ.</w:t>
            </w:r>
          </w:p>
        </w:tc>
        <w:tc>
          <w:tcPr>
            <w:tcW w:w="3952" w:type="dxa"/>
          </w:tcPr>
          <w:p w14:paraId="5E276CB2" w14:textId="77777777" w:rsidR="00B5067E" w:rsidRDefault="00C443D6">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ia act.</w:t>
            </w:r>
            <w:r>
              <w:rPr>
                <w:rFonts w:ascii="Times New Roman" w:eastAsia="Times New Roman" w:hAnsi="Times New Roman" w:cs="Times New Roman"/>
              </w:rPr>
              <w:t xml:space="preserve"> Se reține avizul favorabil, fără observații, confirmând că proiectul nu interferează cu politicile din domeniul agriculturii și industriei alimentare și nu necesită ajustări sectoriale.</w:t>
            </w:r>
          </w:p>
        </w:tc>
      </w:tr>
      <w:tr w:rsidR="00E2097D" w14:paraId="23F072A1" w14:textId="77777777" w:rsidTr="00AC399B">
        <w:tc>
          <w:tcPr>
            <w:tcW w:w="555" w:type="dxa"/>
            <w:shd w:val="clear" w:color="auto" w:fill="00B0F0"/>
          </w:tcPr>
          <w:p w14:paraId="0F2BD5C9" w14:textId="77777777" w:rsidR="00E2097D" w:rsidRDefault="00E2097D">
            <w:pPr>
              <w:pBdr>
                <w:between w:val="single" w:sz="4" w:space="1" w:color="000000"/>
              </w:pBdr>
              <w:jc w:val="both"/>
              <w:rPr>
                <w:rFonts w:ascii="Times New Roman" w:eastAsia="Times New Roman" w:hAnsi="Times New Roman" w:cs="Times New Roman"/>
                <w:b/>
                <w:bCs/>
              </w:rPr>
            </w:pPr>
          </w:p>
        </w:tc>
        <w:tc>
          <w:tcPr>
            <w:tcW w:w="1845" w:type="dxa"/>
            <w:shd w:val="clear" w:color="auto" w:fill="00B0F0"/>
          </w:tcPr>
          <w:p w14:paraId="1FB53838" w14:textId="77777777" w:rsidR="00E2097D" w:rsidRDefault="00E2097D">
            <w:pPr>
              <w:jc w:val="both"/>
              <w:rPr>
                <w:rFonts w:ascii="Times New Roman" w:eastAsia="Times New Roman" w:hAnsi="Times New Roman" w:cs="Times New Roman"/>
                <w:b/>
                <w:bCs/>
              </w:rPr>
            </w:pPr>
          </w:p>
        </w:tc>
        <w:tc>
          <w:tcPr>
            <w:tcW w:w="2557" w:type="dxa"/>
            <w:shd w:val="clear" w:color="auto" w:fill="00B0F0"/>
          </w:tcPr>
          <w:p w14:paraId="063A78AA" w14:textId="77777777" w:rsidR="00E2097D" w:rsidRDefault="00E2097D">
            <w:pPr>
              <w:pBdr>
                <w:between w:val="single" w:sz="4" w:space="1" w:color="000000"/>
              </w:pBdr>
              <w:jc w:val="both"/>
              <w:rPr>
                <w:rFonts w:ascii="Times New Roman" w:eastAsia="Times New Roman" w:hAnsi="Times New Roman" w:cs="Times New Roman"/>
              </w:rPr>
            </w:pPr>
          </w:p>
        </w:tc>
        <w:tc>
          <w:tcPr>
            <w:tcW w:w="5386" w:type="dxa"/>
            <w:shd w:val="clear" w:color="auto" w:fill="00B0F0"/>
          </w:tcPr>
          <w:p w14:paraId="0C33CDB4" w14:textId="77777777" w:rsidR="00E2097D" w:rsidRDefault="00E2097D">
            <w:pPr>
              <w:pBdr>
                <w:between w:val="single" w:sz="4" w:space="1" w:color="000000"/>
              </w:pBdr>
              <w:jc w:val="both"/>
              <w:rPr>
                <w:rFonts w:ascii="Times New Roman" w:eastAsia="Times New Roman" w:hAnsi="Times New Roman" w:cs="Times New Roman"/>
              </w:rPr>
            </w:pPr>
          </w:p>
        </w:tc>
        <w:tc>
          <w:tcPr>
            <w:tcW w:w="3952" w:type="dxa"/>
            <w:shd w:val="clear" w:color="auto" w:fill="00B0F0"/>
          </w:tcPr>
          <w:p w14:paraId="3A6731DB" w14:textId="77777777" w:rsidR="00E2097D" w:rsidRDefault="00E2097D">
            <w:pPr>
              <w:pBdr>
                <w:between w:val="single" w:sz="4" w:space="1" w:color="000000"/>
              </w:pBdr>
              <w:jc w:val="both"/>
              <w:rPr>
                <w:rFonts w:ascii="Times New Roman" w:eastAsia="Times New Roman" w:hAnsi="Times New Roman" w:cs="Times New Roman"/>
                <w:b/>
                <w:bCs/>
              </w:rPr>
            </w:pPr>
          </w:p>
        </w:tc>
      </w:tr>
      <w:tr w:rsidR="00B5067E" w14:paraId="2B75EC41" w14:textId="77777777" w:rsidTr="00AC399B">
        <w:tc>
          <w:tcPr>
            <w:tcW w:w="555" w:type="dxa"/>
          </w:tcPr>
          <w:p w14:paraId="72B0994A" w14:textId="77777777" w:rsidR="00B5067E" w:rsidRDefault="00C443D6">
            <w:pPr>
              <w:pBdr>
                <w:between w:val="single" w:sz="4" w:space="1" w:color="000000"/>
              </w:pBdr>
              <w:jc w:val="both"/>
              <w:rPr>
                <w:rFonts w:ascii="Times New Roman" w:eastAsia="Times New Roman" w:hAnsi="Times New Roman" w:cs="Times New Roman"/>
                <w:b/>
                <w:bCs/>
              </w:rPr>
            </w:pPr>
            <w:r>
              <w:rPr>
                <w:rFonts w:ascii="Times New Roman" w:eastAsia="Times New Roman" w:hAnsi="Times New Roman" w:cs="Times New Roman"/>
                <w:b/>
                <w:bCs/>
              </w:rPr>
              <w:t>19.</w:t>
            </w:r>
          </w:p>
        </w:tc>
        <w:tc>
          <w:tcPr>
            <w:tcW w:w="1845" w:type="dxa"/>
          </w:tcPr>
          <w:p w14:paraId="7BF5AB08" w14:textId="77777777" w:rsidR="00B5067E" w:rsidRDefault="00C443D6">
            <w:pPr>
              <w:jc w:val="both"/>
              <w:rPr>
                <w:rFonts w:ascii="Times New Roman" w:eastAsia="Times New Roman" w:hAnsi="Times New Roman" w:cs="Times New Roman"/>
                <w:b/>
                <w:bCs/>
              </w:rPr>
            </w:pPr>
            <w:r>
              <w:rPr>
                <w:rFonts w:ascii="Times New Roman" w:eastAsia="Times New Roman" w:hAnsi="Times New Roman" w:cs="Times New Roman"/>
                <w:b/>
                <w:bCs/>
              </w:rPr>
              <w:t>Autoritatea Aeronautică Civilă</w:t>
            </w:r>
          </w:p>
          <w:p w14:paraId="1AAF5B8D" w14:textId="77777777" w:rsidR="00B5067E" w:rsidRDefault="00C443D6">
            <w:pPr>
              <w:jc w:val="both"/>
              <w:rPr>
                <w:rFonts w:ascii="Times New Roman" w:eastAsia="Times New Roman" w:hAnsi="Times New Roman" w:cs="Times New Roman"/>
                <w:b/>
                <w:bCs/>
              </w:rPr>
            </w:pPr>
            <w:r>
              <w:rPr>
                <w:rFonts w:ascii="Times New Roman" w:eastAsia="Times New Roman" w:hAnsi="Times New Roman" w:cs="Times New Roman"/>
              </w:rPr>
              <w:t>(29.04.2026)</w:t>
            </w:r>
          </w:p>
        </w:tc>
        <w:tc>
          <w:tcPr>
            <w:tcW w:w="2557" w:type="dxa"/>
          </w:tcPr>
          <w:p w14:paraId="5457FD9F" w14:textId="77777777" w:rsidR="00B5067E" w:rsidRDefault="00B5067E">
            <w:pPr>
              <w:pBdr>
                <w:between w:val="single" w:sz="4" w:space="1" w:color="000000"/>
              </w:pBdr>
              <w:jc w:val="both"/>
              <w:rPr>
                <w:rFonts w:ascii="Times New Roman" w:eastAsia="Times New Roman" w:hAnsi="Times New Roman" w:cs="Times New Roman"/>
              </w:rPr>
            </w:pPr>
          </w:p>
        </w:tc>
        <w:tc>
          <w:tcPr>
            <w:tcW w:w="5386" w:type="dxa"/>
          </w:tcPr>
          <w:p w14:paraId="4EA9AEF4" w14:textId="77777777" w:rsidR="00B5067E" w:rsidRDefault="00C443D6">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Se comunică lipsa de obiecții și propuneri asupra proiectului de act normativ.</w:t>
            </w:r>
          </w:p>
        </w:tc>
        <w:tc>
          <w:tcPr>
            <w:tcW w:w="3952" w:type="dxa"/>
          </w:tcPr>
          <w:p w14:paraId="5EA99996" w14:textId="77777777" w:rsidR="00B5067E" w:rsidRDefault="00C443D6">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ia act.</w:t>
            </w:r>
            <w:r>
              <w:rPr>
                <w:rFonts w:ascii="Times New Roman" w:eastAsia="Times New Roman" w:hAnsi="Times New Roman" w:cs="Times New Roman"/>
              </w:rPr>
              <w:t xml:space="preserve"> Se reține avizul favorabil, fără obiecții, ceea ce confirmă că proiectul nu are impact asupra domeniului aviației civile și este compatibil cu reglementările aeronautice în vigoare.</w:t>
            </w:r>
          </w:p>
        </w:tc>
      </w:tr>
      <w:tr w:rsidR="00E2097D" w14:paraId="6EECB6A9" w14:textId="77777777" w:rsidTr="00AC399B">
        <w:tc>
          <w:tcPr>
            <w:tcW w:w="555" w:type="dxa"/>
            <w:shd w:val="clear" w:color="auto" w:fill="00B0F0"/>
          </w:tcPr>
          <w:p w14:paraId="5FE1DE50" w14:textId="77777777" w:rsidR="00E2097D" w:rsidRDefault="00E2097D">
            <w:pPr>
              <w:pBdr>
                <w:between w:val="single" w:sz="4" w:space="1" w:color="000000"/>
              </w:pBdr>
              <w:jc w:val="both"/>
              <w:rPr>
                <w:rFonts w:ascii="Times New Roman" w:eastAsia="Times New Roman" w:hAnsi="Times New Roman" w:cs="Times New Roman"/>
                <w:b/>
                <w:bCs/>
              </w:rPr>
            </w:pPr>
          </w:p>
        </w:tc>
        <w:tc>
          <w:tcPr>
            <w:tcW w:w="1845" w:type="dxa"/>
            <w:shd w:val="clear" w:color="auto" w:fill="00B0F0"/>
          </w:tcPr>
          <w:p w14:paraId="771A84B1" w14:textId="77777777" w:rsidR="00E2097D" w:rsidRDefault="00E2097D">
            <w:pPr>
              <w:jc w:val="both"/>
              <w:rPr>
                <w:rFonts w:ascii="Times New Roman" w:eastAsia="Times New Roman" w:hAnsi="Times New Roman" w:cs="Times New Roman"/>
                <w:b/>
                <w:bCs/>
              </w:rPr>
            </w:pPr>
          </w:p>
        </w:tc>
        <w:tc>
          <w:tcPr>
            <w:tcW w:w="2557" w:type="dxa"/>
            <w:shd w:val="clear" w:color="auto" w:fill="00B0F0"/>
          </w:tcPr>
          <w:p w14:paraId="4F616E24" w14:textId="77777777" w:rsidR="00E2097D" w:rsidRDefault="00E2097D">
            <w:pPr>
              <w:pBdr>
                <w:between w:val="single" w:sz="4" w:space="1" w:color="000000"/>
              </w:pBdr>
              <w:jc w:val="both"/>
              <w:rPr>
                <w:rFonts w:ascii="Times New Roman" w:eastAsia="Times New Roman" w:hAnsi="Times New Roman" w:cs="Times New Roman"/>
              </w:rPr>
            </w:pPr>
          </w:p>
        </w:tc>
        <w:tc>
          <w:tcPr>
            <w:tcW w:w="5386" w:type="dxa"/>
            <w:shd w:val="clear" w:color="auto" w:fill="00B0F0"/>
          </w:tcPr>
          <w:p w14:paraId="67CB2DDF" w14:textId="77777777" w:rsidR="00E2097D" w:rsidRDefault="00E2097D">
            <w:pPr>
              <w:pBdr>
                <w:between w:val="single" w:sz="4" w:space="1" w:color="000000"/>
              </w:pBdr>
              <w:jc w:val="both"/>
              <w:rPr>
                <w:rFonts w:ascii="Times New Roman" w:eastAsia="Times New Roman" w:hAnsi="Times New Roman" w:cs="Times New Roman"/>
              </w:rPr>
            </w:pPr>
          </w:p>
        </w:tc>
        <w:tc>
          <w:tcPr>
            <w:tcW w:w="3952" w:type="dxa"/>
            <w:shd w:val="clear" w:color="auto" w:fill="00B0F0"/>
          </w:tcPr>
          <w:p w14:paraId="78ABB932" w14:textId="77777777" w:rsidR="00E2097D" w:rsidRDefault="00E2097D">
            <w:pPr>
              <w:pBdr>
                <w:between w:val="single" w:sz="4" w:space="1" w:color="000000"/>
              </w:pBdr>
              <w:jc w:val="both"/>
              <w:rPr>
                <w:rFonts w:ascii="Times New Roman" w:eastAsia="Times New Roman" w:hAnsi="Times New Roman" w:cs="Times New Roman"/>
                <w:b/>
                <w:bCs/>
              </w:rPr>
            </w:pPr>
          </w:p>
        </w:tc>
      </w:tr>
      <w:tr w:rsidR="00501B49" w14:paraId="0480E462" w14:textId="77777777" w:rsidTr="00AC399B">
        <w:tc>
          <w:tcPr>
            <w:tcW w:w="555" w:type="dxa"/>
            <w:vMerge w:val="restart"/>
          </w:tcPr>
          <w:p w14:paraId="65F54E81" w14:textId="77777777" w:rsidR="00501B49" w:rsidRDefault="00501B49">
            <w:pPr>
              <w:pBdr>
                <w:between w:val="single" w:sz="4" w:space="1" w:color="000000"/>
              </w:pBdr>
              <w:jc w:val="both"/>
              <w:rPr>
                <w:rFonts w:ascii="Times New Roman" w:eastAsia="Times New Roman" w:hAnsi="Times New Roman" w:cs="Times New Roman"/>
                <w:b/>
                <w:bCs/>
              </w:rPr>
            </w:pPr>
            <w:r>
              <w:rPr>
                <w:rFonts w:ascii="Times New Roman" w:eastAsia="Times New Roman" w:hAnsi="Times New Roman" w:cs="Times New Roman"/>
                <w:b/>
                <w:bCs/>
              </w:rPr>
              <w:t xml:space="preserve">20. </w:t>
            </w:r>
          </w:p>
        </w:tc>
        <w:tc>
          <w:tcPr>
            <w:tcW w:w="1845" w:type="dxa"/>
            <w:vMerge w:val="restart"/>
          </w:tcPr>
          <w:p w14:paraId="0ED1A35A" w14:textId="77777777" w:rsidR="00501B49" w:rsidRDefault="00501B49">
            <w:pPr>
              <w:jc w:val="both"/>
              <w:rPr>
                <w:rFonts w:ascii="Times New Roman" w:eastAsia="Times New Roman" w:hAnsi="Times New Roman" w:cs="Times New Roman"/>
                <w:b/>
                <w:bCs/>
              </w:rPr>
            </w:pPr>
            <w:r>
              <w:rPr>
                <w:rFonts w:ascii="Times New Roman" w:eastAsia="Times New Roman" w:hAnsi="Times New Roman" w:cs="Times New Roman"/>
                <w:b/>
                <w:bCs/>
              </w:rPr>
              <w:t>Ministerul Afacerilor Interne</w:t>
            </w:r>
          </w:p>
          <w:p w14:paraId="1B746A2C" w14:textId="77777777" w:rsidR="00501B49" w:rsidRDefault="00501B49">
            <w:pPr>
              <w:jc w:val="both"/>
              <w:rPr>
                <w:rFonts w:ascii="Times New Roman" w:eastAsia="Times New Roman" w:hAnsi="Times New Roman" w:cs="Times New Roman"/>
                <w:i/>
                <w:iCs/>
              </w:rPr>
            </w:pPr>
            <w:r>
              <w:rPr>
                <w:rFonts w:ascii="Times New Roman" w:eastAsia="Times New Roman" w:hAnsi="Times New Roman" w:cs="Times New Roman"/>
                <w:i/>
                <w:iCs/>
              </w:rPr>
              <w:t>(Nr. 30/1815 din 6 mai 2026)</w:t>
            </w:r>
          </w:p>
        </w:tc>
        <w:tc>
          <w:tcPr>
            <w:tcW w:w="2557" w:type="dxa"/>
          </w:tcPr>
          <w:p w14:paraId="5C19CF7B" w14:textId="77777777" w:rsidR="00501B49" w:rsidRDefault="00501B49">
            <w:pPr>
              <w:pBdr>
                <w:between w:val="single" w:sz="4" w:space="1" w:color="000000"/>
              </w:pBdr>
              <w:jc w:val="both"/>
              <w:rPr>
                <w:rFonts w:ascii="Times New Roman" w:eastAsia="Times New Roman" w:hAnsi="Times New Roman" w:cs="Times New Roman"/>
              </w:rPr>
            </w:pPr>
          </w:p>
        </w:tc>
        <w:tc>
          <w:tcPr>
            <w:tcW w:w="5386" w:type="dxa"/>
          </w:tcPr>
          <w:p w14:paraId="6539960C" w14:textId="77777777" w:rsidR="00501B49" w:rsidRDefault="00501B49">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MAI comunică despre susținerea conceptuală a inițiativei, aceasta fiind orientată spre instituirea unui mecanism unitar de evaluare și gestionare a riscurilor la adresa securității naționale. Totodată, în vederea asigurării coerenței normative, a clarității competențelor instituționale și a respectării exigențelor de tehnică legislativă prevăzute de Legea nr. 100/2017 cu privire la actele normative, se consideră necesară relevarea următoarelor propuneri și observații.</w:t>
            </w:r>
          </w:p>
        </w:tc>
        <w:tc>
          <w:tcPr>
            <w:tcW w:w="3952" w:type="dxa"/>
          </w:tcPr>
          <w:p w14:paraId="6D3E2791" w14:textId="2EAC38E8" w:rsidR="00501B49" w:rsidRDefault="00501B49">
            <w:pPr>
              <w:pBdr>
                <w:between w:val="single" w:sz="4" w:space="1" w:color="000000"/>
              </w:pBdr>
              <w:jc w:val="both"/>
              <w:rPr>
                <w:rFonts w:ascii="Times New Roman" w:eastAsia="Times New Roman" w:hAnsi="Times New Roman" w:cs="Times New Roman"/>
                <w:b/>
                <w:bCs/>
              </w:rPr>
            </w:pPr>
            <w:r>
              <w:rPr>
                <w:rFonts w:ascii="Times New Roman" w:eastAsia="Times New Roman" w:hAnsi="Times New Roman" w:cs="Times New Roman"/>
                <w:b/>
                <w:bCs/>
              </w:rPr>
              <w:t xml:space="preserve">Se acceptă parțial, </w:t>
            </w:r>
            <w:r w:rsidRPr="00E2097D">
              <w:rPr>
                <w:rFonts w:ascii="Times New Roman" w:eastAsia="Times New Roman" w:hAnsi="Times New Roman" w:cs="Times New Roman"/>
              </w:rPr>
              <w:t>integrat în textul proiectului.</w:t>
            </w:r>
          </w:p>
        </w:tc>
      </w:tr>
      <w:tr w:rsidR="00501B49" w14:paraId="325CB659" w14:textId="77777777" w:rsidTr="00AC399B">
        <w:tc>
          <w:tcPr>
            <w:tcW w:w="555" w:type="dxa"/>
            <w:vMerge/>
          </w:tcPr>
          <w:p w14:paraId="5FC63D12" w14:textId="77777777" w:rsidR="00501B49" w:rsidRDefault="00501B49">
            <w:pPr>
              <w:pBdr>
                <w:between w:val="single" w:sz="4" w:space="1" w:color="000000"/>
              </w:pBdr>
              <w:jc w:val="both"/>
              <w:rPr>
                <w:rFonts w:ascii="Times New Roman" w:eastAsia="Times New Roman" w:hAnsi="Times New Roman" w:cs="Times New Roman"/>
                <w:b/>
                <w:bCs/>
              </w:rPr>
            </w:pPr>
          </w:p>
        </w:tc>
        <w:tc>
          <w:tcPr>
            <w:tcW w:w="1845" w:type="dxa"/>
            <w:vMerge/>
          </w:tcPr>
          <w:p w14:paraId="5321C197" w14:textId="77777777" w:rsidR="00501B49" w:rsidRDefault="00501B49">
            <w:pPr>
              <w:pBdr>
                <w:between w:val="single" w:sz="4" w:space="1" w:color="000000"/>
              </w:pBdr>
              <w:jc w:val="both"/>
              <w:rPr>
                <w:rFonts w:ascii="Times New Roman" w:eastAsia="Times New Roman" w:hAnsi="Times New Roman" w:cs="Times New Roman"/>
                <w:b/>
                <w:bCs/>
              </w:rPr>
            </w:pPr>
          </w:p>
        </w:tc>
        <w:tc>
          <w:tcPr>
            <w:tcW w:w="2557" w:type="dxa"/>
          </w:tcPr>
          <w:p w14:paraId="510CA6D4" w14:textId="77777777" w:rsidR="00501B49" w:rsidRDefault="00501B49">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1</w:t>
            </w:r>
          </w:p>
        </w:tc>
        <w:tc>
          <w:tcPr>
            <w:tcW w:w="5386" w:type="dxa"/>
          </w:tcPr>
          <w:p w14:paraId="6D68FF36" w14:textId="77777777" w:rsidR="00501B49" w:rsidRDefault="00501B49">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 xml:space="preserve"> Cu referire la clauza de adoptare a proiectului hotărârii, se consideră necesară revizuirea temeiului juridic invocat, or, potrivit regulilor de tehnică legislativă, în clauza de adoptare urmează a fi indicate normele juridice care stabilesc expres competența autorității publice de adoptare a actului normativ, motiv pentru care se propune excluderea referințelor la art. 6 alin. (1) din Legea nr. 248/2025 privind managementul situațiilor de criză și art. 21 din Legea nr. 249/2025 privind securitatea națională a Republicii Moldova, întrucât normele respective nu stabilesc competența Guvernului de aprobare a unei asemenea hotărâri, cu menținerea prevederilor art. 6 alin. (7) din Legea nr. 248/2025, care constituie temeiul juridic relevant pentru aprobarea proiectului hotărârii.</w:t>
            </w:r>
          </w:p>
        </w:tc>
        <w:tc>
          <w:tcPr>
            <w:tcW w:w="3952" w:type="dxa"/>
          </w:tcPr>
          <w:p w14:paraId="70139F8B" w14:textId="77777777" w:rsidR="00501B49" w:rsidRDefault="00501B49">
            <w:pPr>
              <w:jc w:val="both"/>
              <w:rPr>
                <w:rFonts w:ascii="Times New Roman" w:eastAsia="Times New Roman" w:hAnsi="Times New Roman" w:cs="Times New Roman"/>
                <w:b/>
                <w:bCs/>
              </w:rPr>
            </w:pPr>
            <w:r>
              <w:rPr>
                <w:rFonts w:ascii="Times New Roman" w:eastAsia="Times New Roman" w:hAnsi="Times New Roman" w:cs="Times New Roman"/>
                <w:b/>
                <w:bCs/>
              </w:rPr>
              <w:t>Se acceptă parțial.</w:t>
            </w:r>
          </w:p>
          <w:p w14:paraId="3BDC8B1C" w14:textId="77777777" w:rsidR="00501B49" w:rsidRDefault="00501B49">
            <w:pPr>
              <w:jc w:val="both"/>
              <w:rPr>
                <w:rFonts w:ascii="Times New Roman" w:eastAsia="Times New Roman" w:hAnsi="Times New Roman" w:cs="Times New Roman"/>
              </w:rPr>
            </w:pPr>
            <w:r>
              <w:rPr>
                <w:rFonts w:ascii="Times New Roman" w:eastAsia="Times New Roman" w:hAnsi="Times New Roman" w:cs="Times New Roman"/>
                <w:b/>
                <w:bCs/>
              </w:rPr>
              <w:t>Clauza de adoptare se modifică:</w:t>
            </w:r>
          </w:p>
          <w:p w14:paraId="16D19581" w14:textId="77777777" w:rsidR="00501B49" w:rsidRDefault="00501B49">
            <w:pPr>
              <w:jc w:val="both"/>
              <w:rPr>
                <w:rFonts w:ascii="Times New Roman" w:eastAsia="Times New Roman" w:hAnsi="Times New Roman" w:cs="Times New Roman"/>
              </w:rPr>
            </w:pPr>
            <w:r>
              <w:rPr>
                <w:rFonts w:ascii="Times New Roman" w:eastAsia="Times New Roman" w:hAnsi="Times New Roman" w:cs="Times New Roman"/>
              </w:rPr>
              <w:t xml:space="preserve">se exclud: </w:t>
            </w:r>
          </w:p>
          <w:p w14:paraId="016131A9" w14:textId="77777777" w:rsidR="00501B49" w:rsidRDefault="00501B49">
            <w:pPr>
              <w:jc w:val="both"/>
              <w:rPr>
                <w:rFonts w:ascii="Times New Roman" w:eastAsia="Times New Roman" w:hAnsi="Times New Roman" w:cs="Times New Roman"/>
              </w:rPr>
            </w:pPr>
            <w:r>
              <w:rPr>
                <w:rFonts w:ascii="Times New Roman" w:eastAsia="Times New Roman" w:hAnsi="Times New Roman" w:cs="Times New Roman"/>
              </w:rPr>
              <w:t xml:space="preserve">- art. 6 alin. (1) din Legea nr. 248/2025; </w:t>
            </w:r>
          </w:p>
          <w:p w14:paraId="08BAD1ED" w14:textId="77777777" w:rsidR="00501B49" w:rsidRDefault="00501B49">
            <w:pPr>
              <w:jc w:val="both"/>
              <w:rPr>
                <w:rFonts w:ascii="Times New Roman" w:eastAsia="Times New Roman" w:hAnsi="Times New Roman" w:cs="Times New Roman"/>
              </w:rPr>
            </w:pPr>
            <w:r>
              <w:rPr>
                <w:rFonts w:ascii="Times New Roman" w:eastAsia="Times New Roman" w:hAnsi="Times New Roman" w:cs="Times New Roman"/>
              </w:rPr>
              <w:t xml:space="preserve">- art. 21 din Legea nr. 249/2025. </w:t>
            </w:r>
          </w:p>
          <w:p w14:paraId="0214270D" w14:textId="77777777" w:rsidR="00501B49" w:rsidRDefault="00501B49">
            <w:pPr>
              <w:jc w:val="both"/>
              <w:rPr>
                <w:rFonts w:ascii="Times New Roman" w:eastAsia="Times New Roman" w:hAnsi="Times New Roman" w:cs="Times New Roman"/>
              </w:rPr>
            </w:pPr>
            <w:r>
              <w:rPr>
                <w:rFonts w:ascii="Times New Roman" w:eastAsia="Times New Roman" w:hAnsi="Times New Roman" w:cs="Times New Roman"/>
              </w:rPr>
              <w:t xml:space="preserve">se păstrează: </w:t>
            </w:r>
          </w:p>
          <w:p w14:paraId="5A2AD44F" w14:textId="77777777" w:rsidR="00501B49" w:rsidRDefault="00501B49">
            <w:pPr>
              <w:jc w:val="both"/>
              <w:rPr>
                <w:rFonts w:ascii="Times New Roman" w:eastAsia="Times New Roman" w:hAnsi="Times New Roman" w:cs="Times New Roman"/>
              </w:rPr>
            </w:pPr>
            <w:r>
              <w:rPr>
                <w:rFonts w:ascii="Times New Roman" w:eastAsia="Times New Roman" w:hAnsi="Times New Roman" w:cs="Times New Roman"/>
              </w:rPr>
              <w:t>- art. 6 alin. (7) din Legea nr. 248/2025.</w:t>
            </w:r>
          </w:p>
          <w:p w14:paraId="381FADD6" w14:textId="77777777" w:rsidR="00501B49" w:rsidRDefault="00501B49">
            <w:pPr>
              <w:pBdr>
                <w:between w:val="single" w:sz="4" w:space="1" w:color="000000"/>
              </w:pBdr>
              <w:jc w:val="both"/>
              <w:rPr>
                <w:rFonts w:ascii="Times New Roman" w:eastAsia="Times New Roman" w:hAnsi="Times New Roman" w:cs="Times New Roman"/>
                <w:b/>
                <w:bCs/>
              </w:rPr>
            </w:pPr>
          </w:p>
        </w:tc>
      </w:tr>
      <w:tr w:rsidR="00501B49" w14:paraId="7A9DAD72" w14:textId="77777777" w:rsidTr="00AC399B">
        <w:tc>
          <w:tcPr>
            <w:tcW w:w="555" w:type="dxa"/>
            <w:vMerge/>
          </w:tcPr>
          <w:p w14:paraId="29CC3260" w14:textId="77777777" w:rsidR="00501B49" w:rsidRDefault="00501B49">
            <w:pPr>
              <w:pBdr>
                <w:between w:val="single" w:sz="4" w:space="1" w:color="000000"/>
              </w:pBdr>
              <w:jc w:val="both"/>
              <w:rPr>
                <w:rFonts w:ascii="Times New Roman" w:eastAsia="Times New Roman" w:hAnsi="Times New Roman" w:cs="Times New Roman"/>
                <w:b/>
                <w:bCs/>
              </w:rPr>
            </w:pPr>
          </w:p>
        </w:tc>
        <w:tc>
          <w:tcPr>
            <w:tcW w:w="1845" w:type="dxa"/>
            <w:vMerge/>
          </w:tcPr>
          <w:p w14:paraId="19B54FA4" w14:textId="77777777" w:rsidR="00501B49" w:rsidRDefault="00501B49">
            <w:pPr>
              <w:pBdr>
                <w:between w:val="single" w:sz="4" w:space="1" w:color="000000"/>
              </w:pBdr>
              <w:jc w:val="both"/>
              <w:rPr>
                <w:rFonts w:ascii="Times New Roman" w:eastAsia="Times New Roman" w:hAnsi="Times New Roman" w:cs="Times New Roman"/>
                <w:b/>
                <w:bCs/>
              </w:rPr>
            </w:pPr>
          </w:p>
        </w:tc>
        <w:tc>
          <w:tcPr>
            <w:tcW w:w="2557" w:type="dxa"/>
          </w:tcPr>
          <w:p w14:paraId="5BBCF3FC" w14:textId="77777777" w:rsidR="00501B49" w:rsidRDefault="00501B49">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2</w:t>
            </w:r>
          </w:p>
        </w:tc>
        <w:tc>
          <w:tcPr>
            <w:tcW w:w="5386" w:type="dxa"/>
          </w:tcPr>
          <w:p w14:paraId="7AE8E73B" w14:textId="77777777" w:rsidR="00501B49" w:rsidRDefault="00501B49">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 xml:space="preserve"> La pct. 4 din proiectul hotărârii, se propune revizuirea formulării „aprobă cu avizul Serviciului Consiliului Național de Securitate”, întrucât noțiunea de „aviz” presupune o procedură formalizată distinctă, care nu este reglementată expres de cadrul normativ primar aplicabil. În acest sens, pentru evitarea unor interpretări privind instituirea unor mecanisme decizionale suplimentare neprevăzute de lege, se recomandă utilizarea unei formulări care să reflecte caracterul de cooperare instituțională, precum „în coordonare cu” sau „după consultarea”</w:t>
            </w:r>
          </w:p>
        </w:tc>
        <w:tc>
          <w:tcPr>
            <w:tcW w:w="3952" w:type="dxa"/>
          </w:tcPr>
          <w:p w14:paraId="53FBB6B9" w14:textId="5268BB64" w:rsidR="00501B49" w:rsidRDefault="00501B49">
            <w:pPr>
              <w:pBdr>
                <w:between w:val="single" w:sz="4" w:space="1" w:color="000000"/>
              </w:pBdr>
              <w:jc w:val="both"/>
              <w:rPr>
                <w:rFonts w:ascii="Times New Roman" w:eastAsia="Times New Roman" w:hAnsi="Times New Roman" w:cs="Times New Roman"/>
                <w:b/>
                <w:bCs/>
              </w:rPr>
            </w:pPr>
            <w:r>
              <w:rPr>
                <w:rFonts w:ascii="Times New Roman" w:eastAsia="Times New Roman" w:hAnsi="Times New Roman" w:cs="Times New Roman"/>
                <w:b/>
                <w:bCs/>
              </w:rPr>
              <w:t>Se acceptă parțial</w:t>
            </w:r>
            <w:r>
              <w:rPr>
                <w:rFonts w:ascii="Times New Roman" w:eastAsia="Times New Roman" w:hAnsi="Times New Roman" w:cs="Times New Roman"/>
              </w:rPr>
              <w:t xml:space="preserve">. În vederea evitării interpretărilor privind instituirea unor mecanisme decizionale suplimentare, formularea </w:t>
            </w:r>
            <w:r w:rsidR="00F64672">
              <w:rPr>
                <w:rFonts w:ascii="Times New Roman" w:eastAsia="Times New Roman" w:hAnsi="Times New Roman" w:cs="Times New Roman"/>
              </w:rPr>
              <w:t>a fost</w:t>
            </w:r>
            <w:r>
              <w:rPr>
                <w:rFonts w:ascii="Times New Roman" w:eastAsia="Times New Roman" w:hAnsi="Times New Roman" w:cs="Times New Roman"/>
              </w:rPr>
              <w:t xml:space="preserve"> revizuită prin utilizarea unei expresii care reflectă cooperarea instituțională, precum „în coordonare cu” sau „după consultarea”.</w:t>
            </w:r>
          </w:p>
        </w:tc>
      </w:tr>
      <w:tr w:rsidR="00501B49" w14:paraId="025E80E6" w14:textId="77777777" w:rsidTr="00AC399B">
        <w:tc>
          <w:tcPr>
            <w:tcW w:w="555" w:type="dxa"/>
            <w:vMerge/>
          </w:tcPr>
          <w:p w14:paraId="0E13F13E" w14:textId="77777777" w:rsidR="00501B49" w:rsidRDefault="00501B49">
            <w:pPr>
              <w:pBdr>
                <w:between w:val="single" w:sz="4" w:space="1" w:color="000000"/>
              </w:pBdr>
              <w:jc w:val="both"/>
              <w:rPr>
                <w:rFonts w:ascii="Times New Roman" w:eastAsia="Times New Roman" w:hAnsi="Times New Roman" w:cs="Times New Roman"/>
                <w:b/>
                <w:bCs/>
              </w:rPr>
            </w:pPr>
          </w:p>
        </w:tc>
        <w:tc>
          <w:tcPr>
            <w:tcW w:w="1845" w:type="dxa"/>
            <w:vMerge/>
          </w:tcPr>
          <w:p w14:paraId="2E1A90B2" w14:textId="77777777" w:rsidR="00501B49" w:rsidRDefault="00501B49">
            <w:pPr>
              <w:pBdr>
                <w:between w:val="single" w:sz="4" w:space="1" w:color="000000"/>
              </w:pBdr>
              <w:jc w:val="both"/>
              <w:rPr>
                <w:rFonts w:ascii="Times New Roman" w:eastAsia="Times New Roman" w:hAnsi="Times New Roman" w:cs="Times New Roman"/>
                <w:b/>
                <w:bCs/>
              </w:rPr>
            </w:pPr>
          </w:p>
        </w:tc>
        <w:tc>
          <w:tcPr>
            <w:tcW w:w="2557" w:type="dxa"/>
          </w:tcPr>
          <w:p w14:paraId="4C2DC6D8" w14:textId="77777777" w:rsidR="00501B49" w:rsidRDefault="00501B49">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3</w:t>
            </w:r>
          </w:p>
        </w:tc>
        <w:tc>
          <w:tcPr>
            <w:tcW w:w="5386" w:type="dxa"/>
          </w:tcPr>
          <w:p w14:paraId="13321F91" w14:textId="77777777" w:rsidR="00501B49" w:rsidRDefault="00501B49">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3. La pct. 5 din proiectul hotărârii se recomandă excluderea sintagmei „la solicitarea Consiliului Național de Securitate”, întrucât dispozițiile art. 6 din Legea nr. 248/2025 privind managementul situațiilor de criză consacră competența Centrului Național de Management al Crizelor (în continuare - CNMC) de a iniția procesul de evaluare națională de risc, fără a condiționa exercitarea acesteia de existența unei solicitări din partea unei alte autorități. Menținerea formulării actuale poate genera interpretări privind limitarea competențelor funcționale ale CNMC sau instituirea unei dependențe procedurale suplimentare neprevăzute de norma primară.</w:t>
            </w:r>
          </w:p>
        </w:tc>
        <w:tc>
          <w:tcPr>
            <w:tcW w:w="3952" w:type="dxa"/>
          </w:tcPr>
          <w:p w14:paraId="04F1C204" w14:textId="77777777" w:rsidR="00501B49" w:rsidRDefault="00501B49">
            <w:pPr>
              <w:pStyle w:val="Heading3"/>
              <w:spacing w:before="0"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Se acceptă</w:t>
            </w:r>
            <w:r>
              <w:rPr>
                <w:rFonts w:ascii="Times New Roman" w:eastAsia="Times New Roman" w:hAnsi="Times New Roman" w:cs="Times New Roman"/>
                <w:color w:val="000000"/>
                <w:sz w:val="24"/>
                <w:szCs w:val="24"/>
              </w:rPr>
              <w:t>. Propunerea este întemeiată, întrucât competența CNMC de inițiere a procesului de evaluare națională a riscurilor rezultă direct din Legea nr. 248/2025 și nu poate fi condiționată procedural de solicitarea unei alte autorități.</w:t>
            </w:r>
          </w:p>
          <w:p w14:paraId="49ACB9BE" w14:textId="77777777" w:rsidR="00501B49" w:rsidRDefault="00501B49">
            <w:pPr>
              <w:pStyle w:val="Heading3"/>
              <w:spacing w:before="0" w:after="0"/>
              <w:jc w:val="both"/>
              <w:rPr>
                <w:rFonts w:ascii="Times New Roman" w:eastAsia="Times New Roman" w:hAnsi="Times New Roman" w:cs="Times New Roman"/>
                <w:b/>
                <w:bCs/>
              </w:rPr>
            </w:pPr>
            <w:r>
              <w:rPr>
                <w:rFonts w:ascii="Times New Roman" w:eastAsia="Times New Roman" w:hAnsi="Times New Roman" w:cs="Times New Roman"/>
                <w:color w:val="000000"/>
                <w:sz w:val="24"/>
                <w:szCs w:val="24"/>
              </w:rPr>
              <w:t>Textul actual: „…la solicitarea Consiliului Național de Securitate…” .Modificare: Se exclude integral sintagma: „la solicitarea Consiliului Național de Securitate” .Motiv: CNMC are competență proprie legală de inițiere</w:t>
            </w:r>
            <w:r>
              <w:rPr>
                <w:rFonts w:ascii="Times New Roman" w:eastAsia="Times New Roman" w:hAnsi="Times New Roman" w:cs="Times New Roman"/>
              </w:rPr>
              <w:t xml:space="preserve">. </w:t>
            </w:r>
          </w:p>
        </w:tc>
      </w:tr>
      <w:tr w:rsidR="00501B49" w14:paraId="28898CEB" w14:textId="77777777" w:rsidTr="00AC399B">
        <w:tc>
          <w:tcPr>
            <w:tcW w:w="555" w:type="dxa"/>
            <w:vMerge/>
          </w:tcPr>
          <w:p w14:paraId="7E83A6FB" w14:textId="77777777" w:rsidR="00501B49" w:rsidRDefault="00501B49">
            <w:pPr>
              <w:pBdr>
                <w:between w:val="single" w:sz="4" w:space="1" w:color="000000"/>
              </w:pBdr>
              <w:jc w:val="both"/>
              <w:rPr>
                <w:rFonts w:ascii="Times New Roman" w:eastAsia="Times New Roman" w:hAnsi="Times New Roman" w:cs="Times New Roman"/>
                <w:b/>
                <w:bCs/>
              </w:rPr>
            </w:pPr>
          </w:p>
        </w:tc>
        <w:tc>
          <w:tcPr>
            <w:tcW w:w="1845" w:type="dxa"/>
            <w:vMerge/>
          </w:tcPr>
          <w:p w14:paraId="1BA9EA91" w14:textId="77777777" w:rsidR="00501B49" w:rsidRDefault="00501B49">
            <w:pPr>
              <w:pBdr>
                <w:between w:val="single" w:sz="4" w:space="1" w:color="000000"/>
              </w:pBdr>
              <w:jc w:val="both"/>
              <w:rPr>
                <w:rFonts w:ascii="Times New Roman" w:eastAsia="Times New Roman" w:hAnsi="Times New Roman" w:cs="Times New Roman"/>
                <w:b/>
                <w:bCs/>
              </w:rPr>
            </w:pPr>
          </w:p>
        </w:tc>
        <w:tc>
          <w:tcPr>
            <w:tcW w:w="2557" w:type="dxa"/>
          </w:tcPr>
          <w:p w14:paraId="60987F23" w14:textId="77777777" w:rsidR="00501B49" w:rsidRDefault="00501B49">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4</w:t>
            </w:r>
          </w:p>
        </w:tc>
        <w:tc>
          <w:tcPr>
            <w:tcW w:w="5386" w:type="dxa"/>
          </w:tcPr>
          <w:p w14:paraId="55523FF9" w14:textId="77777777" w:rsidR="00501B49" w:rsidRDefault="00501B49">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La pct. 6 din Metodologie, textul „sub coordonarea Centrul Național de Management al Crizelor” necesită ajustare gramaticală prin substituirea cu textul „sub coordonarea Centrului Național de Management al Crizelor”. Totodată, sintagma „sub coordonarea Consiliului Național de Securitate” urmează a fi reevaluată prin prisma competențelor stabilite de cadrul normativ ale acestei autorități, pentru a evita atribuirea unor competențe executive directe care nu rezultă expres din cadrul normativ primar.</w:t>
            </w:r>
          </w:p>
        </w:tc>
        <w:tc>
          <w:tcPr>
            <w:tcW w:w="3952" w:type="dxa"/>
          </w:tcPr>
          <w:p w14:paraId="4F6D20A0" w14:textId="77777777" w:rsidR="00501B49" w:rsidRDefault="00501B49">
            <w:pPr>
              <w:pBdr>
                <w:between w:val="single" w:sz="4" w:space="1" w:color="000000"/>
              </w:pBdr>
              <w:jc w:val="both"/>
              <w:rPr>
                <w:rFonts w:ascii="Times New Roman" w:eastAsia="Times New Roman" w:hAnsi="Times New Roman" w:cs="Times New Roman"/>
                <w:b/>
                <w:bCs/>
              </w:rPr>
            </w:pPr>
            <w:r>
              <w:rPr>
                <w:rFonts w:ascii="Times New Roman" w:eastAsia="Times New Roman" w:hAnsi="Times New Roman" w:cs="Times New Roman"/>
                <w:b/>
                <w:bCs/>
              </w:rPr>
              <w:t>Se acceptă parțial</w:t>
            </w:r>
            <w:r>
              <w:rPr>
                <w:rFonts w:ascii="Times New Roman" w:eastAsia="Times New Roman" w:hAnsi="Times New Roman" w:cs="Times New Roman"/>
              </w:rPr>
              <w:t>. Corectarea gramaticală va fi operate -</w:t>
            </w:r>
            <w:r>
              <w:t xml:space="preserve"> </w:t>
            </w:r>
            <w:r>
              <w:rPr>
                <w:rFonts w:ascii="Times New Roman" w:eastAsia="Times New Roman" w:hAnsi="Times New Roman" w:cs="Times New Roman"/>
                <w:i/>
                <w:iCs/>
              </w:rPr>
              <w:t>sub coordonarea Centrului Național de Management al Crizelor.</w:t>
            </w:r>
            <w:r>
              <w:rPr>
                <w:rFonts w:ascii="Times New Roman" w:eastAsia="Times New Roman" w:hAnsi="Times New Roman" w:cs="Times New Roman"/>
              </w:rPr>
              <w:t xml:space="preserve"> Totodată, formulările privind rolul CNS vor fi reevaluate pentru a evita atribuirea unor competențe executive care nu rezultă expres din cadrul normativ primar.</w:t>
            </w:r>
          </w:p>
        </w:tc>
      </w:tr>
      <w:tr w:rsidR="00501B49" w14:paraId="5AF82D16" w14:textId="77777777" w:rsidTr="00AC399B">
        <w:tc>
          <w:tcPr>
            <w:tcW w:w="555" w:type="dxa"/>
            <w:vMerge/>
          </w:tcPr>
          <w:p w14:paraId="3FEFD156" w14:textId="77777777" w:rsidR="00501B49" w:rsidRDefault="00501B49">
            <w:pPr>
              <w:pBdr>
                <w:between w:val="single" w:sz="4" w:space="1" w:color="000000"/>
              </w:pBdr>
              <w:jc w:val="both"/>
              <w:rPr>
                <w:rFonts w:ascii="Times New Roman" w:eastAsia="Times New Roman" w:hAnsi="Times New Roman" w:cs="Times New Roman"/>
                <w:b/>
                <w:bCs/>
              </w:rPr>
            </w:pPr>
          </w:p>
        </w:tc>
        <w:tc>
          <w:tcPr>
            <w:tcW w:w="1845" w:type="dxa"/>
            <w:vMerge/>
          </w:tcPr>
          <w:p w14:paraId="6E3EB265" w14:textId="77777777" w:rsidR="00501B49" w:rsidRDefault="00501B49">
            <w:pPr>
              <w:pBdr>
                <w:between w:val="single" w:sz="4" w:space="1" w:color="000000"/>
              </w:pBdr>
              <w:jc w:val="both"/>
              <w:rPr>
                <w:rFonts w:ascii="Times New Roman" w:eastAsia="Times New Roman" w:hAnsi="Times New Roman" w:cs="Times New Roman"/>
                <w:b/>
                <w:bCs/>
              </w:rPr>
            </w:pPr>
          </w:p>
        </w:tc>
        <w:tc>
          <w:tcPr>
            <w:tcW w:w="2557" w:type="dxa"/>
          </w:tcPr>
          <w:p w14:paraId="764ECAF1" w14:textId="77777777" w:rsidR="00501B49" w:rsidRDefault="00501B49">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5</w:t>
            </w:r>
          </w:p>
        </w:tc>
        <w:tc>
          <w:tcPr>
            <w:tcW w:w="5386" w:type="dxa"/>
          </w:tcPr>
          <w:p w14:paraId="47CC824D" w14:textId="77777777" w:rsidR="00501B49" w:rsidRDefault="00501B49">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La pct. 7 subpct. 7.10 și 7.11 se recomandă excluderea noțiunilor „instituție principală” și „instituție de sprijin” sau, după caz, corelarea acestora cu terminologia utilizată de Legea nr. 248/2025 privind managementul situațiilor de criză, în vederea evitării paralelismelor terminologice și a eventualelor dificultăți de interpretare juridică.</w:t>
            </w:r>
          </w:p>
        </w:tc>
        <w:tc>
          <w:tcPr>
            <w:tcW w:w="3952" w:type="dxa"/>
          </w:tcPr>
          <w:p w14:paraId="37769328" w14:textId="45817FA8" w:rsidR="00501B49" w:rsidRPr="00F64672" w:rsidRDefault="00501B49" w:rsidP="00F64672">
            <w:pPr>
              <w:spacing w:after="160" w:line="278" w:lineRule="auto"/>
              <w:jc w:val="both"/>
              <w:rPr>
                <w:rFonts w:ascii="Times New Roman" w:eastAsia="Times New Roman" w:hAnsi="Times New Roman" w:cs="Times New Roman"/>
              </w:rPr>
            </w:pPr>
            <w:r>
              <w:rPr>
                <w:rFonts w:ascii="Times New Roman" w:eastAsia="Times New Roman" w:hAnsi="Times New Roman" w:cs="Times New Roman"/>
                <w:b/>
                <w:bCs/>
              </w:rPr>
              <w:t>Se acceptă parțial</w:t>
            </w:r>
            <w:r>
              <w:rPr>
                <w:rFonts w:ascii="Times New Roman" w:eastAsia="Times New Roman" w:hAnsi="Times New Roman" w:cs="Times New Roman"/>
              </w:rPr>
              <w:t>. Terminologia utilizată va fi reevaluată și armonizată cu normele Legii nr. 248/2025</w:t>
            </w:r>
            <w:r w:rsidR="00F64672">
              <w:rPr>
                <w:rFonts w:ascii="Times New Roman" w:eastAsia="Times New Roman" w:hAnsi="Times New Roman" w:cs="Times New Roman"/>
              </w:rPr>
              <w:t xml:space="preserve"> privind managementul situațiilor de criză.</w:t>
            </w:r>
          </w:p>
        </w:tc>
      </w:tr>
      <w:tr w:rsidR="00501B49" w14:paraId="156E931E" w14:textId="77777777" w:rsidTr="00AC399B">
        <w:tc>
          <w:tcPr>
            <w:tcW w:w="555" w:type="dxa"/>
            <w:vMerge/>
          </w:tcPr>
          <w:p w14:paraId="7DE690BC" w14:textId="77777777" w:rsidR="00501B49" w:rsidRDefault="00501B49">
            <w:pPr>
              <w:pBdr>
                <w:between w:val="single" w:sz="4" w:space="1" w:color="000000"/>
              </w:pBdr>
              <w:jc w:val="both"/>
              <w:rPr>
                <w:rFonts w:ascii="Times New Roman" w:eastAsia="Times New Roman" w:hAnsi="Times New Roman" w:cs="Times New Roman"/>
                <w:b/>
                <w:bCs/>
              </w:rPr>
            </w:pPr>
          </w:p>
        </w:tc>
        <w:tc>
          <w:tcPr>
            <w:tcW w:w="1845" w:type="dxa"/>
            <w:vMerge/>
          </w:tcPr>
          <w:p w14:paraId="114B8425" w14:textId="77777777" w:rsidR="00501B49" w:rsidRDefault="00501B49">
            <w:pPr>
              <w:pBdr>
                <w:between w:val="single" w:sz="4" w:space="1" w:color="000000"/>
              </w:pBdr>
              <w:jc w:val="both"/>
              <w:rPr>
                <w:rFonts w:ascii="Times New Roman" w:eastAsia="Times New Roman" w:hAnsi="Times New Roman" w:cs="Times New Roman"/>
                <w:b/>
                <w:bCs/>
              </w:rPr>
            </w:pPr>
          </w:p>
        </w:tc>
        <w:tc>
          <w:tcPr>
            <w:tcW w:w="2557" w:type="dxa"/>
          </w:tcPr>
          <w:p w14:paraId="19193F0F" w14:textId="77777777" w:rsidR="00501B49" w:rsidRDefault="00501B49">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6</w:t>
            </w:r>
          </w:p>
        </w:tc>
        <w:tc>
          <w:tcPr>
            <w:tcW w:w="5386" w:type="dxa"/>
          </w:tcPr>
          <w:p w14:paraId="7894DE17" w14:textId="77777777" w:rsidR="00501B49" w:rsidRDefault="00501B49">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 xml:space="preserve">La pct. 8.4 se constată o inadvertență terminologică și gramaticală, întrucât textul „principul finanțării adecvate și responsabile” este urmat de formularea „și utilizarea resurselor urmărită responsabil”. În acest </w:t>
            </w:r>
            <w:r>
              <w:rPr>
                <w:rFonts w:ascii="Times New Roman" w:eastAsia="Times New Roman" w:hAnsi="Times New Roman" w:cs="Times New Roman"/>
              </w:rPr>
              <w:lastRenderedPageBreak/>
              <w:t>sens, se recomandă reformularea normei într-o redacție clară și coerentă din punct de vedere juridic și lingvistic.</w:t>
            </w:r>
          </w:p>
        </w:tc>
        <w:tc>
          <w:tcPr>
            <w:tcW w:w="3952" w:type="dxa"/>
          </w:tcPr>
          <w:p w14:paraId="021908AD" w14:textId="77777777" w:rsidR="00501B49" w:rsidRDefault="00501B49">
            <w:pPr>
              <w:pBdr>
                <w:between w:val="single" w:sz="4" w:space="1" w:color="000000"/>
              </w:pBdr>
              <w:jc w:val="both"/>
              <w:rPr>
                <w:rFonts w:ascii="Times New Roman" w:eastAsia="Times New Roman" w:hAnsi="Times New Roman" w:cs="Times New Roman"/>
                <w:b/>
                <w:bCs/>
              </w:rPr>
            </w:pPr>
            <w:r>
              <w:rPr>
                <w:rFonts w:ascii="Times New Roman" w:eastAsia="Times New Roman" w:hAnsi="Times New Roman" w:cs="Times New Roman"/>
                <w:b/>
                <w:bCs/>
              </w:rPr>
              <w:lastRenderedPageBreak/>
              <w:t>Se acceptă</w:t>
            </w:r>
            <w:r>
              <w:rPr>
                <w:rFonts w:ascii="Times New Roman" w:eastAsia="Times New Roman" w:hAnsi="Times New Roman" w:cs="Times New Roman"/>
              </w:rPr>
              <w:t>. Reformulare</w:t>
            </w:r>
            <w:r>
              <w:rPr>
                <w:rFonts w:ascii="Times New Roman" w:eastAsia="Times New Roman" w:hAnsi="Times New Roman" w:cs="Times New Roman"/>
                <w:b/>
                <w:bCs/>
              </w:rPr>
              <w:t xml:space="preserve"> </w:t>
            </w:r>
            <w:r>
              <w:rPr>
                <w:rFonts w:ascii="Times New Roman" w:eastAsia="Times New Roman" w:hAnsi="Times New Roman" w:cs="Times New Roman"/>
              </w:rPr>
              <w:t>-</w:t>
            </w:r>
            <w:r>
              <w:t xml:space="preserve"> </w:t>
            </w:r>
            <w:r>
              <w:rPr>
                <w:rFonts w:ascii="Times New Roman" w:eastAsia="Times New Roman" w:hAnsi="Times New Roman" w:cs="Times New Roman"/>
                <w:i/>
                <w:iCs/>
              </w:rPr>
              <w:t>principiul finanțării adecvate și al utilizării responsabile a resurselor</w:t>
            </w:r>
          </w:p>
        </w:tc>
      </w:tr>
      <w:tr w:rsidR="00501B49" w14:paraId="380F24E0" w14:textId="77777777" w:rsidTr="00AC399B">
        <w:tc>
          <w:tcPr>
            <w:tcW w:w="555" w:type="dxa"/>
            <w:vMerge/>
          </w:tcPr>
          <w:p w14:paraId="4E0E9734" w14:textId="77777777" w:rsidR="00501B49" w:rsidRDefault="00501B49">
            <w:pPr>
              <w:pBdr>
                <w:between w:val="single" w:sz="4" w:space="1" w:color="000000"/>
              </w:pBdr>
              <w:jc w:val="both"/>
              <w:rPr>
                <w:rFonts w:ascii="Times New Roman" w:eastAsia="Times New Roman" w:hAnsi="Times New Roman" w:cs="Times New Roman"/>
                <w:b/>
                <w:bCs/>
              </w:rPr>
            </w:pPr>
          </w:p>
        </w:tc>
        <w:tc>
          <w:tcPr>
            <w:tcW w:w="1845" w:type="dxa"/>
            <w:vMerge/>
          </w:tcPr>
          <w:p w14:paraId="20CB844D" w14:textId="77777777" w:rsidR="00501B49" w:rsidRDefault="00501B49">
            <w:pPr>
              <w:pBdr>
                <w:between w:val="single" w:sz="4" w:space="1" w:color="000000"/>
              </w:pBdr>
              <w:jc w:val="both"/>
              <w:rPr>
                <w:rFonts w:ascii="Times New Roman" w:eastAsia="Times New Roman" w:hAnsi="Times New Roman" w:cs="Times New Roman"/>
                <w:b/>
                <w:bCs/>
              </w:rPr>
            </w:pPr>
          </w:p>
        </w:tc>
        <w:tc>
          <w:tcPr>
            <w:tcW w:w="2557" w:type="dxa"/>
          </w:tcPr>
          <w:p w14:paraId="3A9F52B8" w14:textId="77777777" w:rsidR="00501B49" w:rsidRDefault="00501B49">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7</w:t>
            </w:r>
          </w:p>
        </w:tc>
        <w:tc>
          <w:tcPr>
            <w:tcW w:w="5386" w:type="dxa"/>
          </w:tcPr>
          <w:p w14:paraId="0D352108" w14:textId="77777777" w:rsidR="00501B49" w:rsidRDefault="00501B49">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La pct. 8.6 sintagma „instituțiile și autoritățile publice gestionare de riscuri” necesită reformulare, întrucât nu corespunde rigorilor limbajului normativ. Totodată, termenul „supravegheri” urmează a fi substituit cu termenul „supravegherii”.</w:t>
            </w:r>
          </w:p>
        </w:tc>
        <w:tc>
          <w:tcPr>
            <w:tcW w:w="3952" w:type="dxa"/>
          </w:tcPr>
          <w:p w14:paraId="4A40EE9F" w14:textId="40BF56EB" w:rsidR="00501B49" w:rsidRDefault="00501B49">
            <w:pPr>
              <w:pBdr>
                <w:between w:val="single" w:sz="4" w:space="1" w:color="000000"/>
              </w:pBdr>
              <w:jc w:val="both"/>
              <w:rPr>
                <w:rFonts w:ascii="Times New Roman" w:eastAsia="Times New Roman" w:hAnsi="Times New Roman" w:cs="Times New Roman"/>
                <w:b/>
                <w:bCs/>
              </w:rPr>
            </w:pPr>
            <w:r>
              <w:rPr>
                <w:rFonts w:ascii="Times New Roman" w:eastAsia="Times New Roman" w:hAnsi="Times New Roman" w:cs="Times New Roman"/>
                <w:b/>
                <w:bCs/>
              </w:rPr>
              <w:t>Se acceptă</w:t>
            </w:r>
            <w:r>
              <w:rPr>
                <w:rFonts w:ascii="Times New Roman" w:eastAsia="Times New Roman" w:hAnsi="Times New Roman" w:cs="Times New Roman"/>
              </w:rPr>
              <w:t xml:space="preserve">. Redacția normei </w:t>
            </w:r>
            <w:r w:rsidR="00F64672">
              <w:rPr>
                <w:rFonts w:ascii="Times New Roman" w:eastAsia="Times New Roman" w:hAnsi="Times New Roman" w:cs="Times New Roman"/>
              </w:rPr>
              <w:t>s-a</w:t>
            </w:r>
            <w:r>
              <w:rPr>
                <w:rFonts w:ascii="Times New Roman" w:eastAsia="Times New Roman" w:hAnsi="Times New Roman" w:cs="Times New Roman"/>
              </w:rPr>
              <w:t xml:space="preserve"> ajustat conform rigorilor limbajului normativ. Reformulare</w:t>
            </w:r>
            <w:r>
              <w:rPr>
                <w:rFonts w:ascii="Times New Roman" w:eastAsia="Times New Roman" w:hAnsi="Times New Roman" w:cs="Times New Roman"/>
                <w:b/>
                <w:bCs/>
              </w:rPr>
              <w:t xml:space="preserve"> </w:t>
            </w:r>
            <w:r>
              <w:rPr>
                <w:rFonts w:ascii="Times New Roman" w:eastAsia="Times New Roman" w:hAnsi="Times New Roman" w:cs="Times New Roman"/>
              </w:rPr>
              <w:t xml:space="preserve">- </w:t>
            </w:r>
            <w:r>
              <w:rPr>
                <w:rFonts w:ascii="Times New Roman" w:eastAsia="Times New Roman" w:hAnsi="Times New Roman" w:cs="Times New Roman"/>
                <w:i/>
                <w:iCs/>
              </w:rPr>
              <w:t xml:space="preserve">instituțiile și autoritățile publice responsabile de gestionarea riscurilor </w:t>
            </w:r>
            <w:r>
              <w:rPr>
                <w:rFonts w:ascii="Times New Roman" w:eastAsia="Times New Roman" w:hAnsi="Times New Roman" w:cs="Times New Roman"/>
              </w:rPr>
              <w:t xml:space="preserve">și </w:t>
            </w:r>
            <w:r>
              <w:rPr>
                <w:rFonts w:ascii="Times New Roman" w:eastAsia="Times New Roman" w:hAnsi="Times New Roman" w:cs="Times New Roman"/>
                <w:i/>
                <w:iCs/>
              </w:rPr>
              <w:t>supravegherii</w:t>
            </w:r>
          </w:p>
        </w:tc>
      </w:tr>
      <w:tr w:rsidR="00501B49" w14:paraId="280967C1" w14:textId="77777777" w:rsidTr="00AC399B">
        <w:tc>
          <w:tcPr>
            <w:tcW w:w="555" w:type="dxa"/>
            <w:vMerge/>
          </w:tcPr>
          <w:p w14:paraId="38067A6B" w14:textId="77777777" w:rsidR="00501B49" w:rsidRDefault="00501B49">
            <w:pPr>
              <w:pBdr>
                <w:between w:val="single" w:sz="4" w:space="1" w:color="000000"/>
              </w:pBdr>
              <w:jc w:val="both"/>
              <w:rPr>
                <w:rFonts w:ascii="Times New Roman" w:eastAsia="Times New Roman" w:hAnsi="Times New Roman" w:cs="Times New Roman"/>
                <w:b/>
                <w:bCs/>
              </w:rPr>
            </w:pPr>
          </w:p>
        </w:tc>
        <w:tc>
          <w:tcPr>
            <w:tcW w:w="1845" w:type="dxa"/>
            <w:vMerge/>
          </w:tcPr>
          <w:p w14:paraId="6B933AED" w14:textId="77777777" w:rsidR="00501B49" w:rsidRDefault="00501B49">
            <w:pPr>
              <w:pBdr>
                <w:between w:val="single" w:sz="4" w:space="1" w:color="000000"/>
              </w:pBdr>
              <w:jc w:val="both"/>
              <w:rPr>
                <w:rFonts w:ascii="Times New Roman" w:eastAsia="Times New Roman" w:hAnsi="Times New Roman" w:cs="Times New Roman"/>
                <w:b/>
                <w:bCs/>
              </w:rPr>
            </w:pPr>
          </w:p>
        </w:tc>
        <w:tc>
          <w:tcPr>
            <w:tcW w:w="2557" w:type="dxa"/>
          </w:tcPr>
          <w:p w14:paraId="0A48910F" w14:textId="77777777" w:rsidR="00501B49" w:rsidRDefault="00501B49">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8</w:t>
            </w:r>
          </w:p>
        </w:tc>
        <w:tc>
          <w:tcPr>
            <w:tcW w:w="5386" w:type="dxa"/>
          </w:tcPr>
          <w:p w14:paraId="1CF1A2C6" w14:textId="77777777" w:rsidR="00501B49" w:rsidRDefault="00501B49">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La pct. 10.3 se propune reevaluarea sintagmei „administrează registrul oficial al responsabilităților instituționale”, întrucât proiectul nu reglementează expres regimul juridic, conținutul și procedura de aprobare a unui asemenea registru. În lipsa unor norme clare privind natura juridică și efectele acestuia, dispoziția poate genera incertitudine normativă</w:t>
            </w:r>
          </w:p>
        </w:tc>
        <w:tc>
          <w:tcPr>
            <w:tcW w:w="3952" w:type="dxa"/>
          </w:tcPr>
          <w:p w14:paraId="7CFE53DA" w14:textId="397DA3C9" w:rsidR="00501B49" w:rsidRDefault="00501B49">
            <w:pPr>
              <w:pStyle w:val="Heading3"/>
              <w:spacing w:before="0" w:after="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Se acceptă parțial</w:t>
            </w:r>
            <w:r>
              <w:rPr>
                <w:rFonts w:ascii="Times New Roman" w:eastAsia="Times New Roman" w:hAnsi="Times New Roman" w:cs="Times New Roman"/>
                <w:color w:val="000000"/>
                <w:sz w:val="24"/>
                <w:szCs w:val="24"/>
              </w:rPr>
              <w:t>. În vederea evitării incertitudinii normative, dispoziția</w:t>
            </w:r>
            <w:r w:rsidR="00F64672">
              <w:rPr>
                <w:rFonts w:ascii="Times New Roman" w:eastAsia="Times New Roman" w:hAnsi="Times New Roman" w:cs="Times New Roman"/>
                <w:color w:val="000000"/>
                <w:sz w:val="24"/>
                <w:szCs w:val="24"/>
              </w:rPr>
              <w:t xml:space="preserve"> a fost </w:t>
            </w:r>
            <w:r>
              <w:rPr>
                <w:rFonts w:ascii="Times New Roman" w:eastAsia="Times New Roman" w:hAnsi="Times New Roman" w:cs="Times New Roman"/>
                <w:color w:val="000000"/>
                <w:sz w:val="24"/>
                <w:szCs w:val="24"/>
              </w:rPr>
              <w:t>reformulată pentru clarificarea naturii funcționale a registrului și a regimului său procedural. Soluții:</w:t>
            </w:r>
          </w:p>
          <w:p w14:paraId="43E3CECD" w14:textId="77777777" w:rsidR="00501B49" w:rsidRDefault="00501B49">
            <w:pPr>
              <w:numPr>
                <w:ilvl w:val="0"/>
                <w:numId w:val="1"/>
              </w:numPr>
              <w:spacing w:line="278" w:lineRule="auto"/>
              <w:jc w:val="both"/>
            </w:pPr>
            <w:r>
              <w:rPr>
                <w:rFonts w:ascii="Times New Roman" w:eastAsia="Times New Roman" w:hAnsi="Times New Roman" w:cs="Times New Roman"/>
              </w:rPr>
              <w:t xml:space="preserve">fie eliminarea sintagmei; </w:t>
            </w:r>
          </w:p>
          <w:p w14:paraId="15816B03" w14:textId="77777777" w:rsidR="00501B49" w:rsidRDefault="00501B49">
            <w:pPr>
              <w:numPr>
                <w:ilvl w:val="0"/>
                <w:numId w:val="1"/>
              </w:numPr>
              <w:spacing w:after="160" w:line="278" w:lineRule="auto"/>
              <w:jc w:val="both"/>
            </w:pPr>
            <w:r>
              <w:rPr>
                <w:rFonts w:ascii="Times New Roman" w:eastAsia="Times New Roman" w:hAnsi="Times New Roman" w:cs="Times New Roman"/>
              </w:rPr>
              <w:t xml:space="preserve">fie introducerea: </w:t>
            </w:r>
          </w:p>
          <w:p w14:paraId="20F31215" w14:textId="77777777" w:rsidR="00501B49" w:rsidRDefault="00501B49">
            <w:pPr>
              <w:jc w:val="both"/>
              <w:rPr>
                <w:rFonts w:ascii="Times New Roman" w:eastAsia="Times New Roman" w:hAnsi="Times New Roman" w:cs="Times New Roman"/>
                <w:b/>
                <w:bCs/>
              </w:rPr>
            </w:pPr>
            <w:r>
              <w:rPr>
                <w:rFonts w:ascii="Times New Roman" w:eastAsia="Times New Roman" w:hAnsi="Times New Roman" w:cs="Times New Roman"/>
              </w:rPr>
              <w:t>scopului; conținutului; regimului juridic; modului de aprobare.</w:t>
            </w:r>
          </w:p>
        </w:tc>
      </w:tr>
      <w:tr w:rsidR="00501B49" w14:paraId="169684DB" w14:textId="77777777" w:rsidTr="00AC399B">
        <w:tc>
          <w:tcPr>
            <w:tcW w:w="555" w:type="dxa"/>
            <w:vMerge/>
          </w:tcPr>
          <w:p w14:paraId="0BDE0C77" w14:textId="77777777" w:rsidR="00501B49" w:rsidRDefault="00501B49">
            <w:pPr>
              <w:pBdr>
                <w:between w:val="single" w:sz="4" w:space="1" w:color="000000"/>
              </w:pBdr>
              <w:jc w:val="both"/>
              <w:rPr>
                <w:rFonts w:ascii="Times New Roman" w:eastAsia="Times New Roman" w:hAnsi="Times New Roman" w:cs="Times New Roman"/>
                <w:b/>
                <w:bCs/>
              </w:rPr>
            </w:pPr>
          </w:p>
        </w:tc>
        <w:tc>
          <w:tcPr>
            <w:tcW w:w="1845" w:type="dxa"/>
            <w:vMerge/>
          </w:tcPr>
          <w:p w14:paraId="6090F14B" w14:textId="77777777" w:rsidR="00501B49" w:rsidRDefault="00501B49">
            <w:pPr>
              <w:pBdr>
                <w:between w:val="single" w:sz="4" w:space="1" w:color="000000"/>
              </w:pBdr>
              <w:jc w:val="both"/>
              <w:rPr>
                <w:rFonts w:ascii="Times New Roman" w:eastAsia="Times New Roman" w:hAnsi="Times New Roman" w:cs="Times New Roman"/>
                <w:b/>
                <w:bCs/>
              </w:rPr>
            </w:pPr>
          </w:p>
        </w:tc>
        <w:tc>
          <w:tcPr>
            <w:tcW w:w="2557" w:type="dxa"/>
          </w:tcPr>
          <w:p w14:paraId="3385AFB3" w14:textId="77777777" w:rsidR="00501B49" w:rsidRDefault="00501B49">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9</w:t>
            </w:r>
          </w:p>
        </w:tc>
        <w:tc>
          <w:tcPr>
            <w:tcW w:w="5386" w:type="dxa"/>
          </w:tcPr>
          <w:p w14:paraId="2AB23D9F" w14:textId="77777777" w:rsidR="00501B49" w:rsidRDefault="00501B49">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La pct. 14.2 se recomandă reevaluarea normei care permite efectuarea evaluărilor de risc de către persoane juridice de drept privat sau specialiști autorizați, întrucât proiectul nu stabilește criteriile de autorizare, standardele minime de competență și mecanismele de verificare a calității evaluărilor efectuate. În lipsa acestor garanții, dispoziția poate afecta uniformitatea procesului național de evaluare a riscurilor.</w:t>
            </w:r>
          </w:p>
        </w:tc>
        <w:tc>
          <w:tcPr>
            <w:tcW w:w="3952" w:type="dxa"/>
          </w:tcPr>
          <w:p w14:paraId="12F2BD34" w14:textId="3FC884DA" w:rsidR="00501B49" w:rsidRDefault="00501B49">
            <w:pPr>
              <w:pStyle w:val="Heading3"/>
              <w:spacing w:before="0"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Se acceptă parțial</w:t>
            </w:r>
            <w:r>
              <w:rPr>
                <w:rFonts w:ascii="Times New Roman" w:eastAsia="Times New Roman" w:hAnsi="Times New Roman" w:cs="Times New Roman"/>
                <w:color w:val="000000"/>
                <w:sz w:val="24"/>
                <w:szCs w:val="24"/>
              </w:rPr>
              <w:t xml:space="preserve">. </w:t>
            </w:r>
            <w:r w:rsidR="00F64672" w:rsidRPr="00F64672">
              <w:rPr>
                <w:rFonts w:ascii="Times New Roman" w:eastAsia="Times New Roman" w:hAnsi="Times New Roman" w:cs="Times New Roman"/>
                <w:i/>
                <w:iCs/>
                <w:color w:val="000000"/>
                <w:sz w:val="24"/>
                <w:szCs w:val="24"/>
              </w:rPr>
              <w:t>I</w:t>
            </w:r>
            <w:r w:rsidRPr="00F64672">
              <w:rPr>
                <w:rFonts w:ascii="Times New Roman" w:eastAsia="Times New Roman" w:hAnsi="Times New Roman" w:cs="Times New Roman"/>
                <w:i/>
                <w:iCs/>
                <w:color w:val="000000"/>
                <w:sz w:val="24"/>
                <w:szCs w:val="24"/>
              </w:rPr>
              <w:t>ntrodu</w:t>
            </w:r>
            <w:r w:rsidR="00F64672" w:rsidRPr="00F64672">
              <w:rPr>
                <w:rFonts w:ascii="Times New Roman" w:eastAsia="Times New Roman" w:hAnsi="Times New Roman" w:cs="Times New Roman"/>
                <w:i/>
                <w:iCs/>
                <w:color w:val="000000"/>
                <w:sz w:val="24"/>
                <w:szCs w:val="24"/>
              </w:rPr>
              <w:t>se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criteriil</w:t>
            </w:r>
            <w:r w:rsidR="00F64672">
              <w:rPr>
                <w:rFonts w:ascii="Times New Roman" w:eastAsia="Times New Roman" w:hAnsi="Times New Roman" w:cs="Times New Roman"/>
                <w:i/>
                <w:iCs/>
                <w:color w:val="000000"/>
                <w:sz w:val="24"/>
                <w:szCs w:val="24"/>
              </w:rPr>
              <w:t>e</w:t>
            </w:r>
            <w:r>
              <w:rPr>
                <w:rFonts w:ascii="Times New Roman" w:eastAsia="Times New Roman" w:hAnsi="Times New Roman" w:cs="Times New Roman"/>
                <w:i/>
                <w:iCs/>
                <w:color w:val="000000"/>
                <w:sz w:val="24"/>
                <w:szCs w:val="24"/>
              </w:rPr>
              <w:t xml:space="preserve"> de autorizare; standardelor minime; mecanismului de validare; regimului de acreditare.</w:t>
            </w:r>
          </w:p>
          <w:p w14:paraId="05512F76" w14:textId="77777777" w:rsidR="00501B49" w:rsidRDefault="00501B49">
            <w:pPr>
              <w:pBdr>
                <w:between w:val="single" w:sz="4" w:space="1" w:color="000000"/>
              </w:pBdr>
              <w:jc w:val="both"/>
              <w:rPr>
                <w:rFonts w:ascii="Times New Roman" w:eastAsia="Times New Roman" w:hAnsi="Times New Roman" w:cs="Times New Roman"/>
                <w:b/>
                <w:bCs/>
              </w:rPr>
            </w:pPr>
          </w:p>
        </w:tc>
      </w:tr>
      <w:tr w:rsidR="00501B49" w14:paraId="182AC8B6" w14:textId="77777777" w:rsidTr="00AC399B">
        <w:tc>
          <w:tcPr>
            <w:tcW w:w="555" w:type="dxa"/>
            <w:vMerge/>
          </w:tcPr>
          <w:p w14:paraId="277387DF" w14:textId="77777777" w:rsidR="00501B49" w:rsidRDefault="00501B49">
            <w:pPr>
              <w:pBdr>
                <w:between w:val="single" w:sz="4" w:space="1" w:color="000000"/>
              </w:pBdr>
              <w:jc w:val="both"/>
              <w:rPr>
                <w:rFonts w:ascii="Times New Roman" w:eastAsia="Times New Roman" w:hAnsi="Times New Roman" w:cs="Times New Roman"/>
                <w:b/>
                <w:bCs/>
              </w:rPr>
            </w:pPr>
          </w:p>
        </w:tc>
        <w:tc>
          <w:tcPr>
            <w:tcW w:w="1845" w:type="dxa"/>
            <w:vMerge/>
          </w:tcPr>
          <w:p w14:paraId="16304656" w14:textId="77777777" w:rsidR="00501B49" w:rsidRDefault="00501B49">
            <w:pPr>
              <w:pBdr>
                <w:between w:val="single" w:sz="4" w:space="1" w:color="000000"/>
              </w:pBdr>
              <w:jc w:val="center"/>
              <w:rPr>
                <w:rFonts w:ascii="Times New Roman" w:eastAsia="Times New Roman" w:hAnsi="Times New Roman" w:cs="Times New Roman"/>
                <w:b/>
                <w:bCs/>
              </w:rPr>
            </w:pPr>
          </w:p>
        </w:tc>
        <w:tc>
          <w:tcPr>
            <w:tcW w:w="2557" w:type="dxa"/>
          </w:tcPr>
          <w:p w14:paraId="5507204A" w14:textId="77777777" w:rsidR="00501B49" w:rsidRDefault="00501B49">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10</w:t>
            </w:r>
          </w:p>
        </w:tc>
        <w:tc>
          <w:tcPr>
            <w:tcW w:w="5386" w:type="dxa"/>
          </w:tcPr>
          <w:p w14:paraId="0D6EA8ED" w14:textId="77777777" w:rsidR="00501B49" w:rsidRDefault="00501B49">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La pct. 15.2.9 se recomandă reconsiderarea formulării care instituie obligația operatorilor economici de a aloca resurse financiare, logistice și umane proporționale cu rolul acestora în sistemul național de gestionare a riscurilor, întrucât norma are caracter general și imprecis și poate genera dificultăți de aplicare în lipsa unor criterii clare de determinare a obligațiilor respective.</w:t>
            </w:r>
          </w:p>
        </w:tc>
        <w:tc>
          <w:tcPr>
            <w:tcW w:w="3952" w:type="dxa"/>
          </w:tcPr>
          <w:p w14:paraId="6953511B" w14:textId="2F39C232" w:rsidR="00501B49" w:rsidRDefault="00501B49">
            <w:pPr>
              <w:pStyle w:val="Heading3"/>
              <w:spacing w:before="0" w:after="0"/>
              <w:jc w:val="both"/>
              <w:rPr>
                <w:rFonts w:ascii="Times New Roman" w:eastAsia="Times New Roman" w:hAnsi="Times New Roman" w:cs="Times New Roman"/>
              </w:rPr>
            </w:pPr>
            <w:r>
              <w:rPr>
                <w:rFonts w:ascii="Times New Roman" w:eastAsia="Times New Roman" w:hAnsi="Times New Roman" w:cs="Times New Roman"/>
                <w:b/>
                <w:bCs/>
                <w:color w:val="000000"/>
                <w:sz w:val="24"/>
                <w:szCs w:val="24"/>
              </w:rPr>
              <w:t>Se acceptă parțial</w:t>
            </w:r>
            <w:r>
              <w:rPr>
                <w:rFonts w:ascii="Times New Roman" w:eastAsia="Times New Roman" w:hAnsi="Times New Roman" w:cs="Times New Roman"/>
                <w:color w:val="000000"/>
                <w:sz w:val="24"/>
                <w:szCs w:val="24"/>
              </w:rPr>
              <w:t xml:space="preserve">. Norma </w:t>
            </w:r>
            <w:r w:rsidR="00F64672">
              <w:rPr>
                <w:rFonts w:ascii="Times New Roman" w:eastAsia="Times New Roman" w:hAnsi="Times New Roman" w:cs="Times New Roman"/>
                <w:color w:val="000000"/>
                <w:sz w:val="24"/>
                <w:szCs w:val="24"/>
              </w:rPr>
              <w:t>a fost</w:t>
            </w:r>
            <w:r>
              <w:rPr>
                <w:rFonts w:ascii="Times New Roman" w:eastAsia="Times New Roman" w:hAnsi="Times New Roman" w:cs="Times New Roman"/>
                <w:color w:val="000000"/>
                <w:sz w:val="24"/>
                <w:szCs w:val="24"/>
              </w:rPr>
              <w:t xml:space="preserve"> reformulată pentru criterii clare; limitarea obligațiilor; corelare cu: infrastructurile critice; nivelul de risc; capabilitățile operatorului</w:t>
            </w:r>
            <w:r>
              <w:rPr>
                <w:rFonts w:ascii="Times New Roman" w:eastAsia="Times New Roman" w:hAnsi="Times New Roman" w:cs="Times New Roman"/>
              </w:rPr>
              <w:t>.</w:t>
            </w:r>
          </w:p>
          <w:p w14:paraId="3C5B5DD0" w14:textId="77777777" w:rsidR="00501B49" w:rsidRDefault="00501B49">
            <w:pPr>
              <w:pBdr>
                <w:between w:val="single" w:sz="4" w:space="1" w:color="000000"/>
              </w:pBdr>
              <w:jc w:val="both"/>
              <w:rPr>
                <w:rFonts w:ascii="Times New Roman" w:eastAsia="Times New Roman" w:hAnsi="Times New Roman" w:cs="Times New Roman"/>
                <w:b/>
                <w:bCs/>
              </w:rPr>
            </w:pPr>
          </w:p>
        </w:tc>
      </w:tr>
      <w:tr w:rsidR="00501B49" w14:paraId="3E584291" w14:textId="77777777" w:rsidTr="00AC399B">
        <w:tc>
          <w:tcPr>
            <w:tcW w:w="555" w:type="dxa"/>
            <w:vMerge/>
          </w:tcPr>
          <w:p w14:paraId="3C62A0EB" w14:textId="77777777" w:rsidR="00501B49" w:rsidRDefault="00501B49">
            <w:pPr>
              <w:pBdr>
                <w:between w:val="single" w:sz="4" w:space="1" w:color="000000"/>
              </w:pBdr>
              <w:jc w:val="both"/>
              <w:rPr>
                <w:rFonts w:ascii="Times New Roman" w:eastAsia="Times New Roman" w:hAnsi="Times New Roman" w:cs="Times New Roman"/>
                <w:b/>
                <w:bCs/>
              </w:rPr>
            </w:pPr>
          </w:p>
        </w:tc>
        <w:tc>
          <w:tcPr>
            <w:tcW w:w="1845" w:type="dxa"/>
            <w:vMerge/>
          </w:tcPr>
          <w:p w14:paraId="2EC4370E" w14:textId="77777777" w:rsidR="00501B49" w:rsidRDefault="00501B49">
            <w:pPr>
              <w:pBdr>
                <w:between w:val="single" w:sz="4" w:space="1" w:color="000000"/>
              </w:pBdr>
              <w:jc w:val="both"/>
              <w:rPr>
                <w:rFonts w:ascii="Times New Roman" w:eastAsia="Times New Roman" w:hAnsi="Times New Roman" w:cs="Times New Roman"/>
                <w:b/>
                <w:bCs/>
              </w:rPr>
            </w:pPr>
          </w:p>
        </w:tc>
        <w:tc>
          <w:tcPr>
            <w:tcW w:w="2557" w:type="dxa"/>
          </w:tcPr>
          <w:p w14:paraId="3880EC34" w14:textId="77777777" w:rsidR="00501B49" w:rsidRDefault="00501B49">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11</w:t>
            </w:r>
          </w:p>
        </w:tc>
        <w:tc>
          <w:tcPr>
            <w:tcW w:w="5386" w:type="dxa"/>
          </w:tcPr>
          <w:p w14:paraId="44F251BE" w14:textId="77777777" w:rsidR="00501B49" w:rsidRDefault="00501B49">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La pct. 17 și pct. 17.1 se recomandă uniformizarea formulărilor aferente regimului informațiilor clasificate și protecției datelor, prin utilizarea terminologiei consacrate de legislația specială, inclusiv de Legea nr. 245/2008 cu privire la secretul de stat și Legea nr. 133/2011 privind protecția datelor cu caracter personal.</w:t>
            </w:r>
          </w:p>
        </w:tc>
        <w:tc>
          <w:tcPr>
            <w:tcW w:w="3952" w:type="dxa"/>
          </w:tcPr>
          <w:p w14:paraId="1F36D179" w14:textId="591D9416" w:rsidR="00501B49" w:rsidRDefault="00501B49">
            <w:pPr>
              <w:pStyle w:val="Heading3"/>
              <w:spacing w:before="0" w:after="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Se acceptă</w:t>
            </w:r>
            <w:r>
              <w:rPr>
                <w:rFonts w:ascii="Times New Roman" w:eastAsia="Times New Roman" w:hAnsi="Times New Roman" w:cs="Times New Roman"/>
                <w:color w:val="000000"/>
                <w:sz w:val="24"/>
                <w:szCs w:val="24"/>
              </w:rPr>
              <w:t xml:space="preserve">. Terminologia </w:t>
            </w:r>
            <w:r w:rsidR="00F64672">
              <w:rPr>
                <w:rFonts w:ascii="Times New Roman" w:eastAsia="Times New Roman" w:hAnsi="Times New Roman" w:cs="Times New Roman"/>
                <w:color w:val="000000"/>
                <w:sz w:val="24"/>
                <w:szCs w:val="24"/>
              </w:rPr>
              <w:t>a fost</w:t>
            </w:r>
            <w:r>
              <w:rPr>
                <w:rFonts w:ascii="Times New Roman" w:eastAsia="Times New Roman" w:hAnsi="Times New Roman" w:cs="Times New Roman"/>
                <w:color w:val="000000"/>
                <w:sz w:val="24"/>
                <w:szCs w:val="24"/>
              </w:rPr>
              <w:t xml:space="preserve"> armonizată cu legislația specială în domeniul secretului de stat și protecției datelor cu caracter personal, precum</w:t>
            </w:r>
            <w:r>
              <w:rPr>
                <w:rFonts w:ascii="Times New Roman" w:eastAsia="Times New Roman" w:hAnsi="Times New Roman" w:cs="Times New Roman"/>
                <w:b/>
                <w:bCs/>
                <w:color w:val="000000"/>
                <w:sz w:val="24"/>
                <w:szCs w:val="24"/>
              </w:rPr>
              <w:t xml:space="preserve"> </w:t>
            </w:r>
          </w:p>
          <w:p w14:paraId="150ED492" w14:textId="77777777" w:rsidR="00501B49" w:rsidRDefault="00501B49">
            <w:pPr>
              <w:jc w:val="both"/>
              <w:rPr>
                <w:rFonts w:ascii="Times New Roman" w:eastAsia="Times New Roman" w:hAnsi="Times New Roman" w:cs="Times New Roman"/>
              </w:rPr>
            </w:pPr>
            <w:r>
              <w:rPr>
                <w:rFonts w:ascii="Times New Roman" w:eastAsia="Times New Roman" w:hAnsi="Times New Roman" w:cs="Times New Roman"/>
              </w:rPr>
              <w:t>„informații clasificate”; „date cu caracter personal”; „protecția informațiilor clasificate”.</w:t>
            </w:r>
          </w:p>
          <w:p w14:paraId="74FD8EB2" w14:textId="77777777" w:rsidR="00501B49" w:rsidRDefault="00501B49">
            <w:pPr>
              <w:pBdr>
                <w:between w:val="single" w:sz="4" w:space="1" w:color="000000"/>
              </w:pBdr>
              <w:jc w:val="both"/>
              <w:rPr>
                <w:rFonts w:ascii="Times New Roman" w:eastAsia="Times New Roman" w:hAnsi="Times New Roman" w:cs="Times New Roman"/>
                <w:b/>
                <w:bCs/>
              </w:rPr>
            </w:pPr>
            <w:r>
              <w:rPr>
                <w:rFonts w:ascii="Times New Roman" w:eastAsia="Times New Roman" w:hAnsi="Times New Roman" w:cs="Times New Roman"/>
              </w:rPr>
              <w:t xml:space="preserve"> </w:t>
            </w:r>
          </w:p>
        </w:tc>
      </w:tr>
      <w:tr w:rsidR="00501B49" w14:paraId="68759C1A" w14:textId="77777777" w:rsidTr="00AC399B">
        <w:tc>
          <w:tcPr>
            <w:tcW w:w="555" w:type="dxa"/>
            <w:vMerge/>
          </w:tcPr>
          <w:p w14:paraId="5AFE90E9" w14:textId="77777777" w:rsidR="00501B49" w:rsidRDefault="00501B49">
            <w:pPr>
              <w:pBdr>
                <w:between w:val="single" w:sz="4" w:space="1" w:color="000000"/>
              </w:pBdr>
              <w:jc w:val="both"/>
              <w:rPr>
                <w:rFonts w:ascii="Times New Roman" w:eastAsia="Times New Roman" w:hAnsi="Times New Roman" w:cs="Times New Roman"/>
                <w:b/>
                <w:bCs/>
              </w:rPr>
            </w:pPr>
          </w:p>
        </w:tc>
        <w:tc>
          <w:tcPr>
            <w:tcW w:w="1845" w:type="dxa"/>
            <w:vMerge/>
          </w:tcPr>
          <w:p w14:paraId="730A2B7C" w14:textId="77777777" w:rsidR="00501B49" w:rsidRDefault="00501B49">
            <w:pPr>
              <w:pBdr>
                <w:between w:val="single" w:sz="4" w:space="1" w:color="000000"/>
              </w:pBdr>
              <w:jc w:val="both"/>
              <w:rPr>
                <w:rFonts w:ascii="Times New Roman" w:eastAsia="Times New Roman" w:hAnsi="Times New Roman" w:cs="Times New Roman"/>
                <w:b/>
                <w:bCs/>
              </w:rPr>
            </w:pPr>
          </w:p>
        </w:tc>
        <w:tc>
          <w:tcPr>
            <w:tcW w:w="2557" w:type="dxa"/>
          </w:tcPr>
          <w:p w14:paraId="68332303" w14:textId="77777777" w:rsidR="00501B49" w:rsidRDefault="00501B49">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12</w:t>
            </w:r>
          </w:p>
        </w:tc>
        <w:tc>
          <w:tcPr>
            <w:tcW w:w="5386" w:type="dxa"/>
          </w:tcPr>
          <w:p w14:paraId="0CD32ABF" w14:textId="77777777" w:rsidR="00501B49" w:rsidRDefault="00501B49">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La pct. 20.1 formularea „pentru fiecare domeniul de competență” necesită ajustare gramaticală prin substituire cu textul „pentru fiecare domeniu de competență”</w:t>
            </w:r>
          </w:p>
        </w:tc>
        <w:tc>
          <w:tcPr>
            <w:tcW w:w="3952" w:type="dxa"/>
          </w:tcPr>
          <w:p w14:paraId="1C1B9025" w14:textId="4F522D65" w:rsidR="00501B49" w:rsidRDefault="00501B49">
            <w:pPr>
              <w:pBdr>
                <w:between w:val="single" w:sz="4" w:space="1" w:color="000000"/>
              </w:pBdr>
              <w:jc w:val="both"/>
              <w:rPr>
                <w:rFonts w:ascii="Times New Roman" w:eastAsia="Times New Roman" w:hAnsi="Times New Roman" w:cs="Times New Roman"/>
                <w:b/>
                <w:bCs/>
              </w:rPr>
            </w:pPr>
            <w:r>
              <w:rPr>
                <w:rFonts w:ascii="Times New Roman" w:eastAsia="Times New Roman" w:hAnsi="Times New Roman" w:cs="Times New Roman"/>
                <w:b/>
                <w:bCs/>
              </w:rPr>
              <w:t>Se acceptă</w:t>
            </w:r>
            <w:r>
              <w:rPr>
                <w:rFonts w:ascii="Times New Roman" w:eastAsia="Times New Roman" w:hAnsi="Times New Roman" w:cs="Times New Roman"/>
              </w:rPr>
              <w:t xml:space="preserve">. Eroarea gramaticală </w:t>
            </w:r>
            <w:r w:rsidR="00F64672">
              <w:rPr>
                <w:rFonts w:ascii="Times New Roman" w:eastAsia="Times New Roman" w:hAnsi="Times New Roman" w:cs="Times New Roman"/>
              </w:rPr>
              <w:t>este</w:t>
            </w:r>
            <w:r>
              <w:rPr>
                <w:rFonts w:ascii="Times New Roman" w:eastAsia="Times New Roman" w:hAnsi="Times New Roman" w:cs="Times New Roman"/>
              </w:rPr>
              <w:t xml:space="preserve"> corectată așa cum „pentru fiecare domeniu de competență”.</w:t>
            </w:r>
          </w:p>
        </w:tc>
      </w:tr>
      <w:tr w:rsidR="00501B49" w14:paraId="443904D0" w14:textId="77777777" w:rsidTr="00AC399B">
        <w:tc>
          <w:tcPr>
            <w:tcW w:w="555" w:type="dxa"/>
            <w:vMerge/>
          </w:tcPr>
          <w:p w14:paraId="02F28849" w14:textId="77777777" w:rsidR="00501B49" w:rsidRDefault="00501B49">
            <w:pPr>
              <w:pBdr>
                <w:between w:val="single" w:sz="4" w:space="1" w:color="000000"/>
              </w:pBdr>
              <w:jc w:val="both"/>
              <w:rPr>
                <w:rFonts w:ascii="Times New Roman" w:eastAsia="Times New Roman" w:hAnsi="Times New Roman" w:cs="Times New Roman"/>
                <w:b/>
                <w:bCs/>
              </w:rPr>
            </w:pPr>
          </w:p>
        </w:tc>
        <w:tc>
          <w:tcPr>
            <w:tcW w:w="1845" w:type="dxa"/>
            <w:vMerge/>
          </w:tcPr>
          <w:p w14:paraId="2D630F25" w14:textId="77777777" w:rsidR="00501B49" w:rsidRDefault="00501B49">
            <w:pPr>
              <w:pBdr>
                <w:between w:val="single" w:sz="4" w:space="1" w:color="000000"/>
              </w:pBdr>
              <w:jc w:val="both"/>
              <w:rPr>
                <w:rFonts w:ascii="Times New Roman" w:eastAsia="Times New Roman" w:hAnsi="Times New Roman" w:cs="Times New Roman"/>
                <w:b/>
                <w:bCs/>
              </w:rPr>
            </w:pPr>
          </w:p>
        </w:tc>
        <w:tc>
          <w:tcPr>
            <w:tcW w:w="2557" w:type="dxa"/>
          </w:tcPr>
          <w:p w14:paraId="4C48C1E1" w14:textId="77777777" w:rsidR="00501B49" w:rsidRDefault="00501B49">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13</w:t>
            </w:r>
          </w:p>
        </w:tc>
        <w:tc>
          <w:tcPr>
            <w:tcW w:w="5386" w:type="dxa"/>
          </w:tcPr>
          <w:p w14:paraId="1E42B180" w14:textId="77777777" w:rsidR="00501B49" w:rsidRDefault="00501B49">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La pct. 23.1.1 sintagma „instituția principală care exercite responsabilitatea majoră” necesită reformulare sub aspect gramatical, prin substituirea cuvântului „exercite” cu „exercită”.</w:t>
            </w:r>
          </w:p>
        </w:tc>
        <w:tc>
          <w:tcPr>
            <w:tcW w:w="3952" w:type="dxa"/>
          </w:tcPr>
          <w:p w14:paraId="7FA05064" w14:textId="32B8CFBD" w:rsidR="00501B49" w:rsidRDefault="00501B49">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xml:space="preserve">. Textul </w:t>
            </w:r>
            <w:r w:rsidR="00F64672">
              <w:rPr>
                <w:rFonts w:ascii="Times New Roman" w:eastAsia="Times New Roman" w:hAnsi="Times New Roman" w:cs="Times New Roman"/>
              </w:rPr>
              <w:t>s-a</w:t>
            </w:r>
            <w:r>
              <w:rPr>
                <w:rFonts w:ascii="Times New Roman" w:eastAsia="Times New Roman" w:hAnsi="Times New Roman" w:cs="Times New Roman"/>
              </w:rPr>
              <w:t xml:space="preserve"> ajustat corespunzător, precum „instituția principală care exercită responsabilitatea majoră”.</w:t>
            </w:r>
          </w:p>
        </w:tc>
      </w:tr>
      <w:tr w:rsidR="00501B49" w14:paraId="0CE2719F" w14:textId="77777777" w:rsidTr="00AC399B">
        <w:tc>
          <w:tcPr>
            <w:tcW w:w="555" w:type="dxa"/>
            <w:vMerge/>
          </w:tcPr>
          <w:p w14:paraId="5A7A7C66" w14:textId="77777777" w:rsidR="00501B49" w:rsidRDefault="00501B49">
            <w:pPr>
              <w:pBdr>
                <w:between w:val="single" w:sz="4" w:space="1" w:color="000000"/>
              </w:pBdr>
              <w:jc w:val="both"/>
              <w:rPr>
                <w:rFonts w:ascii="Times New Roman" w:eastAsia="Times New Roman" w:hAnsi="Times New Roman" w:cs="Times New Roman"/>
                <w:b/>
                <w:bCs/>
              </w:rPr>
            </w:pPr>
          </w:p>
        </w:tc>
        <w:tc>
          <w:tcPr>
            <w:tcW w:w="1845" w:type="dxa"/>
            <w:vMerge/>
          </w:tcPr>
          <w:p w14:paraId="280330EB" w14:textId="77777777" w:rsidR="00501B49" w:rsidRDefault="00501B49">
            <w:pPr>
              <w:pBdr>
                <w:between w:val="single" w:sz="4" w:space="1" w:color="000000"/>
              </w:pBdr>
              <w:jc w:val="both"/>
              <w:rPr>
                <w:rFonts w:ascii="Times New Roman" w:eastAsia="Times New Roman" w:hAnsi="Times New Roman" w:cs="Times New Roman"/>
                <w:b/>
                <w:bCs/>
              </w:rPr>
            </w:pPr>
          </w:p>
        </w:tc>
        <w:tc>
          <w:tcPr>
            <w:tcW w:w="2557" w:type="dxa"/>
          </w:tcPr>
          <w:p w14:paraId="1D787560" w14:textId="77777777" w:rsidR="00501B49" w:rsidRDefault="00501B49">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14</w:t>
            </w:r>
          </w:p>
        </w:tc>
        <w:tc>
          <w:tcPr>
            <w:tcW w:w="5386" w:type="dxa"/>
          </w:tcPr>
          <w:p w14:paraId="313B9AB9" w14:textId="77777777" w:rsidR="00501B49" w:rsidRDefault="00501B49">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La pct. 24.3 se propune reevaluarea competenței CNMC de a desemna „o altă instituție competentă în calitate de instituție principală pentru coordonarea fazei de răspuns”, întrucât norma poate genera interferențe cu competențele stabilite prin actele normative sectoriale aplicabile anumitor domenii de risc. În acest sens, se recomandă precizarea expresă a condițiilor și limitelor în care poate interveni o asemenea desemnare.</w:t>
            </w:r>
          </w:p>
        </w:tc>
        <w:tc>
          <w:tcPr>
            <w:tcW w:w="3952" w:type="dxa"/>
          </w:tcPr>
          <w:p w14:paraId="56AB838C" w14:textId="35F7D1A5" w:rsidR="00501B49" w:rsidRDefault="00501B49">
            <w:pPr>
              <w:pBdr>
                <w:between w:val="single" w:sz="4" w:space="1" w:color="000000"/>
              </w:pBdr>
              <w:jc w:val="both"/>
              <w:rPr>
                <w:rFonts w:ascii="Times New Roman" w:eastAsia="Times New Roman" w:hAnsi="Times New Roman" w:cs="Times New Roman"/>
                <w:b/>
                <w:bCs/>
              </w:rPr>
            </w:pPr>
            <w:r>
              <w:rPr>
                <w:rFonts w:ascii="Times New Roman" w:eastAsia="Times New Roman" w:hAnsi="Times New Roman" w:cs="Times New Roman"/>
                <w:b/>
                <w:bCs/>
              </w:rPr>
              <w:t>Se acceptă parțial</w:t>
            </w:r>
            <w:r>
              <w:rPr>
                <w:rFonts w:ascii="Times New Roman" w:eastAsia="Times New Roman" w:hAnsi="Times New Roman" w:cs="Times New Roman"/>
              </w:rPr>
              <w:t xml:space="preserve">. Norma </w:t>
            </w:r>
            <w:r w:rsidR="00F64672">
              <w:rPr>
                <w:rFonts w:ascii="Times New Roman" w:eastAsia="Times New Roman" w:hAnsi="Times New Roman" w:cs="Times New Roman"/>
              </w:rPr>
              <w:t>a fost</w:t>
            </w:r>
            <w:r>
              <w:rPr>
                <w:rFonts w:ascii="Times New Roman" w:eastAsia="Times New Roman" w:hAnsi="Times New Roman" w:cs="Times New Roman"/>
              </w:rPr>
              <w:t xml:space="preserve"> completată cu precizarea condițiilor și limitelor în care poate interveni desemnarea unei alte instituții competente, cu respectarea cadrului normativ sectorial.</w:t>
            </w:r>
          </w:p>
        </w:tc>
      </w:tr>
      <w:tr w:rsidR="00501B49" w14:paraId="7961ED37" w14:textId="77777777" w:rsidTr="00AC399B">
        <w:tc>
          <w:tcPr>
            <w:tcW w:w="555" w:type="dxa"/>
            <w:vMerge/>
          </w:tcPr>
          <w:p w14:paraId="662D997B" w14:textId="77777777" w:rsidR="00501B49" w:rsidRDefault="00501B49">
            <w:pPr>
              <w:pBdr>
                <w:between w:val="single" w:sz="4" w:space="1" w:color="000000"/>
              </w:pBdr>
              <w:jc w:val="both"/>
              <w:rPr>
                <w:rFonts w:ascii="Times New Roman" w:eastAsia="Times New Roman" w:hAnsi="Times New Roman" w:cs="Times New Roman"/>
                <w:b/>
                <w:bCs/>
              </w:rPr>
            </w:pPr>
          </w:p>
        </w:tc>
        <w:tc>
          <w:tcPr>
            <w:tcW w:w="1845" w:type="dxa"/>
            <w:vMerge/>
          </w:tcPr>
          <w:p w14:paraId="7E65F0C7" w14:textId="77777777" w:rsidR="00501B49" w:rsidRDefault="00501B49">
            <w:pPr>
              <w:pBdr>
                <w:between w:val="single" w:sz="4" w:space="1" w:color="000000"/>
              </w:pBdr>
              <w:jc w:val="both"/>
              <w:rPr>
                <w:rFonts w:ascii="Times New Roman" w:eastAsia="Times New Roman" w:hAnsi="Times New Roman" w:cs="Times New Roman"/>
                <w:b/>
                <w:bCs/>
              </w:rPr>
            </w:pPr>
          </w:p>
        </w:tc>
        <w:tc>
          <w:tcPr>
            <w:tcW w:w="2557" w:type="dxa"/>
          </w:tcPr>
          <w:p w14:paraId="27D2EE1E" w14:textId="77777777" w:rsidR="00501B49" w:rsidRDefault="00501B49">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15</w:t>
            </w:r>
          </w:p>
        </w:tc>
        <w:tc>
          <w:tcPr>
            <w:tcW w:w="5386" w:type="dxa"/>
          </w:tcPr>
          <w:p w14:paraId="6205B70F" w14:textId="77777777" w:rsidR="00501B49" w:rsidRDefault="00501B49">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La pct. 27.2 formularea „consultările sunt întâmpinate de blocaje” nu corespunde limbajului normativ specific actelor administrative normative. Se recomandă reformularea textului într-o manieră clară și juridic adecvată</w:t>
            </w:r>
          </w:p>
        </w:tc>
        <w:tc>
          <w:tcPr>
            <w:tcW w:w="3952" w:type="dxa"/>
          </w:tcPr>
          <w:p w14:paraId="104CA334" w14:textId="73331AE5" w:rsidR="00501B49" w:rsidRDefault="00501B49">
            <w:pPr>
              <w:spacing w:after="160" w:line="278" w:lineRule="auto"/>
              <w:jc w:val="both"/>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xml:space="preserve">. Textul </w:t>
            </w:r>
            <w:r w:rsidR="00F64672">
              <w:rPr>
                <w:rFonts w:ascii="Times New Roman" w:eastAsia="Times New Roman" w:hAnsi="Times New Roman" w:cs="Times New Roman"/>
              </w:rPr>
              <w:t>a fost</w:t>
            </w:r>
            <w:r>
              <w:rPr>
                <w:rFonts w:ascii="Times New Roman" w:eastAsia="Times New Roman" w:hAnsi="Times New Roman" w:cs="Times New Roman"/>
              </w:rPr>
              <w:t xml:space="preserve"> reformulat adecvat, precum ,,în cazul imposibilității obținerii consensului interinstituțional” sau „în cazul existenței unor divergențe instituționale”</w:t>
            </w:r>
          </w:p>
          <w:p w14:paraId="671DB2D1" w14:textId="77777777" w:rsidR="00501B49" w:rsidRDefault="00501B49">
            <w:pPr>
              <w:pBdr>
                <w:between w:val="single" w:sz="4" w:space="1" w:color="000000"/>
              </w:pBdr>
              <w:jc w:val="both"/>
              <w:rPr>
                <w:rFonts w:ascii="Times New Roman" w:eastAsia="Times New Roman" w:hAnsi="Times New Roman" w:cs="Times New Roman"/>
                <w:b/>
                <w:bCs/>
              </w:rPr>
            </w:pPr>
          </w:p>
        </w:tc>
      </w:tr>
      <w:tr w:rsidR="00501B49" w14:paraId="45E3F01A" w14:textId="77777777" w:rsidTr="00AC399B">
        <w:tc>
          <w:tcPr>
            <w:tcW w:w="555" w:type="dxa"/>
            <w:vMerge/>
          </w:tcPr>
          <w:p w14:paraId="3CD64966" w14:textId="77777777" w:rsidR="00501B49" w:rsidRDefault="00501B49">
            <w:pPr>
              <w:pBdr>
                <w:between w:val="single" w:sz="4" w:space="1" w:color="000000"/>
              </w:pBdr>
              <w:jc w:val="both"/>
              <w:rPr>
                <w:rFonts w:ascii="Times New Roman" w:eastAsia="Times New Roman" w:hAnsi="Times New Roman" w:cs="Times New Roman"/>
                <w:b/>
                <w:bCs/>
              </w:rPr>
            </w:pPr>
          </w:p>
        </w:tc>
        <w:tc>
          <w:tcPr>
            <w:tcW w:w="1845" w:type="dxa"/>
            <w:vMerge/>
          </w:tcPr>
          <w:p w14:paraId="03CA8F9F" w14:textId="77777777" w:rsidR="00501B49" w:rsidRDefault="00501B49">
            <w:pPr>
              <w:pBdr>
                <w:between w:val="single" w:sz="4" w:space="1" w:color="000000"/>
              </w:pBdr>
              <w:jc w:val="both"/>
              <w:rPr>
                <w:rFonts w:ascii="Times New Roman" w:eastAsia="Times New Roman" w:hAnsi="Times New Roman" w:cs="Times New Roman"/>
                <w:b/>
                <w:bCs/>
              </w:rPr>
            </w:pPr>
          </w:p>
        </w:tc>
        <w:tc>
          <w:tcPr>
            <w:tcW w:w="2557" w:type="dxa"/>
          </w:tcPr>
          <w:p w14:paraId="0CF477C5" w14:textId="77777777" w:rsidR="00501B49" w:rsidRDefault="00501B49">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16</w:t>
            </w:r>
          </w:p>
        </w:tc>
        <w:tc>
          <w:tcPr>
            <w:tcW w:w="5386" w:type="dxa"/>
          </w:tcPr>
          <w:p w14:paraId="19A36C1A" w14:textId="77777777" w:rsidR="00501B49" w:rsidRDefault="00501B49">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La pct. 30.1 și pct. 31.1.1 se recomandă uniformizarea terminologiei utilizate pentru termenul „screening”, inclusiv prin utilizarea unei explicații uniforme în limba română („examinare preliminară”), pentru respectarea cerințelor de claritate și accesibilitate a normei juridice.</w:t>
            </w:r>
          </w:p>
        </w:tc>
        <w:tc>
          <w:tcPr>
            <w:tcW w:w="3952" w:type="dxa"/>
          </w:tcPr>
          <w:p w14:paraId="2D76E961" w14:textId="645375EB" w:rsidR="00501B49" w:rsidRDefault="00501B49">
            <w:pPr>
              <w:spacing w:after="160" w:line="278" w:lineRule="auto"/>
              <w:jc w:val="both"/>
              <w:rPr>
                <w:rFonts w:ascii="Times New Roman" w:eastAsia="Times New Roman" w:hAnsi="Times New Roman" w:cs="Times New Roman"/>
                <w:b/>
                <w:bCs/>
              </w:rPr>
            </w:pPr>
            <w:r>
              <w:rPr>
                <w:rFonts w:ascii="Times New Roman" w:eastAsia="Times New Roman" w:hAnsi="Times New Roman" w:cs="Times New Roman"/>
                <w:b/>
                <w:bCs/>
              </w:rPr>
              <w:t>Se acceptă</w:t>
            </w:r>
            <w:r>
              <w:rPr>
                <w:rFonts w:ascii="Times New Roman" w:eastAsia="Times New Roman" w:hAnsi="Times New Roman" w:cs="Times New Roman"/>
              </w:rPr>
              <w:t xml:space="preserve">. </w:t>
            </w:r>
            <w:r w:rsidR="00F64672">
              <w:rPr>
                <w:rFonts w:ascii="Times New Roman" w:eastAsia="Times New Roman" w:hAnsi="Times New Roman" w:cs="Times New Roman"/>
              </w:rPr>
              <w:t>Este</w:t>
            </w:r>
            <w:r>
              <w:rPr>
                <w:rFonts w:ascii="Times New Roman" w:eastAsia="Times New Roman" w:hAnsi="Times New Roman" w:cs="Times New Roman"/>
              </w:rPr>
              <w:t xml:space="preserve"> utilizată uniform „examinare preliminară (screening)” sau exclusiv: „examinare preliminară” după caz.</w:t>
            </w:r>
          </w:p>
        </w:tc>
      </w:tr>
      <w:tr w:rsidR="00501B49" w14:paraId="0E1BE0C7" w14:textId="77777777" w:rsidTr="00AC399B">
        <w:tc>
          <w:tcPr>
            <w:tcW w:w="555" w:type="dxa"/>
            <w:vMerge/>
          </w:tcPr>
          <w:p w14:paraId="547EE252" w14:textId="77777777" w:rsidR="00501B49" w:rsidRDefault="00501B49">
            <w:pPr>
              <w:pBdr>
                <w:between w:val="single" w:sz="4" w:space="1" w:color="000000"/>
              </w:pBdr>
              <w:jc w:val="both"/>
              <w:rPr>
                <w:rFonts w:ascii="Times New Roman" w:eastAsia="Times New Roman" w:hAnsi="Times New Roman" w:cs="Times New Roman"/>
                <w:b/>
                <w:bCs/>
              </w:rPr>
            </w:pPr>
          </w:p>
        </w:tc>
        <w:tc>
          <w:tcPr>
            <w:tcW w:w="1845" w:type="dxa"/>
            <w:vMerge/>
          </w:tcPr>
          <w:p w14:paraId="22BD4B91" w14:textId="77777777" w:rsidR="00501B49" w:rsidRDefault="00501B49">
            <w:pPr>
              <w:pBdr>
                <w:between w:val="single" w:sz="4" w:space="1" w:color="000000"/>
              </w:pBdr>
              <w:jc w:val="both"/>
              <w:rPr>
                <w:rFonts w:ascii="Times New Roman" w:eastAsia="Times New Roman" w:hAnsi="Times New Roman" w:cs="Times New Roman"/>
                <w:b/>
                <w:bCs/>
              </w:rPr>
            </w:pPr>
          </w:p>
        </w:tc>
        <w:tc>
          <w:tcPr>
            <w:tcW w:w="2557" w:type="dxa"/>
          </w:tcPr>
          <w:p w14:paraId="5308C31B" w14:textId="77777777" w:rsidR="00501B49" w:rsidRDefault="00501B49">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17</w:t>
            </w:r>
          </w:p>
        </w:tc>
        <w:tc>
          <w:tcPr>
            <w:tcW w:w="5386" w:type="dxa"/>
          </w:tcPr>
          <w:p w14:paraId="1231BCF3" w14:textId="77777777" w:rsidR="00501B49" w:rsidRDefault="00501B49">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La pct. 33.3 sintagma „lista prioritate a riscurilor” necesită ajustare redacțională, urmând a fi substituită cu sintagma „lista prioritară a riscurilor”.</w:t>
            </w:r>
          </w:p>
        </w:tc>
        <w:tc>
          <w:tcPr>
            <w:tcW w:w="3952" w:type="dxa"/>
          </w:tcPr>
          <w:p w14:paraId="192A7D76" w14:textId="035FEF06" w:rsidR="00501B49" w:rsidRDefault="00501B49">
            <w:pPr>
              <w:pBdr>
                <w:between w:val="single" w:sz="4" w:space="1" w:color="000000"/>
              </w:pBdr>
              <w:jc w:val="both"/>
              <w:rPr>
                <w:rFonts w:ascii="Times New Roman" w:eastAsia="Times New Roman" w:hAnsi="Times New Roman" w:cs="Times New Roman"/>
                <w:b/>
                <w:bCs/>
              </w:rPr>
            </w:pPr>
            <w:r>
              <w:rPr>
                <w:rFonts w:ascii="Times New Roman" w:eastAsia="Times New Roman" w:hAnsi="Times New Roman" w:cs="Times New Roman"/>
                <w:b/>
                <w:bCs/>
              </w:rPr>
              <w:t>Se acceptă</w:t>
            </w:r>
            <w:r>
              <w:rPr>
                <w:rFonts w:ascii="Times New Roman" w:eastAsia="Times New Roman" w:hAnsi="Times New Roman" w:cs="Times New Roman"/>
              </w:rPr>
              <w:t xml:space="preserve">. Sintagma </w:t>
            </w:r>
            <w:r w:rsidR="00F64672">
              <w:rPr>
                <w:rFonts w:ascii="Times New Roman" w:eastAsia="Times New Roman" w:hAnsi="Times New Roman" w:cs="Times New Roman"/>
              </w:rPr>
              <w:t>este</w:t>
            </w:r>
            <w:r>
              <w:rPr>
                <w:rFonts w:ascii="Times New Roman" w:eastAsia="Times New Roman" w:hAnsi="Times New Roman" w:cs="Times New Roman"/>
              </w:rPr>
              <w:t xml:space="preserve"> substituită cu formularea corectă „lista prioritară a riscurilor”.</w:t>
            </w:r>
          </w:p>
        </w:tc>
      </w:tr>
      <w:tr w:rsidR="00501B49" w14:paraId="67A81003" w14:textId="77777777" w:rsidTr="00AC399B">
        <w:tc>
          <w:tcPr>
            <w:tcW w:w="555" w:type="dxa"/>
            <w:vMerge/>
          </w:tcPr>
          <w:p w14:paraId="5E8ADBA7" w14:textId="77777777" w:rsidR="00501B49" w:rsidRDefault="00501B49">
            <w:pPr>
              <w:pBdr>
                <w:between w:val="single" w:sz="4" w:space="1" w:color="000000"/>
              </w:pBdr>
              <w:jc w:val="both"/>
              <w:rPr>
                <w:rFonts w:ascii="Times New Roman" w:eastAsia="Times New Roman" w:hAnsi="Times New Roman" w:cs="Times New Roman"/>
                <w:b/>
                <w:bCs/>
              </w:rPr>
            </w:pPr>
          </w:p>
        </w:tc>
        <w:tc>
          <w:tcPr>
            <w:tcW w:w="1845" w:type="dxa"/>
            <w:vMerge/>
          </w:tcPr>
          <w:p w14:paraId="101979B3" w14:textId="77777777" w:rsidR="00501B49" w:rsidRDefault="00501B49">
            <w:pPr>
              <w:pBdr>
                <w:between w:val="single" w:sz="4" w:space="1" w:color="000000"/>
              </w:pBdr>
              <w:jc w:val="both"/>
              <w:rPr>
                <w:rFonts w:ascii="Times New Roman" w:eastAsia="Times New Roman" w:hAnsi="Times New Roman" w:cs="Times New Roman"/>
                <w:b/>
                <w:bCs/>
              </w:rPr>
            </w:pPr>
          </w:p>
        </w:tc>
        <w:tc>
          <w:tcPr>
            <w:tcW w:w="2557" w:type="dxa"/>
          </w:tcPr>
          <w:p w14:paraId="3C5E8E50" w14:textId="77777777" w:rsidR="00501B49" w:rsidRDefault="00501B49">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18</w:t>
            </w:r>
          </w:p>
        </w:tc>
        <w:tc>
          <w:tcPr>
            <w:tcW w:w="5386" w:type="dxa"/>
          </w:tcPr>
          <w:p w14:paraId="12865514" w14:textId="77777777" w:rsidR="00501B49" w:rsidRDefault="00501B49">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La pct. 33.13 formularea „sprijinită la nevoie de grupul de lucru” se recomandă a fi reformulată într-un limbaj normativ adecvat, de exemplu „la necesitate, cu suportul grupului de lucru”</w:t>
            </w:r>
          </w:p>
        </w:tc>
        <w:tc>
          <w:tcPr>
            <w:tcW w:w="3952" w:type="dxa"/>
          </w:tcPr>
          <w:p w14:paraId="467A94B7" w14:textId="05C4B4E7" w:rsidR="00501B49" w:rsidRDefault="00501B49">
            <w:pPr>
              <w:pBdr>
                <w:between w:val="single" w:sz="4" w:space="1" w:color="000000"/>
              </w:pBdr>
              <w:jc w:val="both"/>
              <w:rPr>
                <w:rFonts w:ascii="Times New Roman" w:eastAsia="Times New Roman" w:hAnsi="Times New Roman" w:cs="Times New Roman"/>
                <w:b/>
                <w:bCs/>
              </w:rPr>
            </w:pPr>
            <w:r>
              <w:rPr>
                <w:rFonts w:ascii="Times New Roman" w:eastAsia="Times New Roman" w:hAnsi="Times New Roman" w:cs="Times New Roman"/>
                <w:b/>
                <w:bCs/>
              </w:rPr>
              <w:t>Se acceptă</w:t>
            </w:r>
            <w:r>
              <w:rPr>
                <w:rFonts w:ascii="Times New Roman" w:eastAsia="Times New Roman" w:hAnsi="Times New Roman" w:cs="Times New Roman"/>
              </w:rPr>
              <w:t xml:space="preserve">. Norma </w:t>
            </w:r>
            <w:r w:rsidR="001367F3">
              <w:rPr>
                <w:rFonts w:ascii="Times New Roman" w:eastAsia="Times New Roman" w:hAnsi="Times New Roman" w:cs="Times New Roman"/>
              </w:rPr>
              <w:t xml:space="preserve">este </w:t>
            </w:r>
            <w:r>
              <w:rPr>
                <w:rFonts w:ascii="Times New Roman" w:eastAsia="Times New Roman" w:hAnsi="Times New Roman" w:cs="Times New Roman"/>
              </w:rPr>
              <w:t>reformulată „la necesitate, cu suportul grupului de lucru”</w:t>
            </w:r>
          </w:p>
        </w:tc>
      </w:tr>
      <w:tr w:rsidR="00501B49" w14:paraId="37D8F40D" w14:textId="77777777" w:rsidTr="00AC399B">
        <w:tc>
          <w:tcPr>
            <w:tcW w:w="555" w:type="dxa"/>
            <w:vMerge/>
          </w:tcPr>
          <w:p w14:paraId="357B33A2" w14:textId="77777777" w:rsidR="00501B49" w:rsidRDefault="00501B49">
            <w:pPr>
              <w:pBdr>
                <w:between w:val="single" w:sz="4" w:space="1" w:color="000000"/>
              </w:pBdr>
              <w:jc w:val="both"/>
              <w:rPr>
                <w:rFonts w:ascii="Times New Roman" w:eastAsia="Times New Roman" w:hAnsi="Times New Roman" w:cs="Times New Roman"/>
                <w:b/>
                <w:bCs/>
              </w:rPr>
            </w:pPr>
          </w:p>
        </w:tc>
        <w:tc>
          <w:tcPr>
            <w:tcW w:w="1845" w:type="dxa"/>
            <w:vMerge/>
          </w:tcPr>
          <w:p w14:paraId="5278A0F2" w14:textId="77777777" w:rsidR="00501B49" w:rsidRDefault="00501B49">
            <w:pPr>
              <w:pBdr>
                <w:between w:val="single" w:sz="4" w:space="1" w:color="000000"/>
              </w:pBdr>
              <w:jc w:val="both"/>
              <w:rPr>
                <w:rFonts w:ascii="Times New Roman" w:eastAsia="Times New Roman" w:hAnsi="Times New Roman" w:cs="Times New Roman"/>
                <w:b/>
                <w:bCs/>
              </w:rPr>
            </w:pPr>
          </w:p>
        </w:tc>
        <w:tc>
          <w:tcPr>
            <w:tcW w:w="2557" w:type="dxa"/>
          </w:tcPr>
          <w:p w14:paraId="78C34E9C" w14:textId="77777777" w:rsidR="00501B49" w:rsidRDefault="00501B49">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19</w:t>
            </w:r>
          </w:p>
        </w:tc>
        <w:tc>
          <w:tcPr>
            <w:tcW w:w="5386" w:type="dxa"/>
          </w:tcPr>
          <w:p w14:paraId="77ABA9AF" w14:textId="77777777" w:rsidR="00501B49" w:rsidRDefault="00501B49">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La pct. 41.2.1 se constată o necorelare internă a Metodologiei, întrucât pct. 36.2 stabilește patru niveluri de gravitate („scăzut”, „moderat”, „înalt”, „critic”), iar pct. 41.2.1 stabilește cinci niveluri („foarte scăzut”, „scăzut”, „mediu”, „înalt”, „critic”). În acest sens, se impune uniformizarea clasificării nivelurilor de risc pe întregul text al proiectului.</w:t>
            </w:r>
          </w:p>
        </w:tc>
        <w:tc>
          <w:tcPr>
            <w:tcW w:w="3952" w:type="dxa"/>
          </w:tcPr>
          <w:p w14:paraId="0F9997E3" w14:textId="77777777" w:rsidR="00501B49" w:rsidRDefault="00501B49">
            <w:pPr>
              <w:pStyle w:val="Heading3"/>
              <w:spacing w:before="0" w:after="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Se acceptă</w:t>
            </w:r>
            <w:r>
              <w:rPr>
                <w:rFonts w:ascii="Times New Roman" w:eastAsia="Times New Roman" w:hAnsi="Times New Roman" w:cs="Times New Roman"/>
                <w:color w:val="000000"/>
                <w:sz w:val="24"/>
                <w:szCs w:val="24"/>
              </w:rPr>
              <w:t xml:space="preserve">. Clasificarea nivelurilor de risc va fi uniformizată pe întreg textul Metodologiei pentru asigurarea coerenței metodologice și conceptuale. Se recomandă utilizarea modelului cu 5 niveluri: </w:t>
            </w:r>
            <w:r>
              <w:rPr>
                <w:rFonts w:ascii="Times New Roman" w:eastAsia="Times New Roman" w:hAnsi="Times New Roman" w:cs="Times New Roman"/>
                <w:b/>
                <w:bCs/>
                <w:color w:val="000000"/>
                <w:sz w:val="24"/>
                <w:szCs w:val="24"/>
              </w:rPr>
              <w:t>foarte scăzut; scăzut; moderat; înalt; critic.</w:t>
            </w:r>
          </w:p>
          <w:p w14:paraId="126495F1" w14:textId="77777777" w:rsidR="00501B49" w:rsidRDefault="00501B49">
            <w:pPr>
              <w:pBdr>
                <w:between w:val="single" w:sz="4" w:space="1" w:color="000000"/>
              </w:pBdr>
              <w:jc w:val="both"/>
              <w:rPr>
                <w:rFonts w:ascii="Times New Roman" w:eastAsia="Times New Roman" w:hAnsi="Times New Roman" w:cs="Times New Roman"/>
                <w:b/>
                <w:bCs/>
              </w:rPr>
            </w:pPr>
          </w:p>
        </w:tc>
      </w:tr>
      <w:tr w:rsidR="00501B49" w14:paraId="6E936DE7" w14:textId="77777777" w:rsidTr="00AC399B">
        <w:tc>
          <w:tcPr>
            <w:tcW w:w="555" w:type="dxa"/>
            <w:vMerge/>
          </w:tcPr>
          <w:p w14:paraId="191764BA" w14:textId="77777777" w:rsidR="00501B49" w:rsidRDefault="00501B49">
            <w:pPr>
              <w:pBdr>
                <w:between w:val="single" w:sz="4" w:space="1" w:color="000000"/>
              </w:pBdr>
              <w:jc w:val="both"/>
              <w:rPr>
                <w:rFonts w:ascii="Times New Roman" w:eastAsia="Times New Roman" w:hAnsi="Times New Roman" w:cs="Times New Roman"/>
                <w:b/>
                <w:bCs/>
              </w:rPr>
            </w:pPr>
          </w:p>
        </w:tc>
        <w:tc>
          <w:tcPr>
            <w:tcW w:w="1845" w:type="dxa"/>
            <w:vMerge/>
          </w:tcPr>
          <w:p w14:paraId="317FEA6B" w14:textId="77777777" w:rsidR="00501B49" w:rsidRDefault="00501B49">
            <w:pPr>
              <w:pBdr>
                <w:between w:val="single" w:sz="4" w:space="1" w:color="000000"/>
              </w:pBdr>
              <w:jc w:val="both"/>
              <w:rPr>
                <w:rFonts w:ascii="Times New Roman" w:eastAsia="Times New Roman" w:hAnsi="Times New Roman" w:cs="Times New Roman"/>
                <w:b/>
                <w:bCs/>
              </w:rPr>
            </w:pPr>
          </w:p>
        </w:tc>
        <w:tc>
          <w:tcPr>
            <w:tcW w:w="2557" w:type="dxa"/>
          </w:tcPr>
          <w:p w14:paraId="1350E337" w14:textId="77777777" w:rsidR="00501B49" w:rsidRDefault="00501B49">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20</w:t>
            </w:r>
          </w:p>
        </w:tc>
        <w:tc>
          <w:tcPr>
            <w:tcW w:w="5386" w:type="dxa"/>
          </w:tcPr>
          <w:p w14:paraId="21296E61" w14:textId="77777777" w:rsidR="00501B49" w:rsidRDefault="00501B49">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La pct. 43 și pct. 44.1.2 se recomandă substituirea termenului „normalizare” cu un termen mai adecvat contextului normativ și metodologic, precum „standardizare” sau „uniformizare”, pentru evitarea unor interpretări tehnice ambigue.</w:t>
            </w:r>
          </w:p>
        </w:tc>
        <w:tc>
          <w:tcPr>
            <w:tcW w:w="3952" w:type="dxa"/>
          </w:tcPr>
          <w:p w14:paraId="4D7C37F5" w14:textId="77777777" w:rsidR="00501B49" w:rsidRDefault="00501B49">
            <w:pPr>
              <w:pStyle w:val="Heading3"/>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Se acceptă parțial</w:t>
            </w:r>
            <w:r>
              <w:rPr>
                <w:rFonts w:ascii="Times New Roman" w:eastAsia="Times New Roman" w:hAnsi="Times New Roman" w:cs="Times New Roman"/>
                <w:color w:val="000000"/>
                <w:sz w:val="24"/>
                <w:szCs w:val="24"/>
              </w:rPr>
              <w:t>. Se recomandă ambele reieșind din contextual textului: „uniformizare”; și „standardizare”.</w:t>
            </w:r>
          </w:p>
          <w:p w14:paraId="317B9F1A" w14:textId="77777777" w:rsidR="00501B49" w:rsidRDefault="00501B49">
            <w:pPr>
              <w:pBdr>
                <w:between w:val="single" w:sz="4" w:space="1" w:color="000000"/>
              </w:pBdr>
              <w:jc w:val="both"/>
              <w:rPr>
                <w:rFonts w:ascii="Times New Roman" w:eastAsia="Times New Roman" w:hAnsi="Times New Roman" w:cs="Times New Roman"/>
                <w:b/>
                <w:bCs/>
              </w:rPr>
            </w:pPr>
          </w:p>
        </w:tc>
      </w:tr>
      <w:tr w:rsidR="00501B49" w14:paraId="16E32F20" w14:textId="77777777" w:rsidTr="00AC399B">
        <w:tc>
          <w:tcPr>
            <w:tcW w:w="555" w:type="dxa"/>
            <w:vMerge/>
          </w:tcPr>
          <w:p w14:paraId="28EC1F5F" w14:textId="77777777" w:rsidR="00501B49" w:rsidRDefault="00501B49">
            <w:pPr>
              <w:pBdr>
                <w:between w:val="single" w:sz="4" w:space="1" w:color="000000"/>
              </w:pBdr>
              <w:jc w:val="both"/>
              <w:rPr>
                <w:rFonts w:ascii="Times New Roman" w:eastAsia="Times New Roman" w:hAnsi="Times New Roman" w:cs="Times New Roman"/>
                <w:b/>
                <w:bCs/>
              </w:rPr>
            </w:pPr>
          </w:p>
        </w:tc>
        <w:tc>
          <w:tcPr>
            <w:tcW w:w="1845" w:type="dxa"/>
            <w:vMerge/>
          </w:tcPr>
          <w:p w14:paraId="057C3B15" w14:textId="77777777" w:rsidR="00501B49" w:rsidRDefault="00501B49">
            <w:pPr>
              <w:pBdr>
                <w:between w:val="single" w:sz="4" w:space="1" w:color="000000"/>
              </w:pBdr>
              <w:jc w:val="both"/>
              <w:rPr>
                <w:rFonts w:ascii="Times New Roman" w:eastAsia="Times New Roman" w:hAnsi="Times New Roman" w:cs="Times New Roman"/>
                <w:b/>
                <w:bCs/>
              </w:rPr>
            </w:pPr>
          </w:p>
        </w:tc>
        <w:tc>
          <w:tcPr>
            <w:tcW w:w="2557" w:type="dxa"/>
          </w:tcPr>
          <w:p w14:paraId="09F3579E" w14:textId="77777777" w:rsidR="00501B49" w:rsidRDefault="00501B49">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21</w:t>
            </w:r>
          </w:p>
        </w:tc>
        <w:tc>
          <w:tcPr>
            <w:tcW w:w="5386" w:type="dxa"/>
          </w:tcPr>
          <w:p w14:paraId="57750AB5" w14:textId="77777777" w:rsidR="00501B49" w:rsidRDefault="00501B49">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La pct. 45.1 formularea „este supusă unei runde unice de consultare” necesită clarificare sub aspect procedural, întrucât proiectul nu stabilește natura consultării, participanții și efectele acesteia asupra versiunii finale a documentelor evaluate.</w:t>
            </w:r>
          </w:p>
        </w:tc>
        <w:tc>
          <w:tcPr>
            <w:tcW w:w="3952" w:type="dxa"/>
          </w:tcPr>
          <w:p w14:paraId="75389619" w14:textId="61FEF8A3" w:rsidR="00501B49" w:rsidRDefault="00501B49" w:rsidP="001367F3">
            <w:pPr>
              <w:pStyle w:val="Heading3"/>
              <w:spacing w:before="0" w:after="0"/>
              <w:jc w:val="both"/>
              <w:rPr>
                <w:rFonts w:ascii="Times New Roman" w:eastAsia="Times New Roman" w:hAnsi="Times New Roman" w:cs="Times New Roman"/>
                <w:b/>
                <w:bCs/>
              </w:rPr>
            </w:pPr>
            <w:r>
              <w:rPr>
                <w:rFonts w:ascii="Times New Roman" w:eastAsia="Times New Roman" w:hAnsi="Times New Roman" w:cs="Times New Roman"/>
                <w:b/>
                <w:bCs/>
                <w:color w:val="000000"/>
                <w:sz w:val="24"/>
                <w:szCs w:val="24"/>
              </w:rPr>
              <w:t xml:space="preserve">Se acceptă. </w:t>
            </w:r>
            <w:r>
              <w:rPr>
                <w:rFonts w:ascii="Times New Roman" w:eastAsia="Times New Roman" w:hAnsi="Times New Roman" w:cs="Times New Roman"/>
                <w:color w:val="000000"/>
                <w:sz w:val="24"/>
                <w:szCs w:val="24"/>
              </w:rPr>
              <w:t xml:space="preserve">Norma </w:t>
            </w:r>
            <w:r w:rsidR="001367F3">
              <w:rPr>
                <w:rFonts w:ascii="Times New Roman" w:eastAsia="Times New Roman" w:hAnsi="Times New Roman" w:cs="Times New Roman"/>
                <w:color w:val="000000"/>
                <w:sz w:val="24"/>
                <w:szCs w:val="24"/>
              </w:rPr>
              <w:t>este</w:t>
            </w:r>
            <w:r>
              <w:rPr>
                <w:rFonts w:ascii="Times New Roman" w:eastAsia="Times New Roman" w:hAnsi="Times New Roman" w:cs="Times New Roman"/>
                <w:color w:val="000000"/>
                <w:sz w:val="24"/>
                <w:szCs w:val="24"/>
              </w:rPr>
              <w:t xml:space="preserve"> completată cu precizarea naturii consultării și a cadrului procedural aplicabil. </w:t>
            </w:r>
          </w:p>
        </w:tc>
      </w:tr>
      <w:tr w:rsidR="00501B49" w14:paraId="3B94913D" w14:textId="77777777" w:rsidTr="00AC399B">
        <w:tc>
          <w:tcPr>
            <w:tcW w:w="555" w:type="dxa"/>
            <w:vMerge/>
          </w:tcPr>
          <w:p w14:paraId="2493A3C9" w14:textId="77777777" w:rsidR="00501B49" w:rsidRDefault="00501B49">
            <w:pPr>
              <w:pBdr>
                <w:between w:val="single" w:sz="4" w:space="1" w:color="000000"/>
              </w:pBdr>
              <w:jc w:val="both"/>
              <w:rPr>
                <w:rFonts w:ascii="Times New Roman" w:eastAsia="Times New Roman" w:hAnsi="Times New Roman" w:cs="Times New Roman"/>
                <w:b/>
                <w:bCs/>
              </w:rPr>
            </w:pPr>
          </w:p>
        </w:tc>
        <w:tc>
          <w:tcPr>
            <w:tcW w:w="1845" w:type="dxa"/>
            <w:vMerge/>
          </w:tcPr>
          <w:p w14:paraId="4EFF2298" w14:textId="77777777" w:rsidR="00501B49" w:rsidRDefault="00501B49">
            <w:pPr>
              <w:pBdr>
                <w:between w:val="single" w:sz="4" w:space="1" w:color="000000"/>
              </w:pBdr>
              <w:jc w:val="both"/>
              <w:rPr>
                <w:rFonts w:ascii="Times New Roman" w:eastAsia="Times New Roman" w:hAnsi="Times New Roman" w:cs="Times New Roman"/>
                <w:b/>
                <w:bCs/>
              </w:rPr>
            </w:pPr>
          </w:p>
        </w:tc>
        <w:tc>
          <w:tcPr>
            <w:tcW w:w="2557" w:type="dxa"/>
          </w:tcPr>
          <w:p w14:paraId="2CDF137C" w14:textId="77777777" w:rsidR="00501B49" w:rsidRDefault="00501B49">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22</w:t>
            </w:r>
          </w:p>
        </w:tc>
        <w:tc>
          <w:tcPr>
            <w:tcW w:w="5386" w:type="dxa"/>
          </w:tcPr>
          <w:p w14:paraId="04FB55F7" w14:textId="77777777" w:rsidR="00501B49" w:rsidRDefault="00501B49">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 xml:space="preserve">La pct. 50.4 se recomandă reevaluarea formulării „precum și a altor instituții și autorități, în conformitate cu decizia de oportunitate a directorului </w:t>
            </w:r>
            <w:r>
              <w:rPr>
                <w:rFonts w:ascii="Times New Roman" w:eastAsia="Times New Roman" w:hAnsi="Times New Roman" w:cs="Times New Roman"/>
              </w:rPr>
              <w:lastRenderedPageBreak/>
              <w:t>general al CNMC”, întrucât noțiunea de „decizie de oportunitate” are caracter vag și discreționar în context normativ. În acest sens, se recomandă stabilirea unor criterii clare privind destinatarii și condițiile de transmitere a raportului.</w:t>
            </w:r>
          </w:p>
        </w:tc>
        <w:tc>
          <w:tcPr>
            <w:tcW w:w="3952" w:type="dxa"/>
          </w:tcPr>
          <w:p w14:paraId="391D9702" w14:textId="2767FCF4" w:rsidR="00501B49" w:rsidRDefault="00501B49">
            <w:pPr>
              <w:pStyle w:val="Heading3"/>
              <w:spacing w:before="0" w:after="0"/>
              <w:jc w:val="both"/>
              <w:rPr>
                <w:rFonts w:ascii="Times New Roman" w:eastAsia="Times New Roman" w:hAnsi="Times New Roman" w:cs="Times New Roman"/>
                <w:color w:val="000000"/>
                <w:sz w:val="24"/>
                <w:szCs w:val="24"/>
              </w:rPr>
            </w:pPr>
            <w:bookmarkStart w:id="0" w:name="_heading=h.4zv578lmduw" w:colFirst="0" w:colLast="0"/>
            <w:bookmarkEnd w:id="0"/>
            <w:r>
              <w:rPr>
                <w:rFonts w:ascii="Times New Roman" w:eastAsia="Times New Roman" w:hAnsi="Times New Roman" w:cs="Times New Roman"/>
                <w:b/>
                <w:bCs/>
                <w:color w:val="000000"/>
                <w:sz w:val="24"/>
                <w:szCs w:val="24"/>
              </w:rPr>
              <w:lastRenderedPageBreak/>
              <w:t>Se acceptă parțial</w:t>
            </w:r>
            <w:r>
              <w:rPr>
                <w:rFonts w:ascii="Times New Roman" w:eastAsia="Times New Roman" w:hAnsi="Times New Roman" w:cs="Times New Roman"/>
                <w:color w:val="000000"/>
                <w:sz w:val="24"/>
                <w:szCs w:val="24"/>
              </w:rPr>
              <w:t xml:space="preserve">. </w:t>
            </w:r>
            <w:r w:rsidR="001367F3">
              <w:rPr>
                <w:rFonts w:ascii="Times New Roman" w:eastAsia="Times New Roman" w:hAnsi="Times New Roman" w:cs="Times New Roman"/>
                <w:color w:val="000000"/>
                <w:sz w:val="24"/>
                <w:szCs w:val="24"/>
              </w:rPr>
              <w:t>Integrat în textul proiectului</w:t>
            </w:r>
          </w:p>
          <w:p w14:paraId="3F36FCFF" w14:textId="77777777" w:rsidR="00501B49" w:rsidRDefault="00501B49">
            <w:pPr>
              <w:pBdr>
                <w:between w:val="single" w:sz="4" w:space="1" w:color="000000"/>
              </w:pBdr>
              <w:jc w:val="both"/>
              <w:rPr>
                <w:rFonts w:ascii="Times New Roman" w:eastAsia="Times New Roman" w:hAnsi="Times New Roman" w:cs="Times New Roman"/>
                <w:b/>
                <w:bCs/>
              </w:rPr>
            </w:pPr>
          </w:p>
        </w:tc>
      </w:tr>
      <w:tr w:rsidR="00501B49" w14:paraId="21B2D8FE" w14:textId="77777777" w:rsidTr="00AC399B">
        <w:tc>
          <w:tcPr>
            <w:tcW w:w="555" w:type="dxa"/>
            <w:vMerge/>
          </w:tcPr>
          <w:p w14:paraId="4D949964" w14:textId="77777777" w:rsidR="00501B49" w:rsidRDefault="00501B49">
            <w:pPr>
              <w:pBdr>
                <w:between w:val="single" w:sz="4" w:space="1" w:color="000000"/>
              </w:pBdr>
              <w:jc w:val="both"/>
              <w:rPr>
                <w:rFonts w:ascii="Times New Roman" w:eastAsia="Times New Roman" w:hAnsi="Times New Roman" w:cs="Times New Roman"/>
                <w:b/>
                <w:bCs/>
              </w:rPr>
            </w:pPr>
          </w:p>
        </w:tc>
        <w:tc>
          <w:tcPr>
            <w:tcW w:w="1845" w:type="dxa"/>
            <w:vMerge/>
          </w:tcPr>
          <w:p w14:paraId="58CD6F10" w14:textId="77777777" w:rsidR="00501B49" w:rsidRDefault="00501B49">
            <w:pPr>
              <w:pBdr>
                <w:between w:val="single" w:sz="4" w:space="1" w:color="000000"/>
              </w:pBdr>
              <w:jc w:val="both"/>
              <w:rPr>
                <w:rFonts w:ascii="Times New Roman" w:eastAsia="Times New Roman" w:hAnsi="Times New Roman" w:cs="Times New Roman"/>
                <w:b/>
                <w:bCs/>
              </w:rPr>
            </w:pPr>
          </w:p>
        </w:tc>
        <w:tc>
          <w:tcPr>
            <w:tcW w:w="2557" w:type="dxa"/>
          </w:tcPr>
          <w:p w14:paraId="5C2A9B91" w14:textId="77777777" w:rsidR="00501B49" w:rsidRDefault="00501B49">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23</w:t>
            </w:r>
          </w:p>
        </w:tc>
        <w:tc>
          <w:tcPr>
            <w:tcW w:w="5386" w:type="dxa"/>
          </w:tcPr>
          <w:p w14:paraId="699EF2F3" w14:textId="77777777" w:rsidR="00501B49" w:rsidRDefault="00501B49">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La pct. 55.2 formularea „Ministerului Afacerilor Interne are obligația” necesită ajustare gramaticală prin substituirea cu textul „Ministerul Afacerilor Interne are obligația”</w:t>
            </w:r>
          </w:p>
        </w:tc>
        <w:tc>
          <w:tcPr>
            <w:tcW w:w="3952" w:type="dxa"/>
          </w:tcPr>
          <w:p w14:paraId="11DB35FD" w14:textId="5B5FE060" w:rsidR="00501B49" w:rsidRDefault="00501B49">
            <w:pPr>
              <w:pBdr>
                <w:between w:val="single" w:sz="4" w:space="1" w:color="000000"/>
              </w:pBdr>
              <w:jc w:val="both"/>
              <w:rPr>
                <w:rFonts w:ascii="Times New Roman" w:eastAsia="Times New Roman" w:hAnsi="Times New Roman" w:cs="Times New Roman"/>
                <w:b/>
                <w:bCs/>
              </w:rPr>
            </w:pPr>
            <w:r>
              <w:rPr>
                <w:rFonts w:ascii="Times New Roman" w:eastAsia="Times New Roman" w:hAnsi="Times New Roman" w:cs="Times New Roman"/>
                <w:b/>
                <w:bCs/>
              </w:rPr>
              <w:t>Se acceptă</w:t>
            </w:r>
            <w:r>
              <w:t xml:space="preserve">. </w:t>
            </w:r>
          </w:p>
        </w:tc>
      </w:tr>
      <w:tr w:rsidR="00501B49" w14:paraId="1A9424CC" w14:textId="77777777" w:rsidTr="00AC399B">
        <w:tc>
          <w:tcPr>
            <w:tcW w:w="555" w:type="dxa"/>
            <w:vMerge/>
          </w:tcPr>
          <w:p w14:paraId="653B56F2" w14:textId="77777777" w:rsidR="00501B49" w:rsidRDefault="00501B49">
            <w:pPr>
              <w:pBdr>
                <w:between w:val="single" w:sz="4" w:space="1" w:color="000000"/>
              </w:pBdr>
              <w:jc w:val="both"/>
              <w:rPr>
                <w:rFonts w:ascii="Times New Roman" w:eastAsia="Times New Roman" w:hAnsi="Times New Roman" w:cs="Times New Roman"/>
                <w:b/>
                <w:bCs/>
              </w:rPr>
            </w:pPr>
          </w:p>
        </w:tc>
        <w:tc>
          <w:tcPr>
            <w:tcW w:w="1845" w:type="dxa"/>
            <w:vMerge/>
          </w:tcPr>
          <w:p w14:paraId="3083777A" w14:textId="77777777" w:rsidR="00501B49" w:rsidRDefault="00501B49">
            <w:pPr>
              <w:pBdr>
                <w:between w:val="single" w:sz="4" w:space="1" w:color="000000"/>
              </w:pBdr>
              <w:jc w:val="both"/>
              <w:rPr>
                <w:rFonts w:ascii="Times New Roman" w:eastAsia="Times New Roman" w:hAnsi="Times New Roman" w:cs="Times New Roman"/>
                <w:b/>
                <w:bCs/>
              </w:rPr>
            </w:pPr>
          </w:p>
        </w:tc>
        <w:tc>
          <w:tcPr>
            <w:tcW w:w="2557" w:type="dxa"/>
          </w:tcPr>
          <w:p w14:paraId="3E8B5CEF" w14:textId="77777777" w:rsidR="00501B49" w:rsidRDefault="00501B49">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24</w:t>
            </w:r>
          </w:p>
        </w:tc>
        <w:tc>
          <w:tcPr>
            <w:tcW w:w="5386" w:type="dxa"/>
          </w:tcPr>
          <w:p w14:paraId="03791FF5" w14:textId="77777777" w:rsidR="00501B49" w:rsidRDefault="00501B49">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La pct. 56.4.1 se constată o eroare de structurare și numerotare, întrucât subpct. „56.4.1” este utilizat repetitiv atât pentru alineatul introductiv, cât și pentru primul subpunct. În vederea respectării rigorilor de tehnică legislativă, se impune revizuirea numerotării elementelor structurale ale proiectului.</w:t>
            </w:r>
          </w:p>
        </w:tc>
        <w:tc>
          <w:tcPr>
            <w:tcW w:w="3952" w:type="dxa"/>
          </w:tcPr>
          <w:p w14:paraId="58CBB964" w14:textId="77777777" w:rsidR="00501B49" w:rsidRDefault="00501B49">
            <w:pPr>
              <w:pBdr>
                <w:between w:val="single" w:sz="4" w:space="1" w:color="000000"/>
              </w:pBdr>
              <w:jc w:val="both"/>
              <w:rPr>
                <w:rFonts w:ascii="Times New Roman" w:eastAsia="Times New Roman" w:hAnsi="Times New Roman" w:cs="Times New Roman"/>
                <w:b/>
                <w:bCs/>
              </w:rPr>
            </w:pPr>
            <w:r>
              <w:rPr>
                <w:rFonts w:ascii="Times New Roman" w:eastAsia="Times New Roman" w:hAnsi="Times New Roman" w:cs="Times New Roman"/>
                <w:b/>
                <w:bCs/>
              </w:rPr>
              <w:t>Se acceptă</w:t>
            </w:r>
            <w:r>
              <w:rPr>
                <w:rFonts w:ascii="Times New Roman" w:eastAsia="Times New Roman" w:hAnsi="Times New Roman" w:cs="Times New Roman"/>
              </w:rPr>
              <w:t>. Numerotarea elementelor structurale va fi revizuită conform regulilor de tehnică legislativă</w:t>
            </w:r>
          </w:p>
        </w:tc>
      </w:tr>
      <w:tr w:rsidR="00501B49" w14:paraId="7D91011D" w14:textId="77777777" w:rsidTr="00AC399B">
        <w:tc>
          <w:tcPr>
            <w:tcW w:w="555" w:type="dxa"/>
            <w:vMerge/>
          </w:tcPr>
          <w:p w14:paraId="40545610" w14:textId="77777777" w:rsidR="00501B49" w:rsidRDefault="00501B49">
            <w:pPr>
              <w:pBdr>
                <w:between w:val="single" w:sz="4" w:space="1" w:color="000000"/>
              </w:pBdr>
              <w:jc w:val="both"/>
              <w:rPr>
                <w:rFonts w:ascii="Times New Roman" w:eastAsia="Times New Roman" w:hAnsi="Times New Roman" w:cs="Times New Roman"/>
                <w:b/>
                <w:bCs/>
              </w:rPr>
            </w:pPr>
          </w:p>
        </w:tc>
        <w:tc>
          <w:tcPr>
            <w:tcW w:w="1845" w:type="dxa"/>
            <w:vMerge/>
          </w:tcPr>
          <w:p w14:paraId="7E76873D" w14:textId="77777777" w:rsidR="00501B49" w:rsidRDefault="00501B49">
            <w:pPr>
              <w:pBdr>
                <w:between w:val="single" w:sz="4" w:space="1" w:color="000000"/>
              </w:pBdr>
              <w:jc w:val="both"/>
              <w:rPr>
                <w:rFonts w:ascii="Times New Roman" w:eastAsia="Times New Roman" w:hAnsi="Times New Roman" w:cs="Times New Roman"/>
                <w:b/>
                <w:bCs/>
              </w:rPr>
            </w:pPr>
          </w:p>
        </w:tc>
        <w:tc>
          <w:tcPr>
            <w:tcW w:w="2557" w:type="dxa"/>
          </w:tcPr>
          <w:p w14:paraId="242F30CA" w14:textId="77777777" w:rsidR="00501B49" w:rsidRDefault="00501B49">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25</w:t>
            </w:r>
          </w:p>
        </w:tc>
        <w:tc>
          <w:tcPr>
            <w:tcW w:w="5386" w:type="dxa"/>
          </w:tcPr>
          <w:p w14:paraId="416F7226" w14:textId="77777777" w:rsidR="00501B49" w:rsidRDefault="00501B49">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Subsidiar, se recomandă revizuirea integrală a proiectului sub aspect redacțional, gramatical și al tehnicii legislative, în conformitate cu prevederile art. 54 din Legea nr. 100/2017 cu privire la actele normative, în vederea utilizării unui limbaj normativ clar, precis și univoc, care să excludă formulările ambigue, improprii sau susceptibile de interpretări divergente.</w:t>
            </w:r>
          </w:p>
        </w:tc>
        <w:tc>
          <w:tcPr>
            <w:tcW w:w="3952" w:type="dxa"/>
          </w:tcPr>
          <w:p w14:paraId="6B7B018E" w14:textId="77777777" w:rsidR="00501B49" w:rsidRDefault="00501B49">
            <w:pPr>
              <w:spacing w:after="280"/>
              <w:jc w:val="both"/>
              <w:rPr>
                <w:rFonts w:ascii="Times New Roman" w:eastAsia="Times New Roman" w:hAnsi="Times New Roman" w:cs="Times New Roman"/>
              </w:rPr>
            </w:pPr>
            <w:r>
              <w:rPr>
                <w:rFonts w:ascii="Times New Roman" w:eastAsia="Times New Roman" w:hAnsi="Times New Roman" w:cs="Times New Roman"/>
                <w:b/>
                <w:bCs/>
              </w:rPr>
              <w:t>Se acceptă</w:t>
            </w:r>
            <w:r>
              <w:rPr>
                <w:rFonts w:ascii="Times New Roman" w:eastAsia="Times New Roman" w:hAnsi="Times New Roman" w:cs="Times New Roman"/>
              </w:rPr>
              <w:t>. Necesită:</w:t>
            </w:r>
            <w:r>
              <w:rPr>
                <w:rFonts w:ascii="Times New Roman" w:eastAsia="Times New Roman" w:hAnsi="Times New Roman" w:cs="Times New Roman"/>
                <w:b/>
                <w:bCs/>
              </w:rPr>
              <w:t xml:space="preserve"> </w:t>
            </w:r>
            <w:r>
              <w:rPr>
                <w:rFonts w:ascii="Times New Roman" w:eastAsia="Times New Roman" w:hAnsi="Times New Roman" w:cs="Times New Roman"/>
              </w:rPr>
              <w:t>renumerotarea integrală a subpunctelor.</w:t>
            </w:r>
          </w:p>
          <w:p w14:paraId="68F7980C" w14:textId="77777777" w:rsidR="00501B49" w:rsidRDefault="00501B49">
            <w:pPr>
              <w:pBdr>
                <w:between w:val="single" w:sz="4" w:space="1" w:color="000000"/>
              </w:pBdr>
              <w:jc w:val="both"/>
              <w:rPr>
                <w:rFonts w:ascii="Times New Roman" w:eastAsia="Times New Roman" w:hAnsi="Times New Roman" w:cs="Times New Roman"/>
                <w:b/>
                <w:bCs/>
              </w:rPr>
            </w:pPr>
          </w:p>
        </w:tc>
      </w:tr>
      <w:tr w:rsidR="00501B49" w14:paraId="52BBB06C" w14:textId="77777777" w:rsidTr="00AC399B">
        <w:tc>
          <w:tcPr>
            <w:tcW w:w="555" w:type="dxa"/>
            <w:shd w:val="clear" w:color="auto" w:fill="00B0F0"/>
          </w:tcPr>
          <w:p w14:paraId="1553B18E" w14:textId="77777777" w:rsidR="00501B49" w:rsidRDefault="00501B49">
            <w:pPr>
              <w:pBdr>
                <w:between w:val="single" w:sz="4" w:space="1" w:color="000000"/>
              </w:pBdr>
              <w:jc w:val="both"/>
              <w:rPr>
                <w:rFonts w:ascii="Times New Roman" w:eastAsia="Times New Roman" w:hAnsi="Times New Roman" w:cs="Times New Roman"/>
                <w:b/>
                <w:bCs/>
              </w:rPr>
            </w:pPr>
          </w:p>
        </w:tc>
        <w:tc>
          <w:tcPr>
            <w:tcW w:w="1845" w:type="dxa"/>
            <w:shd w:val="clear" w:color="auto" w:fill="00B0F0"/>
          </w:tcPr>
          <w:p w14:paraId="46CF4C42" w14:textId="77777777" w:rsidR="00501B49" w:rsidRDefault="00501B49">
            <w:pPr>
              <w:jc w:val="both"/>
              <w:rPr>
                <w:rFonts w:ascii="Times New Roman" w:eastAsia="Times New Roman" w:hAnsi="Times New Roman" w:cs="Times New Roman"/>
                <w:b/>
                <w:bCs/>
              </w:rPr>
            </w:pPr>
          </w:p>
        </w:tc>
        <w:tc>
          <w:tcPr>
            <w:tcW w:w="2557" w:type="dxa"/>
            <w:shd w:val="clear" w:color="auto" w:fill="00B0F0"/>
          </w:tcPr>
          <w:p w14:paraId="19AD583F" w14:textId="77777777" w:rsidR="00501B49" w:rsidRDefault="00501B49">
            <w:pPr>
              <w:pBdr>
                <w:between w:val="single" w:sz="4" w:space="1" w:color="000000"/>
              </w:pBdr>
              <w:jc w:val="center"/>
              <w:rPr>
                <w:rFonts w:ascii="Times New Roman" w:eastAsia="Times New Roman" w:hAnsi="Times New Roman" w:cs="Times New Roman"/>
              </w:rPr>
            </w:pPr>
          </w:p>
        </w:tc>
        <w:tc>
          <w:tcPr>
            <w:tcW w:w="5386" w:type="dxa"/>
            <w:shd w:val="clear" w:color="auto" w:fill="00B0F0"/>
          </w:tcPr>
          <w:p w14:paraId="2A1F1B51" w14:textId="77777777" w:rsidR="00501B49" w:rsidRDefault="00501B49">
            <w:pPr>
              <w:pBdr>
                <w:between w:val="single" w:sz="4" w:space="1" w:color="000000"/>
              </w:pBdr>
              <w:jc w:val="both"/>
              <w:rPr>
                <w:rFonts w:ascii="Times New Roman" w:eastAsia="Times New Roman" w:hAnsi="Times New Roman" w:cs="Times New Roman"/>
              </w:rPr>
            </w:pPr>
          </w:p>
        </w:tc>
        <w:tc>
          <w:tcPr>
            <w:tcW w:w="3952" w:type="dxa"/>
            <w:shd w:val="clear" w:color="auto" w:fill="00B0F0"/>
          </w:tcPr>
          <w:p w14:paraId="0667AF45" w14:textId="77777777" w:rsidR="00501B49" w:rsidRDefault="00501B49">
            <w:pPr>
              <w:spacing w:after="280"/>
              <w:jc w:val="both"/>
              <w:rPr>
                <w:rFonts w:ascii="Times New Roman" w:eastAsia="Times New Roman" w:hAnsi="Times New Roman" w:cs="Times New Roman"/>
                <w:b/>
                <w:bCs/>
              </w:rPr>
            </w:pPr>
          </w:p>
        </w:tc>
      </w:tr>
      <w:tr w:rsidR="00501B49" w14:paraId="442626F1" w14:textId="77777777" w:rsidTr="00AC399B">
        <w:tc>
          <w:tcPr>
            <w:tcW w:w="555" w:type="dxa"/>
            <w:vMerge w:val="restart"/>
          </w:tcPr>
          <w:p w14:paraId="3EE49FEF" w14:textId="77777777" w:rsidR="00501B49" w:rsidRDefault="00501B49">
            <w:pPr>
              <w:pBdr>
                <w:between w:val="single" w:sz="4" w:space="1" w:color="000000"/>
              </w:pBdr>
              <w:jc w:val="both"/>
              <w:rPr>
                <w:rFonts w:ascii="Times New Roman" w:eastAsia="Times New Roman" w:hAnsi="Times New Roman" w:cs="Times New Roman"/>
                <w:b/>
                <w:bCs/>
              </w:rPr>
            </w:pPr>
            <w:r>
              <w:rPr>
                <w:rFonts w:ascii="Times New Roman" w:eastAsia="Times New Roman" w:hAnsi="Times New Roman" w:cs="Times New Roman"/>
                <w:b/>
                <w:bCs/>
              </w:rPr>
              <w:t>21.</w:t>
            </w:r>
          </w:p>
        </w:tc>
        <w:tc>
          <w:tcPr>
            <w:tcW w:w="1845" w:type="dxa"/>
            <w:vMerge w:val="restart"/>
          </w:tcPr>
          <w:p w14:paraId="63D86AF7" w14:textId="77777777" w:rsidR="00501B49" w:rsidRDefault="00501B49">
            <w:pPr>
              <w:jc w:val="both"/>
              <w:rPr>
                <w:rFonts w:ascii="Times New Roman" w:eastAsia="Times New Roman" w:hAnsi="Times New Roman" w:cs="Times New Roman"/>
                <w:b/>
                <w:bCs/>
              </w:rPr>
            </w:pPr>
            <w:r>
              <w:rPr>
                <w:rFonts w:ascii="Times New Roman" w:eastAsia="Times New Roman" w:hAnsi="Times New Roman" w:cs="Times New Roman"/>
                <w:b/>
                <w:bCs/>
              </w:rPr>
              <w:t>Aparatul Președintelui Republicii Moldova</w:t>
            </w:r>
          </w:p>
          <w:p w14:paraId="008C6917" w14:textId="77777777" w:rsidR="00501B49" w:rsidRDefault="00501B49">
            <w:pPr>
              <w:jc w:val="both"/>
              <w:rPr>
                <w:rFonts w:ascii="Times New Roman" w:eastAsia="Times New Roman" w:hAnsi="Times New Roman" w:cs="Times New Roman"/>
                <w:b/>
                <w:bCs/>
              </w:rPr>
            </w:pPr>
            <w:r>
              <w:rPr>
                <w:rFonts w:ascii="Times New Roman" w:eastAsia="Times New Roman" w:hAnsi="Times New Roman" w:cs="Times New Roman"/>
                <w:i/>
                <w:iCs/>
              </w:rPr>
              <w:t>(Nr. 2/2-05-681 din 29 mai 2026)</w:t>
            </w:r>
          </w:p>
        </w:tc>
        <w:tc>
          <w:tcPr>
            <w:tcW w:w="2557" w:type="dxa"/>
          </w:tcPr>
          <w:p w14:paraId="25A8454A" w14:textId="77777777" w:rsidR="00501B49" w:rsidRDefault="00501B49">
            <w:pPr>
              <w:pBdr>
                <w:between w:val="single" w:sz="4" w:space="1" w:color="000000"/>
              </w:pBdr>
              <w:jc w:val="center"/>
              <w:rPr>
                <w:rFonts w:ascii="Times New Roman" w:eastAsia="Times New Roman" w:hAnsi="Times New Roman" w:cs="Times New Roman"/>
              </w:rPr>
            </w:pPr>
          </w:p>
        </w:tc>
        <w:tc>
          <w:tcPr>
            <w:tcW w:w="5386" w:type="dxa"/>
          </w:tcPr>
          <w:p w14:paraId="4376E89F" w14:textId="77777777" w:rsidR="00501B49" w:rsidRDefault="00501B49">
            <w:pPr>
              <w:pBdr>
                <w:between w:val="single" w:sz="4" w:space="1" w:color="000000"/>
              </w:pBdr>
              <w:jc w:val="both"/>
              <w:rPr>
                <w:rFonts w:ascii="Times New Roman" w:eastAsia="Times New Roman" w:hAnsi="Times New Roman" w:cs="Times New Roman"/>
              </w:rPr>
            </w:pPr>
          </w:p>
        </w:tc>
        <w:tc>
          <w:tcPr>
            <w:tcW w:w="3952" w:type="dxa"/>
          </w:tcPr>
          <w:p w14:paraId="43C6FEB4" w14:textId="77777777" w:rsidR="00501B49" w:rsidRDefault="00501B49">
            <w:pPr>
              <w:spacing w:after="280"/>
              <w:jc w:val="both"/>
              <w:rPr>
                <w:rFonts w:ascii="Times New Roman" w:eastAsia="Times New Roman" w:hAnsi="Times New Roman" w:cs="Times New Roman"/>
                <w:b/>
                <w:bCs/>
              </w:rPr>
            </w:pPr>
          </w:p>
        </w:tc>
      </w:tr>
      <w:tr w:rsidR="00501B49" w14:paraId="6387CB45" w14:textId="77777777" w:rsidTr="00AC399B">
        <w:tc>
          <w:tcPr>
            <w:tcW w:w="555" w:type="dxa"/>
            <w:vMerge/>
          </w:tcPr>
          <w:p w14:paraId="06B0C671" w14:textId="77777777" w:rsidR="00501B49" w:rsidRDefault="00501B49">
            <w:pPr>
              <w:pBdr>
                <w:between w:val="single" w:sz="4" w:space="1" w:color="000000"/>
              </w:pBdr>
              <w:jc w:val="both"/>
              <w:rPr>
                <w:rFonts w:ascii="Times New Roman" w:eastAsia="Times New Roman" w:hAnsi="Times New Roman" w:cs="Times New Roman"/>
                <w:b/>
                <w:bCs/>
              </w:rPr>
            </w:pPr>
          </w:p>
        </w:tc>
        <w:tc>
          <w:tcPr>
            <w:tcW w:w="1845" w:type="dxa"/>
            <w:vMerge/>
          </w:tcPr>
          <w:p w14:paraId="46B99D30" w14:textId="77777777" w:rsidR="00501B49" w:rsidRDefault="00501B49">
            <w:pPr>
              <w:jc w:val="both"/>
              <w:rPr>
                <w:rFonts w:ascii="Times New Roman" w:eastAsia="Times New Roman" w:hAnsi="Times New Roman" w:cs="Times New Roman"/>
                <w:b/>
                <w:bCs/>
              </w:rPr>
            </w:pPr>
          </w:p>
        </w:tc>
        <w:tc>
          <w:tcPr>
            <w:tcW w:w="2557" w:type="dxa"/>
          </w:tcPr>
          <w:p w14:paraId="59D026DC" w14:textId="77777777" w:rsidR="00501B49" w:rsidRDefault="00501B49">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1</w:t>
            </w:r>
          </w:p>
        </w:tc>
        <w:tc>
          <w:tcPr>
            <w:tcW w:w="5386" w:type="dxa"/>
          </w:tcPr>
          <w:p w14:paraId="216F9965" w14:textId="77777777" w:rsidR="00501B49" w:rsidRDefault="00501B49">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 xml:space="preserve">Un aspect care necesită a fi consolidat vizează lipsa unei legături distincte între rezultatele Evaluării Naționale de Risc (ENR) și procesele de planificare bugetară și investițională. În forma actuală, proiectul hotărârii de Guvern nu reglementează în mod clar modalitatea în care concluziile identificate sunt integrate în procesele decizionale privind alocarea resurselor, dezvoltarea capabilităților, precum și </w:t>
            </w:r>
            <w:r>
              <w:rPr>
                <w:rFonts w:ascii="Times New Roman" w:eastAsia="Times New Roman" w:hAnsi="Times New Roman" w:cs="Times New Roman"/>
              </w:rPr>
              <w:lastRenderedPageBreak/>
              <w:t xml:space="preserve">prioritizarea investițiilor și a măsurilor de consolidare. În lipsa unei asemenea corelări, există riscul ca ENR-ul să rămână predominant un exercițiu analitic, cu impact limitat asupra consolidării capacităților instituționale și a rezilienței naționale. În acest sens, considerăm oportun ca proiectul să prevadă expres faptul că rezultatele ENR-ului contribuie la fundamentarea proceselor de planificare strategică, inclusiv bugetară pe termen mediu, la orientarea prioritizării investițiilor și la dezvoltarea măsurilor de prevenire, pregătire, răspuns și recuperare aferente riscurilor identificate și situațiilor de criză asociate acestora. </w:t>
            </w:r>
          </w:p>
        </w:tc>
        <w:sdt>
          <w:sdtPr>
            <w:tag w:val="goog_rdk_1"/>
            <w:id w:val="-365732524"/>
          </w:sdtPr>
          <w:sdtContent>
            <w:tc>
              <w:tcPr>
                <w:tcW w:w="3952"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sdt>
                <w:sdtPr>
                  <w:tag w:val="goog_rdk_7"/>
                  <w:id w:val="-19196011"/>
                </w:sdtPr>
                <w:sdtContent>
                  <w:p w14:paraId="515C7881" w14:textId="42F85F7A" w:rsidR="00501B49" w:rsidRPr="00501B49" w:rsidRDefault="00000000">
                    <w:pPr>
                      <w:spacing w:after="280"/>
                      <w:jc w:val="both"/>
                      <w:rPr>
                        <w:rFonts w:ascii="Times New Roman" w:eastAsia="Times New Roman" w:hAnsi="Times New Roman" w:cs="Times New Roman"/>
                      </w:rPr>
                    </w:pPr>
                    <w:sdt>
                      <w:sdtPr>
                        <w:tag w:val="goog_rdk_3"/>
                        <w:id w:val="692320254"/>
                      </w:sdtPr>
                      <w:sdtContent>
                        <w:sdt>
                          <w:sdtPr>
                            <w:tag w:val="goog_rdk_4"/>
                            <w:id w:val="-597126133"/>
                          </w:sdtPr>
                          <w:sdtContent>
                            <w:r w:rsidR="00501B49">
                              <w:rPr>
                                <w:rFonts w:ascii="Times New Roman" w:eastAsia="Times New Roman" w:hAnsi="Times New Roman" w:cs="Times New Roman"/>
                                <w:b/>
                                <w:bCs/>
                              </w:rPr>
                              <w:t xml:space="preserve">Se acceptă parțial. </w:t>
                            </w:r>
                          </w:sdtContent>
                        </w:sdt>
                        <w:sdt>
                          <w:sdtPr>
                            <w:tag w:val="goog_rdk_5"/>
                            <w:id w:val="1317481467"/>
                          </w:sdtPr>
                          <w:sdtContent>
                            <w:r w:rsidR="00501B49" w:rsidRPr="00501B49">
                              <w:rPr>
                                <w:rFonts w:ascii="Times New Roman" w:eastAsia="Times New Roman" w:hAnsi="Times New Roman" w:cs="Times New Roman"/>
                              </w:rPr>
                              <w:t xml:space="preserve">Propunerea este pertinentă și corespunde principiilor managementului integrat al riscurilor. În acest sens, Metodologia </w:t>
                            </w:r>
                            <w:r w:rsidR="001367F3">
                              <w:rPr>
                                <w:rFonts w:ascii="Times New Roman" w:eastAsia="Times New Roman" w:hAnsi="Times New Roman" w:cs="Times New Roman"/>
                              </w:rPr>
                              <w:t>este</w:t>
                            </w:r>
                            <w:r w:rsidR="00501B49" w:rsidRPr="00501B49">
                              <w:rPr>
                                <w:rFonts w:ascii="Times New Roman" w:eastAsia="Times New Roman" w:hAnsi="Times New Roman" w:cs="Times New Roman"/>
                              </w:rPr>
                              <w:t xml:space="preserve"> completată cu prevederi care stabilesc că rezultatele Evaluării Naționale de Risc constituie unul dintre instrumentele de fundamentare a </w:t>
                            </w:r>
                            <w:r w:rsidR="00501B49" w:rsidRPr="00501B49">
                              <w:rPr>
                                <w:rFonts w:ascii="Times New Roman" w:eastAsia="Times New Roman" w:hAnsi="Times New Roman" w:cs="Times New Roman"/>
                              </w:rPr>
                              <w:lastRenderedPageBreak/>
                              <w:t xml:space="preserve">documentelor de planificare strategică și a programelor de dezvoltare a capabilităților la nivel național. Totodată, la compartimentul privind utilizarea rezultatelor ENR se va preciza că concluziile și recomandările formulate în cadrul evaluării pot fi utilizate de autoritățile publice la stabilirea priorităților de investiții, planificarea măsurilor de reducere a riscurilor și dezvoltarea capacităților de prevenire, pregătire, răspuns și recuperare. </w:t>
                            </w:r>
                          </w:sdtContent>
                        </w:sdt>
                      </w:sdtContent>
                    </w:sdt>
                    <w:sdt>
                      <w:sdtPr>
                        <w:tag w:val="goog_rdk_6"/>
                        <w:id w:val="-537547721"/>
                      </w:sdtPr>
                      <w:sdtContent/>
                    </w:sdt>
                  </w:p>
                </w:sdtContent>
              </w:sdt>
            </w:tc>
          </w:sdtContent>
        </w:sdt>
      </w:tr>
      <w:tr w:rsidR="00501B49" w14:paraId="3B9619A7" w14:textId="77777777" w:rsidTr="00AC399B">
        <w:tc>
          <w:tcPr>
            <w:tcW w:w="555" w:type="dxa"/>
            <w:vMerge/>
          </w:tcPr>
          <w:p w14:paraId="6B8E112C" w14:textId="77777777" w:rsidR="00501B49" w:rsidRDefault="00501B49">
            <w:pPr>
              <w:pBdr>
                <w:between w:val="single" w:sz="4" w:space="1" w:color="000000"/>
              </w:pBdr>
              <w:jc w:val="both"/>
              <w:rPr>
                <w:rFonts w:ascii="Times New Roman" w:eastAsia="Times New Roman" w:hAnsi="Times New Roman" w:cs="Times New Roman"/>
                <w:b/>
                <w:bCs/>
              </w:rPr>
            </w:pPr>
          </w:p>
        </w:tc>
        <w:tc>
          <w:tcPr>
            <w:tcW w:w="1845" w:type="dxa"/>
            <w:vMerge/>
          </w:tcPr>
          <w:p w14:paraId="4435AF88" w14:textId="77777777" w:rsidR="00501B49" w:rsidRDefault="00501B49">
            <w:pPr>
              <w:jc w:val="both"/>
              <w:rPr>
                <w:rFonts w:ascii="Times New Roman" w:eastAsia="Times New Roman" w:hAnsi="Times New Roman" w:cs="Times New Roman"/>
                <w:b/>
                <w:bCs/>
              </w:rPr>
            </w:pPr>
          </w:p>
        </w:tc>
        <w:tc>
          <w:tcPr>
            <w:tcW w:w="2557" w:type="dxa"/>
          </w:tcPr>
          <w:p w14:paraId="5A9BD9A2" w14:textId="77777777" w:rsidR="00501B49" w:rsidRDefault="00501B49">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2</w:t>
            </w:r>
          </w:p>
        </w:tc>
        <w:tc>
          <w:tcPr>
            <w:tcW w:w="5386" w:type="dxa"/>
          </w:tcPr>
          <w:p w14:paraId="27F904E7" w14:textId="77777777" w:rsidR="00501B49" w:rsidRDefault="00501B49">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 xml:space="preserve">Se recomandă completarea Metodologiei cu prevederi distincte privind evaluarea capacităților și capacităților existente, orientate spre identificarea lacunelor, vulnerabilităților funcționale și necesităților de consolidare. O asemenea evaluare ar putea include, după caz, analiza capacităților instituționale, a cadrului normativ aplicabil, a resurselor umane și financiare, a dotărilor tehnice, a mecanismelor de coordonare interinstituțională, precum și a nivelului de interoperabilitate dintre autoritățile și structurile implicate în gestionarea riscurilor și a situațiilor de criză. </w:t>
            </w:r>
          </w:p>
        </w:tc>
        <w:sdt>
          <w:sdtPr>
            <w:tag w:val="goog_rdk_8"/>
            <w:id w:val="1624253668"/>
          </w:sdtPr>
          <w:sdtContent>
            <w:tc>
              <w:tcPr>
                <w:tcW w:w="3952"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sdt>
                <w:sdtPr>
                  <w:tag w:val="goog_rdk_14"/>
                  <w:id w:val="-742837100"/>
                </w:sdtPr>
                <w:sdtContent>
                  <w:p w14:paraId="173DDEB9" w14:textId="7885A9F5" w:rsidR="00501B49" w:rsidRPr="00501B49" w:rsidRDefault="00000000">
                    <w:pPr>
                      <w:spacing w:after="280"/>
                      <w:jc w:val="both"/>
                      <w:rPr>
                        <w:rFonts w:ascii="Times New Roman" w:eastAsia="Times New Roman" w:hAnsi="Times New Roman" w:cs="Times New Roman"/>
                      </w:rPr>
                    </w:pPr>
                    <w:sdt>
                      <w:sdtPr>
                        <w:tag w:val="goog_rdk_10"/>
                        <w:id w:val="155147035"/>
                      </w:sdtPr>
                      <w:sdtContent>
                        <w:sdt>
                          <w:sdtPr>
                            <w:tag w:val="goog_rdk_11"/>
                            <w:id w:val="1239574497"/>
                          </w:sdtPr>
                          <w:sdtContent>
                            <w:r w:rsidR="00501B49">
                              <w:rPr>
                                <w:rFonts w:ascii="Times New Roman" w:eastAsia="Times New Roman" w:hAnsi="Times New Roman" w:cs="Times New Roman"/>
                                <w:b/>
                                <w:bCs/>
                              </w:rPr>
                              <w:t xml:space="preserve">Se acceptă. </w:t>
                            </w:r>
                          </w:sdtContent>
                        </w:sdt>
                        <w:sdt>
                          <w:sdtPr>
                            <w:tag w:val="goog_rdk_12"/>
                            <w:id w:val="833707249"/>
                          </w:sdtPr>
                          <w:sdtContent>
                            <w:r w:rsidR="00501B49" w:rsidRPr="00501B49">
                              <w:rPr>
                                <w:rFonts w:ascii="Times New Roman" w:eastAsia="Times New Roman" w:hAnsi="Times New Roman" w:cs="Times New Roman"/>
                              </w:rPr>
                              <w:t>Pentru asigurarea unei abordări complete a procesului de evaluare a riscurilor, Metodologia</w:t>
                            </w:r>
                            <w:r w:rsidR="001367F3">
                              <w:rPr>
                                <w:rFonts w:ascii="Times New Roman" w:eastAsia="Times New Roman" w:hAnsi="Times New Roman" w:cs="Times New Roman"/>
                              </w:rPr>
                              <w:t xml:space="preserve"> este</w:t>
                            </w:r>
                            <w:r w:rsidR="00501B49" w:rsidRPr="00501B49">
                              <w:rPr>
                                <w:rFonts w:ascii="Times New Roman" w:eastAsia="Times New Roman" w:hAnsi="Times New Roman" w:cs="Times New Roman"/>
                              </w:rPr>
                              <w:t xml:space="preserve"> completată cu o etapă distinctă privind evaluarea capacităților și capabilităților existente. Aceasta va include analiza cadrului normativ, a structurilor instituționale, a resurselor umane și financiare, a infrastructurii și echipamentelor disponibile, a mecanismelor de coordonare și a nivelului de interoperabilitate dintre autoritățile responsabile. Rezultatele evaluării vor servi la identificarea deficiențelor și formularea măsurilor necesare pentru consolidarea capacităților naționale de gestionare a riscurilor și a situațiilor de criză. </w:t>
                            </w:r>
                          </w:sdtContent>
                        </w:sdt>
                      </w:sdtContent>
                    </w:sdt>
                    <w:sdt>
                      <w:sdtPr>
                        <w:tag w:val="goog_rdk_13"/>
                        <w:id w:val="191014766"/>
                      </w:sdtPr>
                      <w:sdtContent/>
                    </w:sdt>
                  </w:p>
                </w:sdtContent>
              </w:sdt>
            </w:tc>
          </w:sdtContent>
        </w:sdt>
      </w:tr>
      <w:tr w:rsidR="00501B49" w14:paraId="4C1DD9B3" w14:textId="77777777" w:rsidTr="00AC399B">
        <w:tc>
          <w:tcPr>
            <w:tcW w:w="555" w:type="dxa"/>
            <w:vMerge/>
          </w:tcPr>
          <w:p w14:paraId="0862E939" w14:textId="77777777" w:rsidR="00501B49" w:rsidRDefault="00501B49">
            <w:pPr>
              <w:pBdr>
                <w:between w:val="single" w:sz="4" w:space="1" w:color="000000"/>
              </w:pBdr>
              <w:jc w:val="both"/>
              <w:rPr>
                <w:rFonts w:ascii="Times New Roman" w:eastAsia="Times New Roman" w:hAnsi="Times New Roman" w:cs="Times New Roman"/>
                <w:b/>
                <w:bCs/>
              </w:rPr>
            </w:pPr>
          </w:p>
        </w:tc>
        <w:tc>
          <w:tcPr>
            <w:tcW w:w="1845" w:type="dxa"/>
            <w:vMerge/>
          </w:tcPr>
          <w:p w14:paraId="5599E31B" w14:textId="77777777" w:rsidR="00501B49" w:rsidRDefault="00501B49">
            <w:pPr>
              <w:jc w:val="both"/>
              <w:rPr>
                <w:rFonts w:ascii="Times New Roman" w:eastAsia="Times New Roman" w:hAnsi="Times New Roman" w:cs="Times New Roman"/>
                <w:b/>
                <w:bCs/>
              </w:rPr>
            </w:pPr>
          </w:p>
        </w:tc>
        <w:tc>
          <w:tcPr>
            <w:tcW w:w="2557" w:type="dxa"/>
          </w:tcPr>
          <w:p w14:paraId="0BAA73E1" w14:textId="77777777" w:rsidR="00501B49" w:rsidRDefault="00501B49">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3</w:t>
            </w:r>
          </w:p>
        </w:tc>
        <w:tc>
          <w:tcPr>
            <w:tcW w:w="5386" w:type="dxa"/>
          </w:tcPr>
          <w:p w14:paraId="252C35E3" w14:textId="77777777" w:rsidR="00501B49" w:rsidRDefault="00501B49">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 xml:space="preserve">În ceea ce privește riscurile transversale și interdependențele sistemice, Metodologia recunoaște </w:t>
            </w:r>
            <w:r>
              <w:rPr>
                <w:rFonts w:ascii="Times New Roman" w:eastAsia="Times New Roman" w:hAnsi="Times New Roman" w:cs="Times New Roman"/>
              </w:rPr>
              <w:lastRenderedPageBreak/>
              <w:t xml:space="preserve">existența acestora, însă nu prevede în mod explicit analiza dependențelor critice, inclusiv în raport cu actorii privați. Deși aceste aspecte ar putea fi dezvoltate ulterior în materialele auxiliare și ghidurile de suport pe care Centrul Național de Management al Crizelor (CNMC) urmează să le elaboreze, se recomandă includerea în proiectul hotărârii a unei cerințe exprese privind analiza interdependențelor, inclusiv identificarea dependențelor critice și evidențierea interconectărilor dintre infrastructurile și serviciile esențiale, în vederea asigurării unei abordări integrate și coerente a riscurilor sistemice. </w:t>
            </w:r>
          </w:p>
        </w:tc>
        <w:sdt>
          <w:sdtPr>
            <w:tag w:val="goog_rdk_15"/>
            <w:id w:val="-143576047"/>
          </w:sdtPr>
          <w:sdtContent>
            <w:tc>
              <w:tcPr>
                <w:tcW w:w="3952"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sdt>
                <w:sdtPr>
                  <w:tag w:val="goog_rdk_21"/>
                  <w:id w:val="-814729756"/>
                </w:sdtPr>
                <w:sdtContent>
                  <w:p w14:paraId="2C1C1351" w14:textId="01CFC36D" w:rsidR="00501B49" w:rsidRPr="00501B49" w:rsidRDefault="00000000">
                    <w:pPr>
                      <w:spacing w:after="280"/>
                      <w:jc w:val="both"/>
                      <w:rPr>
                        <w:rFonts w:ascii="Times New Roman" w:eastAsia="Times New Roman" w:hAnsi="Times New Roman" w:cs="Times New Roman"/>
                      </w:rPr>
                    </w:pPr>
                    <w:sdt>
                      <w:sdtPr>
                        <w:tag w:val="goog_rdk_17"/>
                        <w:id w:val="818747988"/>
                      </w:sdtPr>
                      <w:sdtContent>
                        <w:sdt>
                          <w:sdtPr>
                            <w:tag w:val="goog_rdk_18"/>
                            <w:id w:val="1424095028"/>
                          </w:sdtPr>
                          <w:sdtContent>
                            <w:r w:rsidR="00501B49">
                              <w:rPr>
                                <w:rFonts w:ascii="Times New Roman" w:eastAsia="Times New Roman" w:hAnsi="Times New Roman" w:cs="Times New Roman"/>
                                <w:b/>
                                <w:bCs/>
                              </w:rPr>
                              <w:t xml:space="preserve">Se acceptă. </w:t>
                            </w:r>
                          </w:sdtContent>
                        </w:sdt>
                        <w:sdt>
                          <w:sdtPr>
                            <w:tag w:val="goog_rdk_19"/>
                            <w:id w:val="360790747"/>
                          </w:sdtPr>
                          <w:sdtContent>
                            <w:r w:rsidR="00501B49" w:rsidRPr="00501B49">
                              <w:rPr>
                                <w:rFonts w:ascii="Times New Roman" w:eastAsia="Times New Roman" w:hAnsi="Times New Roman" w:cs="Times New Roman"/>
                              </w:rPr>
                              <w:t xml:space="preserve">Observația este întemeiată și contribuie la consolidarea </w:t>
                            </w:r>
                            <w:r w:rsidR="00501B49" w:rsidRPr="00501B49">
                              <w:rPr>
                                <w:rFonts w:ascii="Times New Roman" w:eastAsia="Times New Roman" w:hAnsi="Times New Roman" w:cs="Times New Roman"/>
                              </w:rPr>
                              <w:lastRenderedPageBreak/>
                              <w:t xml:space="preserve">dimensiunii sistemice a procesului de evaluare a riscurilor. Metodologia </w:t>
                            </w:r>
                            <w:r w:rsidR="001367F3">
                              <w:rPr>
                                <w:rFonts w:ascii="Times New Roman" w:eastAsia="Times New Roman" w:hAnsi="Times New Roman" w:cs="Times New Roman"/>
                              </w:rPr>
                              <w:t>este</w:t>
                            </w:r>
                            <w:r w:rsidR="00501B49" w:rsidRPr="00501B49">
                              <w:rPr>
                                <w:rFonts w:ascii="Times New Roman" w:eastAsia="Times New Roman" w:hAnsi="Times New Roman" w:cs="Times New Roman"/>
                              </w:rPr>
                              <w:t xml:space="preserve"> completată cu prevederi privind identificarea și analiza interdependențelor dintre infrastructurile critice, serviciile esențiale și funcțiile critice ale statului, inclusiv a dependențelor față de operatorii economici și actorii privați relevanți. Totodată, vor fi evaluate efectele de propagare și impactul în cascadă generate de materializarea riscurilor majore asupra altor sectoare și domenii de activitate. </w:t>
                            </w:r>
                          </w:sdtContent>
                        </w:sdt>
                      </w:sdtContent>
                    </w:sdt>
                    <w:sdt>
                      <w:sdtPr>
                        <w:tag w:val="goog_rdk_20"/>
                        <w:id w:val="-1109879282"/>
                      </w:sdtPr>
                      <w:sdtContent/>
                    </w:sdt>
                  </w:p>
                </w:sdtContent>
              </w:sdt>
            </w:tc>
          </w:sdtContent>
        </w:sdt>
      </w:tr>
      <w:tr w:rsidR="00501B49" w14:paraId="611BBD1B" w14:textId="77777777" w:rsidTr="00AC399B">
        <w:tc>
          <w:tcPr>
            <w:tcW w:w="555" w:type="dxa"/>
            <w:vMerge/>
          </w:tcPr>
          <w:p w14:paraId="3035889C" w14:textId="77777777" w:rsidR="00501B49" w:rsidRDefault="00501B49">
            <w:pPr>
              <w:pBdr>
                <w:between w:val="single" w:sz="4" w:space="1" w:color="000000"/>
              </w:pBdr>
              <w:jc w:val="both"/>
              <w:rPr>
                <w:rFonts w:ascii="Times New Roman" w:eastAsia="Times New Roman" w:hAnsi="Times New Roman" w:cs="Times New Roman"/>
                <w:b/>
                <w:bCs/>
              </w:rPr>
            </w:pPr>
          </w:p>
        </w:tc>
        <w:tc>
          <w:tcPr>
            <w:tcW w:w="1845" w:type="dxa"/>
            <w:vMerge/>
          </w:tcPr>
          <w:p w14:paraId="10C6A7AF" w14:textId="77777777" w:rsidR="00501B49" w:rsidRDefault="00501B49">
            <w:pPr>
              <w:jc w:val="both"/>
              <w:rPr>
                <w:rFonts w:ascii="Times New Roman" w:eastAsia="Times New Roman" w:hAnsi="Times New Roman" w:cs="Times New Roman"/>
                <w:b/>
                <w:bCs/>
              </w:rPr>
            </w:pPr>
          </w:p>
        </w:tc>
        <w:tc>
          <w:tcPr>
            <w:tcW w:w="2557" w:type="dxa"/>
          </w:tcPr>
          <w:p w14:paraId="301BA457" w14:textId="77777777" w:rsidR="00501B49" w:rsidRDefault="00501B49">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4</w:t>
            </w:r>
          </w:p>
        </w:tc>
        <w:tc>
          <w:tcPr>
            <w:tcW w:w="5386" w:type="dxa"/>
          </w:tcPr>
          <w:p w14:paraId="2F7C6730" w14:textId="77777777" w:rsidR="00501B49" w:rsidRDefault="00501B49">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 xml:space="preserve">În Metodologie nu este reglementat modul de comunicare a rezultatelor evaluării și a riscurilor identificate, atât în context interinstituțional, cât și în raport cu publicul larg. În acest sens, proiectul ar trebui să prevadă modalitățile de diseminare a rezultatelor către părțile interesate, precum și măsurile destinate sensibilizării și creșterii nivelului de conștientizare a populației și a actorilor relevanți cu privire la riscurile identificate și măsurile de prevenire și contracarare a acestora. O asemenea abordare ar contribui la consolidarea unei gestionări integrate a riscurilor, în conformitate cu principiul implicării întregii administrații publice și a societății, precum și al transparenței procesului decizional. </w:t>
            </w:r>
          </w:p>
        </w:tc>
        <w:sdt>
          <w:sdtPr>
            <w:tag w:val="goog_rdk_22"/>
            <w:id w:val="60864865"/>
          </w:sdtPr>
          <w:sdtContent>
            <w:tc>
              <w:tcPr>
                <w:tcW w:w="3952"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sdt>
                <w:sdtPr>
                  <w:tag w:val="goog_rdk_28"/>
                  <w:id w:val="-1299902430"/>
                </w:sdtPr>
                <w:sdtContent>
                  <w:p w14:paraId="528F5E26" w14:textId="5E803568" w:rsidR="00501B49" w:rsidRPr="00501B49" w:rsidRDefault="00000000">
                    <w:pPr>
                      <w:spacing w:after="280"/>
                      <w:jc w:val="both"/>
                      <w:rPr>
                        <w:rFonts w:ascii="Times New Roman" w:eastAsia="Times New Roman" w:hAnsi="Times New Roman" w:cs="Times New Roman"/>
                      </w:rPr>
                    </w:pPr>
                    <w:sdt>
                      <w:sdtPr>
                        <w:tag w:val="goog_rdk_24"/>
                        <w:id w:val="676806065"/>
                      </w:sdtPr>
                      <w:sdtContent>
                        <w:sdt>
                          <w:sdtPr>
                            <w:tag w:val="goog_rdk_25"/>
                            <w:id w:val="-1505698666"/>
                          </w:sdtPr>
                          <w:sdtContent>
                            <w:r w:rsidR="00501B49">
                              <w:rPr>
                                <w:rFonts w:ascii="Times New Roman" w:eastAsia="Times New Roman" w:hAnsi="Times New Roman" w:cs="Times New Roman"/>
                                <w:b/>
                                <w:bCs/>
                              </w:rPr>
                              <w:t xml:space="preserve">Se acceptă parțial. </w:t>
                            </w:r>
                          </w:sdtContent>
                        </w:sdt>
                        <w:sdt>
                          <w:sdtPr>
                            <w:tag w:val="goog_rdk_26"/>
                            <w:id w:val="-700081150"/>
                          </w:sdtPr>
                          <w:sdtContent>
                            <w:r w:rsidR="00501B49" w:rsidRPr="00501B49">
                              <w:rPr>
                                <w:rFonts w:ascii="Times New Roman" w:eastAsia="Times New Roman" w:hAnsi="Times New Roman" w:cs="Times New Roman"/>
                              </w:rPr>
                              <w:t xml:space="preserve">Având în vedere că obiectul principal al Metodologiei îl constituie organizarea și desfășurarea procesului de evaluare a riscurilor, aceasta </w:t>
                            </w:r>
                            <w:r w:rsidR="001367F3">
                              <w:rPr>
                                <w:rFonts w:ascii="Times New Roman" w:eastAsia="Times New Roman" w:hAnsi="Times New Roman" w:cs="Times New Roman"/>
                              </w:rPr>
                              <w:t>este</w:t>
                            </w:r>
                            <w:r w:rsidR="00501B49" w:rsidRPr="00501B49">
                              <w:rPr>
                                <w:rFonts w:ascii="Times New Roman" w:eastAsia="Times New Roman" w:hAnsi="Times New Roman" w:cs="Times New Roman"/>
                              </w:rPr>
                              <w:t xml:space="preserve"> completată cu prevederi generale privind comunicarea și diseminarea rezultatelor către autoritățile și instituțiile participante, precum și către alte categorii de beneficiari, în funcție de nivelul de clasificare al informațiilor. Aspectele detaliate privind informarea publicului și activitățile de sensibilizare vor putea fi dezvoltate ulterior prin ghiduri, proceduri și produse informaționale elaborate de CNMC. </w:t>
                            </w:r>
                          </w:sdtContent>
                        </w:sdt>
                      </w:sdtContent>
                    </w:sdt>
                  </w:p>
                </w:sdtContent>
              </w:sdt>
            </w:tc>
          </w:sdtContent>
        </w:sdt>
      </w:tr>
      <w:tr w:rsidR="00501B49" w14:paraId="32CCB400" w14:textId="77777777" w:rsidTr="00AC399B">
        <w:tc>
          <w:tcPr>
            <w:tcW w:w="555" w:type="dxa"/>
            <w:vMerge/>
          </w:tcPr>
          <w:p w14:paraId="0032A4D5" w14:textId="77777777" w:rsidR="00501B49" w:rsidRDefault="00501B49">
            <w:pPr>
              <w:pBdr>
                <w:between w:val="single" w:sz="4" w:space="1" w:color="000000"/>
              </w:pBdr>
              <w:jc w:val="both"/>
              <w:rPr>
                <w:rFonts w:ascii="Times New Roman" w:eastAsia="Times New Roman" w:hAnsi="Times New Roman" w:cs="Times New Roman"/>
                <w:b/>
                <w:bCs/>
              </w:rPr>
            </w:pPr>
          </w:p>
        </w:tc>
        <w:tc>
          <w:tcPr>
            <w:tcW w:w="1845" w:type="dxa"/>
            <w:vMerge/>
          </w:tcPr>
          <w:p w14:paraId="31EA21B2" w14:textId="77777777" w:rsidR="00501B49" w:rsidRDefault="00501B49">
            <w:pPr>
              <w:jc w:val="both"/>
              <w:rPr>
                <w:rFonts w:ascii="Times New Roman" w:eastAsia="Times New Roman" w:hAnsi="Times New Roman" w:cs="Times New Roman"/>
                <w:b/>
                <w:bCs/>
              </w:rPr>
            </w:pPr>
          </w:p>
        </w:tc>
        <w:tc>
          <w:tcPr>
            <w:tcW w:w="2557" w:type="dxa"/>
          </w:tcPr>
          <w:p w14:paraId="7E1B8AD8" w14:textId="77777777" w:rsidR="00501B49" w:rsidRDefault="00501B49">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5</w:t>
            </w:r>
          </w:p>
        </w:tc>
        <w:tc>
          <w:tcPr>
            <w:tcW w:w="5386" w:type="dxa"/>
          </w:tcPr>
          <w:p w14:paraId="01AA7F40" w14:textId="77777777" w:rsidR="00501B49" w:rsidRDefault="00501B49">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 xml:space="preserve">Metodologia ar putea fi îmbunătățită printr-o delimitare mai clară între partea conceptuală și cea tehnică. Astfel, partea principală a documentului ar </w:t>
            </w:r>
            <w:r>
              <w:rPr>
                <w:rFonts w:ascii="Times New Roman" w:eastAsia="Times New Roman" w:hAnsi="Times New Roman" w:cs="Times New Roman"/>
              </w:rPr>
              <w:lastRenderedPageBreak/>
              <w:t xml:space="preserve">trebui să se concentreze asupra cadrului general de management al riscurilor, a rolurilor și responsabilităților instituționale, precum și asupra etapelor procesului ENR, în timp ce elementele tehnice și operaționale, cum ar fi matricele de evaluare, metodologiile de scoring și instrucțiunile detaliate de aplicare, ar putea fi incluse în anexe. O asemenea abordare ar contribui la sporirea clarității documentului și ar facilita aplicarea sa uniformă la nivelul întregului sistem. </w:t>
            </w:r>
          </w:p>
        </w:tc>
        <w:sdt>
          <w:sdtPr>
            <w:tag w:val="goog_rdk_29"/>
            <w:id w:val="-691613659"/>
          </w:sdtPr>
          <w:sdtContent>
            <w:tc>
              <w:tcPr>
                <w:tcW w:w="3952"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sdt>
                <w:sdtPr>
                  <w:tag w:val="goog_rdk_35"/>
                  <w:id w:val="-1149445737"/>
                </w:sdtPr>
                <w:sdtContent>
                  <w:p w14:paraId="04E07A9E" w14:textId="6665519F" w:rsidR="00501B49" w:rsidRPr="00501B49" w:rsidRDefault="00000000">
                    <w:pPr>
                      <w:spacing w:after="280"/>
                      <w:jc w:val="both"/>
                      <w:rPr>
                        <w:rFonts w:ascii="Times New Roman" w:eastAsia="Times New Roman" w:hAnsi="Times New Roman" w:cs="Times New Roman"/>
                      </w:rPr>
                    </w:pPr>
                    <w:sdt>
                      <w:sdtPr>
                        <w:tag w:val="goog_rdk_31"/>
                        <w:id w:val="1465130616"/>
                      </w:sdtPr>
                      <w:sdtContent>
                        <w:sdt>
                          <w:sdtPr>
                            <w:tag w:val="goog_rdk_32"/>
                            <w:id w:val="-1519191284"/>
                          </w:sdtPr>
                          <w:sdtContent>
                            <w:r w:rsidR="00501B49">
                              <w:rPr>
                                <w:rFonts w:ascii="Times New Roman" w:eastAsia="Times New Roman" w:hAnsi="Times New Roman" w:cs="Times New Roman"/>
                                <w:b/>
                                <w:bCs/>
                              </w:rPr>
                              <w:t xml:space="preserve">Se acceptă. </w:t>
                            </w:r>
                          </w:sdtContent>
                        </w:sdt>
                        <w:sdt>
                          <w:sdtPr>
                            <w:tag w:val="goog_rdk_33"/>
                            <w:id w:val="-1653426862"/>
                          </w:sdtPr>
                          <w:sdtContent>
                            <w:r w:rsidR="00501B49" w:rsidRPr="00501B49">
                              <w:rPr>
                                <w:rFonts w:ascii="Times New Roman" w:eastAsia="Times New Roman" w:hAnsi="Times New Roman" w:cs="Times New Roman"/>
                              </w:rPr>
                              <w:t xml:space="preserve">În vederea sporirii clarității și aplicabilității documentului, structura Metodologiei </w:t>
                            </w:r>
                            <w:r w:rsidR="001367F3">
                              <w:rPr>
                                <w:rFonts w:ascii="Times New Roman" w:eastAsia="Times New Roman" w:hAnsi="Times New Roman" w:cs="Times New Roman"/>
                              </w:rPr>
                              <w:t>este</w:t>
                            </w:r>
                            <w:r w:rsidR="00501B49" w:rsidRPr="00501B49">
                              <w:rPr>
                                <w:rFonts w:ascii="Times New Roman" w:eastAsia="Times New Roman" w:hAnsi="Times New Roman" w:cs="Times New Roman"/>
                              </w:rPr>
                              <w:t xml:space="preserve"> revizuită </w:t>
                            </w:r>
                            <w:r w:rsidR="00501B49" w:rsidRPr="00501B49">
                              <w:rPr>
                                <w:rFonts w:ascii="Times New Roman" w:eastAsia="Times New Roman" w:hAnsi="Times New Roman" w:cs="Times New Roman"/>
                              </w:rPr>
                              <w:lastRenderedPageBreak/>
                              <w:t xml:space="preserve">prin delimitarea mai clară a componentelor conceptuale, metodologice și operaționale. Elementele tehnice, inclusiv matricele de evaluare, criteriile de apreciere, metodologiile de scoring și instrucțiunile detaliate de aplicare, vor fi dezvoltate în anexe sau documente de suport, pentru a facilita aplicarea uniformă a Metodologiei la nivelul întregului sistem național. </w:t>
                            </w:r>
                          </w:sdtContent>
                        </w:sdt>
                      </w:sdtContent>
                    </w:sdt>
                    <w:sdt>
                      <w:sdtPr>
                        <w:tag w:val="goog_rdk_34"/>
                        <w:id w:val="767526011"/>
                      </w:sdtPr>
                      <w:sdtContent/>
                    </w:sdt>
                  </w:p>
                </w:sdtContent>
              </w:sdt>
            </w:tc>
          </w:sdtContent>
        </w:sdt>
      </w:tr>
      <w:tr w:rsidR="00501B49" w14:paraId="63CD795F" w14:textId="77777777" w:rsidTr="00AC399B">
        <w:tc>
          <w:tcPr>
            <w:tcW w:w="555" w:type="dxa"/>
            <w:vMerge/>
          </w:tcPr>
          <w:p w14:paraId="72224219" w14:textId="77777777" w:rsidR="00501B49" w:rsidRDefault="00501B49">
            <w:pPr>
              <w:pBdr>
                <w:between w:val="single" w:sz="4" w:space="1" w:color="000000"/>
              </w:pBdr>
              <w:jc w:val="both"/>
              <w:rPr>
                <w:rFonts w:ascii="Times New Roman" w:eastAsia="Times New Roman" w:hAnsi="Times New Roman" w:cs="Times New Roman"/>
                <w:b/>
                <w:bCs/>
              </w:rPr>
            </w:pPr>
          </w:p>
        </w:tc>
        <w:tc>
          <w:tcPr>
            <w:tcW w:w="1845" w:type="dxa"/>
            <w:vMerge/>
          </w:tcPr>
          <w:p w14:paraId="274EAF6F" w14:textId="77777777" w:rsidR="00501B49" w:rsidRDefault="00501B49">
            <w:pPr>
              <w:jc w:val="both"/>
              <w:rPr>
                <w:rFonts w:ascii="Times New Roman" w:eastAsia="Times New Roman" w:hAnsi="Times New Roman" w:cs="Times New Roman"/>
                <w:b/>
                <w:bCs/>
              </w:rPr>
            </w:pPr>
          </w:p>
        </w:tc>
        <w:tc>
          <w:tcPr>
            <w:tcW w:w="2557" w:type="dxa"/>
          </w:tcPr>
          <w:p w14:paraId="10ACF83D" w14:textId="77777777" w:rsidR="00501B49" w:rsidRDefault="00501B49">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6</w:t>
            </w:r>
          </w:p>
        </w:tc>
        <w:tc>
          <w:tcPr>
            <w:tcW w:w="5386" w:type="dxa"/>
          </w:tcPr>
          <w:p w14:paraId="56BBF781" w14:textId="77777777" w:rsidR="00501B49" w:rsidRDefault="00501B49">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 xml:space="preserve">Se evidențiază și faptul că diferența dintre capitolele „Analiza Integrată a Riscurilor” și „Evaluarea Națională de Risc” nu este suficient de clar delimitată, ceea ce poate genera confuzii în interpretarea și aplicarea prezentei Metodologii. </w:t>
            </w:r>
          </w:p>
        </w:tc>
        <w:sdt>
          <w:sdtPr>
            <w:tag w:val="goog_rdk_36"/>
            <w:id w:val="-1140754892"/>
          </w:sdtPr>
          <w:sdtContent>
            <w:tc>
              <w:tcPr>
                <w:tcW w:w="3952"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sdt>
                <w:sdtPr>
                  <w:tag w:val="goog_rdk_42"/>
                  <w:id w:val="2101078597"/>
                </w:sdtPr>
                <w:sdtContent>
                  <w:p w14:paraId="0412E450" w14:textId="7A47549B" w:rsidR="00501B49" w:rsidRPr="00501B49" w:rsidRDefault="00000000">
                    <w:pPr>
                      <w:spacing w:after="280"/>
                      <w:jc w:val="both"/>
                      <w:rPr>
                        <w:rFonts w:ascii="Times New Roman" w:eastAsia="Times New Roman" w:hAnsi="Times New Roman" w:cs="Times New Roman"/>
                      </w:rPr>
                    </w:pPr>
                    <w:sdt>
                      <w:sdtPr>
                        <w:tag w:val="goog_rdk_38"/>
                        <w:id w:val="1747554595"/>
                      </w:sdtPr>
                      <w:sdtContent>
                        <w:sdt>
                          <w:sdtPr>
                            <w:tag w:val="goog_rdk_39"/>
                            <w:id w:val="-1924987565"/>
                          </w:sdtPr>
                          <w:sdtContent>
                            <w:r w:rsidR="00501B49">
                              <w:rPr>
                                <w:rFonts w:ascii="Times New Roman" w:eastAsia="Times New Roman" w:hAnsi="Times New Roman" w:cs="Times New Roman"/>
                                <w:b/>
                                <w:bCs/>
                              </w:rPr>
                              <w:t xml:space="preserve">Se acceptă. </w:t>
                            </w:r>
                          </w:sdtContent>
                        </w:sdt>
                        <w:sdt>
                          <w:sdtPr>
                            <w:tag w:val="goog_rdk_40"/>
                            <w:id w:val="-286127757"/>
                          </w:sdtPr>
                          <w:sdtContent>
                            <w:r w:rsidR="00501B49" w:rsidRPr="00501B49">
                              <w:rPr>
                                <w:rFonts w:ascii="Times New Roman" w:eastAsia="Times New Roman" w:hAnsi="Times New Roman" w:cs="Times New Roman"/>
                              </w:rPr>
                              <w:t xml:space="preserve">Observația este justificată. În procesul definitivării proiectului </w:t>
                            </w:r>
                            <w:r w:rsidR="001367F3">
                              <w:rPr>
                                <w:rFonts w:ascii="Times New Roman" w:eastAsia="Times New Roman" w:hAnsi="Times New Roman" w:cs="Times New Roman"/>
                              </w:rPr>
                              <w:t>au fost</w:t>
                            </w:r>
                            <w:r w:rsidR="00501B49" w:rsidRPr="00501B49">
                              <w:rPr>
                                <w:rFonts w:ascii="Times New Roman" w:eastAsia="Times New Roman" w:hAnsi="Times New Roman" w:cs="Times New Roman"/>
                              </w:rPr>
                              <w:t xml:space="preserve"> revizuite și clarificate rolul, obiectivele, etapele și produsele fiecărui proces. Va fi precizat expres faptul că Analiza Integrată a Riscurilor reprezintă procesul continuu de colectare, integrare și evaluare a informațiilor privind riscurile, iar Evaluarea Națională de Risc constituie produsul strategic rezultat din acest proces și instrumentul de fundamentare a măsurilor de consolidare a rezilienței naționale. </w:t>
                            </w:r>
                          </w:sdtContent>
                        </w:sdt>
                      </w:sdtContent>
                    </w:sdt>
                    <w:sdt>
                      <w:sdtPr>
                        <w:tag w:val="goog_rdk_41"/>
                        <w:id w:val="1871295064"/>
                      </w:sdtPr>
                      <w:sdtContent/>
                    </w:sdt>
                  </w:p>
                </w:sdtContent>
              </w:sdt>
            </w:tc>
          </w:sdtContent>
        </w:sdt>
      </w:tr>
      <w:tr w:rsidR="00501B49" w14:paraId="173342B6" w14:textId="77777777" w:rsidTr="00AC399B">
        <w:tc>
          <w:tcPr>
            <w:tcW w:w="555" w:type="dxa"/>
            <w:vMerge/>
          </w:tcPr>
          <w:p w14:paraId="5CB62713" w14:textId="77777777" w:rsidR="00501B49" w:rsidRDefault="00501B49">
            <w:pPr>
              <w:pBdr>
                <w:between w:val="single" w:sz="4" w:space="1" w:color="000000"/>
              </w:pBdr>
              <w:jc w:val="both"/>
              <w:rPr>
                <w:rFonts w:ascii="Times New Roman" w:eastAsia="Times New Roman" w:hAnsi="Times New Roman" w:cs="Times New Roman"/>
                <w:b/>
                <w:bCs/>
              </w:rPr>
            </w:pPr>
          </w:p>
        </w:tc>
        <w:tc>
          <w:tcPr>
            <w:tcW w:w="1845" w:type="dxa"/>
            <w:vMerge/>
          </w:tcPr>
          <w:p w14:paraId="5305DD84" w14:textId="77777777" w:rsidR="00501B49" w:rsidRDefault="00501B49">
            <w:pPr>
              <w:jc w:val="both"/>
              <w:rPr>
                <w:rFonts w:ascii="Times New Roman" w:eastAsia="Times New Roman" w:hAnsi="Times New Roman" w:cs="Times New Roman"/>
                <w:b/>
                <w:bCs/>
              </w:rPr>
            </w:pPr>
          </w:p>
        </w:tc>
        <w:tc>
          <w:tcPr>
            <w:tcW w:w="2557" w:type="dxa"/>
          </w:tcPr>
          <w:p w14:paraId="230FF416" w14:textId="77777777" w:rsidR="00501B49" w:rsidRDefault="00501B49">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7</w:t>
            </w:r>
          </w:p>
        </w:tc>
        <w:tc>
          <w:tcPr>
            <w:tcW w:w="5386" w:type="dxa"/>
          </w:tcPr>
          <w:p w14:paraId="3613AF62" w14:textId="77777777" w:rsidR="00501B49" w:rsidRDefault="00501B49">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 xml:space="preserve">La pct. 10.4 se face referire la „ciclul de gestionare a riscurilor”, însă acesta nu este detaliat în alte secțiuni ale Metodologiei, nefiind prevăzute etapele sau fazele componente, ceea ce afectează claritatea și aplicabilitatea a procesului de management al riscurilor. </w:t>
            </w:r>
          </w:p>
        </w:tc>
        <w:sdt>
          <w:sdtPr>
            <w:tag w:val="goog_rdk_43"/>
            <w:id w:val="419338469"/>
          </w:sdtPr>
          <w:sdtContent>
            <w:tc>
              <w:tcPr>
                <w:tcW w:w="3952"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sdt>
                <w:sdtPr>
                  <w:tag w:val="goog_rdk_49"/>
                  <w:id w:val="-1824561373"/>
                </w:sdtPr>
                <w:sdtContent>
                  <w:p w14:paraId="2C3C0FB4" w14:textId="3C966294" w:rsidR="00501B49" w:rsidRDefault="00000000">
                    <w:pPr>
                      <w:spacing w:after="280"/>
                      <w:jc w:val="both"/>
                      <w:rPr>
                        <w:rFonts w:ascii="Times New Roman" w:eastAsia="Times New Roman" w:hAnsi="Times New Roman" w:cs="Times New Roman"/>
                      </w:rPr>
                    </w:pPr>
                    <w:sdt>
                      <w:sdtPr>
                        <w:tag w:val="goog_rdk_45"/>
                        <w:id w:val="-1338318890"/>
                      </w:sdtPr>
                      <w:sdtContent>
                        <w:sdt>
                          <w:sdtPr>
                            <w:tag w:val="goog_rdk_46"/>
                            <w:id w:val="-758216878"/>
                          </w:sdtPr>
                          <w:sdtContent>
                            <w:r w:rsidR="00501B49">
                              <w:rPr>
                                <w:rFonts w:ascii="Times New Roman" w:eastAsia="Times New Roman" w:hAnsi="Times New Roman" w:cs="Times New Roman"/>
                                <w:b/>
                                <w:bCs/>
                              </w:rPr>
                              <w:t xml:space="preserve">Se acceptă. </w:t>
                            </w:r>
                          </w:sdtContent>
                        </w:sdt>
                        <w:sdt>
                          <w:sdtPr>
                            <w:tag w:val="goog_rdk_47"/>
                            <w:id w:val="1155412789"/>
                          </w:sdtPr>
                          <w:sdtContent>
                            <w:r w:rsidR="00501B49" w:rsidRPr="00501B49">
                              <w:rPr>
                                <w:rFonts w:ascii="Times New Roman" w:eastAsia="Times New Roman" w:hAnsi="Times New Roman" w:cs="Times New Roman"/>
                              </w:rPr>
                              <w:t xml:space="preserve">Pentru sporirea clarității și aplicabilității documentului, Metodologia </w:t>
                            </w:r>
                            <w:r w:rsidR="001367F3">
                              <w:rPr>
                                <w:rFonts w:ascii="Times New Roman" w:eastAsia="Times New Roman" w:hAnsi="Times New Roman" w:cs="Times New Roman"/>
                              </w:rPr>
                              <w:t>este</w:t>
                            </w:r>
                            <w:r w:rsidR="00501B49" w:rsidRPr="00501B49">
                              <w:rPr>
                                <w:rFonts w:ascii="Times New Roman" w:eastAsia="Times New Roman" w:hAnsi="Times New Roman" w:cs="Times New Roman"/>
                              </w:rPr>
                              <w:t xml:space="preserve"> completată cu descrierea etapelor ciclului de gestionare a riscurilor. Acesta va include, după caz, fazele de prevenire, pregătire, răspuns, recuperare și adaptare, precum și relația acestora cu </w:t>
                            </w:r>
                            <w:r w:rsidR="00501B49" w:rsidRPr="00501B49">
                              <w:rPr>
                                <w:rFonts w:ascii="Times New Roman" w:eastAsia="Times New Roman" w:hAnsi="Times New Roman" w:cs="Times New Roman"/>
                              </w:rPr>
                              <w:lastRenderedPageBreak/>
                              <w:t xml:space="preserve">procesul de analiză integrată și evaluare națională a riscurilor. </w:t>
                            </w:r>
                          </w:sdtContent>
                        </w:sdt>
                      </w:sdtContent>
                    </w:sdt>
                    <w:sdt>
                      <w:sdtPr>
                        <w:tag w:val="goog_rdk_48"/>
                        <w:id w:val="-1257903695"/>
                      </w:sdtPr>
                      <w:sdtContent/>
                    </w:sdt>
                  </w:p>
                </w:sdtContent>
              </w:sdt>
            </w:tc>
          </w:sdtContent>
        </w:sdt>
      </w:tr>
      <w:tr w:rsidR="00501B49" w14:paraId="00BC8CC1" w14:textId="77777777" w:rsidTr="00AC399B">
        <w:tc>
          <w:tcPr>
            <w:tcW w:w="555" w:type="dxa"/>
            <w:vMerge/>
          </w:tcPr>
          <w:p w14:paraId="2492FD30" w14:textId="77777777" w:rsidR="00501B49" w:rsidRDefault="00501B49">
            <w:pPr>
              <w:pBdr>
                <w:between w:val="single" w:sz="4" w:space="1" w:color="000000"/>
              </w:pBdr>
              <w:jc w:val="both"/>
              <w:rPr>
                <w:rFonts w:ascii="Times New Roman" w:eastAsia="Times New Roman" w:hAnsi="Times New Roman" w:cs="Times New Roman"/>
                <w:b/>
                <w:bCs/>
              </w:rPr>
            </w:pPr>
          </w:p>
        </w:tc>
        <w:tc>
          <w:tcPr>
            <w:tcW w:w="1845" w:type="dxa"/>
            <w:vMerge/>
          </w:tcPr>
          <w:p w14:paraId="3607CF56" w14:textId="77777777" w:rsidR="00501B49" w:rsidRDefault="00501B49">
            <w:pPr>
              <w:jc w:val="both"/>
              <w:rPr>
                <w:rFonts w:ascii="Times New Roman" w:eastAsia="Times New Roman" w:hAnsi="Times New Roman" w:cs="Times New Roman"/>
                <w:b/>
                <w:bCs/>
              </w:rPr>
            </w:pPr>
          </w:p>
        </w:tc>
        <w:tc>
          <w:tcPr>
            <w:tcW w:w="2557" w:type="dxa"/>
          </w:tcPr>
          <w:p w14:paraId="64A9F938" w14:textId="77777777" w:rsidR="00501B49" w:rsidRDefault="00501B49">
            <w:pPr>
              <w:pBdr>
                <w:between w:val="single" w:sz="4" w:space="1" w:color="000000"/>
              </w:pBdr>
              <w:jc w:val="center"/>
              <w:rPr>
                <w:rFonts w:ascii="Times New Roman" w:eastAsia="Times New Roman" w:hAnsi="Times New Roman" w:cs="Times New Roman"/>
              </w:rPr>
            </w:pPr>
            <w:r>
              <w:rPr>
                <w:rFonts w:ascii="Times New Roman" w:eastAsia="Times New Roman" w:hAnsi="Times New Roman" w:cs="Times New Roman"/>
              </w:rPr>
              <w:t>8</w:t>
            </w:r>
          </w:p>
        </w:tc>
        <w:tc>
          <w:tcPr>
            <w:tcW w:w="5386" w:type="dxa"/>
          </w:tcPr>
          <w:p w14:paraId="67CAD785" w14:textId="77777777" w:rsidR="00501B49" w:rsidRDefault="00501B49">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 xml:space="preserve">Metodologia cuprinde 30 de noțiuni, ceea ce nu contribuie în mod necesar la o mai bună înțelegere a acesteia sau a instrucțiunilor pe care urmează să le aplice autoritățile și instituțiile publice implicate în procesul de Evaluare Națională de Risc. Totodată, se constată că unele noțiuni sunt definite în secțiunea de definiții a Metodologiei, însă nu se regăsesc ulterior în cuprinsul acesteia, ceea ce le reduce relevanța și utilitatea practică. De exemplu: risc transfrontalier, toleranță la risc etc. </w:t>
            </w:r>
          </w:p>
        </w:tc>
        <w:sdt>
          <w:sdtPr>
            <w:tag w:val="goog_rdk_50"/>
            <w:id w:val="1159084304"/>
          </w:sdtPr>
          <w:sdtContent>
            <w:tc>
              <w:tcPr>
                <w:tcW w:w="3952"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sdt>
                <w:sdtPr>
                  <w:tag w:val="goog_rdk_56"/>
                  <w:id w:val="-36259463"/>
                </w:sdtPr>
                <w:sdtContent>
                  <w:p w14:paraId="6BBB0505" w14:textId="755116CB" w:rsidR="00501B49" w:rsidRDefault="00000000">
                    <w:pPr>
                      <w:spacing w:after="280"/>
                      <w:jc w:val="both"/>
                      <w:rPr>
                        <w:rFonts w:ascii="Times New Roman" w:eastAsia="Times New Roman" w:hAnsi="Times New Roman" w:cs="Times New Roman"/>
                      </w:rPr>
                    </w:pPr>
                    <w:sdt>
                      <w:sdtPr>
                        <w:tag w:val="goog_rdk_52"/>
                        <w:id w:val="-400713288"/>
                      </w:sdtPr>
                      <w:sdtContent>
                        <w:sdt>
                          <w:sdtPr>
                            <w:tag w:val="goog_rdk_53"/>
                            <w:id w:val="-1442894244"/>
                          </w:sdtPr>
                          <w:sdtContent>
                            <w:r w:rsidR="00501B49">
                              <w:rPr>
                                <w:rFonts w:ascii="Times New Roman" w:eastAsia="Times New Roman" w:hAnsi="Times New Roman" w:cs="Times New Roman"/>
                                <w:b/>
                                <w:bCs/>
                              </w:rPr>
                              <w:t>Se acceptă</w:t>
                            </w:r>
                            <w:r w:rsidR="001367F3">
                              <w:rPr>
                                <w:rFonts w:ascii="Times New Roman" w:eastAsia="Times New Roman" w:hAnsi="Times New Roman" w:cs="Times New Roman"/>
                                <w:b/>
                                <w:bCs/>
                              </w:rPr>
                              <w:t>,</w:t>
                            </w:r>
                            <w:r w:rsidR="00501B49">
                              <w:rPr>
                                <w:rFonts w:ascii="Times New Roman" w:eastAsia="Times New Roman" w:hAnsi="Times New Roman" w:cs="Times New Roman"/>
                                <w:b/>
                                <w:bCs/>
                              </w:rPr>
                              <w:t xml:space="preserve"> </w:t>
                            </w:r>
                          </w:sdtContent>
                        </w:sdt>
                        <w:sdt>
                          <w:sdtPr>
                            <w:tag w:val="goog_rdk_54"/>
                            <w:id w:val="1886537359"/>
                          </w:sdtPr>
                          <w:sdtContent>
                            <w:r w:rsidR="001367F3">
                              <w:t>i</w:t>
                            </w:r>
                            <w:r w:rsidR="001367F3">
                              <w:rPr>
                                <w:rFonts w:ascii="Times New Roman" w:eastAsia="Times New Roman" w:hAnsi="Times New Roman" w:cs="Times New Roman"/>
                              </w:rPr>
                              <w:t>ntegrat în textul proiectului</w:t>
                            </w:r>
                          </w:sdtContent>
                        </w:sdt>
                      </w:sdtContent>
                    </w:sdt>
                    <w:sdt>
                      <w:sdtPr>
                        <w:tag w:val="goog_rdk_55"/>
                        <w:id w:val="226280230"/>
                      </w:sdtPr>
                      <w:sdtContent>
                        <w:r w:rsidR="001367F3">
                          <w:t>.</w:t>
                        </w:r>
                      </w:sdtContent>
                    </w:sdt>
                  </w:p>
                </w:sdtContent>
              </w:sdt>
            </w:tc>
          </w:sdtContent>
        </w:sdt>
      </w:tr>
      <w:tr w:rsidR="00501B49" w14:paraId="3A72FAC0" w14:textId="77777777" w:rsidTr="00AC399B">
        <w:tc>
          <w:tcPr>
            <w:tcW w:w="555" w:type="dxa"/>
            <w:shd w:val="clear" w:color="auto" w:fill="00B0F0"/>
          </w:tcPr>
          <w:p w14:paraId="7940B868" w14:textId="77777777" w:rsidR="00501B49" w:rsidRDefault="00501B49">
            <w:pPr>
              <w:pBdr>
                <w:between w:val="single" w:sz="4" w:space="1" w:color="000000"/>
              </w:pBdr>
              <w:jc w:val="both"/>
            </w:pPr>
          </w:p>
        </w:tc>
        <w:tc>
          <w:tcPr>
            <w:tcW w:w="1845" w:type="dxa"/>
            <w:shd w:val="clear" w:color="auto" w:fill="00B0F0"/>
          </w:tcPr>
          <w:p w14:paraId="42EF75ED" w14:textId="77777777" w:rsidR="00501B49" w:rsidRDefault="00501B49">
            <w:pPr>
              <w:jc w:val="both"/>
            </w:pPr>
          </w:p>
        </w:tc>
        <w:tc>
          <w:tcPr>
            <w:tcW w:w="2557" w:type="dxa"/>
            <w:shd w:val="clear" w:color="auto" w:fill="00B0F0"/>
          </w:tcPr>
          <w:p w14:paraId="778BE095" w14:textId="77777777" w:rsidR="00501B49" w:rsidRDefault="00501B49">
            <w:pPr>
              <w:pBdr>
                <w:between w:val="single" w:sz="4" w:space="1" w:color="000000"/>
              </w:pBdr>
              <w:jc w:val="center"/>
            </w:pPr>
          </w:p>
        </w:tc>
        <w:tc>
          <w:tcPr>
            <w:tcW w:w="5386" w:type="dxa"/>
            <w:shd w:val="clear" w:color="auto" w:fill="00B0F0"/>
          </w:tcPr>
          <w:p w14:paraId="4C33AC04" w14:textId="77777777" w:rsidR="00501B49" w:rsidRDefault="00501B49">
            <w:pPr>
              <w:pBdr>
                <w:between w:val="single" w:sz="4" w:space="1" w:color="000000"/>
              </w:pBdr>
              <w:jc w:val="both"/>
            </w:pPr>
          </w:p>
        </w:tc>
        <w:tc>
          <w:tcPr>
            <w:tcW w:w="3952" w:type="dxa"/>
            <w:tcBorders>
              <w:top w:val="nil"/>
              <w:left w:val="single" w:sz="5" w:space="0" w:color="000000"/>
              <w:bottom w:val="single" w:sz="5" w:space="0" w:color="000000"/>
              <w:right w:val="single" w:sz="5" w:space="0" w:color="000000"/>
            </w:tcBorders>
            <w:shd w:val="clear" w:color="auto" w:fill="00B0F0"/>
            <w:tcMar>
              <w:top w:w="0" w:type="dxa"/>
              <w:left w:w="100" w:type="dxa"/>
              <w:bottom w:w="0" w:type="dxa"/>
              <w:right w:w="100" w:type="dxa"/>
            </w:tcMar>
          </w:tcPr>
          <w:p w14:paraId="755AE0E7" w14:textId="77777777" w:rsidR="00501B49" w:rsidRDefault="00501B49">
            <w:pPr>
              <w:widowControl w:val="0"/>
              <w:jc w:val="both"/>
            </w:pPr>
          </w:p>
        </w:tc>
      </w:tr>
      <w:sdt>
        <w:sdtPr>
          <w:tag w:val="goog_rdk_58"/>
          <w:id w:val="2032842781"/>
        </w:sdtPr>
        <w:sdtContent>
          <w:tr w:rsidR="00B5067E" w14:paraId="547F8611" w14:textId="77777777" w:rsidTr="00AC399B">
            <w:tc>
              <w:tcPr>
                <w:tcW w:w="555" w:type="dxa"/>
                <w:tcBorders>
                  <w:bottom w:val="single" w:sz="4" w:space="0" w:color="auto"/>
                </w:tcBorders>
              </w:tcPr>
              <w:sdt>
                <w:sdtPr>
                  <w:tag w:val="goog_rdk_61"/>
                  <w:id w:val="-1763274154"/>
                </w:sdtPr>
                <w:sdtContent>
                  <w:p w14:paraId="5C706602" w14:textId="77777777" w:rsidR="00B5067E" w:rsidRPr="00501B49" w:rsidRDefault="00000000">
                    <w:pPr>
                      <w:pBdr>
                        <w:between w:val="single" w:sz="4" w:space="1" w:color="000000"/>
                      </w:pBdr>
                      <w:jc w:val="both"/>
                      <w:rPr>
                        <w:rFonts w:ascii="Times New Roman" w:eastAsia="Times New Roman" w:hAnsi="Times New Roman" w:cs="Times New Roman"/>
                        <w:b/>
                        <w:bCs/>
                      </w:rPr>
                    </w:pPr>
                    <w:sdt>
                      <w:sdtPr>
                        <w:tag w:val="goog_rdk_59"/>
                        <w:id w:val="-1722367450"/>
                      </w:sdtPr>
                      <w:sdtContent>
                        <w:sdt>
                          <w:sdtPr>
                            <w:tag w:val="goog_rdk_60"/>
                            <w:id w:val="1345841500"/>
                          </w:sdtPr>
                          <w:sdtContent>
                            <w:r w:rsidR="00C443D6" w:rsidRPr="00501B49">
                              <w:rPr>
                                <w:rFonts w:ascii="Times New Roman" w:eastAsia="Times New Roman" w:hAnsi="Times New Roman" w:cs="Times New Roman"/>
                                <w:b/>
                                <w:bCs/>
                              </w:rPr>
                              <w:t>22.</w:t>
                            </w:r>
                          </w:sdtContent>
                        </w:sdt>
                      </w:sdtContent>
                    </w:sdt>
                  </w:p>
                </w:sdtContent>
              </w:sdt>
            </w:tc>
            <w:tc>
              <w:tcPr>
                <w:tcW w:w="1845" w:type="dxa"/>
                <w:tcBorders>
                  <w:bottom w:val="single" w:sz="4" w:space="0" w:color="auto"/>
                </w:tcBorders>
              </w:tcPr>
              <w:sdt>
                <w:sdtPr>
                  <w:tag w:val="goog_rdk_65"/>
                  <w:id w:val="342658584"/>
                </w:sdtPr>
                <w:sdtContent>
                  <w:p w14:paraId="5F0646C6" w14:textId="77777777" w:rsidR="00B5067E" w:rsidRDefault="00000000">
                    <w:pPr>
                      <w:jc w:val="both"/>
                      <w:rPr>
                        <w:rFonts w:ascii="Times New Roman" w:eastAsia="Times New Roman" w:hAnsi="Times New Roman" w:cs="Times New Roman"/>
                      </w:rPr>
                    </w:pPr>
                    <w:sdt>
                      <w:sdtPr>
                        <w:tag w:val="goog_rdk_62"/>
                        <w:id w:val="1566753223"/>
                      </w:sdtPr>
                      <w:sdtContent>
                        <w:sdt>
                          <w:sdtPr>
                            <w:tag w:val="goog_rdk_63"/>
                            <w:id w:val="-1107146946"/>
                          </w:sdtPr>
                          <w:sdtContent>
                            <w:r w:rsidR="00C443D6" w:rsidRPr="00501B49">
                              <w:rPr>
                                <w:rFonts w:ascii="Times New Roman" w:eastAsia="Times New Roman" w:hAnsi="Times New Roman" w:cs="Times New Roman"/>
                                <w:b/>
                                <w:bCs/>
                              </w:rPr>
                              <w:t xml:space="preserve">Congresul Autorităților Locale din Moldova (CALM), </w:t>
                            </w:r>
                          </w:sdtContent>
                        </w:sdt>
                        <w:sdt>
                          <w:sdtPr>
                            <w:tag w:val="goog_rdk_64"/>
                            <w:id w:val="410725256"/>
                          </w:sdtPr>
                          <w:sdtContent>
                            <w:r w:rsidR="00C443D6" w:rsidRPr="00FD6FAB">
                              <w:rPr>
                                <w:rFonts w:ascii="Times New Roman" w:eastAsia="Times New Roman" w:hAnsi="Times New Roman" w:cs="Times New Roman"/>
                                <w:i/>
                                <w:iCs/>
                              </w:rPr>
                              <w:t>Nr.199 din 08 iunie 2026</w:t>
                            </w:r>
                            <w:r w:rsidR="00C443D6">
                              <w:rPr>
                                <w:rFonts w:ascii="Times New Roman" w:eastAsia="Times New Roman" w:hAnsi="Times New Roman" w:cs="Times New Roman"/>
                              </w:rPr>
                              <w:t xml:space="preserve"> </w:t>
                            </w:r>
                          </w:sdtContent>
                        </w:sdt>
                      </w:sdtContent>
                    </w:sdt>
                  </w:p>
                </w:sdtContent>
              </w:sdt>
            </w:tc>
            <w:tc>
              <w:tcPr>
                <w:tcW w:w="2557" w:type="dxa"/>
                <w:tcBorders>
                  <w:bottom w:val="single" w:sz="4" w:space="0" w:color="auto"/>
                </w:tcBorders>
              </w:tcPr>
              <w:sdt>
                <w:sdtPr>
                  <w:tag w:val="goog_rdk_68"/>
                  <w:id w:val="610404714"/>
                </w:sdtPr>
                <w:sdtContent>
                  <w:p w14:paraId="0ED5FC64" w14:textId="54983A39" w:rsidR="00B5067E" w:rsidRDefault="00000000" w:rsidP="00501B49">
                    <w:pPr>
                      <w:pBdr>
                        <w:between w:val="single" w:sz="4" w:space="1" w:color="000000"/>
                      </w:pBdr>
                      <w:rPr>
                        <w:rFonts w:ascii="Times New Roman" w:eastAsia="Times New Roman" w:hAnsi="Times New Roman" w:cs="Times New Roman"/>
                      </w:rPr>
                    </w:pPr>
                    <w:sdt>
                      <w:sdtPr>
                        <w:tag w:val="goog_rdk_66"/>
                        <w:id w:val="1243822635"/>
                      </w:sdtPr>
                      <w:sdtContent>
                        <w:sdt>
                          <w:sdtPr>
                            <w:tag w:val="goog_rdk_67"/>
                            <w:id w:val="-824943475"/>
                            <w:showingPlcHdr/>
                          </w:sdtPr>
                          <w:sdtContent>
                            <w:r w:rsidR="00501B49">
                              <w:t xml:space="preserve">     </w:t>
                            </w:r>
                          </w:sdtContent>
                        </w:sdt>
                      </w:sdtContent>
                    </w:sdt>
                  </w:p>
                </w:sdtContent>
              </w:sdt>
            </w:tc>
            <w:tc>
              <w:tcPr>
                <w:tcW w:w="5386" w:type="dxa"/>
                <w:tcBorders>
                  <w:bottom w:val="single" w:sz="4" w:space="0" w:color="auto"/>
                </w:tcBorders>
              </w:tcPr>
              <w:sdt>
                <w:sdtPr>
                  <w:tag w:val="goog_rdk_71"/>
                  <w:id w:val="-1636796561"/>
                </w:sdtPr>
                <w:sdtContent>
                  <w:p w14:paraId="42402F5E" w14:textId="77777777" w:rsidR="00B5067E" w:rsidRDefault="00000000">
                    <w:pPr>
                      <w:pBdr>
                        <w:between w:val="single" w:sz="4" w:space="1" w:color="000000"/>
                      </w:pBdr>
                      <w:jc w:val="both"/>
                      <w:rPr>
                        <w:rFonts w:ascii="Times New Roman" w:eastAsia="Times New Roman" w:hAnsi="Times New Roman" w:cs="Times New Roman"/>
                      </w:rPr>
                    </w:pPr>
                    <w:sdt>
                      <w:sdtPr>
                        <w:tag w:val="goog_rdk_69"/>
                        <w:id w:val="833734940"/>
                      </w:sdtPr>
                      <w:sdtContent>
                        <w:sdt>
                          <w:sdtPr>
                            <w:tag w:val="goog_rdk_70"/>
                            <w:id w:val="-554727773"/>
                          </w:sdtPr>
                          <w:sdtContent>
                            <w:r w:rsidR="00C443D6">
                              <w:rPr>
                                <w:rFonts w:ascii="Times New Roman" w:eastAsia="Times New Roman" w:hAnsi="Times New Roman" w:cs="Times New Roman"/>
                              </w:rPr>
                              <w:t xml:space="preserve">Domeniul securității naționale este un domeniu de importanță națională sau, altfel spus un domeniu de competență central. Respectiv APL pot avea un șir de competențe delegate, care trebuie să fie acoperite corespunzător cu resurse financiare de la bugetul de stat. Respectiv mecanismul descris în Proiect trebuie să conțină elementul de asigurare cu personal, resurse materiale și necesare procesului respectiv. În special ne referim la responsabilitățile aferente APL prevăzute la pct. 10.1, 14, 14.3, 38.3, 56.1.3, 56.4.1 și 56.6 din Proiect. </w:t>
                            </w:r>
                          </w:sdtContent>
                        </w:sdt>
                      </w:sdtContent>
                    </w:sdt>
                  </w:p>
                </w:sdtContent>
              </w:sdt>
            </w:tc>
            <w:tc>
              <w:tcPr>
                <w:tcW w:w="3952" w:type="dxa"/>
                <w:tcBorders>
                  <w:top w:val="nil"/>
                  <w:left w:val="single" w:sz="5" w:space="0" w:color="000000"/>
                  <w:bottom w:val="single" w:sz="4" w:space="0" w:color="auto"/>
                  <w:right w:val="single" w:sz="5" w:space="0" w:color="000000"/>
                </w:tcBorders>
                <w:tcMar>
                  <w:top w:w="0" w:type="dxa"/>
                  <w:left w:w="100" w:type="dxa"/>
                  <w:bottom w:w="0" w:type="dxa"/>
                  <w:right w:w="100" w:type="dxa"/>
                </w:tcMar>
              </w:tcPr>
              <w:sdt>
                <w:sdtPr>
                  <w:tag w:val="goog_rdk_75"/>
                  <w:id w:val="-137047863"/>
                </w:sdtPr>
                <w:sdtContent>
                  <w:p w14:paraId="3365F4FA" w14:textId="77777777" w:rsidR="00B5067E" w:rsidRDefault="00000000">
                    <w:pPr>
                      <w:widowControl w:val="0"/>
                      <w:jc w:val="both"/>
                      <w:rPr>
                        <w:rFonts w:ascii="Times New Roman" w:eastAsia="Times New Roman" w:hAnsi="Times New Roman" w:cs="Times New Roman"/>
                      </w:rPr>
                    </w:pPr>
                    <w:sdt>
                      <w:sdtPr>
                        <w:tag w:val="goog_rdk_72"/>
                        <w:id w:val="-1307539344"/>
                      </w:sdtPr>
                      <w:sdtContent>
                        <w:sdt>
                          <w:sdtPr>
                            <w:tag w:val="goog_rdk_73"/>
                            <w:id w:val="-821129654"/>
                          </w:sdtPr>
                          <w:sdtContent>
                            <w:r w:rsidR="00C443D6" w:rsidRPr="00501B49">
                              <w:rPr>
                                <w:rFonts w:ascii="Times New Roman" w:eastAsia="Times New Roman" w:hAnsi="Times New Roman" w:cs="Times New Roman"/>
                                <w:b/>
                                <w:bCs/>
                              </w:rPr>
                              <w:t xml:space="preserve">Se acceptă parțial. </w:t>
                            </w:r>
                          </w:sdtContent>
                        </w:sdt>
                        <w:sdt>
                          <w:sdtPr>
                            <w:tag w:val="goog_rdk_74"/>
                            <w:id w:val="-1257140506"/>
                          </w:sdtPr>
                          <w:sdtContent>
                            <w:r w:rsidR="00C443D6">
                              <w:rPr>
                                <w:rFonts w:ascii="Times New Roman" w:eastAsia="Times New Roman" w:hAnsi="Times New Roman" w:cs="Times New Roman"/>
                              </w:rPr>
                              <w:t xml:space="preserve">Se constată caracterul întemeiat al observației privind necesitatea asigurării resurselor necesare pentru exercitarea atribuțiilor care revin autorităților administrației publice locale în cadrul procesului de evaluare a riscurilor și de consolidare a rezilienței naționale. Totodată, proiectul metodologiei stabilește cadrul conceptual și procedural al procesului de evaluare a riscurilor, fără a reglementa mecanismele specifice de finanțare sau alocare bugetară, acestea fiind reglementate prin legislația financiară, bugetară și sectorială aplicabilă. </w:t>
                            </w:r>
                          </w:sdtContent>
                        </w:sdt>
                      </w:sdtContent>
                    </w:sdt>
                  </w:p>
                </w:sdtContent>
              </w:sdt>
              <w:sdt>
                <w:sdtPr>
                  <w:tag w:val="goog_rdk_80"/>
                  <w:id w:val="-1175989817"/>
                </w:sdtPr>
                <w:sdtContent>
                  <w:p w14:paraId="6973EDC4" w14:textId="77777777" w:rsidR="00B5067E" w:rsidRPr="00501B49" w:rsidRDefault="00000000">
                    <w:pPr>
                      <w:widowControl w:val="0"/>
                      <w:jc w:val="both"/>
                      <w:rPr>
                        <w:rFonts w:ascii="Times New Roman" w:eastAsia="Times New Roman" w:hAnsi="Times New Roman" w:cs="Times New Roman"/>
                        <w:b/>
                        <w:bCs/>
                      </w:rPr>
                    </w:pPr>
                    <w:sdt>
                      <w:sdtPr>
                        <w:tag w:val="goog_rdk_76"/>
                        <w:id w:val="-1837353117"/>
                      </w:sdtPr>
                      <w:sdtContent>
                        <w:sdt>
                          <w:sdtPr>
                            <w:tag w:val="goog_rdk_77"/>
                            <w:id w:val="-1593116739"/>
                          </w:sdtPr>
                          <w:sdtContent>
                            <w:r w:rsidR="00C443D6" w:rsidRPr="00501B49">
                              <w:rPr>
                                <w:rFonts w:ascii="Times New Roman" w:eastAsia="Times New Roman" w:hAnsi="Times New Roman" w:cs="Times New Roman"/>
                                <w:b/>
                                <w:bCs/>
                              </w:rPr>
                              <w:t>Propunere de completare (</w:t>
                            </w:r>
                          </w:sdtContent>
                        </w:sdt>
                        <w:sdt>
                          <w:sdtPr>
                            <w:tag w:val="goog_rdk_78"/>
                            <w:id w:val="-1881502619"/>
                          </w:sdtPr>
                          <w:sdtContent>
                            <w:r w:rsidR="00C443D6" w:rsidRPr="00501B49">
                              <w:rPr>
                                <w:rFonts w:ascii="Times New Roman" w:eastAsia="Times New Roman" w:hAnsi="Times New Roman" w:cs="Times New Roman"/>
                                <w:b/>
                                <w:bCs/>
                                <w:i/>
                                <w:iCs/>
                              </w:rPr>
                              <w:t>Dispoziții generale</w:t>
                            </w:r>
                          </w:sdtContent>
                        </w:sdt>
                        <w:sdt>
                          <w:sdtPr>
                            <w:tag w:val="goog_rdk_79"/>
                            <w:id w:val="825002529"/>
                          </w:sdtPr>
                          <w:sdtContent>
                            <w:r w:rsidR="00C443D6" w:rsidRPr="00501B49">
                              <w:rPr>
                                <w:rFonts w:ascii="Times New Roman" w:eastAsia="Times New Roman" w:hAnsi="Times New Roman" w:cs="Times New Roman"/>
                                <w:b/>
                                <w:bCs/>
                              </w:rPr>
                              <w:t>):</w:t>
                            </w:r>
                          </w:sdtContent>
                        </w:sdt>
                      </w:sdtContent>
                    </w:sdt>
                  </w:p>
                </w:sdtContent>
              </w:sdt>
              <w:sdt>
                <w:sdtPr>
                  <w:tag w:val="goog_rdk_85"/>
                  <w:id w:val="-428780732"/>
                </w:sdtPr>
                <w:sdtContent>
                  <w:p w14:paraId="1F7554F7" w14:textId="77777777" w:rsidR="00B5067E" w:rsidRDefault="00000000">
                    <w:pPr>
                      <w:widowControl w:val="0"/>
                      <w:ind w:right="-70"/>
                      <w:jc w:val="both"/>
                      <w:rPr>
                        <w:rFonts w:ascii="Times New Roman" w:eastAsia="Times New Roman" w:hAnsi="Times New Roman" w:cs="Times New Roman"/>
                      </w:rPr>
                    </w:pPr>
                    <w:sdt>
                      <w:sdtPr>
                        <w:tag w:val="goog_rdk_81"/>
                        <w:id w:val="1034713480"/>
                      </w:sdtPr>
                      <w:sdtContent>
                        <w:sdt>
                          <w:sdtPr>
                            <w:tag w:val="goog_rdk_82"/>
                            <w:id w:val="-1627094694"/>
                          </w:sdtPr>
                          <w:sdtContent>
                            <w:r w:rsidR="00C443D6">
                              <w:rPr>
                                <w:rFonts w:ascii="Times New Roman" w:eastAsia="Times New Roman" w:hAnsi="Times New Roman" w:cs="Times New Roman"/>
                              </w:rPr>
                              <w:t>„</w:t>
                            </w:r>
                          </w:sdtContent>
                        </w:sdt>
                        <w:sdt>
                          <w:sdtPr>
                            <w:tag w:val="goog_rdk_83"/>
                            <w:id w:val="-978368056"/>
                          </w:sdtPr>
                          <w:sdtContent>
                            <w:r w:rsidR="00C443D6" w:rsidRPr="00501B49">
                              <w:rPr>
                                <w:rFonts w:ascii="Times New Roman" w:eastAsia="Times New Roman" w:hAnsi="Times New Roman" w:cs="Times New Roman"/>
                                <w:i/>
                                <w:iCs/>
                              </w:rPr>
                              <w:t xml:space="preserve">Autoritățile administrației publice centrale și locale exercită atribuțiile prevăzute de prezenta metodologie în </w:t>
                            </w:r>
                            <w:r w:rsidR="00C443D6" w:rsidRPr="00501B49">
                              <w:rPr>
                                <w:rFonts w:ascii="Times New Roman" w:eastAsia="Times New Roman" w:hAnsi="Times New Roman" w:cs="Times New Roman"/>
                                <w:i/>
                                <w:iCs/>
                              </w:rPr>
                              <w:lastRenderedPageBreak/>
                              <w:t>limita competențelor legale și a resurselor disponibile, iar în cazul delegării unor atribuții suplimentare se aplică principiul asigurării resurselor financiare, materiale și umane necesare, conform legislației în vigoare</w:t>
                            </w:r>
                          </w:sdtContent>
                        </w:sdt>
                        <w:sdt>
                          <w:sdtPr>
                            <w:tag w:val="goog_rdk_84"/>
                            <w:id w:val="-1666008906"/>
                          </w:sdtPr>
                          <w:sdtContent>
                            <w:r w:rsidR="00C443D6">
                              <w:rPr>
                                <w:rFonts w:ascii="Times New Roman" w:eastAsia="Times New Roman" w:hAnsi="Times New Roman" w:cs="Times New Roman"/>
                              </w:rPr>
                              <w:t>.”</w:t>
                            </w:r>
                          </w:sdtContent>
                        </w:sdt>
                      </w:sdtContent>
                    </w:sdt>
                  </w:p>
                </w:sdtContent>
              </w:sdt>
              <w:sdt>
                <w:sdtPr>
                  <w:tag w:val="goog_rdk_96"/>
                  <w:id w:val="1136850948"/>
                </w:sdtPr>
                <w:sdtContent>
                  <w:p w14:paraId="73495C9F" w14:textId="77777777" w:rsidR="00B5067E" w:rsidRDefault="00000000">
                    <w:pPr>
                      <w:widowControl w:val="0"/>
                      <w:jc w:val="both"/>
                      <w:rPr>
                        <w:rFonts w:ascii="Times New Roman" w:eastAsia="Times New Roman" w:hAnsi="Times New Roman" w:cs="Times New Roman"/>
                      </w:rPr>
                    </w:pPr>
                    <w:sdt>
                      <w:sdtPr>
                        <w:tag w:val="goog_rdk_86"/>
                        <w:id w:val="-1631190969"/>
                      </w:sdtPr>
                      <w:sdtContent>
                        <w:sdt>
                          <w:sdtPr>
                            <w:tag w:val="goog_rdk_87"/>
                            <w:id w:val="-569270314"/>
                          </w:sdtPr>
                          <w:sdtContent>
                            <w:r w:rsidR="00C443D6" w:rsidRPr="00501B49">
                              <w:rPr>
                                <w:rFonts w:ascii="Times New Roman" w:eastAsia="Times New Roman" w:hAnsi="Times New Roman" w:cs="Times New Roman"/>
                                <w:b/>
                                <w:bCs/>
                              </w:rPr>
                              <w:t xml:space="preserve">Propunere de completare (la capitolul </w:t>
                            </w:r>
                          </w:sdtContent>
                        </w:sdt>
                        <w:sdt>
                          <w:sdtPr>
                            <w:tag w:val="goog_rdk_88"/>
                            <w:id w:val="2101373917"/>
                          </w:sdtPr>
                          <w:sdtContent>
                            <w:r w:rsidR="00C443D6" w:rsidRPr="00501B49">
                              <w:rPr>
                                <w:rFonts w:ascii="Times New Roman" w:eastAsia="Times New Roman" w:hAnsi="Times New Roman" w:cs="Times New Roman"/>
                                <w:b/>
                                <w:bCs/>
                                <w:i/>
                                <w:iCs/>
                              </w:rPr>
                              <w:t xml:space="preserve">Evaluarea </w:t>
                            </w:r>
                          </w:sdtContent>
                        </w:sdt>
                        <w:sdt>
                          <w:sdtPr>
                            <w:tag w:val="goog_rdk_89"/>
                            <w:id w:val="-769858592"/>
                          </w:sdtPr>
                          <w:sdtContent>
                            <w:r w:rsidR="00C443D6" w:rsidRPr="00501B49">
                              <w:rPr>
                                <w:rFonts w:ascii="Times New Roman" w:eastAsia="Times New Roman" w:hAnsi="Times New Roman" w:cs="Times New Roman"/>
                                <w:b/>
                                <w:bCs/>
                                <w:i/>
                                <w:iCs/>
                              </w:rPr>
                              <w:t>națională</w:t>
                            </w:r>
                          </w:sdtContent>
                        </w:sdt>
                        <w:sdt>
                          <w:sdtPr>
                            <w:tag w:val="goog_rdk_90"/>
                            <w:id w:val="-1752843602"/>
                          </w:sdtPr>
                          <w:sdtContent>
                            <w:r w:rsidR="00C443D6" w:rsidRPr="00501B49">
                              <w:rPr>
                                <w:rFonts w:ascii="Times New Roman" w:eastAsia="Times New Roman" w:hAnsi="Times New Roman" w:cs="Times New Roman"/>
                                <w:b/>
                                <w:bCs/>
                                <w:i/>
                                <w:iCs/>
                              </w:rPr>
                              <w:t xml:space="preserve"> de risc). </w:t>
                            </w:r>
                          </w:sdtContent>
                        </w:sdt>
                        <w:sdt>
                          <w:sdtPr>
                            <w:tag w:val="goog_rdk_91"/>
                            <w:id w:val="-1203612313"/>
                          </w:sdtPr>
                          <w:sdtContent>
                            <w:r w:rsidR="00C443D6">
                              <w:rPr>
                                <w:rFonts w:ascii="Times New Roman" w:eastAsia="Times New Roman" w:hAnsi="Times New Roman" w:cs="Times New Roman"/>
                              </w:rPr>
                              <w:t>„I</w:t>
                            </w:r>
                          </w:sdtContent>
                        </w:sdt>
                        <w:sdt>
                          <w:sdtPr>
                            <w:tag w:val="goog_rdk_92"/>
                            <w:id w:val="823637951"/>
                          </w:sdtPr>
                          <w:sdtEndPr/>
                          <w:sdtContent>
                            <w:r w:rsidR="00C443D6" w:rsidRPr="00501B49">
                              <w:rPr>
                                <w:rFonts w:ascii="Times New Roman" w:eastAsia="Times New Roman" w:hAnsi="Times New Roman" w:cs="Times New Roman"/>
                                <w:i/>
                                <w:iCs/>
                              </w:rPr>
                              <w:t xml:space="preserve">nstituțiile responsabile de implementarea măsurilor de reducere a riscurilor și </w:t>
                            </w:r>
                          </w:sdtContent>
                        </w:sdt>
                        <w:sdt>
                          <w:sdtPr>
                            <w:tag w:val="goog_rdk_93"/>
                            <w:id w:val="700081866"/>
                          </w:sdtPr>
                          <w:sdtContent>
                            <w:r w:rsidR="00C443D6" w:rsidRPr="00501B49">
                              <w:rPr>
                                <w:rFonts w:ascii="Times New Roman" w:eastAsia="Times New Roman" w:hAnsi="Times New Roman" w:cs="Times New Roman"/>
                                <w:i/>
                                <w:iCs/>
                              </w:rPr>
                              <w:t>consolidarea</w:t>
                            </w:r>
                          </w:sdtContent>
                        </w:sdt>
                        <w:sdt>
                          <w:sdtPr>
                            <w:tag w:val="goog_rdk_94"/>
                            <w:id w:val="-394240759"/>
                          </w:sdtPr>
                          <w:sdtContent>
                            <w:r w:rsidR="00C443D6" w:rsidRPr="00501B49">
                              <w:rPr>
                                <w:rFonts w:ascii="Times New Roman" w:eastAsia="Times New Roman" w:hAnsi="Times New Roman" w:cs="Times New Roman"/>
                                <w:i/>
                                <w:iCs/>
                              </w:rPr>
                              <w:t xml:space="preserve"> rezilienței vor identifica necesitățile de resurse și le vor include în procesele de planificare strategică și bugetară, conform competențelor și procedurilor stabilite de legislația națională</w:t>
                            </w:r>
                          </w:sdtContent>
                        </w:sdt>
                        <w:sdt>
                          <w:sdtPr>
                            <w:tag w:val="goog_rdk_95"/>
                            <w:id w:val="1593217279"/>
                          </w:sdtPr>
                          <w:sdtContent>
                            <w:r w:rsidR="00C443D6">
                              <w:rPr>
                                <w:rFonts w:ascii="Times New Roman" w:eastAsia="Times New Roman" w:hAnsi="Times New Roman" w:cs="Times New Roman"/>
                              </w:rPr>
                              <w:t>.”</w:t>
                            </w:r>
                          </w:sdtContent>
                        </w:sdt>
                      </w:sdtContent>
                    </w:sdt>
                  </w:p>
                </w:sdtContent>
              </w:sdt>
              <w:sdt>
                <w:sdtPr>
                  <w:tag w:val="goog_rdk_99"/>
                  <w:id w:val="2080163072"/>
                </w:sdtPr>
                <w:sdtContent>
                  <w:p w14:paraId="6073383F" w14:textId="77777777" w:rsidR="00B5067E" w:rsidRDefault="00000000">
                    <w:pPr>
                      <w:widowControl w:val="0"/>
                      <w:jc w:val="both"/>
                      <w:rPr>
                        <w:rFonts w:ascii="Times New Roman" w:eastAsia="Times New Roman" w:hAnsi="Times New Roman" w:cs="Times New Roman"/>
                      </w:rPr>
                    </w:pPr>
                    <w:sdt>
                      <w:sdtPr>
                        <w:tag w:val="goog_rdk_97"/>
                        <w:id w:val="-1979185728"/>
                      </w:sdtPr>
                      <w:sdtContent>
                        <w:sdt>
                          <w:sdtPr>
                            <w:tag w:val="goog_rdk_98"/>
                            <w:id w:val="1601279351"/>
                          </w:sdtPr>
                          <w:sdtContent>
                            <w:r w:rsidR="00C443D6">
                              <w:rPr>
                                <w:rFonts w:ascii="Times New Roman" w:eastAsia="Times New Roman" w:hAnsi="Times New Roman" w:cs="Times New Roman"/>
                              </w:rPr>
                              <w:t xml:space="preserve">Această soluție permite reflectarea principiului invocat de CALM, fără a depăși obiectul de reglementare al metodologiei și fără a crea obligații financiare care trebuie stabilite prin acte normative distincte. </w:t>
                            </w:r>
                          </w:sdtContent>
                        </w:sdt>
                      </w:sdtContent>
                    </w:sdt>
                  </w:p>
                </w:sdtContent>
              </w:sdt>
              <w:sdt>
                <w:sdtPr>
                  <w:tag w:val="goog_rdk_102"/>
                  <w:id w:val="-946945060"/>
                </w:sdtPr>
                <w:sdtContent>
                  <w:p w14:paraId="3F41A5B9" w14:textId="77777777" w:rsidR="00B5067E" w:rsidRPr="00501B49" w:rsidRDefault="00000000">
                    <w:pPr>
                      <w:spacing w:after="280"/>
                      <w:jc w:val="both"/>
                      <w:rPr>
                        <w:rFonts w:ascii="Times New Roman" w:eastAsia="Times New Roman" w:hAnsi="Times New Roman" w:cs="Times New Roman"/>
                        <w:b/>
                        <w:bCs/>
                      </w:rPr>
                    </w:pPr>
                    <w:sdt>
                      <w:sdtPr>
                        <w:tag w:val="goog_rdk_100"/>
                        <w:id w:val="1228122020"/>
                      </w:sdtPr>
                      <w:sdtContent>
                        <w:sdt>
                          <w:sdtPr>
                            <w:tag w:val="goog_rdk_101"/>
                            <w:id w:val="495542301"/>
                          </w:sdtPr>
                          <w:sdtContent/>
                        </w:sdt>
                      </w:sdtContent>
                    </w:sdt>
                  </w:p>
                </w:sdtContent>
              </w:sdt>
            </w:tc>
          </w:tr>
        </w:sdtContent>
      </w:sdt>
      <w:tr w:rsidR="00AC399B" w14:paraId="200644D0" w14:textId="77777777" w:rsidTr="00AC399B">
        <w:tc>
          <w:tcPr>
            <w:tcW w:w="555" w:type="dxa"/>
            <w:tcBorders>
              <w:bottom w:val="single" w:sz="4" w:space="0" w:color="auto"/>
            </w:tcBorders>
            <w:shd w:val="clear" w:color="auto" w:fill="00B0F0"/>
          </w:tcPr>
          <w:p w14:paraId="2578AC5B" w14:textId="77777777" w:rsidR="00AC399B" w:rsidRDefault="00AC399B">
            <w:pPr>
              <w:pBdr>
                <w:between w:val="single" w:sz="4" w:space="1" w:color="000000"/>
              </w:pBdr>
              <w:jc w:val="both"/>
            </w:pPr>
          </w:p>
        </w:tc>
        <w:tc>
          <w:tcPr>
            <w:tcW w:w="1845" w:type="dxa"/>
            <w:tcBorders>
              <w:bottom w:val="single" w:sz="4" w:space="0" w:color="auto"/>
            </w:tcBorders>
            <w:shd w:val="clear" w:color="auto" w:fill="00B0F0"/>
          </w:tcPr>
          <w:p w14:paraId="2178EE69" w14:textId="77777777" w:rsidR="00AC399B" w:rsidRDefault="00AC399B">
            <w:pPr>
              <w:jc w:val="both"/>
            </w:pPr>
          </w:p>
        </w:tc>
        <w:tc>
          <w:tcPr>
            <w:tcW w:w="2557" w:type="dxa"/>
            <w:tcBorders>
              <w:bottom w:val="single" w:sz="4" w:space="0" w:color="auto"/>
            </w:tcBorders>
            <w:shd w:val="clear" w:color="auto" w:fill="00B0F0"/>
          </w:tcPr>
          <w:p w14:paraId="375EF355" w14:textId="77777777" w:rsidR="00AC399B" w:rsidRDefault="00AC399B" w:rsidP="00501B49">
            <w:pPr>
              <w:pBdr>
                <w:between w:val="single" w:sz="4" w:space="1" w:color="000000"/>
              </w:pBdr>
            </w:pPr>
          </w:p>
        </w:tc>
        <w:tc>
          <w:tcPr>
            <w:tcW w:w="5386" w:type="dxa"/>
            <w:tcBorders>
              <w:bottom w:val="single" w:sz="4" w:space="0" w:color="auto"/>
            </w:tcBorders>
            <w:shd w:val="clear" w:color="auto" w:fill="00B0F0"/>
          </w:tcPr>
          <w:p w14:paraId="50A9DEC4" w14:textId="77777777" w:rsidR="00AC399B" w:rsidRDefault="00AC399B">
            <w:pPr>
              <w:pBdr>
                <w:between w:val="single" w:sz="4" w:space="1" w:color="000000"/>
              </w:pBdr>
              <w:jc w:val="both"/>
            </w:pPr>
          </w:p>
        </w:tc>
        <w:tc>
          <w:tcPr>
            <w:tcW w:w="3952" w:type="dxa"/>
            <w:tcBorders>
              <w:top w:val="nil"/>
              <w:left w:val="single" w:sz="5" w:space="0" w:color="000000"/>
              <w:bottom w:val="single" w:sz="4" w:space="0" w:color="auto"/>
              <w:right w:val="single" w:sz="5" w:space="0" w:color="000000"/>
            </w:tcBorders>
            <w:shd w:val="clear" w:color="auto" w:fill="00B0F0"/>
            <w:tcMar>
              <w:top w:w="0" w:type="dxa"/>
              <w:left w:w="100" w:type="dxa"/>
              <w:bottom w:w="0" w:type="dxa"/>
              <w:right w:w="100" w:type="dxa"/>
            </w:tcMar>
          </w:tcPr>
          <w:p w14:paraId="1FD3EBB5" w14:textId="77777777" w:rsidR="00AC399B" w:rsidRDefault="00AC399B">
            <w:pPr>
              <w:widowControl w:val="0"/>
              <w:jc w:val="both"/>
            </w:pPr>
          </w:p>
        </w:tc>
      </w:tr>
      <w:tr w:rsidR="00AC399B" w14:paraId="11FAD59E" w14:textId="77777777" w:rsidTr="00AC39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555" w:type="dxa"/>
            <w:tcBorders>
              <w:top w:val="single" w:sz="4" w:space="0" w:color="auto"/>
              <w:left w:val="single" w:sz="4" w:space="0" w:color="auto"/>
              <w:bottom w:val="single" w:sz="4" w:space="0" w:color="auto"/>
              <w:right w:val="single" w:sz="4" w:space="0" w:color="auto"/>
            </w:tcBorders>
          </w:tcPr>
          <w:p w14:paraId="32C41A05" w14:textId="69904938" w:rsidR="00AC399B" w:rsidRDefault="00AC399B" w:rsidP="00CD0DDD">
            <w:pPr>
              <w:pBdr>
                <w:between w:val="single" w:sz="4" w:space="1" w:color="000000"/>
              </w:pBdr>
              <w:jc w:val="both"/>
              <w:rPr>
                <w:rFonts w:ascii="Times New Roman" w:eastAsia="Times New Roman" w:hAnsi="Times New Roman" w:cs="Times New Roman"/>
                <w:b/>
                <w:bCs/>
              </w:rPr>
            </w:pPr>
            <w:r>
              <w:rPr>
                <w:rFonts w:ascii="Times New Roman" w:eastAsia="Times New Roman" w:hAnsi="Times New Roman" w:cs="Times New Roman"/>
                <w:b/>
                <w:bCs/>
              </w:rPr>
              <w:t>23.</w:t>
            </w:r>
          </w:p>
        </w:tc>
        <w:tc>
          <w:tcPr>
            <w:tcW w:w="1845" w:type="dxa"/>
            <w:tcBorders>
              <w:top w:val="single" w:sz="4" w:space="0" w:color="auto"/>
              <w:left w:val="single" w:sz="4" w:space="0" w:color="auto"/>
              <w:bottom w:val="single" w:sz="4" w:space="0" w:color="auto"/>
              <w:right w:val="single" w:sz="4" w:space="0" w:color="auto"/>
            </w:tcBorders>
          </w:tcPr>
          <w:p w14:paraId="75F8E311" w14:textId="4F5749EE" w:rsidR="00AC399B" w:rsidRDefault="00AC399B" w:rsidP="00CD0DDD">
            <w:pPr>
              <w:rPr>
                <w:rFonts w:ascii="Times New Roman" w:eastAsia="Times New Roman" w:hAnsi="Times New Roman" w:cs="Times New Roman"/>
                <w:color w:val="000000"/>
                <w:lang w:val="ro-MD"/>
              </w:rPr>
            </w:pPr>
            <w:r>
              <w:rPr>
                <w:rFonts w:ascii="Times New Roman" w:eastAsia="Times New Roman" w:hAnsi="Times New Roman" w:cs="Times New Roman"/>
                <w:color w:val="000000"/>
                <w:lang w:val="ro-MD"/>
              </w:rPr>
              <w:t>M</w:t>
            </w:r>
            <w:r>
              <w:rPr>
                <w:rFonts w:ascii="Times New Roman" w:eastAsia="Times New Roman" w:hAnsi="Times New Roman" w:cs="Times New Roman"/>
                <w:color w:val="000000"/>
                <w:lang w:val="ro-MD"/>
              </w:rPr>
              <w:t>inisterul Infrastructurii, Dezvoltării Economice și Digitalizării</w:t>
            </w:r>
          </w:p>
          <w:p w14:paraId="28271061" w14:textId="778B2006" w:rsidR="00AC399B" w:rsidRDefault="00AC399B" w:rsidP="00CD0DDD">
            <w:pPr>
              <w:rPr>
                <w:rFonts w:ascii="Times New Roman" w:eastAsia="Times New Roman" w:hAnsi="Times New Roman" w:cs="Times New Roman"/>
                <w:b/>
                <w:bCs/>
              </w:rPr>
            </w:pPr>
            <w:r w:rsidRPr="00AC399B">
              <w:rPr>
                <w:rFonts w:ascii="Times New Roman" w:eastAsia="Times New Roman" w:hAnsi="Times New Roman" w:cs="Times New Roman"/>
                <w:i/>
                <w:iCs/>
                <w:color w:val="000000"/>
                <w:lang w:val="ro-MD"/>
              </w:rPr>
              <w:t>(</w:t>
            </w:r>
            <w:r w:rsidRPr="00AC399B">
              <w:rPr>
                <w:rFonts w:ascii="Times New Roman" w:eastAsia="Times New Roman" w:hAnsi="Times New Roman" w:cs="Times New Roman"/>
                <w:i/>
                <w:iCs/>
                <w:color w:val="000000"/>
                <w:lang w:val="ro-MD"/>
              </w:rPr>
              <w:t>Nr.</w:t>
            </w:r>
            <w:r w:rsidRPr="00AC399B">
              <w:rPr>
                <w:rFonts w:ascii="Times New Roman" w:eastAsia="Times New Roman" w:hAnsi="Times New Roman" w:cs="Times New Roman"/>
                <w:i/>
                <w:iCs/>
                <w:color w:val="000000"/>
                <w:lang w:val="ro-MD"/>
              </w:rPr>
              <w:t xml:space="preserve"> </w:t>
            </w:r>
            <w:r w:rsidRPr="00AC399B">
              <w:rPr>
                <w:rFonts w:ascii="Times New Roman" w:eastAsia="Times New Roman" w:hAnsi="Times New Roman" w:cs="Times New Roman"/>
                <w:i/>
                <w:iCs/>
                <w:color w:val="000000"/>
                <w:lang w:val="ro-MD"/>
              </w:rPr>
              <w:t>03-1660 din 15.05.2026</w:t>
            </w:r>
            <w:r w:rsidRPr="00AC399B">
              <w:rPr>
                <w:rFonts w:ascii="Times New Roman" w:eastAsia="Times New Roman" w:hAnsi="Times New Roman" w:cs="Times New Roman"/>
                <w:i/>
                <w:iCs/>
                <w:color w:val="000000"/>
                <w:lang w:val="ro-MD"/>
              </w:rPr>
              <w:t>)</w:t>
            </w:r>
          </w:p>
        </w:tc>
        <w:tc>
          <w:tcPr>
            <w:tcW w:w="2557" w:type="dxa"/>
            <w:tcBorders>
              <w:top w:val="single" w:sz="4" w:space="0" w:color="auto"/>
              <w:left w:val="single" w:sz="4" w:space="0" w:color="auto"/>
              <w:bottom w:val="single" w:sz="4" w:space="0" w:color="auto"/>
              <w:right w:val="single" w:sz="4" w:space="0" w:color="auto"/>
            </w:tcBorders>
          </w:tcPr>
          <w:p w14:paraId="7DAC158D" w14:textId="77777777" w:rsidR="00AC399B" w:rsidRDefault="00AC399B" w:rsidP="00CD0DDD">
            <w:pPr>
              <w:pBdr>
                <w:between w:val="single" w:sz="4" w:space="1" w:color="000000"/>
              </w:pBdr>
              <w:jc w:val="both"/>
              <w:rPr>
                <w:rFonts w:ascii="Times New Roman" w:eastAsia="Times New Roman" w:hAnsi="Times New Roman" w:cs="Times New Roman"/>
              </w:rPr>
            </w:pPr>
            <w:r>
              <w:rPr>
                <w:rFonts w:ascii="Times New Roman" w:eastAsia="Times New Roman" w:hAnsi="Times New Roman" w:cs="Times New Roman"/>
              </w:rPr>
              <w:t>1.</w:t>
            </w:r>
          </w:p>
        </w:tc>
        <w:tc>
          <w:tcPr>
            <w:tcW w:w="5386" w:type="dxa"/>
            <w:tcBorders>
              <w:top w:val="single" w:sz="4" w:space="0" w:color="auto"/>
              <w:left w:val="single" w:sz="4" w:space="0" w:color="auto"/>
              <w:bottom w:val="single" w:sz="4" w:space="0" w:color="auto"/>
              <w:right w:val="single" w:sz="4" w:space="0" w:color="auto"/>
            </w:tcBorders>
          </w:tcPr>
          <w:p w14:paraId="4DC3CAE4" w14:textId="77777777" w:rsidR="00AC399B" w:rsidRPr="009C4FA3" w:rsidRDefault="00AC399B" w:rsidP="00CD0DDD">
            <w:pPr>
              <w:jc w:val="both"/>
              <w:rPr>
                <w:rFonts w:ascii="Times New Roman" w:eastAsia="Times New Roman" w:hAnsi="Times New Roman" w:cs="Times New Roman"/>
                <w:color w:val="000000"/>
                <w:lang w:val="ro-MD"/>
              </w:rPr>
            </w:pPr>
            <w:r w:rsidRPr="009C4FA3">
              <w:rPr>
                <w:rFonts w:ascii="Times New Roman" w:eastAsia="Times New Roman" w:hAnsi="Times New Roman" w:cs="Times New Roman"/>
                <w:color w:val="000000"/>
                <w:lang w:val="ro-MD"/>
              </w:rPr>
              <w:t>1. Metodologia propusă instituie un cadru de gestionare a riscurilor la adresa</w:t>
            </w:r>
            <w:r>
              <w:rPr>
                <w:rFonts w:ascii="Times New Roman" w:eastAsia="Times New Roman" w:hAnsi="Times New Roman" w:cs="Times New Roman"/>
                <w:color w:val="000000"/>
                <w:lang w:val="ro-MD"/>
              </w:rPr>
              <w:t xml:space="preserve"> </w:t>
            </w:r>
            <w:r w:rsidRPr="009C4FA3">
              <w:rPr>
                <w:rFonts w:ascii="Times New Roman" w:eastAsia="Times New Roman" w:hAnsi="Times New Roman" w:cs="Times New Roman"/>
                <w:color w:val="000000"/>
                <w:lang w:val="ro-MD"/>
              </w:rPr>
              <w:t>securității naționale care vizează în mod direct furnizorii de servicii în sectoarele</w:t>
            </w:r>
            <w:r>
              <w:rPr>
                <w:rFonts w:ascii="Times New Roman" w:eastAsia="Times New Roman" w:hAnsi="Times New Roman" w:cs="Times New Roman"/>
                <w:color w:val="000000"/>
                <w:lang w:val="ro-MD"/>
              </w:rPr>
              <w:t xml:space="preserve"> </w:t>
            </w:r>
            <w:r w:rsidRPr="009C4FA3">
              <w:rPr>
                <w:rFonts w:ascii="Times New Roman" w:eastAsia="Times New Roman" w:hAnsi="Times New Roman" w:cs="Times New Roman"/>
                <w:color w:val="000000"/>
                <w:lang w:val="ro-MD"/>
              </w:rPr>
              <w:t>critice, desemnați ca atare de Agenția pentru Securitate Cibernetică în temeiul Legii</w:t>
            </w:r>
            <w:r>
              <w:rPr>
                <w:rFonts w:ascii="Times New Roman" w:eastAsia="Times New Roman" w:hAnsi="Times New Roman" w:cs="Times New Roman"/>
                <w:color w:val="000000"/>
                <w:lang w:val="ro-MD"/>
              </w:rPr>
              <w:t xml:space="preserve"> </w:t>
            </w:r>
            <w:r w:rsidRPr="009C4FA3">
              <w:rPr>
                <w:rFonts w:ascii="Times New Roman" w:eastAsia="Times New Roman" w:hAnsi="Times New Roman" w:cs="Times New Roman"/>
                <w:color w:val="000000"/>
                <w:lang w:val="ro-MD"/>
              </w:rPr>
              <w:t>nr. 48/2023 și HG nr. 860/2024.</w:t>
            </w:r>
          </w:p>
          <w:p w14:paraId="6B4B72A7" w14:textId="77777777" w:rsidR="00AC399B" w:rsidRPr="009C4FA3" w:rsidRDefault="00AC399B" w:rsidP="00CD0DDD">
            <w:pPr>
              <w:jc w:val="both"/>
              <w:rPr>
                <w:rFonts w:ascii="Times New Roman" w:eastAsia="Times New Roman" w:hAnsi="Times New Roman" w:cs="Times New Roman"/>
                <w:color w:val="000000"/>
                <w:lang w:val="ro-MD"/>
              </w:rPr>
            </w:pPr>
            <w:r w:rsidRPr="002B79B5">
              <w:rPr>
                <w:rFonts w:ascii="Times New Roman" w:eastAsia="Times New Roman" w:hAnsi="Times New Roman" w:cs="Times New Roman"/>
                <w:b/>
                <w:bCs/>
                <w:color w:val="000000"/>
                <w:lang w:val="ro-MD"/>
              </w:rPr>
              <w:t>Se constată</w:t>
            </w:r>
            <w:r w:rsidRPr="009C4FA3">
              <w:rPr>
                <w:rFonts w:ascii="Times New Roman" w:eastAsia="Times New Roman" w:hAnsi="Times New Roman" w:cs="Times New Roman"/>
                <w:color w:val="000000"/>
                <w:lang w:val="ro-MD"/>
              </w:rPr>
              <w:t xml:space="preserve"> că proiectul nu conține nicio referință la Legea nr. 48/2023 privind</w:t>
            </w:r>
            <w:r>
              <w:rPr>
                <w:rFonts w:ascii="Times New Roman" w:eastAsia="Times New Roman" w:hAnsi="Times New Roman" w:cs="Times New Roman"/>
                <w:color w:val="000000"/>
                <w:lang w:val="ro-MD"/>
              </w:rPr>
              <w:t xml:space="preserve"> </w:t>
            </w:r>
            <w:r w:rsidRPr="009C4FA3">
              <w:rPr>
                <w:rFonts w:ascii="Times New Roman" w:eastAsia="Times New Roman" w:hAnsi="Times New Roman" w:cs="Times New Roman"/>
                <w:color w:val="000000"/>
                <w:lang w:val="ro-MD"/>
              </w:rPr>
              <w:t xml:space="preserve">securitatea cibernetică și la legislația secundară aferentă, deși această lege, în </w:t>
            </w:r>
            <w:r w:rsidRPr="009C4FA3">
              <w:rPr>
                <w:rFonts w:ascii="Times New Roman" w:eastAsia="Times New Roman" w:hAnsi="Times New Roman" w:cs="Times New Roman"/>
                <w:color w:val="000000"/>
                <w:lang w:val="ro-MD"/>
              </w:rPr>
              <w:lastRenderedPageBreak/>
              <w:t>vigoare</w:t>
            </w:r>
            <w:r>
              <w:rPr>
                <w:rFonts w:ascii="Times New Roman" w:eastAsia="Times New Roman" w:hAnsi="Times New Roman" w:cs="Times New Roman"/>
                <w:color w:val="000000"/>
                <w:lang w:val="ro-MD"/>
              </w:rPr>
              <w:t xml:space="preserve"> </w:t>
            </w:r>
            <w:r w:rsidRPr="009C4FA3">
              <w:rPr>
                <w:rFonts w:ascii="Times New Roman" w:eastAsia="Times New Roman" w:hAnsi="Times New Roman" w:cs="Times New Roman"/>
                <w:color w:val="000000"/>
                <w:lang w:val="ro-MD"/>
              </w:rPr>
              <w:t>din 1 ianuarie 2025, stabilește un cadru normativ sectorial specific de gestiune a</w:t>
            </w:r>
            <w:r>
              <w:rPr>
                <w:rFonts w:ascii="Times New Roman" w:eastAsia="Times New Roman" w:hAnsi="Times New Roman" w:cs="Times New Roman"/>
                <w:color w:val="000000"/>
                <w:lang w:val="ro-MD"/>
              </w:rPr>
              <w:t xml:space="preserve"> </w:t>
            </w:r>
            <w:r w:rsidRPr="009C4FA3">
              <w:rPr>
                <w:rFonts w:ascii="Times New Roman" w:eastAsia="Times New Roman" w:hAnsi="Times New Roman" w:cs="Times New Roman"/>
                <w:color w:val="000000"/>
                <w:lang w:val="ro-MD"/>
              </w:rPr>
              <w:t>riscurilor cibernetice pentru furnizorii de servicii în sectoarele critice. Această</w:t>
            </w:r>
            <w:r>
              <w:rPr>
                <w:rFonts w:ascii="Times New Roman" w:eastAsia="Times New Roman" w:hAnsi="Times New Roman" w:cs="Times New Roman"/>
                <w:color w:val="000000"/>
                <w:lang w:val="ro-MD"/>
              </w:rPr>
              <w:t xml:space="preserve"> </w:t>
            </w:r>
            <w:r w:rsidRPr="009C4FA3">
              <w:rPr>
                <w:rFonts w:ascii="Times New Roman" w:eastAsia="Times New Roman" w:hAnsi="Times New Roman" w:cs="Times New Roman"/>
                <w:color w:val="000000"/>
                <w:lang w:val="ro-MD"/>
              </w:rPr>
              <w:t>omisiune generează un risc de suprapunere normativă și neclaritate instituțională.</w:t>
            </w:r>
          </w:p>
          <w:p w14:paraId="487A6B1A" w14:textId="77777777" w:rsidR="00AC399B" w:rsidRPr="009C4FA3" w:rsidRDefault="00AC399B" w:rsidP="00CD0DDD">
            <w:pPr>
              <w:jc w:val="both"/>
              <w:rPr>
                <w:rFonts w:ascii="Times New Roman" w:eastAsia="Times New Roman" w:hAnsi="Times New Roman" w:cs="Times New Roman"/>
                <w:color w:val="000000"/>
                <w:lang w:val="ro-MD"/>
              </w:rPr>
            </w:pPr>
            <w:r w:rsidRPr="009C4FA3">
              <w:rPr>
                <w:rFonts w:ascii="Times New Roman" w:eastAsia="Times New Roman" w:hAnsi="Times New Roman" w:cs="Times New Roman"/>
                <w:color w:val="000000"/>
                <w:lang w:val="ro-MD"/>
              </w:rPr>
              <w:t>Potrivit art. 3 alin. (5) din Legea nr. 48/2023, atunci când legislația sectorială</w:t>
            </w:r>
            <w:r>
              <w:rPr>
                <w:rFonts w:ascii="Times New Roman" w:eastAsia="Times New Roman" w:hAnsi="Times New Roman" w:cs="Times New Roman"/>
                <w:color w:val="000000"/>
                <w:lang w:val="ro-MD"/>
              </w:rPr>
              <w:t xml:space="preserve"> </w:t>
            </w:r>
            <w:r w:rsidRPr="009C4FA3">
              <w:rPr>
                <w:rFonts w:ascii="Times New Roman" w:eastAsia="Times New Roman" w:hAnsi="Times New Roman" w:cs="Times New Roman"/>
                <w:color w:val="000000"/>
                <w:lang w:val="ro-MD"/>
              </w:rPr>
              <w:t>prevede măsuri de securitate sau obligații de notificare a incidentelor cu efecte cel</w:t>
            </w:r>
            <w:r>
              <w:rPr>
                <w:rFonts w:ascii="Times New Roman" w:eastAsia="Times New Roman" w:hAnsi="Times New Roman" w:cs="Times New Roman"/>
                <w:color w:val="000000"/>
                <w:lang w:val="ro-MD"/>
              </w:rPr>
              <w:t xml:space="preserve"> </w:t>
            </w:r>
            <w:r w:rsidRPr="009C4FA3">
              <w:rPr>
                <w:rFonts w:ascii="Times New Roman" w:eastAsia="Times New Roman" w:hAnsi="Times New Roman" w:cs="Times New Roman"/>
                <w:color w:val="000000"/>
                <w:lang w:val="ro-MD"/>
              </w:rPr>
              <w:t>puțin echivalente celor din Legea nr. 48/2023, prevederile respectivei legislații</w:t>
            </w:r>
            <w:r>
              <w:rPr>
                <w:rFonts w:ascii="Times New Roman" w:eastAsia="Times New Roman" w:hAnsi="Times New Roman" w:cs="Times New Roman"/>
                <w:color w:val="000000"/>
                <w:lang w:val="ro-MD"/>
              </w:rPr>
              <w:t xml:space="preserve"> </w:t>
            </w:r>
            <w:r w:rsidRPr="009C4FA3">
              <w:rPr>
                <w:rFonts w:ascii="Times New Roman" w:eastAsia="Times New Roman" w:hAnsi="Times New Roman" w:cs="Times New Roman"/>
                <w:color w:val="000000"/>
                <w:lang w:val="ro-MD"/>
              </w:rPr>
              <w:t>sectoriale au caracter special, or art. 13 din HG nr. 562/2025 detaliază condițiile</w:t>
            </w:r>
            <w:r>
              <w:rPr>
                <w:rFonts w:ascii="Times New Roman" w:eastAsia="Times New Roman" w:hAnsi="Times New Roman" w:cs="Times New Roman"/>
                <w:color w:val="000000"/>
                <w:lang w:val="ro-MD"/>
              </w:rPr>
              <w:t xml:space="preserve"> </w:t>
            </w:r>
            <w:r w:rsidRPr="009C4FA3">
              <w:rPr>
                <w:rFonts w:ascii="Times New Roman" w:eastAsia="Times New Roman" w:hAnsi="Times New Roman" w:cs="Times New Roman"/>
                <w:color w:val="000000"/>
                <w:lang w:val="ro-MD"/>
              </w:rPr>
              <w:t>acestei echivalențe, stabilind că: (i) cerințele sectoriale trebuie să corespundă cel puțin</w:t>
            </w:r>
            <w:r>
              <w:rPr>
                <w:rFonts w:ascii="Times New Roman" w:eastAsia="Times New Roman" w:hAnsi="Times New Roman" w:cs="Times New Roman"/>
                <w:color w:val="000000"/>
                <w:lang w:val="ro-MD"/>
              </w:rPr>
              <w:t xml:space="preserve"> </w:t>
            </w:r>
            <w:r w:rsidRPr="009C4FA3">
              <w:rPr>
                <w:rFonts w:ascii="Times New Roman" w:eastAsia="Times New Roman" w:hAnsi="Times New Roman" w:cs="Times New Roman"/>
                <w:color w:val="000000"/>
                <w:lang w:val="ro-MD"/>
              </w:rPr>
              <w:t>cerințelor legii; (ii) să acopere toate operațiunile furnizorului, nu doar unele active;</w:t>
            </w:r>
          </w:p>
          <w:p w14:paraId="1B6B96CB" w14:textId="77777777" w:rsidR="00AC399B" w:rsidRPr="009C4FA3" w:rsidRDefault="00AC399B" w:rsidP="00CD0DDD">
            <w:pPr>
              <w:jc w:val="both"/>
              <w:rPr>
                <w:rFonts w:ascii="Times New Roman" w:eastAsia="Times New Roman" w:hAnsi="Times New Roman" w:cs="Times New Roman"/>
                <w:color w:val="000000"/>
                <w:lang w:val="ro-MD"/>
              </w:rPr>
            </w:pPr>
            <w:r w:rsidRPr="009C4FA3">
              <w:rPr>
                <w:rFonts w:ascii="Times New Roman" w:eastAsia="Times New Roman" w:hAnsi="Times New Roman" w:cs="Times New Roman"/>
                <w:color w:val="000000"/>
                <w:lang w:val="ro-MD"/>
              </w:rPr>
              <w:t>(iii) să cuprindă măsuri de securitate hardware, firmware și software. Această</w:t>
            </w:r>
            <w:r>
              <w:rPr>
                <w:rFonts w:ascii="Times New Roman" w:eastAsia="Times New Roman" w:hAnsi="Times New Roman" w:cs="Times New Roman"/>
                <w:color w:val="000000"/>
                <w:lang w:val="ro-MD"/>
              </w:rPr>
              <w:t xml:space="preserve"> </w:t>
            </w:r>
            <w:r w:rsidRPr="009C4FA3">
              <w:rPr>
                <w:rFonts w:ascii="Times New Roman" w:eastAsia="Times New Roman" w:hAnsi="Times New Roman" w:cs="Times New Roman"/>
                <w:color w:val="000000"/>
                <w:lang w:val="ro-MD"/>
              </w:rPr>
              <w:t>arhitectură normativă nu este reflectată în Metodologie.</w:t>
            </w:r>
          </w:p>
          <w:p w14:paraId="0984B521" w14:textId="77777777" w:rsidR="00AC399B" w:rsidRPr="009C4FA3" w:rsidRDefault="00AC399B" w:rsidP="00CD0DDD">
            <w:pPr>
              <w:jc w:val="both"/>
              <w:rPr>
                <w:rFonts w:ascii="Times New Roman" w:eastAsia="Times New Roman" w:hAnsi="Times New Roman" w:cs="Times New Roman"/>
                <w:color w:val="000000"/>
                <w:lang w:val="ro-MD"/>
              </w:rPr>
            </w:pPr>
            <w:r w:rsidRPr="009C4FA3">
              <w:rPr>
                <w:rFonts w:ascii="Times New Roman" w:eastAsia="Times New Roman" w:hAnsi="Times New Roman" w:cs="Times New Roman"/>
                <w:color w:val="000000"/>
                <w:lang w:val="ro-MD"/>
              </w:rPr>
              <w:t>2. Capitolul II, al Metodologiei, reglementează cadrul instituțional și de</w:t>
            </w:r>
            <w:r>
              <w:rPr>
                <w:rFonts w:ascii="Times New Roman" w:eastAsia="Times New Roman" w:hAnsi="Times New Roman" w:cs="Times New Roman"/>
                <w:color w:val="000000"/>
                <w:lang w:val="ro-MD"/>
              </w:rPr>
              <w:t xml:space="preserve"> </w:t>
            </w:r>
            <w:r w:rsidRPr="009C4FA3">
              <w:rPr>
                <w:rFonts w:ascii="Times New Roman" w:eastAsia="Times New Roman" w:hAnsi="Times New Roman" w:cs="Times New Roman"/>
                <w:color w:val="000000"/>
                <w:lang w:val="ro-MD"/>
              </w:rPr>
              <w:t>cooperare, enumerând autoritățile și instituțiile publice cu rol în gestionarea riscurilor.</w:t>
            </w:r>
          </w:p>
          <w:p w14:paraId="43255C20" w14:textId="77777777" w:rsidR="00AC399B" w:rsidRPr="009C4FA3" w:rsidRDefault="00AC399B" w:rsidP="00CD0DDD">
            <w:pPr>
              <w:jc w:val="both"/>
              <w:rPr>
                <w:rFonts w:ascii="Times New Roman" w:eastAsia="Times New Roman" w:hAnsi="Times New Roman" w:cs="Times New Roman"/>
                <w:color w:val="000000"/>
                <w:lang w:val="ro-MD"/>
              </w:rPr>
            </w:pPr>
            <w:r w:rsidRPr="009C4FA3">
              <w:rPr>
                <w:rFonts w:ascii="Times New Roman" w:eastAsia="Times New Roman" w:hAnsi="Times New Roman" w:cs="Times New Roman"/>
                <w:color w:val="000000"/>
                <w:lang w:val="ro-MD"/>
              </w:rPr>
              <w:t>Totuși, Agenția pentru Securitate Cibernetică (ASC), constituită prin HG nr.</w:t>
            </w:r>
            <w:r>
              <w:rPr>
                <w:rFonts w:ascii="Times New Roman" w:eastAsia="Times New Roman" w:hAnsi="Times New Roman" w:cs="Times New Roman"/>
                <w:color w:val="000000"/>
                <w:lang w:val="ro-MD"/>
              </w:rPr>
              <w:t xml:space="preserve"> </w:t>
            </w:r>
            <w:r w:rsidRPr="009C4FA3">
              <w:rPr>
                <w:rFonts w:ascii="Times New Roman" w:eastAsia="Times New Roman" w:hAnsi="Times New Roman" w:cs="Times New Roman"/>
                <w:color w:val="000000"/>
                <w:lang w:val="ro-MD"/>
              </w:rPr>
              <w:t>1028/2023 și desemnată de Legea nr. 48/2023 drept autoritate națională competentă</w:t>
            </w:r>
            <w:r>
              <w:rPr>
                <w:rFonts w:ascii="Times New Roman" w:eastAsia="Times New Roman" w:hAnsi="Times New Roman" w:cs="Times New Roman"/>
                <w:color w:val="000000"/>
                <w:lang w:val="ro-MD"/>
              </w:rPr>
              <w:t xml:space="preserve"> </w:t>
            </w:r>
            <w:r w:rsidRPr="009C4FA3">
              <w:rPr>
                <w:rFonts w:ascii="Times New Roman" w:eastAsia="Times New Roman" w:hAnsi="Times New Roman" w:cs="Times New Roman"/>
                <w:color w:val="000000"/>
                <w:lang w:val="ro-MD"/>
              </w:rPr>
              <w:t>în domeniul securității cibernetice, nu este menționată nici în calitate de instituție</w:t>
            </w:r>
            <w:r>
              <w:rPr>
                <w:rFonts w:ascii="Times New Roman" w:eastAsia="Times New Roman" w:hAnsi="Times New Roman" w:cs="Times New Roman"/>
                <w:color w:val="000000"/>
                <w:lang w:val="ro-MD"/>
              </w:rPr>
              <w:t xml:space="preserve"> </w:t>
            </w:r>
            <w:r w:rsidRPr="009C4FA3">
              <w:rPr>
                <w:rFonts w:ascii="Times New Roman" w:eastAsia="Times New Roman" w:hAnsi="Times New Roman" w:cs="Times New Roman"/>
                <w:color w:val="000000"/>
                <w:lang w:val="ro-MD"/>
              </w:rPr>
              <w:t>principală, nici de instituție de sprijin.</w:t>
            </w:r>
          </w:p>
          <w:p w14:paraId="0B4C06C1" w14:textId="77777777" w:rsidR="00AC399B" w:rsidRPr="009C4FA3" w:rsidRDefault="00AC399B" w:rsidP="00CD0DDD">
            <w:pPr>
              <w:jc w:val="both"/>
              <w:rPr>
                <w:rFonts w:ascii="Times New Roman" w:eastAsia="Times New Roman" w:hAnsi="Times New Roman" w:cs="Times New Roman"/>
                <w:color w:val="000000"/>
                <w:lang w:val="ro-MD"/>
              </w:rPr>
            </w:pPr>
            <w:r w:rsidRPr="009C4FA3">
              <w:rPr>
                <w:rFonts w:ascii="Times New Roman" w:eastAsia="Times New Roman" w:hAnsi="Times New Roman" w:cs="Times New Roman"/>
                <w:color w:val="000000"/>
                <w:lang w:val="ro-MD"/>
              </w:rPr>
              <w:t>Potrivit art. 7, alin. 3, lit. a)-e) din Legea nr. 48/2023, ASC identifică și ține</w:t>
            </w:r>
            <w:r>
              <w:rPr>
                <w:rFonts w:ascii="Times New Roman" w:eastAsia="Times New Roman" w:hAnsi="Times New Roman" w:cs="Times New Roman"/>
                <w:color w:val="000000"/>
                <w:lang w:val="ro-MD"/>
              </w:rPr>
              <w:t xml:space="preserve"> </w:t>
            </w:r>
            <w:r w:rsidRPr="009C4FA3">
              <w:rPr>
                <w:rFonts w:ascii="Times New Roman" w:eastAsia="Times New Roman" w:hAnsi="Times New Roman" w:cs="Times New Roman"/>
                <w:color w:val="000000"/>
                <w:lang w:val="ro-MD"/>
              </w:rPr>
              <w:t>evidența furnizorilor de servicii în sectoarele critice, elaborează cele mai bune practici</w:t>
            </w:r>
          </w:p>
          <w:p w14:paraId="7EABC664" w14:textId="77777777" w:rsidR="00AC399B" w:rsidRPr="009C4FA3" w:rsidRDefault="00AC399B" w:rsidP="00CD0DDD">
            <w:pPr>
              <w:jc w:val="both"/>
              <w:rPr>
                <w:rFonts w:ascii="Times New Roman" w:eastAsia="Times New Roman" w:hAnsi="Times New Roman" w:cs="Times New Roman"/>
                <w:color w:val="000000"/>
                <w:lang w:val="ro-MD"/>
              </w:rPr>
            </w:pPr>
            <w:r w:rsidRPr="009C4FA3">
              <w:rPr>
                <w:rFonts w:ascii="Times New Roman" w:eastAsia="Times New Roman" w:hAnsi="Times New Roman" w:cs="Times New Roman"/>
                <w:color w:val="000000"/>
                <w:lang w:val="ro-MD"/>
              </w:rPr>
              <w:t>pentru gestionarea incidentelor cibernetice și a riscurilor, asigură interacțiunea în</w:t>
            </w:r>
            <w:r>
              <w:rPr>
                <w:rFonts w:ascii="Times New Roman" w:eastAsia="Times New Roman" w:hAnsi="Times New Roman" w:cs="Times New Roman"/>
                <w:color w:val="000000"/>
                <w:lang w:val="ro-MD"/>
              </w:rPr>
              <w:t xml:space="preserve"> </w:t>
            </w:r>
            <w:r w:rsidRPr="009C4FA3">
              <w:rPr>
                <w:rFonts w:ascii="Times New Roman" w:eastAsia="Times New Roman" w:hAnsi="Times New Roman" w:cs="Times New Roman"/>
                <w:color w:val="000000"/>
                <w:lang w:val="ro-MD"/>
              </w:rPr>
              <w:t>domeniul securității cibernetice cu autoritățile și instituțiile publice, exercită</w:t>
            </w:r>
            <w:r>
              <w:rPr>
                <w:rFonts w:ascii="Times New Roman" w:eastAsia="Times New Roman" w:hAnsi="Times New Roman" w:cs="Times New Roman"/>
                <w:color w:val="000000"/>
                <w:lang w:val="ro-MD"/>
              </w:rPr>
              <w:t xml:space="preserve"> </w:t>
            </w:r>
            <w:r w:rsidRPr="009C4FA3">
              <w:rPr>
                <w:rFonts w:ascii="Times New Roman" w:eastAsia="Times New Roman" w:hAnsi="Times New Roman" w:cs="Times New Roman"/>
                <w:color w:val="000000"/>
                <w:lang w:val="ro-MD"/>
              </w:rPr>
              <w:t>supravegherea și controlul. Or, amenințările de tip cibernetic asupra infrastructurii</w:t>
            </w:r>
            <w:r>
              <w:rPr>
                <w:rFonts w:ascii="Times New Roman" w:eastAsia="Times New Roman" w:hAnsi="Times New Roman" w:cs="Times New Roman"/>
                <w:color w:val="000000"/>
                <w:lang w:val="ro-MD"/>
              </w:rPr>
              <w:t xml:space="preserve"> </w:t>
            </w:r>
            <w:r w:rsidRPr="009C4FA3">
              <w:rPr>
                <w:rFonts w:ascii="Times New Roman" w:eastAsia="Times New Roman" w:hAnsi="Times New Roman" w:cs="Times New Roman"/>
                <w:color w:val="000000"/>
                <w:lang w:val="ro-MD"/>
              </w:rPr>
              <w:t xml:space="preserve">critice </w:t>
            </w:r>
            <w:r w:rsidRPr="009C4FA3">
              <w:rPr>
                <w:rFonts w:ascii="Times New Roman" w:eastAsia="Times New Roman" w:hAnsi="Times New Roman" w:cs="Times New Roman"/>
                <w:color w:val="000000"/>
                <w:lang w:val="ro-MD"/>
              </w:rPr>
              <w:lastRenderedPageBreak/>
              <w:t>reprezintă una dintre cele mai relevante categorii de risc la adresa securității</w:t>
            </w:r>
            <w:r>
              <w:rPr>
                <w:rFonts w:ascii="Times New Roman" w:eastAsia="Times New Roman" w:hAnsi="Times New Roman" w:cs="Times New Roman"/>
                <w:color w:val="000000"/>
                <w:lang w:val="ro-MD"/>
              </w:rPr>
              <w:t xml:space="preserve"> </w:t>
            </w:r>
            <w:r w:rsidRPr="009C4FA3">
              <w:rPr>
                <w:rFonts w:ascii="Times New Roman" w:eastAsia="Times New Roman" w:hAnsi="Times New Roman" w:cs="Times New Roman"/>
                <w:color w:val="000000"/>
                <w:lang w:val="ro-MD"/>
              </w:rPr>
              <w:t>naționale, iar autoritatea națională competentă în domeniu nu are niciun rol în</w:t>
            </w:r>
          </w:p>
          <w:p w14:paraId="1EE6F7F2" w14:textId="77777777" w:rsidR="00AC399B" w:rsidRDefault="00AC399B" w:rsidP="00CD0DDD">
            <w:pPr>
              <w:jc w:val="both"/>
              <w:rPr>
                <w:rFonts w:ascii="Times New Roman" w:eastAsia="Times New Roman" w:hAnsi="Times New Roman" w:cs="Times New Roman"/>
                <w:color w:val="000000"/>
                <w:lang w:val="ro-MD"/>
              </w:rPr>
            </w:pPr>
            <w:r w:rsidRPr="009C4FA3">
              <w:rPr>
                <w:rFonts w:ascii="Times New Roman" w:eastAsia="Times New Roman" w:hAnsi="Times New Roman" w:cs="Times New Roman"/>
                <w:color w:val="000000"/>
                <w:lang w:val="ro-MD"/>
              </w:rPr>
              <w:t>evaluarea națională de risc.</w:t>
            </w:r>
            <w:r>
              <w:rPr>
                <w:rFonts w:ascii="Times New Roman" w:eastAsia="Times New Roman" w:hAnsi="Times New Roman" w:cs="Times New Roman"/>
                <w:color w:val="000000"/>
                <w:lang w:val="ro-MD"/>
              </w:rPr>
              <w:t xml:space="preserve"> </w:t>
            </w:r>
          </w:p>
          <w:p w14:paraId="1DC2BE15" w14:textId="77777777" w:rsidR="00AC399B" w:rsidRPr="009C4FA3" w:rsidRDefault="00AC399B" w:rsidP="00CD0DDD">
            <w:pPr>
              <w:jc w:val="both"/>
              <w:rPr>
                <w:rFonts w:ascii="Times New Roman" w:eastAsia="Times New Roman" w:hAnsi="Times New Roman" w:cs="Times New Roman"/>
                <w:color w:val="000000"/>
                <w:lang w:val="ro-MD"/>
              </w:rPr>
            </w:pPr>
            <w:r w:rsidRPr="009C4FA3">
              <w:rPr>
                <w:rFonts w:ascii="Times New Roman" w:eastAsia="Times New Roman" w:hAnsi="Times New Roman" w:cs="Times New Roman"/>
                <w:color w:val="000000"/>
                <w:lang w:val="ro-MD"/>
              </w:rPr>
              <w:t>3. HG nr. 562/2025 instituie proceduri obligatorii de notificare a incidentelor</w:t>
            </w:r>
            <w:r>
              <w:rPr>
                <w:rFonts w:ascii="Times New Roman" w:eastAsia="Times New Roman" w:hAnsi="Times New Roman" w:cs="Times New Roman"/>
                <w:color w:val="000000"/>
                <w:lang w:val="ro-MD"/>
              </w:rPr>
              <w:t xml:space="preserve"> </w:t>
            </w:r>
            <w:r w:rsidRPr="009C4FA3">
              <w:rPr>
                <w:rFonts w:ascii="Times New Roman" w:eastAsia="Times New Roman" w:hAnsi="Times New Roman" w:cs="Times New Roman"/>
                <w:color w:val="000000"/>
                <w:lang w:val="ro-MD"/>
              </w:rPr>
              <w:t>cibernetice semnificative de către furnizorii de servicii în sectoarele critice, inclusiv</w:t>
            </w:r>
          </w:p>
          <w:p w14:paraId="5302E3D3" w14:textId="77777777" w:rsidR="00AC399B" w:rsidRPr="009C4FA3" w:rsidRDefault="00AC399B" w:rsidP="00CD0DDD">
            <w:pPr>
              <w:jc w:val="both"/>
              <w:rPr>
                <w:rFonts w:ascii="Times New Roman" w:eastAsia="Times New Roman" w:hAnsi="Times New Roman" w:cs="Times New Roman"/>
                <w:color w:val="000000"/>
                <w:lang w:val="ro-MD"/>
              </w:rPr>
            </w:pPr>
            <w:r w:rsidRPr="009C4FA3">
              <w:rPr>
                <w:rFonts w:ascii="Times New Roman" w:eastAsia="Times New Roman" w:hAnsi="Times New Roman" w:cs="Times New Roman"/>
                <w:color w:val="000000"/>
                <w:lang w:val="ro-MD"/>
              </w:rPr>
              <w:t>termene stricte (notificare inițială în 24 ore, raport final în 30 zile). Metodologia</w:t>
            </w:r>
            <w:r>
              <w:rPr>
                <w:rFonts w:ascii="Times New Roman" w:eastAsia="Times New Roman" w:hAnsi="Times New Roman" w:cs="Times New Roman"/>
                <w:color w:val="000000"/>
                <w:lang w:val="ro-MD"/>
              </w:rPr>
              <w:t xml:space="preserve"> </w:t>
            </w:r>
            <w:r w:rsidRPr="009C4FA3">
              <w:rPr>
                <w:rFonts w:ascii="Times New Roman" w:eastAsia="Times New Roman" w:hAnsi="Times New Roman" w:cs="Times New Roman"/>
                <w:color w:val="000000"/>
                <w:lang w:val="ro-MD"/>
              </w:rPr>
              <w:t>propusă prevede la pct. 58.2.4 actualizarea operativă a fișelor de risc și a Registrului</w:t>
            </w:r>
          </w:p>
          <w:p w14:paraId="30EAF856" w14:textId="77777777" w:rsidR="00AC399B" w:rsidRPr="009C4FA3" w:rsidRDefault="00AC399B" w:rsidP="00CD0DDD">
            <w:pPr>
              <w:jc w:val="both"/>
              <w:rPr>
                <w:rFonts w:ascii="Times New Roman" w:eastAsia="Times New Roman" w:hAnsi="Times New Roman" w:cs="Times New Roman"/>
                <w:color w:val="000000"/>
                <w:lang w:val="ro-MD"/>
              </w:rPr>
            </w:pPr>
            <w:r w:rsidRPr="009C4FA3">
              <w:rPr>
                <w:rFonts w:ascii="Times New Roman" w:eastAsia="Times New Roman" w:hAnsi="Times New Roman" w:cs="Times New Roman"/>
                <w:color w:val="000000"/>
                <w:lang w:val="ro-MD"/>
              </w:rPr>
              <w:t>Național de Riscuri în funcție de evoluția manifestării riscurilor, fără a preciza</w:t>
            </w:r>
            <w:r>
              <w:rPr>
                <w:rFonts w:ascii="Times New Roman" w:eastAsia="Times New Roman" w:hAnsi="Times New Roman" w:cs="Times New Roman"/>
                <w:color w:val="000000"/>
                <w:lang w:val="ro-MD"/>
              </w:rPr>
              <w:t xml:space="preserve"> </w:t>
            </w:r>
            <w:r w:rsidRPr="009C4FA3">
              <w:rPr>
                <w:rFonts w:ascii="Times New Roman" w:eastAsia="Times New Roman" w:hAnsi="Times New Roman" w:cs="Times New Roman"/>
                <w:color w:val="000000"/>
                <w:lang w:val="ro-MD"/>
              </w:rPr>
              <w:t>mecanismul de corelare cu notificările de incidente cibernetice primite de ASC,</w:t>
            </w:r>
          </w:p>
          <w:p w14:paraId="4145B72F" w14:textId="77777777" w:rsidR="00AC399B" w:rsidRPr="009C4FA3" w:rsidRDefault="00AC399B" w:rsidP="00CD0DDD">
            <w:pPr>
              <w:jc w:val="both"/>
              <w:rPr>
                <w:rFonts w:ascii="Times New Roman" w:eastAsia="Times New Roman" w:hAnsi="Times New Roman" w:cs="Times New Roman"/>
                <w:color w:val="000000"/>
                <w:lang w:val="ro-MD"/>
              </w:rPr>
            </w:pPr>
            <w:r w:rsidRPr="009C4FA3">
              <w:rPr>
                <w:rFonts w:ascii="Times New Roman" w:eastAsia="Times New Roman" w:hAnsi="Times New Roman" w:cs="Times New Roman"/>
                <w:color w:val="000000"/>
                <w:lang w:val="ro-MD"/>
              </w:rPr>
              <w:t>respectiv de Centrul guvernamental de răspuns la incidente cibernetice (CERT-Gov).</w:t>
            </w:r>
          </w:p>
          <w:p w14:paraId="2A916BE7" w14:textId="77777777" w:rsidR="00AC399B" w:rsidRDefault="00AC399B" w:rsidP="00CD0DDD">
            <w:pPr>
              <w:jc w:val="both"/>
              <w:rPr>
                <w:rFonts w:ascii="Times New Roman" w:eastAsia="Times New Roman" w:hAnsi="Times New Roman" w:cs="Times New Roman"/>
                <w:color w:val="000000"/>
                <w:lang w:val="ro-MD"/>
              </w:rPr>
            </w:pPr>
            <w:r w:rsidRPr="009C4FA3">
              <w:rPr>
                <w:rFonts w:ascii="Times New Roman" w:eastAsia="Times New Roman" w:hAnsi="Times New Roman" w:cs="Times New Roman"/>
                <w:color w:val="000000"/>
                <w:lang w:val="ro-MD"/>
              </w:rPr>
              <w:t>Mai mult, pct. 52 din Metodologie stabilește că Registrul Național al Riscurilor</w:t>
            </w:r>
            <w:r>
              <w:rPr>
                <w:rFonts w:ascii="Times New Roman" w:eastAsia="Times New Roman" w:hAnsi="Times New Roman" w:cs="Times New Roman"/>
                <w:color w:val="000000"/>
                <w:lang w:val="ro-MD"/>
              </w:rPr>
              <w:t xml:space="preserve"> </w:t>
            </w:r>
            <w:r w:rsidRPr="009C4FA3">
              <w:rPr>
                <w:rFonts w:ascii="Times New Roman" w:eastAsia="Times New Roman" w:hAnsi="Times New Roman" w:cs="Times New Roman"/>
                <w:color w:val="000000"/>
                <w:lang w:val="ro-MD"/>
              </w:rPr>
              <w:t>constituie sursa principală de referință pentru fundamentarea documentelor de politici</w:t>
            </w:r>
            <w:r>
              <w:rPr>
                <w:rFonts w:ascii="Times New Roman" w:eastAsia="Times New Roman" w:hAnsi="Times New Roman" w:cs="Times New Roman"/>
                <w:color w:val="000000"/>
                <w:lang w:val="ro-MD"/>
              </w:rPr>
              <w:t xml:space="preserve"> </w:t>
            </w:r>
            <w:r w:rsidRPr="009C4FA3">
              <w:rPr>
                <w:rFonts w:ascii="Times New Roman" w:eastAsia="Times New Roman" w:hAnsi="Times New Roman" w:cs="Times New Roman"/>
                <w:color w:val="000000"/>
                <w:lang w:val="ro-MD"/>
              </w:rPr>
              <w:t>publice, fără a lua în calcul că informațiile din registrele incidentelor cibernetice,</w:t>
            </w:r>
            <w:r>
              <w:rPr>
                <w:rFonts w:ascii="Times New Roman" w:eastAsia="Times New Roman" w:hAnsi="Times New Roman" w:cs="Times New Roman"/>
                <w:color w:val="000000"/>
                <w:lang w:val="ro-MD"/>
              </w:rPr>
              <w:t xml:space="preserve"> </w:t>
            </w:r>
            <w:r w:rsidRPr="009C4FA3">
              <w:rPr>
                <w:rFonts w:ascii="Times New Roman" w:eastAsia="Times New Roman" w:hAnsi="Times New Roman" w:cs="Times New Roman"/>
                <w:color w:val="000000"/>
                <w:lang w:val="ro-MD"/>
              </w:rPr>
              <w:t>gestionate de ASC conform art. 15 din Legea nr. 48/2023, reprezintă surse de date de</w:t>
            </w:r>
            <w:r>
              <w:rPr>
                <w:rFonts w:ascii="Times New Roman" w:eastAsia="Times New Roman" w:hAnsi="Times New Roman" w:cs="Times New Roman"/>
                <w:color w:val="000000"/>
                <w:lang w:val="ro-MD"/>
              </w:rPr>
              <w:t xml:space="preserve"> </w:t>
            </w:r>
            <w:r w:rsidRPr="009C4FA3">
              <w:rPr>
                <w:rFonts w:ascii="Times New Roman" w:eastAsia="Times New Roman" w:hAnsi="Times New Roman" w:cs="Times New Roman"/>
                <w:color w:val="000000"/>
                <w:lang w:val="ro-MD"/>
              </w:rPr>
              <w:t>intrare esențiale pentru actualizarea fișelor de risc.</w:t>
            </w:r>
          </w:p>
          <w:p w14:paraId="27E550FD" w14:textId="77777777" w:rsidR="00AC399B" w:rsidRPr="009C4FA3" w:rsidRDefault="00AC399B" w:rsidP="00CD0DDD">
            <w:pPr>
              <w:jc w:val="both"/>
              <w:rPr>
                <w:rFonts w:ascii="Times New Roman" w:eastAsia="Times New Roman" w:hAnsi="Times New Roman" w:cs="Times New Roman"/>
                <w:color w:val="000000"/>
                <w:lang w:val="ro-MD"/>
              </w:rPr>
            </w:pPr>
            <w:r w:rsidRPr="009C4FA3">
              <w:rPr>
                <w:rFonts w:ascii="Times New Roman" w:eastAsia="Times New Roman" w:hAnsi="Times New Roman" w:cs="Times New Roman"/>
                <w:color w:val="000000"/>
                <w:lang w:val="ro-MD"/>
              </w:rPr>
              <w:t>4. Un aspect de esență juridică vizează relația dintre Metodologia propusă și</w:t>
            </w:r>
            <w:r>
              <w:rPr>
                <w:rFonts w:ascii="Times New Roman" w:eastAsia="Times New Roman" w:hAnsi="Times New Roman" w:cs="Times New Roman"/>
                <w:color w:val="000000"/>
                <w:lang w:val="ro-MD"/>
              </w:rPr>
              <w:t xml:space="preserve"> </w:t>
            </w:r>
            <w:r w:rsidRPr="009C4FA3">
              <w:rPr>
                <w:rFonts w:ascii="Times New Roman" w:eastAsia="Times New Roman" w:hAnsi="Times New Roman" w:cs="Times New Roman"/>
                <w:color w:val="000000"/>
                <w:lang w:val="ro-MD"/>
              </w:rPr>
              <w:t>legislația sectorială care prevede propria sa evaluare a riscurilor de securitate</w:t>
            </w:r>
          </w:p>
          <w:p w14:paraId="2360CC1C" w14:textId="77777777" w:rsidR="00AC399B" w:rsidRPr="009C4FA3" w:rsidRDefault="00AC399B" w:rsidP="00CD0DDD">
            <w:pPr>
              <w:jc w:val="both"/>
              <w:rPr>
                <w:rFonts w:ascii="Times New Roman" w:eastAsia="Times New Roman" w:hAnsi="Times New Roman" w:cs="Times New Roman"/>
                <w:color w:val="000000"/>
                <w:lang w:val="ro-MD"/>
              </w:rPr>
            </w:pPr>
            <w:r w:rsidRPr="009C4FA3">
              <w:rPr>
                <w:rFonts w:ascii="Times New Roman" w:eastAsia="Times New Roman" w:hAnsi="Times New Roman" w:cs="Times New Roman"/>
                <w:color w:val="000000"/>
                <w:lang w:val="ro-MD"/>
              </w:rPr>
              <w:t>cibernetică. Art. 3 alin. (5) din Legea nr. 48/2023, detaliat prin pct. 11 și 12 din</w:t>
            </w:r>
            <w:r>
              <w:rPr>
                <w:rFonts w:ascii="Times New Roman" w:eastAsia="Times New Roman" w:hAnsi="Times New Roman" w:cs="Times New Roman"/>
                <w:color w:val="000000"/>
                <w:lang w:val="ro-MD"/>
              </w:rPr>
              <w:t xml:space="preserve"> </w:t>
            </w:r>
            <w:r w:rsidRPr="009C4FA3">
              <w:rPr>
                <w:rFonts w:ascii="Times New Roman" w:eastAsia="Times New Roman" w:hAnsi="Times New Roman" w:cs="Times New Roman"/>
                <w:color w:val="000000"/>
                <w:lang w:val="ro-MD"/>
              </w:rPr>
              <w:t>Regulamentul aprobat prin HG nr. 562/2025, stabilește că legislația sectorială cu</w:t>
            </w:r>
            <w:r>
              <w:rPr>
                <w:rFonts w:ascii="Times New Roman" w:eastAsia="Times New Roman" w:hAnsi="Times New Roman" w:cs="Times New Roman"/>
                <w:color w:val="000000"/>
                <w:lang w:val="ro-MD"/>
              </w:rPr>
              <w:t xml:space="preserve"> </w:t>
            </w:r>
            <w:r w:rsidRPr="009C4FA3">
              <w:rPr>
                <w:rFonts w:ascii="Times New Roman" w:eastAsia="Times New Roman" w:hAnsi="Times New Roman" w:cs="Times New Roman"/>
                <w:color w:val="000000"/>
                <w:lang w:val="ro-MD"/>
              </w:rPr>
              <w:t>efecte cel puțin echivalente are caracter special față de normele cibernetice generale.</w:t>
            </w:r>
          </w:p>
          <w:p w14:paraId="53830B9D" w14:textId="77777777" w:rsidR="00AC399B" w:rsidRPr="009C4FA3" w:rsidRDefault="00AC399B" w:rsidP="00CD0DDD">
            <w:pPr>
              <w:jc w:val="both"/>
              <w:rPr>
                <w:rFonts w:ascii="Times New Roman" w:eastAsia="Times New Roman" w:hAnsi="Times New Roman" w:cs="Times New Roman"/>
                <w:color w:val="000000"/>
                <w:lang w:val="ro-MD"/>
              </w:rPr>
            </w:pPr>
            <w:r w:rsidRPr="009C4FA3">
              <w:rPr>
                <w:rFonts w:ascii="Times New Roman" w:eastAsia="Times New Roman" w:hAnsi="Times New Roman" w:cs="Times New Roman"/>
                <w:color w:val="000000"/>
                <w:lang w:val="ro-MD"/>
              </w:rPr>
              <w:t>Metodologia nu clarifică în niciun mod dacă fișele de risc elaborate în temeiul</w:t>
            </w:r>
            <w:r>
              <w:rPr>
                <w:rFonts w:ascii="Times New Roman" w:eastAsia="Times New Roman" w:hAnsi="Times New Roman" w:cs="Times New Roman"/>
                <w:color w:val="000000"/>
                <w:lang w:val="ro-MD"/>
              </w:rPr>
              <w:t xml:space="preserve"> </w:t>
            </w:r>
            <w:r w:rsidRPr="009C4FA3">
              <w:rPr>
                <w:rFonts w:ascii="Times New Roman" w:eastAsia="Times New Roman" w:hAnsi="Times New Roman" w:cs="Times New Roman"/>
                <w:color w:val="000000"/>
                <w:lang w:val="ro-MD"/>
              </w:rPr>
              <w:t xml:space="preserve">acesteia, pentru riscuri de </w:t>
            </w:r>
            <w:r w:rsidRPr="009C4FA3">
              <w:rPr>
                <w:rFonts w:ascii="Times New Roman" w:eastAsia="Times New Roman" w:hAnsi="Times New Roman" w:cs="Times New Roman"/>
                <w:color w:val="000000"/>
                <w:lang w:val="ro-MD"/>
              </w:rPr>
              <w:lastRenderedPageBreak/>
              <w:t>natură cibernetică, se suprapun sau se substituie evaluărilor</w:t>
            </w:r>
          </w:p>
          <w:p w14:paraId="65615DC6" w14:textId="77777777" w:rsidR="00AC399B" w:rsidRPr="009C4FA3" w:rsidRDefault="00AC399B" w:rsidP="00CD0DDD">
            <w:pPr>
              <w:jc w:val="both"/>
              <w:rPr>
                <w:rFonts w:ascii="Times New Roman" w:eastAsia="Times New Roman" w:hAnsi="Times New Roman" w:cs="Times New Roman"/>
                <w:color w:val="000000"/>
                <w:lang w:val="ro-MD"/>
              </w:rPr>
            </w:pPr>
            <w:r w:rsidRPr="009C4FA3">
              <w:rPr>
                <w:rFonts w:ascii="Times New Roman" w:eastAsia="Times New Roman" w:hAnsi="Times New Roman" w:cs="Times New Roman"/>
                <w:color w:val="000000"/>
                <w:lang w:val="ro-MD"/>
              </w:rPr>
              <w:t>de risc efectuate de furnizori conform HG nr. 562/2025. Această ambiguitate poate</w:t>
            </w:r>
            <w:r>
              <w:rPr>
                <w:rFonts w:ascii="Times New Roman" w:eastAsia="Times New Roman" w:hAnsi="Times New Roman" w:cs="Times New Roman"/>
                <w:color w:val="000000"/>
                <w:lang w:val="ro-MD"/>
              </w:rPr>
              <w:t xml:space="preserve"> </w:t>
            </w:r>
            <w:r w:rsidRPr="009C4FA3">
              <w:rPr>
                <w:rFonts w:ascii="Times New Roman" w:eastAsia="Times New Roman" w:hAnsi="Times New Roman" w:cs="Times New Roman"/>
                <w:color w:val="000000"/>
                <w:lang w:val="ro-MD"/>
              </w:rPr>
              <w:t>conduce la duplicarea evaluărilor, la sarcini administrative nejustificate pentru</w:t>
            </w:r>
            <w:r>
              <w:rPr>
                <w:rFonts w:ascii="Times New Roman" w:eastAsia="Times New Roman" w:hAnsi="Times New Roman" w:cs="Times New Roman"/>
                <w:color w:val="000000"/>
                <w:lang w:val="ro-MD"/>
              </w:rPr>
              <w:t xml:space="preserve"> </w:t>
            </w:r>
            <w:r w:rsidRPr="009C4FA3">
              <w:rPr>
                <w:rFonts w:ascii="Times New Roman" w:eastAsia="Times New Roman" w:hAnsi="Times New Roman" w:cs="Times New Roman"/>
                <w:color w:val="000000"/>
                <w:lang w:val="ro-MD"/>
              </w:rPr>
              <w:t>operatorii din sectoarele critice și la interpretări divergente privind responsabilitățile</w:t>
            </w:r>
            <w:r>
              <w:rPr>
                <w:rFonts w:ascii="Times New Roman" w:eastAsia="Times New Roman" w:hAnsi="Times New Roman" w:cs="Times New Roman"/>
                <w:color w:val="000000"/>
                <w:lang w:val="ro-MD"/>
              </w:rPr>
              <w:t xml:space="preserve"> </w:t>
            </w:r>
            <w:r w:rsidRPr="009C4FA3">
              <w:rPr>
                <w:rFonts w:ascii="Times New Roman" w:eastAsia="Times New Roman" w:hAnsi="Times New Roman" w:cs="Times New Roman"/>
                <w:color w:val="000000"/>
                <w:lang w:val="ro-MD"/>
              </w:rPr>
              <w:t>instituționale.</w:t>
            </w:r>
          </w:p>
          <w:p w14:paraId="635769AB" w14:textId="77777777" w:rsidR="00AC399B" w:rsidRPr="009C4FA3" w:rsidRDefault="00AC399B" w:rsidP="00CD0DDD">
            <w:pPr>
              <w:jc w:val="both"/>
              <w:rPr>
                <w:rFonts w:ascii="Times New Roman" w:eastAsia="Times New Roman" w:hAnsi="Times New Roman" w:cs="Times New Roman"/>
                <w:color w:val="000000"/>
                <w:lang w:val="ro-MD"/>
              </w:rPr>
            </w:pPr>
            <w:r w:rsidRPr="009C4FA3">
              <w:rPr>
                <w:rFonts w:ascii="Times New Roman" w:eastAsia="Times New Roman" w:hAnsi="Times New Roman" w:cs="Times New Roman"/>
                <w:color w:val="000000"/>
                <w:lang w:val="ro-MD"/>
              </w:rPr>
              <w:t>Astfel, în contextul celor constatate mai sus propunem următoarele modificări</w:t>
            </w:r>
          </w:p>
          <w:p w14:paraId="2B7D9ED0" w14:textId="77777777" w:rsidR="00AC399B" w:rsidRPr="009C4FA3" w:rsidRDefault="00AC399B" w:rsidP="00CD0DDD">
            <w:pPr>
              <w:jc w:val="both"/>
              <w:rPr>
                <w:rFonts w:ascii="Times New Roman" w:eastAsia="Times New Roman" w:hAnsi="Times New Roman" w:cs="Times New Roman"/>
                <w:color w:val="000000"/>
                <w:lang w:val="ro-MD"/>
              </w:rPr>
            </w:pPr>
            <w:r w:rsidRPr="009C4FA3">
              <w:rPr>
                <w:rFonts w:ascii="Times New Roman" w:eastAsia="Times New Roman" w:hAnsi="Times New Roman" w:cs="Times New Roman"/>
                <w:color w:val="000000"/>
                <w:lang w:val="ro-MD"/>
              </w:rPr>
              <w:t>și completări:</w:t>
            </w:r>
          </w:p>
          <w:p w14:paraId="0D42554D" w14:textId="77777777" w:rsidR="00AC399B" w:rsidRPr="009C4FA3" w:rsidRDefault="00AC399B" w:rsidP="00CD0DDD">
            <w:pPr>
              <w:jc w:val="both"/>
              <w:rPr>
                <w:rFonts w:ascii="Times New Roman" w:eastAsia="Times New Roman" w:hAnsi="Times New Roman" w:cs="Times New Roman"/>
                <w:color w:val="000000"/>
                <w:lang w:val="ro-MD"/>
              </w:rPr>
            </w:pPr>
            <w:r w:rsidRPr="009C4FA3">
              <w:rPr>
                <w:rFonts w:ascii="Times New Roman" w:eastAsia="Times New Roman" w:hAnsi="Times New Roman" w:cs="Times New Roman"/>
                <w:color w:val="000000"/>
                <w:lang w:val="ro-MD"/>
              </w:rPr>
              <w:t>• Se propune completarea pct. 3 din Metodologie cu un subpunct explicit care</w:t>
            </w:r>
            <w:r>
              <w:rPr>
                <w:rFonts w:ascii="Times New Roman" w:eastAsia="Times New Roman" w:hAnsi="Times New Roman" w:cs="Times New Roman"/>
                <w:color w:val="000000"/>
                <w:lang w:val="ro-MD"/>
              </w:rPr>
              <w:t xml:space="preserve"> </w:t>
            </w:r>
            <w:r w:rsidRPr="009C4FA3">
              <w:rPr>
                <w:rFonts w:ascii="Times New Roman" w:eastAsia="Times New Roman" w:hAnsi="Times New Roman" w:cs="Times New Roman"/>
                <w:color w:val="000000"/>
                <w:lang w:val="ro-MD"/>
              </w:rPr>
              <w:t>să asigure coerența cu Legea nr. 48/2023, respectiv cu HG nr. 562/2025 și HG nr.860/2024, în sensul în care Metodologia trebuie să recunoască și să integreze</w:t>
            </w:r>
            <w:r>
              <w:rPr>
                <w:rFonts w:ascii="Times New Roman" w:eastAsia="Times New Roman" w:hAnsi="Times New Roman" w:cs="Times New Roman"/>
                <w:color w:val="000000"/>
                <w:lang w:val="ro-MD"/>
              </w:rPr>
              <w:t xml:space="preserve"> </w:t>
            </w:r>
            <w:r w:rsidRPr="009C4FA3">
              <w:rPr>
                <w:rFonts w:ascii="Times New Roman" w:eastAsia="Times New Roman" w:hAnsi="Times New Roman" w:cs="Times New Roman"/>
                <w:color w:val="000000"/>
                <w:lang w:val="ro-MD"/>
              </w:rPr>
              <w:t>evaluările de risc cibernetic efectuate de furnizorii de servicii în sectoarele critice în</w:t>
            </w:r>
            <w:r>
              <w:rPr>
                <w:rFonts w:ascii="Times New Roman" w:eastAsia="Times New Roman" w:hAnsi="Times New Roman" w:cs="Times New Roman"/>
                <w:color w:val="000000"/>
                <w:lang w:val="ro-MD"/>
              </w:rPr>
              <w:t xml:space="preserve"> </w:t>
            </w:r>
            <w:r w:rsidRPr="009C4FA3">
              <w:rPr>
                <w:rFonts w:ascii="Times New Roman" w:eastAsia="Times New Roman" w:hAnsi="Times New Roman" w:cs="Times New Roman"/>
                <w:color w:val="000000"/>
                <w:lang w:val="ro-MD"/>
              </w:rPr>
              <w:t>conformitate cu cadrul normativ specific. Totodată, la pct. 7 din Metodologie, lista de</w:t>
            </w:r>
            <w:r>
              <w:rPr>
                <w:rFonts w:ascii="Times New Roman" w:eastAsia="Times New Roman" w:hAnsi="Times New Roman" w:cs="Times New Roman"/>
                <w:color w:val="000000"/>
                <w:lang w:val="ro-MD"/>
              </w:rPr>
              <w:t xml:space="preserve"> </w:t>
            </w:r>
            <w:r w:rsidRPr="009C4FA3">
              <w:rPr>
                <w:rFonts w:ascii="Times New Roman" w:eastAsia="Times New Roman" w:hAnsi="Times New Roman" w:cs="Times New Roman"/>
                <w:color w:val="000000"/>
                <w:lang w:val="ro-MD"/>
              </w:rPr>
              <w:t>noțiuni urmează a fi completată cu noțiunile de "incident cibernetic cu impact</w:t>
            </w:r>
            <w:r>
              <w:rPr>
                <w:rFonts w:ascii="Times New Roman" w:eastAsia="Times New Roman" w:hAnsi="Times New Roman" w:cs="Times New Roman"/>
                <w:color w:val="000000"/>
                <w:lang w:val="ro-MD"/>
              </w:rPr>
              <w:t xml:space="preserve"> </w:t>
            </w:r>
            <w:r w:rsidRPr="009C4FA3">
              <w:rPr>
                <w:rFonts w:ascii="Times New Roman" w:eastAsia="Times New Roman" w:hAnsi="Times New Roman" w:cs="Times New Roman"/>
                <w:color w:val="000000"/>
                <w:lang w:val="ro-MD"/>
              </w:rPr>
              <w:t>semnificativ" și "furnizor de servicii în sectoarele critice", astfel cum sunt definite în</w:t>
            </w:r>
            <w:r>
              <w:rPr>
                <w:rFonts w:ascii="Times New Roman" w:eastAsia="Times New Roman" w:hAnsi="Times New Roman" w:cs="Times New Roman"/>
                <w:color w:val="000000"/>
                <w:lang w:val="ro-MD"/>
              </w:rPr>
              <w:t xml:space="preserve"> </w:t>
            </w:r>
            <w:r w:rsidRPr="009C4FA3">
              <w:rPr>
                <w:rFonts w:ascii="Times New Roman" w:eastAsia="Times New Roman" w:hAnsi="Times New Roman" w:cs="Times New Roman"/>
                <w:color w:val="000000"/>
                <w:lang w:val="ro-MD"/>
              </w:rPr>
              <w:t>Legea nr. 48/2023.</w:t>
            </w:r>
          </w:p>
          <w:p w14:paraId="44CF263E" w14:textId="77777777" w:rsidR="00AC399B" w:rsidRPr="009C4FA3" w:rsidRDefault="00AC399B" w:rsidP="00CD0DDD">
            <w:pPr>
              <w:jc w:val="both"/>
              <w:rPr>
                <w:rFonts w:ascii="Times New Roman" w:eastAsia="Times New Roman" w:hAnsi="Times New Roman" w:cs="Times New Roman"/>
                <w:color w:val="000000"/>
                <w:lang w:val="ro-MD"/>
              </w:rPr>
            </w:pPr>
            <w:r w:rsidRPr="009C4FA3">
              <w:rPr>
                <w:rFonts w:ascii="Times New Roman" w:eastAsia="Times New Roman" w:hAnsi="Times New Roman" w:cs="Times New Roman"/>
                <w:color w:val="000000"/>
                <w:lang w:val="ro-MD"/>
              </w:rPr>
              <w:t>• Se propune completarea pct. 10 din Metodologie (atribuțiile CNMC în</w:t>
            </w:r>
            <w:r>
              <w:rPr>
                <w:rFonts w:ascii="Times New Roman" w:eastAsia="Times New Roman" w:hAnsi="Times New Roman" w:cs="Times New Roman"/>
                <w:color w:val="000000"/>
                <w:lang w:val="ro-MD"/>
              </w:rPr>
              <w:t xml:space="preserve"> </w:t>
            </w:r>
            <w:r w:rsidRPr="009C4FA3">
              <w:rPr>
                <w:rFonts w:ascii="Times New Roman" w:eastAsia="Times New Roman" w:hAnsi="Times New Roman" w:cs="Times New Roman"/>
                <w:color w:val="000000"/>
                <w:lang w:val="ro-MD"/>
              </w:rPr>
              <w:t>materia evaluării naționale de risc) sau introducerea unui punct distinct pentru a stabili</w:t>
            </w:r>
            <w:r>
              <w:rPr>
                <w:rFonts w:ascii="Times New Roman" w:eastAsia="Times New Roman" w:hAnsi="Times New Roman" w:cs="Times New Roman"/>
                <w:color w:val="000000"/>
                <w:lang w:val="ro-MD"/>
              </w:rPr>
              <w:t xml:space="preserve"> </w:t>
            </w:r>
            <w:r w:rsidRPr="009C4FA3">
              <w:rPr>
                <w:rFonts w:ascii="Times New Roman" w:eastAsia="Times New Roman" w:hAnsi="Times New Roman" w:cs="Times New Roman"/>
                <w:color w:val="000000"/>
                <w:lang w:val="ro-MD"/>
              </w:rPr>
              <w:t>mecanismul de cooperare obligatorie cu Agenția pentru Securitate Cibernetică. În</w:t>
            </w:r>
            <w:r>
              <w:rPr>
                <w:rFonts w:ascii="Times New Roman" w:eastAsia="Times New Roman" w:hAnsi="Times New Roman" w:cs="Times New Roman"/>
                <w:color w:val="000000"/>
                <w:lang w:val="ro-MD"/>
              </w:rPr>
              <w:t xml:space="preserve"> </w:t>
            </w:r>
            <w:r w:rsidRPr="009C4FA3">
              <w:rPr>
                <w:rFonts w:ascii="Times New Roman" w:eastAsia="Times New Roman" w:hAnsi="Times New Roman" w:cs="Times New Roman"/>
                <w:color w:val="000000"/>
                <w:lang w:val="ro-MD"/>
              </w:rPr>
              <w:t>special, pentru riscurile din categoria amenințărilor cibernetice la infrastructura</w:t>
            </w:r>
            <w:r>
              <w:rPr>
                <w:rFonts w:ascii="Times New Roman" w:eastAsia="Times New Roman" w:hAnsi="Times New Roman" w:cs="Times New Roman"/>
                <w:color w:val="000000"/>
                <w:lang w:val="ro-MD"/>
              </w:rPr>
              <w:t xml:space="preserve"> </w:t>
            </w:r>
            <w:r w:rsidRPr="009C4FA3">
              <w:rPr>
                <w:rFonts w:ascii="Times New Roman" w:eastAsia="Times New Roman" w:hAnsi="Times New Roman" w:cs="Times New Roman"/>
                <w:color w:val="000000"/>
                <w:lang w:val="ro-MD"/>
              </w:rPr>
              <w:t>critică, ASC urmează a fi desemnată în calitate de instituție principală sau cel puțin</w:t>
            </w:r>
            <w:r>
              <w:rPr>
                <w:rFonts w:ascii="Times New Roman" w:eastAsia="Times New Roman" w:hAnsi="Times New Roman" w:cs="Times New Roman"/>
                <w:color w:val="000000"/>
                <w:lang w:val="ro-MD"/>
              </w:rPr>
              <w:t xml:space="preserve"> </w:t>
            </w:r>
            <w:r w:rsidRPr="009C4FA3">
              <w:rPr>
                <w:rFonts w:ascii="Times New Roman" w:eastAsia="Times New Roman" w:hAnsi="Times New Roman" w:cs="Times New Roman"/>
                <w:color w:val="000000"/>
                <w:lang w:val="ro-MD"/>
              </w:rPr>
              <w:t>de instituție de sprijin specializată, cu obligația de a transmite CNMC evaluările de</w:t>
            </w:r>
            <w:r>
              <w:rPr>
                <w:rFonts w:ascii="Times New Roman" w:eastAsia="Times New Roman" w:hAnsi="Times New Roman" w:cs="Times New Roman"/>
                <w:color w:val="000000"/>
                <w:lang w:val="ro-MD"/>
              </w:rPr>
              <w:t xml:space="preserve"> </w:t>
            </w:r>
            <w:r w:rsidRPr="009C4FA3">
              <w:rPr>
                <w:rFonts w:ascii="Times New Roman" w:eastAsia="Times New Roman" w:hAnsi="Times New Roman" w:cs="Times New Roman"/>
                <w:color w:val="000000"/>
                <w:lang w:val="ro-MD"/>
              </w:rPr>
              <w:t>risc cibernetic consolidate conform procedurilor stabilite prin HG nr. 562/2025.</w:t>
            </w:r>
          </w:p>
          <w:p w14:paraId="59FAE5FF" w14:textId="77777777" w:rsidR="00AC399B" w:rsidRPr="009C4FA3" w:rsidRDefault="00AC399B" w:rsidP="00CD0DDD">
            <w:pPr>
              <w:jc w:val="both"/>
              <w:rPr>
                <w:rFonts w:ascii="Times New Roman" w:eastAsia="Times New Roman" w:hAnsi="Times New Roman" w:cs="Times New Roman"/>
                <w:color w:val="000000"/>
                <w:lang w:val="ro-MD"/>
              </w:rPr>
            </w:pPr>
            <w:r w:rsidRPr="009C4FA3">
              <w:rPr>
                <w:rFonts w:ascii="Times New Roman" w:eastAsia="Times New Roman" w:hAnsi="Times New Roman" w:cs="Times New Roman"/>
                <w:color w:val="000000"/>
                <w:lang w:val="ro-MD"/>
              </w:rPr>
              <w:lastRenderedPageBreak/>
              <w:t>• Se propune completarea pct. 58.2 din Metodologie cu o prevedere explicită</w:t>
            </w:r>
            <w:r>
              <w:rPr>
                <w:rFonts w:ascii="Times New Roman" w:eastAsia="Times New Roman" w:hAnsi="Times New Roman" w:cs="Times New Roman"/>
                <w:color w:val="000000"/>
                <w:lang w:val="ro-MD"/>
              </w:rPr>
              <w:t xml:space="preserve"> </w:t>
            </w:r>
            <w:r w:rsidRPr="009C4FA3">
              <w:rPr>
                <w:rFonts w:ascii="Times New Roman" w:eastAsia="Times New Roman" w:hAnsi="Times New Roman" w:cs="Times New Roman"/>
                <w:color w:val="000000"/>
                <w:lang w:val="ro-MD"/>
              </w:rPr>
              <w:t>privind mecanismul de corelare a informațiilor din notificările de incidente</w:t>
            </w:r>
            <w:r>
              <w:rPr>
                <w:rFonts w:ascii="Times New Roman" w:eastAsia="Times New Roman" w:hAnsi="Times New Roman" w:cs="Times New Roman"/>
                <w:color w:val="000000"/>
                <w:lang w:val="ro-MD"/>
              </w:rPr>
              <w:t xml:space="preserve"> </w:t>
            </w:r>
            <w:r w:rsidRPr="009C4FA3">
              <w:rPr>
                <w:rFonts w:ascii="Times New Roman" w:eastAsia="Times New Roman" w:hAnsi="Times New Roman" w:cs="Times New Roman"/>
                <w:color w:val="000000"/>
                <w:lang w:val="ro-MD"/>
              </w:rPr>
              <w:t>cibernetice semnificative (primite de ASC și CERT-Gov) cu procesul de actualizare</w:t>
            </w:r>
            <w:r>
              <w:rPr>
                <w:rFonts w:ascii="Times New Roman" w:eastAsia="Times New Roman" w:hAnsi="Times New Roman" w:cs="Times New Roman"/>
                <w:color w:val="000000"/>
                <w:lang w:val="ro-MD"/>
              </w:rPr>
              <w:t xml:space="preserve"> </w:t>
            </w:r>
            <w:r w:rsidRPr="009C4FA3">
              <w:rPr>
                <w:rFonts w:ascii="Times New Roman" w:eastAsia="Times New Roman" w:hAnsi="Times New Roman" w:cs="Times New Roman"/>
                <w:color w:val="000000"/>
                <w:lang w:val="ro-MD"/>
              </w:rPr>
              <w:t>a Registrului Național al Riscurilor. Totodată, se recomandă ca CNMC să încheie un</w:t>
            </w:r>
            <w:r>
              <w:rPr>
                <w:rFonts w:ascii="Times New Roman" w:eastAsia="Times New Roman" w:hAnsi="Times New Roman" w:cs="Times New Roman"/>
                <w:color w:val="000000"/>
                <w:lang w:val="ro-MD"/>
              </w:rPr>
              <w:t xml:space="preserve"> </w:t>
            </w:r>
            <w:r w:rsidRPr="009C4FA3">
              <w:rPr>
                <w:rFonts w:ascii="Times New Roman" w:eastAsia="Times New Roman" w:hAnsi="Times New Roman" w:cs="Times New Roman"/>
                <w:color w:val="000000"/>
                <w:lang w:val="ro-MD"/>
              </w:rPr>
              <w:t>protocol de colaborare cu ASC, similar celor prevăzute la pct. 29 din Metodologie,</w:t>
            </w:r>
          </w:p>
          <w:p w14:paraId="095660CD" w14:textId="77777777" w:rsidR="00AC399B" w:rsidRPr="009C4FA3" w:rsidRDefault="00AC399B" w:rsidP="00CD0DDD">
            <w:pPr>
              <w:jc w:val="both"/>
              <w:rPr>
                <w:rFonts w:ascii="Times New Roman" w:eastAsia="Times New Roman" w:hAnsi="Times New Roman" w:cs="Times New Roman"/>
                <w:color w:val="000000"/>
                <w:lang w:val="ro-MD"/>
              </w:rPr>
            </w:pPr>
            <w:r w:rsidRPr="009C4FA3">
              <w:rPr>
                <w:rFonts w:ascii="Times New Roman" w:eastAsia="Times New Roman" w:hAnsi="Times New Roman" w:cs="Times New Roman"/>
                <w:color w:val="000000"/>
                <w:lang w:val="ro-MD"/>
              </w:rPr>
              <w:t>pentru a asigura fluxul informațional bilateral în timp real.</w:t>
            </w:r>
          </w:p>
          <w:p w14:paraId="51CC40EF" w14:textId="77777777" w:rsidR="00AC399B" w:rsidRPr="009C4FA3" w:rsidRDefault="00AC399B" w:rsidP="00CD0DDD">
            <w:pPr>
              <w:jc w:val="both"/>
              <w:rPr>
                <w:rFonts w:ascii="Times New Roman" w:eastAsia="Times New Roman" w:hAnsi="Times New Roman" w:cs="Times New Roman"/>
                <w:color w:val="000000"/>
                <w:lang w:val="ro-MD"/>
              </w:rPr>
            </w:pPr>
            <w:r w:rsidRPr="009C4FA3">
              <w:rPr>
                <w:rFonts w:ascii="Times New Roman" w:eastAsia="Times New Roman" w:hAnsi="Times New Roman" w:cs="Times New Roman"/>
                <w:color w:val="000000"/>
                <w:lang w:val="ro-MD"/>
              </w:rPr>
              <w:t>• Se propune inserarea unui punct distinct în capitolul I (Dispoziții generale) al</w:t>
            </w:r>
            <w:r>
              <w:rPr>
                <w:rFonts w:ascii="Times New Roman" w:eastAsia="Times New Roman" w:hAnsi="Times New Roman" w:cs="Times New Roman"/>
                <w:color w:val="000000"/>
                <w:lang w:val="ro-MD"/>
              </w:rPr>
              <w:t xml:space="preserve"> </w:t>
            </w:r>
            <w:r w:rsidRPr="009C4FA3">
              <w:rPr>
                <w:rFonts w:ascii="Times New Roman" w:eastAsia="Times New Roman" w:hAnsi="Times New Roman" w:cs="Times New Roman"/>
                <w:color w:val="000000"/>
                <w:lang w:val="ro-MD"/>
              </w:rPr>
              <w:t>Metodologiei, prin care să se clarifice că, în cazul riscurilor cu natură predominant</w:t>
            </w:r>
          </w:p>
          <w:p w14:paraId="23E3EDF6" w14:textId="77777777" w:rsidR="00AC399B" w:rsidRPr="009C4FA3" w:rsidRDefault="00AC399B" w:rsidP="00CD0DDD">
            <w:pPr>
              <w:jc w:val="both"/>
              <w:rPr>
                <w:rFonts w:ascii="Times New Roman" w:eastAsia="Times New Roman" w:hAnsi="Times New Roman" w:cs="Times New Roman"/>
                <w:color w:val="000000"/>
                <w:lang w:val="ro-MD"/>
              </w:rPr>
            </w:pPr>
            <w:r w:rsidRPr="009C4FA3">
              <w:rPr>
                <w:rFonts w:ascii="Times New Roman" w:eastAsia="Times New Roman" w:hAnsi="Times New Roman" w:cs="Times New Roman"/>
                <w:color w:val="000000"/>
                <w:lang w:val="ro-MD"/>
              </w:rPr>
              <w:t>cibernetică, Metodologia integrează și valorifică evaluările de risc efectuate conform</w:t>
            </w:r>
            <w:r>
              <w:rPr>
                <w:rFonts w:ascii="Times New Roman" w:eastAsia="Times New Roman" w:hAnsi="Times New Roman" w:cs="Times New Roman"/>
                <w:color w:val="000000"/>
                <w:lang w:val="ro-MD"/>
              </w:rPr>
              <w:t xml:space="preserve"> </w:t>
            </w:r>
            <w:r w:rsidRPr="009C4FA3">
              <w:rPr>
                <w:rFonts w:ascii="Times New Roman" w:eastAsia="Times New Roman" w:hAnsi="Times New Roman" w:cs="Times New Roman"/>
                <w:color w:val="000000"/>
                <w:lang w:val="ro-MD"/>
              </w:rPr>
              <w:t>Legii nr. 48/2023 și HG nr. 562/2025, fără a institui obligații duble pentru furnizorii</w:t>
            </w:r>
          </w:p>
          <w:p w14:paraId="7A2CC7BC" w14:textId="77777777" w:rsidR="00AC399B" w:rsidRDefault="00AC399B" w:rsidP="00CD0DDD">
            <w:pPr>
              <w:jc w:val="both"/>
              <w:rPr>
                <w:rFonts w:ascii="Times New Roman" w:eastAsia="Times New Roman" w:hAnsi="Times New Roman" w:cs="Times New Roman"/>
              </w:rPr>
            </w:pPr>
            <w:r w:rsidRPr="009C4FA3">
              <w:rPr>
                <w:rFonts w:ascii="Times New Roman" w:eastAsia="Times New Roman" w:hAnsi="Times New Roman" w:cs="Times New Roman"/>
                <w:color w:val="000000"/>
                <w:lang w:val="ro-MD"/>
              </w:rPr>
              <w:t>de servicii în sectoarele critice. Aceasta este în spiritul principiului prevenirii</w:t>
            </w:r>
            <w:r>
              <w:rPr>
                <w:rFonts w:ascii="Times New Roman" w:eastAsia="Times New Roman" w:hAnsi="Times New Roman" w:cs="Times New Roman"/>
                <w:color w:val="000000"/>
                <w:lang w:val="ro-MD"/>
              </w:rPr>
              <w:t xml:space="preserve"> </w:t>
            </w:r>
            <w:r w:rsidRPr="009C4FA3">
              <w:rPr>
                <w:rFonts w:ascii="Times New Roman" w:eastAsia="Times New Roman" w:hAnsi="Times New Roman" w:cs="Times New Roman"/>
                <w:color w:val="000000"/>
                <w:lang w:val="ro-MD"/>
              </w:rPr>
              <w:t>sarcinilor administrative redundante, consacrat implicit de art. 5 lit. b) din Legea nr.</w:t>
            </w:r>
            <w:r>
              <w:rPr>
                <w:rFonts w:ascii="Times New Roman" w:eastAsia="Times New Roman" w:hAnsi="Times New Roman" w:cs="Times New Roman"/>
                <w:color w:val="000000"/>
                <w:lang w:val="ro-MD"/>
              </w:rPr>
              <w:t xml:space="preserve"> </w:t>
            </w:r>
            <w:r w:rsidRPr="009C4FA3">
              <w:rPr>
                <w:rFonts w:ascii="Times New Roman" w:eastAsia="Times New Roman" w:hAnsi="Times New Roman" w:cs="Times New Roman"/>
                <w:color w:val="000000"/>
                <w:lang w:val="ro-MD"/>
              </w:rPr>
              <w:t>48/2023.</w:t>
            </w:r>
          </w:p>
        </w:tc>
        <w:tc>
          <w:tcPr>
            <w:tcW w:w="3952" w:type="dxa"/>
            <w:tcBorders>
              <w:top w:val="single" w:sz="4" w:space="0" w:color="auto"/>
              <w:left w:val="single" w:sz="4" w:space="0" w:color="auto"/>
              <w:bottom w:val="single" w:sz="4" w:space="0" w:color="auto"/>
              <w:right w:val="single" w:sz="4" w:space="0" w:color="auto"/>
            </w:tcBorders>
          </w:tcPr>
          <w:p w14:paraId="22F7818B" w14:textId="77777777" w:rsidR="00AC399B" w:rsidRDefault="00AC399B" w:rsidP="00CD0DDD">
            <w:pPr>
              <w:jc w:val="both"/>
              <w:rPr>
                <w:rFonts w:ascii="Times New Roman" w:eastAsia="Times New Roman" w:hAnsi="Times New Roman" w:cs="Times New Roman"/>
                <w:lang w:val="ro-MD"/>
              </w:rPr>
            </w:pPr>
          </w:p>
          <w:p w14:paraId="73CA0E1D" w14:textId="77777777" w:rsidR="00AC399B" w:rsidRDefault="00AC399B" w:rsidP="00AC399B">
            <w:pPr>
              <w:pBdr>
                <w:between w:val="single" w:sz="4" w:space="1" w:color="000000"/>
              </w:pBdr>
              <w:jc w:val="both"/>
              <w:rPr>
                <w:rFonts w:ascii="Times New Roman" w:eastAsia="Times New Roman" w:hAnsi="Times New Roman" w:cs="Times New Roman"/>
                <w:lang w:val="ro-MD"/>
              </w:rPr>
            </w:pPr>
            <w:r w:rsidRPr="00AC399B">
              <w:rPr>
                <w:rFonts w:ascii="Times New Roman" w:eastAsia="Times New Roman" w:hAnsi="Times New Roman" w:cs="Times New Roman"/>
                <w:b/>
                <w:bCs/>
                <w:lang w:val="ro-MD"/>
              </w:rPr>
              <w:t>Se acceptă.</w:t>
            </w:r>
            <w:r>
              <w:rPr>
                <w:rFonts w:ascii="Times New Roman" w:eastAsia="Times New Roman" w:hAnsi="Times New Roman" w:cs="Times New Roman"/>
                <w:lang w:val="ro-MD"/>
              </w:rPr>
              <w:t xml:space="preserve"> Integrat în textul proiectului.</w:t>
            </w:r>
          </w:p>
          <w:p w14:paraId="0C3169EC" w14:textId="77777777" w:rsidR="00AC399B" w:rsidRDefault="00AC399B" w:rsidP="00CD0DDD">
            <w:pPr>
              <w:jc w:val="both"/>
              <w:rPr>
                <w:rFonts w:ascii="Times New Roman" w:eastAsia="Times New Roman" w:hAnsi="Times New Roman" w:cs="Times New Roman"/>
                <w:lang w:val="ro-MD"/>
              </w:rPr>
            </w:pPr>
          </w:p>
          <w:p w14:paraId="5EB92D98" w14:textId="77777777" w:rsidR="00AC399B" w:rsidRDefault="00AC399B" w:rsidP="00CD0DDD">
            <w:pPr>
              <w:jc w:val="both"/>
              <w:rPr>
                <w:rFonts w:ascii="Times New Roman" w:eastAsia="Times New Roman" w:hAnsi="Times New Roman" w:cs="Times New Roman"/>
                <w:lang w:val="ro-MD"/>
              </w:rPr>
            </w:pPr>
          </w:p>
          <w:p w14:paraId="0116F62A" w14:textId="77777777" w:rsidR="00AC399B" w:rsidRDefault="00AC399B" w:rsidP="00CD0DDD">
            <w:pPr>
              <w:jc w:val="both"/>
              <w:rPr>
                <w:rFonts w:ascii="Times New Roman" w:eastAsia="Times New Roman" w:hAnsi="Times New Roman" w:cs="Times New Roman"/>
                <w:lang w:val="ro-MD"/>
              </w:rPr>
            </w:pPr>
          </w:p>
          <w:p w14:paraId="68EE69D8" w14:textId="77777777" w:rsidR="00AC399B" w:rsidRDefault="00AC399B" w:rsidP="00CD0DDD">
            <w:pPr>
              <w:jc w:val="both"/>
              <w:rPr>
                <w:rFonts w:ascii="Times New Roman" w:eastAsia="Times New Roman" w:hAnsi="Times New Roman" w:cs="Times New Roman"/>
                <w:lang w:val="ro-MD"/>
              </w:rPr>
            </w:pPr>
          </w:p>
          <w:p w14:paraId="1D5F7357" w14:textId="77777777" w:rsidR="00AC399B" w:rsidRDefault="00AC399B" w:rsidP="00CD0DDD">
            <w:pPr>
              <w:jc w:val="both"/>
              <w:rPr>
                <w:rFonts w:ascii="Times New Roman" w:eastAsia="Times New Roman" w:hAnsi="Times New Roman" w:cs="Times New Roman"/>
                <w:lang w:val="ro-MD"/>
              </w:rPr>
            </w:pPr>
          </w:p>
          <w:p w14:paraId="71D896D0" w14:textId="77777777" w:rsidR="00AC399B" w:rsidRDefault="00AC399B" w:rsidP="00CD0DDD">
            <w:pPr>
              <w:jc w:val="both"/>
              <w:rPr>
                <w:rFonts w:ascii="Times New Roman" w:eastAsia="Times New Roman" w:hAnsi="Times New Roman" w:cs="Times New Roman"/>
                <w:lang w:val="ro-MD"/>
              </w:rPr>
            </w:pPr>
          </w:p>
          <w:p w14:paraId="1D1E8AF9" w14:textId="77777777" w:rsidR="00AC399B" w:rsidRDefault="00AC399B" w:rsidP="00CD0DDD">
            <w:pPr>
              <w:jc w:val="both"/>
              <w:rPr>
                <w:rFonts w:ascii="Times New Roman" w:eastAsia="Times New Roman" w:hAnsi="Times New Roman" w:cs="Times New Roman"/>
                <w:lang w:val="ro-MD"/>
              </w:rPr>
            </w:pPr>
          </w:p>
          <w:p w14:paraId="37C62B07" w14:textId="77777777" w:rsidR="00AC399B" w:rsidRDefault="00AC399B" w:rsidP="00CD0DDD">
            <w:pPr>
              <w:jc w:val="both"/>
              <w:rPr>
                <w:rFonts w:ascii="Times New Roman" w:eastAsia="Times New Roman" w:hAnsi="Times New Roman" w:cs="Times New Roman"/>
                <w:lang w:val="ro-MD"/>
              </w:rPr>
            </w:pPr>
          </w:p>
          <w:p w14:paraId="486D8AB4" w14:textId="77777777" w:rsidR="00AC399B" w:rsidRDefault="00AC399B" w:rsidP="00CD0DDD">
            <w:pPr>
              <w:jc w:val="both"/>
              <w:rPr>
                <w:rFonts w:ascii="Times New Roman" w:eastAsia="Times New Roman" w:hAnsi="Times New Roman" w:cs="Times New Roman"/>
                <w:lang w:val="ro-MD"/>
              </w:rPr>
            </w:pPr>
          </w:p>
          <w:p w14:paraId="2D6EE918" w14:textId="77777777" w:rsidR="00AC399B" w:rsidRDefault="00AC399B" w:rsidP="00CD0DDD">
            <w:pPr>
              <w:jc w:val="both"/>
              <w:rPr>
                <w:rFonts w:ascii="Times New Roman" w:eastAsia="Times New Roman" w:hAnsi="Times New Roman" w:cs="Times New Roman"/>
                <w:lang w:val="ro-MD"/>
              </w:rPr>
            </w:pPr>
          </w:p>
          <w:p w14:paraId="12F0FF0F" w14:textId="77777777" w:rsidR="00AC399B" w:rsidRDefault="00AC399B" w:rsidP="00CD0DDD">
            <w:pPr>
              <w:jc w:val="both"/>
              <w:rPr>
                <w:rFonts w:ascii="Times New Roman" w:eastAsia="Times New Roman" w:hAnsi="Times New Roman" w:cs="Times New Roman"/>
                <w:lang w:val="ro-MD"/>
              </w:rPr>
            </w:pPr>
          </w:p>
          <w:p w14:paraId="4275A4E9" w14:textId="77777777" w:rsidR="00AC399B" w:rsidRDefault="00AC399B" w:rsidP="00CD0DDD">
            <w:pPr>
              <w:jc w:val="both"/>
              <w:rPr>
                <w:rFonts w:ascii="Times New Roman" w:eastAsia="Times New Roman" w:hAnsi="Times New Roman" w:cs="Times New Roman"/>
                <w:lang w:val="ro-MD"/>
              </w:rPr>
            </w:pPr>
          </w:p>
          <w:p w14:paraId="36445CE8" w14:textId="77777777" w:rsidR="00AC399B" w:rsidRDefault="00AC399B" w:rsidP="00CD0DDD">
            <w:pPr>
              <w:jc w:val="both"/>
              <w:rPr>
                <w:rFonts w:ascii="Times New Roman" w:eastAsia="Times New Roman" w:hAnsi="Times New Roman" w:cs="Times New Roman"/>
                <w:lang w:val="ro-MD"/>
              </w:rPr>
            </w:pPr>
          </w:p>
          <w:p w14:paraId="77ACF716" w14:textId="77777777" w:rsidR="00AC399B" w:rsidRDefault="00AC399B" w:rsidP="00CD0DDD">
            <w:pPr>
              <w:jc w:val="both"/>
              <w:rPr>
                <w:rFonts w:ascii="Times New Roman" w:eastAsia="Times New Roman" w:hAnsi="Times New Roman" w:cs="Times New Roman"/>
                <w:lang w:val="ro-MD"/>
              </w:rPr>
            </w:pPr>
          </w:p>
          <w:p w14:paraId="418FF9C8" w14:textId="77777777" w:rsidR="00AC399B" w:rsidRDefault="00AC399B" w:rsidP="00CD0DDD">
            <w:pPr>
              <w:jc w:val="both"/>
              <w:rPr>
                <w:rFonts w:ascii="Times New Roman" w:eastAsia="Times New Roman" w:hAnsi="Times New Roman" w:cs="Times New Roman"/>
                <w:lang w:val="ro-MD"/>
              </w:rPr>
            </w:pPr>
          </w:p>
          <w:p w14:paraId="4B6E51FC" w14:textId="77777777" w:rsidR="00AC399B" w:rsidRDefault="00AC399B" w:rsidP="00CD0DDD">
            <w:pPr>
              <w:jc w:val="both"/>
              <w:rPr>
                <w:rFonts w:ascii="Times New Roman" w:eastAsia="Times New Roman" w:hAnsi="Times New Roman" w:cs="Times New Roman"/>
                <w:lang w:val="ro-MD"/>
              </w:rPr>
            </w:pPr>
          </w:p>
          <w:p w14:paraId="624C12B3" w14:textId="77777777" w:rsidR="00AC399B" w:rsidRDefault="00AC399B" w:rsidP="00CD0DDD">
            <w:pPr>
              <w:jc w:val="both"/>
              <w:rPr>
                <w:rFonts w:ascii="Times New Roman" w:eastAsia="Times New Roman" w:hAnsi="Times New Roman" w:cs="Times New Roman"/>
                <w:lang w:val="ro-MD"/>
              </w:rPr>
            </w:pPr>
          </w:p>
          <w:p w14:paraId="1B765B49" w14:textId="77777777" w:rsidR="00AC399B" w:rsidRDefault="00AC399B" w:rsidP="00CD0DDD">
            <w:pPr>
              <w:jc w:val="both"/>
              <w:rPr>
                <w:rFonts w:ascii="Times New Roman" w:eastAsia="Times New Roman" w:hAnsi="Times New Roman" w:cs="Times New Roman"/>
                <w:lang w:val="ro-MD"/>
              </w:rPr>
            </w:pPr>
          </w:p>
          <w:p w14:paraId="2698B578" w14:textId="77777777" w:rsidR="00AC399B" w:rsidRDefault="00AC399B" w:rsidP="00CD0DDD">
            <w:pPr>
              <w:jc w:val="both"/>
              <w:rPr>
                <w:rFonts w:ascii="Times New Roman" w:eastAsia="Times New Roman" w:hAnsi="Times New Roman" w:cs="Times New Roman"/>
                <w:lang w:val="ro-MD"/>
              </w:rPr>
            </w:pPr>
          </w:p>
          <w:p w14:paraId="4B768E0A" w14:textId="77777777" w:rsidR="00AC399B" w:rsidRDefault="00AC399B" w:rsidP="00CD0DDD">
            <w:pPr>
              <w:jc w:val="both"/>
              <w:rPr>
                <w:rFonts w:ascii="Times New Roman" w:eastAsia="Times New Roman" w:hAnsi="Times New Roman" w:cs="Times New Roman"/>
                <w:lang w:val="ro-MD"/>
              </w:rPr>
            </w:pPr>
          </w:p>
          <w:p w14:paraId="1E34007C" w14:textId="77777777" w:rsidR="00AC399B" w:rsidRDefault="00AC399B" w:rsidP="00CD0DDD">
            <w:pPr>
              <w:jc w:val="both"/>
              <w:rPr>
                <w:rFonts w:ascii="Times New Roman" w:eastAsia="Times New Roman" w:hAnsi="Times New Roman" w:cs="Times New Roman"/>
                <w:lang w:val="ro-MD"/>
              </w:rPr>
            </w:pPr>
          </w:p>
          <w:p w14:paraId="4C034946" w14:textId="77777777" w:rsidR="00AC399B" w:rsidRDefault="00AC399B" w:rsidP="00CD0DDD">
            <w:pPr>
              <w:jc w:val="both"/>
              <w:rPr>
                <w:rFonts w:ascii="Times New Roman" w:eastAsia="Times New Roman" w:hAnsi="Times New Roman" w:cs="Times New Roman"/>
                <w:lang w:val="ro-MD"/>
              </w:rPr>
            </w:pPr>
          </w:p>
          <w:p w14:paraId="351ECD0F" w14:textId="77777777" w:rsidR="00AC399B" w:rsidRDefault="00AC399B" w:rsidP="00CD0DDD">
            <w:pPr>
              <w:jc w:val="both"/>
              <w:rPr>
                <w:rFonts w:ascii="Times New Roman" w:eastAsia="Times New Roman" w:hAnsi="Times New Roman" w:cs="Times New Roman"/>
                <w:lang w:val="ro-MD"/>
              </w:rPr>
            </w:pPr>
          </w:p>
          <w:p w14:paraId="79AD8EFD" w14:textId="77777777" w:rsidR="00AC399B" w:rsidRDefault="00AC399B" w:rsidP="00CD0DDD">
            <w:pPr>
              <w:jc w:val="both"/>
              <w:rPr>
                <w:rFonts w:ascii="Times New Roman" w:eastAsia="Times New Roman" w:hAnsi="Times New Roman" w:cs="Times New Roman"/>
                <w:lang w:val="ro-MD"/>
              </w:rPr>
            </w:pPr>
          </w:p>
          <w:p w14:paraId="12537840" w14:textId="77777777" w:rsidR="00AC399B" w:rsidRDefault="00AC399B" w:rsidP="00CD0DDD">
            <w:pPr>
              <w:jc w:val="both"/>
              <w:rPr>
                <w:rFonts w:ascii="Times New Roman" w:eastAsia="Times New Roman" w:hAnsi="Times New Roman" w:cs="Times New Roman"/>
                <w:lang w:val="ro-MD"/>
              </w:rPr>
            </w:pPr>
          </w:p>
          <w:p w14:paraId="2738D7F0" w14:textId="77777777" w:rsidR="00AC399B" w:rsidRDefault="00AC399B" w:rsidP="00CD0DDD">
            <w:pPr>
              <w:jc w:val="both"/>
              <w:rPr>
                <w:rFonts w:ascii="Times New Roman" w:eastAsia="Times New Roman" w:hAnsi="Times New Roman" w:cs="Times New Roman"/>
                <w:lang w:val="ro-MD"/>
              </w:rPr>
            </w:pPr>
          </w:p>
          <w:p w14:paraId="4AC0DDDD" w14:textId="77777777" w:rsidR="00AC399B" w:rsidRDefault="00AC399B" w:rsidP="00CD0DDD">
            <w:pPr>
              <w:jc w:val="both"/>
              <w:rPr>
                <w:rFonts w:ascii="Times New Roman" w:eastAsia="Times New Roman" w:hAnsi="Times New Roman" w:cs="Times New Roman"/>
                <w:lang w:val="ro-MD"/>
              </w:rPr>
            </w:pPr>
          </w:p>
          <w:p w14:paraId="640C52A8" w14:textId="77777777" w:rsidR="00AC399B" w:rsidRDefault="00AC399B" w:rsidP="00CD0DDD">
            <w:pPr>
              <w:jc w:val="both"/>
              <w:rPr>
                <w:rFonts w:ascii="Times New Roman" w:eastAsia="Times New Roman" w:hAnsi="Times New Roman" w:cs="Times New Roman"/>
                <w:lang w:val="ro-MD"/>
              </w:rPr>
            </w:pPr>
          </w:p>
          <w:p w14:paraId="47CBDC09" w14:textId="77777777" w:rsidR="00AC399B" w:rsidRDefault="00AC399B" w:rsidP="00CD0DDD">
            <w:pPr>
              <w:jc w:val="both"/>
              <w:rPr>
                <w:rFonts w:ascii="Times New Roman" w:eastAsia="Times New Roman" w:hAnsi="Times New Roman" w:cs="Times New Roman"/>
                <w:lang w:val="ro-MD"/>
              </w:rPr>
            </w:pPr>
          </w:p>
          <w:p w14:paraId="72C51969" w14:textId="77777777" w:rsidR="00AC399B" w:rsidRDefault="00AC399B" w:rsidP="00CD0DDD">
            <w:pPr>
              <w:jc w:val="both"/>
              <w:rPr>
                <w:rFonts w:ascii="Times New Roman" w:eastAsia="Times New Roman" w:hAnsi="Times New Roman" w:cs="Times New Roman"/>
                <w:lang w:val="ro-MD"/>
              </w:rPr>
            </w:pPr>
          </w:p>
          <w:p w14:paraId="0E6CD0AD" w14:textId="77777777" w:rsidR="00AC399B" w:rsidRDefault="00AC399B" w:rsidP="00CD0DDD">
            <w:pPr>
              <w:jc w:val="both"/>
              <w:rPr>
                <w:rFonts w:ascii="Times New Roman" w:eastAsia="Times New Roman" w:hAnsi="Times New Roman" w:cs="Times New Roman"/>
                <w:lang w:val="ro-MD"/>
              </w:rPr>
            </w:pPr>
          </w:p>
          <w:p w14:paraId="7F8E3650" w14:textId="77777777" w:rsidR="00AC399B" w:rsidRDefault="00AC399B" w:rsidP="00CD0DDD">
            <w:pPr>
              <w:jc w:val="both"/>
              <w:rPr>
                <w:rFonts w:ascii="Times New Roman" w:eastAsia="Times New Roman" w:hAnsi="Times New Roman" w:cs="Times New Roman"/>
                <w:lang w:val="ro-MD"/>
              </w:rPr>
            </w:pPr>
          </w:p>
          <w:p w14:paraId="0DC6A77B" w14:textId="77777777" w:rsidR="00AC399B" w:rsidRDefault="00AC399B" w:rsidP="00CD0DDD">
            <w:pPr>
              <w:jc w:val="both"/>
              <w:rPr>
                <w:rFonts w:ascii="Times New Roman" w:eastAsia="Times New Roman" w:hAnsi="Times New Roman" w:cs="Times New Roman"/>
                <w:lang w:val="ro-MD"/>
              </w:rPr>
            </w:pPr>
          </w:p>
          <w:p w14:paraId="1913DC73" w14:textId="77777777" w:rsidR="00AC399B" w:rsidRDefault="00AC399B" w:rsidP="00CD0DDD">
            <w:pPr>
              <w:jc w:val="both"/>
              <w:rPr>
                <w:rFonts w:ascii="Times New Roman" w:eastAsia="Times New Roman" w:hAnsi="Times New Roman" w:cs="Times New Roman"/>
                <w:lang w:val="ro-MD"/>
              </w:rPr>
            </w:pPr>
          </w:p>
          <w:p w14:paraId="29FCD530" w14:textId="77777777" w:rsidR="00AC399B" w:rsidRDefault="00AC399B" w:rsidP="00CD0DDD">
            <w:pPr>
              <w:jc w:val="both"/>
              <w:rPr>
                <w:rFonts w:ascii="Times New Roman" w:eastAsia="Times New Roman" w:hAnsi="Times New Roman" w:cs="Times New Roman"/>
                <w:lang w:val="ro-MD"/>
              </w:rPr>
            </w:pPr>
          </w:p>
          <w:p w14:paraId="638B48C2" w14:textId="77777777" w:rsidR="00AC399B" w:rsidRDefault="00AC399B" w:rsidP="00CD0DDD">
            <w:pPr>
              <w:jc w:val="both"/>
              <w:rPr>
                <w:rFonts w:ascii="Times New Roman" w:eastAsia="Times New Roman" w:hAnsi="Times New Roman" w:cs="Times New Roman"/>
                <w:lang w:val="ro-MD"/>
              </w:rPr>
            </w:pPr>
          </w:p>
          <w:p w14:paraId="71732EC3" w14:textId="77777777" w:rsidR="00AC399B" w:rsidRDefault="00AC399B" w:rsidP="00CD0DDD">
            <w:pPr>
              <w:jc w:val="both"/>
              <w:rPr>
                <w:rFonts w:ascii="Times New Roman" w:eastAsia="Times New Roman" w:hAnsi="Times New Roman" w:cs="Times New Roman"/>
                <w:lang w:val="ro-MD"/>
              </w:rPr>
            </w:pPr>
          </w:p>
          <w:p w14:paraId="6AD5EB71" w14:textId="77777777" w:rsidR="00AC399B" w:rsidRDefault="00AC399B" w:rsidP="00CD0DDD">
            <w:pPr>
              <w:jc w:val="both"/>
              <w:rPr>
                <w:rFonts w:ascii="Times New Roman" w:eastAsia="Times New Roman" w:hAnsi="Times New Roman" w:cs="Times New Roman"/>
                <w:lang w:val="ro-MD"/>
              </w:rPr>
            </w:pPr>
          </w:p>
          <w:p w14:paraId="2BB650F4" w14:textId="77777777" w:rsidR="00AC399B" w:rsidRDefault="00AC399B" w:rsidP="00CD0DDD">
            <w:pPr>
              <w:jc w:val="both"/>
              <w:rPr>
                <w:rFonts w:ascii="Times New Roman" w:eastAsia="Times New Roman" w:hAnsi="Times New Roman" w:cs="Times New Roman"/>
                <w:lang w:val="ro-MD"/>
              </w:rPr>
            </w:pPr>
          </w:p>
          <w:p w14:paraId="0C4C60B5" w14:textId="77777777" w:rsidR="00AC399B" w:rsidRDefault="00AC399B" w:rsidP="00CD0DDD">
            <w:pPr>
              <w:jc w:val="both"/>
              <w:rPr>
                <w:rFonts w:ascii="Times New Roman" w:eastAsia="Times New Roman" w:hAnsi="Times New Roman" w:cs="Times New Roman"/>
                <w:lang w:val="ro-MD"/>
              </w:rPr>
            </w:pPr>
          </w:p>
          <w:p w14:paraId="6926BED7" w14:textId="77777777" w:rsidR="00AC399B" w:rsidRDefault="00AC399B" w:rsidP="00CD0DDD">
            <w:pPr>
              <w:jc w:val="both"/>
              <w:rPr>
                <w:rFonts w:ascii="Times New Roman" w:eastAsia="Times New Roman" w:hAnsi="Times New Roman" w:cs="Times New Roman"/>
                <w:lang w:val="ro-MD"/>
              </w:rPr>
            </w:pPr>
          </w:p>
          <w:p w14:paraId="0E743C10" w14:textId="77777777" w:rsidR="00AC399B" w:rsidRDefault="00AC399B" w:rsidP="00CD0DDD">
            <w:pPr>
              <w:jc w:val="both"/>
              <w:rPr>
                <w:rFonts w:ascii="Times New Roman" w:eastAsia="Times New Roman" w:hAnsi="Times New Roman" w:cs="Times New Roman"/>
                <w:lang w:val="ro-MD"/>
              </w:rPr>
            </w:pPr>
          </w:p>
          <w:p w14:paraId="1C30F241" w14:textId="77777777" w:rsidR="00AC399B" w:rsidRDefault="00AC399B" w:rsidP="00CD0DDD">
            <w:pPr>
              <w:jc w:val="both"/>
              <w:rPr>
                <w:rFonts w:ascii="Times New Roman" w:eastAsia="Times New Roman" w:hAnsi="Times New Roman" w:cs="Times New Roman"/>
                <w:lang w:val="ro-MD"/>
              </w:rPr>
            </w:pPr>
          </w:p>
          <w:p w14:paraId="1CCA632F" w14:textId="77777777" w:rsidR="00AC399B" w:rsidRDefault="00AC399B" w:rsidP="00CD0DDD">
            <w:pPr>
              <w:jc w:val="both"/>
              <w:rPr>
                <w:rFonts w:ascii="Times New Roman" w:eastAsia="Times New Roman" w:hAnsi="Times New Roman" w:cs="Times New Roman"/>
                <w:lang w:val="ro-MD"/>
              </w:rPr>
            </w:pPr>
          </w:p>
          <w:p w14:paraId="1B4BC510" w14:textId="77777777" w:rsidR="00AC399B" w:rsidRDefault="00AC399B" w:rsidP="00CD0DDD">
            <w:pPr>
              <w:jc w:val="both"/>
              <w:rPr>
                <w:rFonts w:ascii="Times New Roman" w:eastAsia="Times New Roman" w:hAnsi="Times New Roman" w:cs="Times New Roman"/>
                <w:lang w:val="ro-MD"/>
              </w:rPr>
            </w:pPr>
          </w:p>
          <w:p w14:paraId="44D3B920" w14:textId="77777777" w:rsidR="00AC399B" w:rsidRDefault="00AC399B" w:rsidP="00CD0DDD">
            <w:pPr>
              <w:jc w:val="both"/>
              <w:rPr>
                <w:rFonts w:ascii="Times New Roman" w:eastAsia="Times New Roman" w:hAnsi="Times New Roman" w:cs="Times New Roman"/>
                <w:lang w:val="ro-MD"/>
              </w:rPr>
            </w:pPr>
          </w:p>
          <w:p w14:paraId="0971D0F4" w14:textId="77777777" w:rsidR="00AC399B" w:rsidRDefault="00AC399B" w:rsidP="00CD0DDD">
            <w:pPr>
              <w:jc w:val="both"/>
              <w:rPr>
                <w:rFonts w:ascii="Times New Roman" w:eastAsia="Times New Roman" w:hAnsi="Times New Roman" w:cs="Times New Roman"/>
                <w:lang w:val="ro-MD"/>
              </w:rPr>
            </w:pPr>
          </w:p>
          <w:p w14:paraId="6E69C953" w14:textId="77777777" w:rsidR="00AC399B" w:rsidRDefault="00AC399B" w:rsidP="00CD0DDD">
            <w:pPr>
              <w:jc w:val="both"/>
              <w:rPr>
                <w:rFonts w:ascii="Times New Roman" w:eastAsia="Times New Roman" w:hAnsi="Times New Roman" w:cs="Times New Roman"/>
                <w:lang w:val="ro-MD"/>
              </w:rPr>
            </w:pPr>
          </w:p>
          <w:p w14:paraId="6B5D6731" w14:textId="77777777" w:rsidR="00AC399B" w:rsidRDefault="00AC399B" w:rsidP="00CD0DDD">
            <w:pPr>
              <w:jc w:val="both"/>
              <w:rPr>
                <w:rFonts w:ascii="Times New Roman" w:eastAsia="Times New Roman" w:hAnsi="Times New Roman" w:cs="Times New Roman"/>
                <w:lang w:val="ro-MD"/>
              </w:rPr>
            </w:pPr>
          </w:p>
          <w:p w14:paraId="794CAE52" w14:textId="77777777" w:rsidR="00AC399B" w:rsidRDefault="00AC399B" w:rsidP="00CD0DDD">
            <w:pPr>
              <w:jc w:val="both"/>
              <w:rPr>
                <w:rFonts w:ascii="Times New Roman" w:eastAsia="Times New Roman" w:hAnsi="Times New Roman" w:cs="Times New Roman"/>
                <w:lang w:val="ro-MD"/>
              </w:rPr>
            </w:pPr>
          </w:p>
          <w:p w14:paraId="0DC872CF" w14:textId="77777777" w:rsidR="00AC399B" w:rsidRDefault="00AC399B" w:rsidP="00CD0DDD">
            <w:pPr>
              <w:jc w:val="both"/>
              <w:rPr>
                <w:rFonts w:ascii="Times New Roman" w:eastAsia="Times New Roman" w:hAnsi="Times New Roman" w:cs="Times New Roman"/>
                <w:lang w:val="ro-MD"/>
              </w:rPr>
            </w:pPr>
          </w:p>
          <w:p w14:paraId="5DE91BC8" w14:textId="77777777" w:rsidR="00AC399B" w:rsidRDefault="00AC399B" w:rsidP="00CD0DDD">
            <w:pPr>
              <w:jc w:val="both"/>
              <w:rPr>
                <w:rFonts w:ascii="Times New Roman" w:eastAsia="Times New Roman" w:hAnsi="Times New Roman" w:cs="Times New Roman"/>
                <w:lang w:val="ro-MD"/>
              </w:rPr>
            </w:pPr>
          </w:p>
          <w:p w14:paraId="52DBA46B" w14:textId="77777777" w:rsidR="00AC399B" w:rsidRDefault="00AC399B" w:rsidP="00CD0DDD">
            <w:pPr>
              <w:jc w:val="both"/>
              <w:rPr>
                <w:rFonts w:ascii="Times New Roman" w:eastAsia="Times New Roman" w:hAnsi="Times New Roman" w:cs="Times New Roman"/>
                <w:lang w:val="ro-MD"/>
              </w:rPr>
            </w:pPr>
          </w:p>
          <w:p w14:paraId="4F3F71C4" w14:textId="77777777" w:rsidR="00AC399B" w:rsidRDefault="00AC399B" w:rsidP="00CD0DDD">
            <w:pPr>
              <w:jc w:val="both"/>
              <w:rPr>
                <w:rFonts w:ascii="Times New Roman" w:eastAsia="Times New Roman" w:hAnsi="Times New Roman" w:cs="Times New Roman"/>
                <w:lang w:val="ro-MD"/>
              </w:rPr>
            </w:pPr>
          </w:p>
          <w:p w14:paraId="4FFC3E53" w14:textId="77777777" w:rsidR="00AC399B" w:rsidRDefault="00AC399B" w:rsidP="00CD0DDD">
            <w:pPr>
              <w:jc w:val="both"/>
              <w:rPr>
                <w:rFonts w:ascii="Times New Roman" w:eastAsia="Times New Roman" w:hAnsi="Times New Roman" w:cs="Times New Roman"/>
                <w:lang w:val="ro-MD"/>
              </w:rPr>
            </w:pPr>
          </w:p>
          <w:p w14:paraId="1AEFD2FE" w14:textId="77777777" w:rsidR="00AC399B" w:rsidRDefault="00AC399B" w:rsidP="00CD0DDD">
            <w:pPr>
              <w:jc w:val="both"/>
              <w:rPr>
                <w:rFonts w:ascii="Times New Roman" w:eastAsia="Times New Roman" w:hAnsi="Times New Roman" w:cs="Times New Roman"/>
                <w:lang w:val="ro-MD"/>
              </w:rPr>
            </w:pPr>
          </w:p>
          <w:p w14:paraId="7D7E0FC5" w14:textId="77777777" w:rsidR="00AC399B" w:rsidRDefault="00AC399B" w:rsidP="00CD0DDD">
            <w:pPr>
              <w:jc w:val="both"/>
              <w:rPr>
                <w:rFonts w:ascii="Times New Roman" w:eastAsia="Times New Roman" w:hAnsi="Times New Roman" w:cs="Times New Roman"/>
                <w:lang w:val="ro-MD"/>
              </w:rPr>
            </w:pPr>
          </w:p>
          <w:p w14:paraId="682FECEE" w14:textId="77777777" w:rsidR="00AC399B" w:rsidRDefault="00AC399B" w:rsidP="00CD0DDD">
            <w:pPr>
              <w:jc w:val="both"/>
              <w:rPr>
                <w:rFonts w:ascii="Times New Roman" w:eastAsia="Times New Roman" w:hAnsi="Times New Roman" w:cs="Times New Roman"/>
                <w:lang w:val="ro-MD"/>
              </w:rPr>
            </w:pPr>
          </w:p>
          <w:p w14:paraId="11A143C0" w14:textId="77777777" w:rsidR="00AC399B" w:rsidRDefault="00AC399B" w:rsidP="00CD0DDD">
            <w:pPr>
              <w:jc w:val="both"/>
              <w:rPr>
                <w:rFonts w:ascii="Times New Roman" w:eastAsia="Times New Roman" w:hAnsi="Times New Roman" w:cs="Times New Roman"/>
                <w:lang w:val="ro-MD"/>
              </w:rPr>
            </w:pPr>
          </w:p>
          <w:p w14:paraId="72B0D5B1" w14:textId="77777777" w:rsidR="00AC399B" w:rsidRDefault="00AC399B" w:rsidP="00CD0DDD">
            <w:pPr>
              <w:jc w:val="both"/>
              <w:rPr>
                <w:rFonts w:ascii="Times New Roman" w:eastAsia="Times New Roman" w:hAnsi="Times New Roman" w:cs="Times New Roman"/>
                <w:lang w:val="ro-MD"/>
              </w:rPr>
            </w:pPr>
          </w:p>
          <w:p w14:paraId="0502E94E" w14:textId="77777777" w:rsidR="00AC399B" w:rsidRDefault="00AC399B" w:rsidP="00CD0DDD">
            <w:pPr>
              <w:jc w:val="both"/>
              <w:rPr>
                <w:rFonts w:ascii="Times New Roman" w:eastAsia="Times New Roman" w:hAnsi="Times New Roman" w:cs="Times New Roman"/>
                <w:lang w:val="ro-MD"/>
              </w:rPr>
            </w:pPr>
          </w:p>
          <w:p w14:paraId="5BBD0E81" w14:textId="77777777" w:rsidR="00AC399B" w:rsidRDefault="00AC399B" w:rsidP="00CD0DDD">
            <w:pPr>
              <w:jc w:val="both"/>
              <w:rPr>
                <w:rFonts w:ascii="Times New Roman" w:eastAsia="Times New Roman" w:hAnsi="Times New Roman" w:cs="Times New Roman"/>
                <w:lang w:val="ro-MD"/>
              </w:rPr>
            </w:pPr>
          </w:p>
          <w:p w14:paraId="7EE25B67" w14:textId="77777777" w:rsidR="00AC399B" w:rsidRDefault="00AC399B" w:rsidP="00CD0DDD">
            <w:pPr>
              <w:jc w:val="both"/>
              <w:rPr>
                <w:rFonts w:ascii="Times New Roman" w:eastAsia="Times New Roman" w:hAnsi="Times New Roman" w:cs="Times New Roman"/>
                <w:lang w:val="ro-MD"/>
              </w:rPr>
            </w:pPr>
          </w:p>
          <w:p w14:paraId="4CD977E0" w14:textId="77777777" w:rsidR="00AC399B" w:rsidRDefault="00AC399B" w:rsidP="00CD0DDD">
            <w:pPr>
              <w:jc w:val="both"/>
              <w:rPr>
                <w:rFonts w:ascii="Times New Roman" w:eastAsia="Times New Roman" w:hAnsi="Times New Roman" w:cs="Times New Roman"/>
                <w:lang w:val="ro-MD"/>
              </w:rPr>
            </w:pPr>
          </w:p>
          <w:p w14:paraId="4DD8B726" w14:textId="77777777" w:rsidR="00AC399B" w:rsidRDefault="00AC399B" w:rsidP="00CD0DDD">
            <w:pPr>
              <w:jc w:val="both"/>
              <w:rPr>
                <w:rFonts w:ascii="Times New Roman" w:eastAsia="Times New Roman" w:hAnsi="Times New Roman" w:cs="Times New Roman"/>
                <w:lang w:val="ro-MD"/>
              </w:rPr>
            </w:pPr>
          </w:p>
          <w:p w14:paraId="0DF7006E" w14:textId="77777777" w:rsidR="00AC399B" w:rsidRDefault="00AC399B" w:rsidP="00CD0DDD">
            <w:pPr>
              <w:jc w:val="both"/>
              <w:rPr>
                <w:rFonts w:ascii="Times New Roman" w:eastAsia="Times New Roman" w:hAnsi="Times New Roman" w:cs="Times New Roman"/>
                <w:lang w:val="ro-MD"/>
              </w:rPr>
            </w:pPr>
          </w:p>
          <w:p w14:paraId="57D82459" w14:textId="77777777" w:rsidR="00AC399B" w:rsidRDefault="00AC399B" w:rsidP="00CD0DDD">
            <w:pPr>
              <w:jc w:val="both"/>
              <w:rPr>
                <w:rFonts w:ascii="Times New Roman" w:eastAsia="Times New Roman" w:hAnsi="Times New Roman" w:cs="Times New Roman"/>
                <w:lang w:val="ro-MD"/>
              </w:rPr>
            </w:pPr>
          </w:p>
          <w:p w14:paraId="19F74081" w14:textId="77777777" w:rsidR="00AC399B" w:rsidRDefault="00AC399B" w:rsidP="00CD0DDD">
            <w:pPr>
              <w:jc w:val="both"/>
              <w:rPr>
                <w:rFonts w:ascii="Times New Roman" w:eastAsia="Times New Roman" w:hAnsi="Times New Roman" w:cs="Times New Roman"/>
                <w:lang w:val="ro-MD"/>
              </w:rPr>
            </w:pPr>
          </w:p>
          <w:p w14:paraId="3D7243FE" w14:textId="77777777" w:rsidR="00AC399B" w:rsidRDefault="00AC399B" w:rsidP="00CD0DDD">
            <w:pPr>
              <w:jc w:val="both"/>
              <w:rPr>
                <w:rFonts w:ascii="Times New Roman" w:eastAsia="Times New Roman" w:hAnsi="Times New Roman" w:cs="Times New Roman"/>
                <w:lang w:val="ro-MD"/>
              </w:rPr>
            </w:pPr>
          </w:p>
          <w:p w14:paraId="63A74AC7" w14:textId="77777777" w:rsidR="00AC399B" w:rsidRDefault="00AC399B" w:rsidP="00CD0DDD">
            <w:pPr>
              <w:jc w:val="both"/>
              <w:rPr>
                <w:rFonts w:ascii="Times New Roman" w:eastAsia="Times New Roman" w:hAnsi="Times New Roman" w:cs="Times New Roman"/>
                <w:lang w:val="ro-MD"/>
              </w:rPr>
            </w:pPr>
          </w:p>
          <w:p w14:paraId="23EC9687" w14:textId="77777777" w:rsidR="00AC399B" w:rsidRDefault="00AC399B" w:rsidP="00CD0DDD">
            <w:pPr>
              <w:jc w:val="both"/>
              <w:rPr>
                <w:rFonts w:ascii="Times New Roman" w:eastAsia="Times New Roman" w:hAnsi="Times New Roman" w:cs="Times New Roman"/>
                <w:lang w:val="ro-MD"/>
              </w:rPr>
            </w:pPr>
          </w:p>
          <w:p w14:paraId="4657718A" w14:textId="77777777" w:rsidR="00AC399B" w:rsidRDefault="00AC399B" w:rsidP="00CD0DDD">
            <w:pPr>
              <w:jc w:val="both"/>
              <w:rPr>
                <w:rFonts w:ascii="Times New Roman" w:eastAsia="Times New Roman" w:hAnsi="Times New Roman" w:cs="Times New Roman"/>
                <w:lang w:val="ro-MD"/>
              </w:rPr>
            </w:pPr>
          </w:p>
          <w:p w14:paraId="23AB9353" w14:textId="77777777" w:rsidR="00AC399B" w:rsidRDefault="00AC399B" w:rsidP="00CD0DDD">
            <w:pPr>
              <w:jc w:val="both"/>
              <w:rPr>
                <w:rFonts w:ascii="Times New Roman" w:eastAsia="Times New Roman" w:hAnsi="Times New Roman" w:cs="Times New Roman"/>
                <w:lang w:val="ro-MD"/>
              </w:rPr>
            </w:pPr>
          </w:p>
          <w:p w14:paraId="083FA8FA" w14:textId="77777777" w:rsidR="00AC399B" w:rsidRDefault="00AC399B" w:rsidP="00CD0DDD">
            <w:pPr>
              <w:jc w:val="both"/>
              <w:rPr>
                <w:rFonts w:ascii="Times New Roman" w:eastAsia="Times New Roman" w:hAnsi="Times New Roman" w:cs="Times New Roman"/>
                <w:lang w:val="ro-MD"/>
              </w:rPr>
            </w:pPr>
          </w:p>
          <w:p w14:paraId="0D423FC9" w14:textId="77777777" w:rsidR="00AC399B" w:rsidRDefault="00AC399B" w:rsidP="00CD0DDD">
            <w:pPr>
              <w:jc w:val="both"/>
              <w:rPr>
                <w:rFonts w:ascii="Times New Roman" w:eastAsia="Times New Roman" w:hAnsi="Times New Roman" w:cs="Times New Roman"/>
                <w:lang w:val="ro-MD"/>
              </w:rPr>
            </w:pPr>
          </w:p>
          <w:p w14:paraId="4195C801" w14:textId="77777777" w:rsidR="00AC399B" w:rsidRDefault="00AC399B" w:rsidP="00CD0DDD">
            <w:pPr>
              <w:jc w:val="both"/>
              <w:rPr>
                <w:rFonts w:ascii="Times New Roman" w:eastAsia="Times New Roman" w:hAnsi="Times New Roman" w:cs="Times New Roman"/>
                <w:lang w:val="ro-MD"/>
              </w:rPr>
            </w:pPr>
          </w:p>
          <w:p w14:paraId="2A269ADE" w14:textId="77777777" w:rsidR="00AC399B" w:rsidRDefault="00AC399B" w:rsidP="00CD0DDD">
            <w:pPr>
              <w:jc w:val="both"/>
              <w:rPr>
                <w:rFonts w:ascii="Times New Roman" w:eastAsia="Times New Roman" w:hAnsi="Times New Roman" w:cs="Times New Roman"/>
                <w:lang w:val="ro-MD"/>
              </w:rPr>
            </w:pPr>
          </w:p>
          <w:p w14:paraId="260FFB96" w14:textId="77777777" w:rsidR="00AC399B" w:rsidRDefault="00AC399B" w:rsidP="00CD0DDD">
            <w:pPr>
              <w:jc w:val="both"/>
              <w:rPr>
                <w:rFonts w:ascii="Times New Roman" w:eastAsia="Times New Roman" w:hAnsi="Times New Roman" w:cs="Times New Roman"/>
                <w:lang w:val="ro-MD"/>
              </w:rPr>
            </w:pPr>
          </w:p>
          <w:p w14:paraId="4E33612A" w14:textId="77777777" w:rsidR="00AC399B" w:rsidRDefault="00AC399B" w:rsidP="00CD0DDD">
            <w:pPr>
              <w:jc w:val="both"/>
              <w:rPr>
                <w:rFonts w:ascii="Times New Roman" w:eastAsia="Times New Roman" w:hAnsi="Times New Roman" w:cs="Times New Roman"/>
                <w:lang w:val="ro-MD"/>
              </w:rPr>
            </w:pPr>
          </w:p>
          <w:p w14:paraId="24236086" w14:textId="77777777" w:rsidR="00AC399B" w:rsidRDefault="00AC399B" w:rsidP="00CD0DDD">
            <w:pPr>
              <w:jc w:val="both"/>
              <w:rPr>
                <w:rFonts w:ascii="Times New Roman" w:eastAsia="Times New Roman" w:hAnsi="Times New Roman" w:cs="Times New Roman"/>
                <w:lang w:val="ro-MD"/>
              </w:rPr>
            </w:pPr>
          </w:p>
          <w:p w14:paraId="7C3ACD77" w14:textId="77777777" w:rsidR="00AC399B" w:rsidRDefault="00AC399B" w:rsidP="00CD0DDD">
            <w:pPr>
              <w:jc w:val="both"/>
              <w:rPr>
                <w:rFonts w:ascii="Times New Roman" w:eastAsia="Times New Roman" w:hAnsi="Times New Roman" w:cs="Times New Roman"/>
                <w:lang w:val="ro-MD"/>
              </w:rPr>
            </w:pPr>
          </w:p>
          <w:p w14:paraId="00D8A33C" w14:textId="77777777" w:rsidR="00AC399B" w:rsidRDefault="00AC399B" w:rsidP="00AC399B">
            <w:pPr>
              <w:jc w:val="both"/>
              <w:rPr>
                <w:rFonts w:ascii="Times New Roman" w:eastAsia="Times New Roman" w:hAnsi="Times New Roman" w:cs="Times New Roman"/>
              </w:rPr>
            </w:pPr>
          </w:p>
        </w:tc>
      </w:tr>
      <w:tr w:rsidR="00AC399B" w14:paraId="0D7181EB" w14:textId="77777777" w:rsidTr="00AC39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555" w:type="dxa"/>
            <w:tcBorders>
              <w:top w:val="single" w:sz="4" w:space="0" w:color="auto"/>
              <w:left w:val="single" w:sz="4" w:space="0" w:color="auto"/>
              <w:bottom w:val="single" w:sz="4" w:space="0" w:color="auto"/>
              <w:right w:val="single" w:sz="4" w:space="0" w:color="auto"/>
            </w:tcBorders>
          </w:tcPr>
          <w:p w14:paraId="53A9202B" w14:textId="77777777" w:rsidR="00AC399B" w:rsidRDefault="00AC399B" w:rsidP="00CD0DDD">
            <w:pPr>
              <w:pBdr>
                <w:between w:val="single" w:sz="4" w:space="1" w:color="000000"/>
              </w:pBdr>
              <w:jc w:val="both"/>
              <w:rPr>
                <w:rFonts w:ascii="Times New Roman" w:eastAsia="Times New Roman" w:hAnsi="Times New Roman" w:cs="Times New Roman"/>
                <w:b/>
                <w:bCs/>
              </w:rPr>
            </w:pPr>
          </w:p>
        </w:tc>
        <w:tc>
          <w:tcPr>
            <w:tcW w:w="1845" w:type="dxa"/>
            <w:tcBorders>
              <w:top w:val="single" w:sz="4" w:space="0" w:color="auto"/>
              <w:left w:val="single" w:sz="4" w:space="0" w:color="auto"/>
              <w:bottom w:val="single" w:sz="4" w:space="0" w:color="auto"/>
              <w:right w:val="single" w:sz="4" w:space="0" w:color="auto"/>
            </w:tcBorders>
          </w:tcPr>
          <w:p w14:paraId="2E17B77B" w14:textId="77777777" w:rsidR="00AC399B" w:rsidRDefault="00AC399B" w:rsidP="00AC399B">
            <w:pPr>
              <w:rPr>
                <w:rFonts w:ascii="Times New Roman" w:eastAsia="Times New Roman" w:hAnsi="Times New Roman" w:cs="Times New Roman"/>
                <w:color w:val="000000"/>
                <w:lang w:val="ro-MD"/>
              </w:rPr>
            </w:pPr>
            <w:r w:rsidRPr="009C4FA3">
              <w:rPr>
                <w:rFonts w:ascii="Times New Roman" w:eastAsia="Times New Roman" w:hAnsi="Times New Roman" w:cs="Times New Roman"/>
                <w:color w:val="000000"/>
                <w:lang w:val="ro-MD"/>
              </w:rPr>
              <w:t>Ministerul Mediului</w:t>
            </w:r>
          </w:p>
          <w:p w14:paraId="1A43E9D0" w14:textId="5EE6A33A" w:rsidR="00AC399B" w:rsidRDefault="00AC399B" w:rsidP="00AC399B">
            <w:pPr>
              <w:rPr>
                <w:rFonts w:ascii="Times New Roman" w:eastAsia="Times New Roman" w:hAnsi="Times New Roman" w:cs="Times New Roman"/>
                <w:color w:val="000000"/>
                <w:lang w:val="ro-MD"/>
              </w:rPr>
            </w:pPr>
            <w:r w:rsidRPr="00212A45">
              <w:rPr>
                <w:rFonts w:ascii="Times New Roman" w:eastAsia="Times New Roman" w:hAnsi="Times New Roman" w:cs="Times New Roman"/>
                <w:i/>
                <w:iCs/>
                <w:color w:val="000000"/>
                <w:lang w:val="ro-MD"/>
              </w:rPr>
              <w:t>(Nr.13-05/1576 din 14.05.2026)</w:t>
            </w:r>
          </w:p>
        </w:tc>
        <w:tc>
          <w:tcPr>
            <w:tcW w:w="2557" w:type="dxa"/>
            <w:tcBorders>
              <w:top w:val="single" w:sz="4" w:space="0" w:color="auto"/>
              <w:left w:val="single" w:sz="4" w:space="0" w:color="auto"/>
              <w:bottom w:val="single" w:sz="4" w:space="0" w:color="auto"/>
              <w:right w:val="single" w:sz="4" w:space="0" w:color="auto"/>
            </w:tcBorders>
          </w:tcPr>
          <w:p w14:paraId="3A6DA263" w14:textId="77777777" w:rsidR="00AC399B" w:rsidRDefault="00AC399B" w:rsidP="00CD0DDD">
            <w:pPr>
              <w:pBdr>
                <w:between w:val="single" w:sz="4" w:space="1" w:color="000000"/>
              </w:pBdr>
              <w:jc w:val="both"/>
              <w:rPr>
                <w:rFonts w:ascii="Times New Roman" w:eastAsia="Times New Roman" w:hAnsi="Times New Roman" w:cs="Times New Roman"/>
              </w:rPr>
            </w:pPr>
          </w:p>
        </w:tc>
        <w:tc>
          <w:tcPr>
            <w:tcW w:w="5386" w:type="dxa"/>
            <w:tcBorders>
              <w:top w:val="single" w:sz="4" w:space="0" w:color="auto"/>
              <w:left w:val="single" w:sz="4" w:space="0" w:color="auto"/>
              <w:bottom w:val="single" w:sz="4" w:space="0" w:color="auto"/>
              <w:right w:val="single" w:sz="4" w:space="0" w:color="auto"/>
            </w:tcBorders>
          </w:tcPr>
          <w:p w14:paraId="01AEE349" w14:textId="77777777" w:rsidR="00AC399B" w:rsidRPr="00C234A8" w:rsidRDefault="00AC399B" w:rsidP="00AC399B">
            <w:pPr>
              <w:jc w:val="both"/>
              <w:rPr>
                <w:rFonts w:ascii="Times New Roman" w:eastAsia="Times New Roman" w:hAnsi="Times New Roman" w:cs="Times New Roman"/>
                <w:color w:val="000000"/>
                <w:lang w:val="ro-MD"/>
              </w:rPr>
            </w:pPr>
            <w:r w:rsidRPr="00C234A8">
              <w:rPr>
                <w:rFonts w:ascii="Times New Roman" w:eastAsia="Times New Roman" w:hAnsi="Times New Roman" w:cs="Times New Roman"/>
                <w:color w:val="000000"/>
                <w:lang w:val="ro-MD"/>
              </w:rPr>
              <w:t>1) În vederea asigurării coerenței interne a actului normativ și a corelării cu noțiunea stabilită la pct. 7.9 „indicator de risc - parametru cantitativ sau calitativ utilizat pentru monitorizarea evoluției unui risc, a vulnerabilităților și a eficienței măsurilor de control”, se propune reformularea prevederii prin includerea explicită a indicatorilor de risc și a declanșatorilor de risc, care să reflecte atât componenta de monitorizare, cât și cea de avertizare timpurie a riscurilor. Prin urmare, pct. 46.1.4 „indicatori” se propune a fi expus în următoarea redacție: „46.1.4 indicatori de risc (inclusiv indicatori de monitorizare și de avertizare timpurie) și declanșatori de risc”.</w:t>
            </w:r>
          </w:p>
          <w:p w14:paraId="1AFB70EE" w14:textId="2D521CB8" w:rsidR="00AC399B" w:rsidRPr="009C4FA3" w:rsidRDefault="00AC399B" w:rsidP="00AC399B">
            <w:pPr>
              <w:jc w:val="both"/>
              <w:rPr>
                <w:rFonts w:ascii="Times New Roman" w:eastAsia="Times New Roman" w:hAnsi="Times New Roman" w:cs="Times New Roman"/>
                <w:color w:val="000000"/>
                <w:lang w:val="ro-MD"/>
              </w:rPr>
            </w:pPr>
            <w:r w:rsidRPr="00C234A8">
              <w:rPr>
                <w:rFonts w:ascii="Times New Roman" w:eastAsia="Times New Roman" w:hAnsi="Times New Roman" w:cs="Times New Roman"/>
                <w:color w:val="000000"/>
                <w:lang w:val="ro-MD"/>
              </w:rPr>
              <w:lastRenderedPageBreak/>
              <w:t>2) La pct. 3.4, se utilizează sintagma „servicii de protecție civilă”. În vederea respectării rigorilor tehnicii legislative privind claritatea și previzibilitatea normei, se consideră necesară definirea noțiunii respective. În absența unei definiții explicite care să circumscrie sfera de aplicare a termenului, se recomandă excluderea acestuia pentru a evita interpretările echivoce și eventualele paralelisme juridice</w:t>
            </w:r>
          </w:p>
        </w:tc>
        <w:tc>
          <w:tcPr>
            <w:tcW w:w="3952" w:type="dxa"/>
            <w:tcBorders>
              <w:top w:val="single" w:sz="4" w:space="0" w:color="auto"/>
              <w:left w:val="single" w:sz="4" w:space="0" w:color="auto"/>
              <w:bottom w:val="single" w:sz="4" w:space="0" w:color="auto"/>
              <w:right w:val="single" w:sz="4" w:space="0" w:color="auto"/>
            </w:tcBorders>
          </w:tcPr>
          <w:p w14:paraId="3A75FB88" w14:textId="16C0562E" w:rsidR="00AC399B" w:rsidRDefault="00AC399B" w:rsidP="00AC399B">
            <w:pPr>
              <w:pBdr>
                <w:between w:val="single" w:sz="4" w:space="1" w:color="000000"/>
              </w:pBdr>
              <w:jc w:val="both"/>
              <w:rPr>
                <w:rFonts w:ascii="Times New Roman" w:eastAsia="Times New Roman" w:hAnsi="Times New Roman" w:cs="Times New Roman"/>
                <w:lang w:val="ro-MD"/>
              </w:rPr>
            </w:pPr>
            <w:r w:rsidRPr="00AC399B">
              <w:rPr>
                <w:rFonts w:ascii="Times New Roman" w:eastAsia="Times New Roman" w:hAnsi="Times New Roman" w:cs="Times New Roman"/>
                <w:b/>
                <w:bCs/>
                <w:lang w:val="ro-MD"/>
              </w:rPr>
              <w:lastRenderedPageBreak/>
              <w:t>Se acceptă</w:t>
            </w:r>
            <w:r w:rsidRPr="00AC399B">
              <w:rPr>
                <w:rFonts w:ascii="Times New Roman" w:eastAsia="Times New Roman" w:hAnsi="Times New Roman" w:cs="Times New Roman"/>
                <w:b/>
                <w:bCs/>
                <w:lang w:val="ro-MD"/>
              </w:rPr>
              <w:t>.</w:t>
            </w:r>
            <w:r>
              <w:rPr>
                <w:rFonts w:ascii="Times New Roman" w:eastAsia="Times New Roman" w:hAnsi="Times New Roman" w:cs="Times New Roman"/>
                <w:lang w:val="ro-MD"/>
              </w:rPr>
              <w:t xml:space="preserve"> </w:t>
            </w:r>
            <w:r>
              <w:rPr>
                <w:rFonts w:ascii="Times New Roman" w:eastAsia="Times New Roman" w:hAnsi="Times New Roman" w:cs="Times New Roman"/>
                <w:lang w:val="ro-MD"/>
              </w:rPr>
              <w:t>I</w:t>
            </w:r>
            <w:r>
              <w:rPr>
                <w:rFonts w:ascii="Times New Roman" w:eastAsia="Times New Roman" w:hAnsi="Times New Roman" w:cs="Times New Roman"/>
                <w:lang w:val="ro-MD"/>
              </w:rPr>
              <w:t>ntegra</w:t>
            </w:r>
            <w:r>
              <w:rPr>
                <w:rFonts w:ascii="Times New Roman" w:eastAsia="Times New Roman" w:hAnsi="Times New Roman" w:cs="Times New Roman"/>
                <w:lang w:val="ro-MD"/>
              </w:rPr>
              <w:t>t</w:t>
            </w:r>
            <w:r>
              <w:rPr>
                <w:rFonts w:ascii="Times New Roman" w:eastAsia="Times New Roman" w:hAnsi="Times New Roman" w:cs="Times New Roman"/>
                <w:lang w:val="ro-MD"/>
              </w:rPr>
              <w:t xml:space="preserve"> </w:t>
            </w:r>
            <w:r>
              <w:rPr>
                <w:rFonts w:ascii="Times New Roman" w:eastAsia="Times New Roman" w:hAnsi="Times New Roman" w:cs="Times New Roman"/>
                <w:lang w:val="ro-MD"/>
              </w:rPr>
              <w:t>în textul proiectului.</w:t>
            </w:r>
          </w:p>
          <w:p w14:paraId="3B282072" w14:textId="77777777" w:rsidR="00AC399B" w:rsidRDefault="00AC399B" w:rsidP="00CD0DDD">
            <w:pPr>
              <w:jc w:val="both"/>
              <w:rPr>
                <w:rFonts w:ascii="Times New Roman" w:eastAsia="Times New Roman" w:hAnsi="Times New Roman" w:cs="Times New Roman"/>
                <w:lang w:val="ro-MD"/>
              </w:rPr>
            </w:pPr>
          </w:p>
        </w:tc>
      </w:tr>
    </w:tbl>
    <w:p w14:paraId="11A2C5E2" w14:textId="77777777" w:rsidR="00AC399B" w:rsidRDefault="00AC399B">
      <w:pPr>
        <w:pBdr>
          <w:between w:val="single" w:sz="4" w:space="1" w:color="000000"/>
        </w:pBdr>
        <w:jc w:val="both"/>
        <w:rPr>
          <w:rFonts w:ascii="Times New Roman" w:eastAsia="Times New Roman" w:hAnsi="Times New Roman" w:cs="Times New Roman"/>
          <w:color w:val="7030A0"/>
        </w:rPr>
      </w:pPr>
    </w:p>
    <w:p w14:paraId="6BB65755" w14:textId="77777777" w:rsidR="00FD6FAB" w:rsidRPr="00AA0D7A" w:rsidRDefault="00FD6FAB" w:rsidP="00FD6FAB">
      <w:pPr>
        <w:spacing w:after="0" w:line="240" w:lineRule="auto"/>
        <w:jc w:val="center"/>
        <w:rPr>
          <w:rFonts w:ascii="Times New Roman" w:eastAsia="Times New Roman" w:hAnsi="Times New Roman" w:cs="Times New Roman"/>
          <w:b/>
          <w:bCs/>
          <w:color w:val="000000"/>
          <w:lang w:val="en-GB" w:eastAsia="en-US"/>
        </w:rPr>
      </w:pPr>
      <w:r w:rsidRPr="00AA0D7A">
        <w:rPr>
          <w:rFonts w:ascii="Times New Roman" w:eastAsia="Times New Roman" w:hAnsi="Times New Roman" w:cs="Times New Roman"/>
          <w:b/>
          <w:bCs/>
          <w:color w:val="000000"/>
          <w:lang w:val="en-GB" w:eastAsia="en-US"/>
        </w:rPr>
        <w:t>SINTEZA EXPERTIZEI</w:t>
      </w:r>
    </w:p>
    <w:p w14:paraId="4D4140EE" w14:textId="77777777" w:rsidR="00FD6FAB" w:rsidRPr="00AA0D7A" w:rsidRDefault="00FD6FAB" w:rsidP="00FD6FAB">
      <w:pPr>
        <w:spacing w:after="0" w:line="240" w:lineRule="auto"/>
        <w:jc w:val="center"/>
        <w:rPr>
          <w:rFonts w:ascii="Times New Roman" w:eastAsia="Times New Roman" w:hAnsi="Times New Roman" w:cs="Times New Roman"/>
          <w:b/>
          <w:bCs/>
          <w:color w:val="000000"/>
          <w:lang w:val="ro-RO" w:eastAsia="en-US"/>
        </w:rPr>
      </w:pPr>
      <w:r w:rsidRPr="00AA0D7A">
        <w:rPr>
          <w:rFonts w:ascii="Times New Roman" w:eastAsia="Times New Roman" w:hAnsi="Times New Roman" w:cs="Times New Roman"/>
          <w:b/>
          <w:bCs/>
          <w:color w:val="000000"/>
          <w:lang w:val="ro-RO" w:eastAsia="en-US"/>
        </w:rPr>
        <w:t>anticorupție și expertizei juridice efectuate în conformitate cu art. 36 și 37 din Legea nr. 100/2017 cu privire la actele normative</w:t>
      </w:r>
    </w:p>
    <w:p w14:paraId="5B64B743" w14:textId="77777777" w:rsidR="00FD6FAB" w:rsidRPr="00AA0D7A" w:rsidRDefault="00FD6FAB" w:rsidP="00FD6FAB">
      <w:pPr>
        <w:spacing w:after="0" w:line="240" w:lineRule="auto"/>
        <w:jc w:val="center"/>
        <w:rPr>
          <w:rFonts w:ascii="Times New Roman" w:eastAsia="Times New Roman" w:hAnsi="Times New Roman" w:cs="Times New Roman"/>
          <w:b/>
          <w:bCs/>
          <w:color w:val="000000"/>
          <w:lang w:val="en-GB" w:eastAsia="en-US"/>
        </w:rPr>
      </w:pPr>
    </w:p>
    <w:tbl>
      <w:tblPr>
        <w:tblStyle w:val="TableGrid"/>
        <w:tblW w:w="14312" w:type="dxa"/>
        <w:tblLayout w:type="fixed"/>
        <w:tblLook w:val="0400" w:firstRow="0" w:lastRow="0" w:firstColumn="0" w:lastColumn="0" w:noHBand="0" w:noVBand="1"/>
      </w:tblPr>
      <w:tblGrid>
        <w:gridCol w:w="562"/>
        <w:gridCol w:w="1985"/>
        <w:gridCol w:w="1838"/>
        <w:gridCol w:w="5958"/>
        <w:gridCol w:w="3969"/>
      </w:tblGrid>
      <w:tr w:rsidR="00FD6FAB" w:rsidRPr="00AA0D7A" w14:paraId="3DA2C292" w14:textId="77777777" w:rsidTr="00AC399B">
        <w:trPr>
          <w:trHeight w:val="819"/>
        </w:trPr>
        <w:tc>
          <w:tcPr>
            <w:tcW w:w="562" w:type="dxa"/>
            <w:shd w:val="clear" w:color="auto" w:fill="C6D9F1" w:themeFill="text2" w:themeFillTint="33"/>
          </w:tcPr>
          <w:p w14:paraId="4FF78276" w14:textId="5344901C" w:rsidR="00FD6FAB" w:rsidRPr="00AA0D7A" w:rsidRDefault="00AC399B" w:rsidP="00063E27">
            <w:pPr>
              <w:jc w:val="both"/>
              <w:rPr>
                <w:rFonts w:ascii="Times New Roman" w:eastAsia="Times New Roman" w:hAnsi="Times New Roman" w:cs="Times New Roman"/>
                <w:b/>
                <w:bCs/>
                <w:color w:val="000000"/>
                <w:lang w:val="ro-MD" w:eastAsia="en-US"/>
              </w:rPr>
            </w:pPr>
            <w:r>
              <w:rPr>
                <w:rFonts w:ascii="Times New Roman" w:eastAsia="Times New Roman" w:hAnsi="Times New Roman" w:cs="Times New Roman"/>
                <w:b/>
                <w:bCs/>
                <w:color w:val="000000"/>
                <w:lang w:val="ro-MD" w:eastAsia="en-US"/>
              </w:rPr>
              <w:t>Nr.</w:t>
            </w:r>
          </w:p>
        </w:tc>
        <w:tc>
          <w:tcPr>
            <w:tcW w:w="1985" w:type="dxa"/>
            <w:shd w:val="clear" w:color="auto" w:fill="C6D9F1" w:themeFill="text2" w:themeFillTint="33"/>
          </w:tcPr>
          <w:p w14:paraId="41D76626" w14:textId="6EC3288C" w:rsidR="00FD6FAB" w:rsidRPr="00AA0D7A" w:rsidRDefault="00FD6FAB" w:rsidP="00063E27">
            <w:pPr>
              <w:jc w:val="both"/>
              <w:rPr>
                <w:rFonts w:ascii="Times New Roman" w:eastAsia="Times New Roman" w:hAnsi="Times New Roman" w:cs="Times New Roman"/>
                <w:b/>
                <w:bCs/>
                <w:color w:val="000000"/>
                <w:lang w:val="ro-MD" w:eastAsia="en-US"/>
              </w:rPr>
            </w:pPr>
            <w:r w:rsidRPr="00AA0D7A">
              <w:rPr>
                <w:rFonts w:ascii="Times New Roman" w:eastAsia="Times New Roman" w:hAnsi="Times New Roman" w:cs="Times New Roman"/>
                <w:b/>
                <w:bCs/>
                <w:color w:val="000000"/>
                <w:lang w:val="ro-MD" w:eastAsia="en-US"/>
              </w:rPr>
              <w:t xml:space="preserve">Instituția </w:t>
            </w:r>
            <w:r>
              <w:rPr>
                <w:rFonts w:ascii="Times New Roman" w:eastAsia="Times New Roman" w:hAnsi="Times New Roman" w:cs="Times New Roman"/>
                <w:b/>
                <w:bCs/>
                <w:color w:val="000000"/>
                <w:lang w:val="ro-MD" w:eastAsia="en-US"/>
              </w:rPr>
              <w:t>avizatoare</w:t>
            </w:r>
          </w:p>
        </w:tc>
        <w:tc>
          <w:tcPr>
            <w:tcW w:w="1838" w:type="dxa"/>
            <w:shd w:val="clear" w:color="auto" w:fill="C6D9F1" w:themeFill="text2" w:themeFillTint="33"/>
          </w:tcPr>
          <w:p w14:paraId="7F768D5A" w14:textId="77777777" w:rsidR="00FD6FAB" w:rsidRPr="00AA0D7A" w:rsidRDefault="00FD6FAB" w:rsidP="00063E27">
            <w:pPr>
              <w:jc w:val="both"/>
              <w:rPr>
                <w:rFonts w:ascii="Times New Roman" w:eastAsia="Times New Roman" w:hAnsi="Times New Roman" w:cs="Times New Roman"/>
                <w:b/>
                <w:bCs/>
                <w:color w:val="000000"/>
                <w:lang w:val="ro-MD" w:eastAsia="en-US"/>
              </w:rPr>
            </w:pPr>
            <w:r w:rsidRPr="00AA0D7A">
              <w:rPr>
                <w:rFonts w:ascii="Times New Roman" w:eastAsia="Times New Roman" w:hAnsi="Times New Roman" w:cs="Times New Roman"/>
                <w:b/>
                <w:bCs/>
                <w:color w:val="000000"/>
                <w:lang w:val="ro-MD" w:eastAsia="en-US"/>
              </w:rPr>
              <w:t>Nr. crt.</w:t>
            </w:r>
          </w:p>
        </w:tc>
        <w:tc>
          <w:tcPr>
            <w:tcW w:w="5958" w:type="dxa"/>
            <w:shd w:val="clear" w:color="auto" w:fill="C6D9F1" w:themeFill="text2" w:themeFillTint="33"/>
          </w:tcPr>
          <w:p w14:paraId="0219B5D4" w14:textId="77777777" w:rsidR="00FD6FAB" w:rsidRPr="00AA0D7A" w:rsidRDefault="00FD6FAB" w:rsidP="00063E27">
            <w:pPr>
              <w:jc w:val="both"/>
              <w:rPr>
                <w:rFonts w:ascii="Times New Roman" w:eastAsia="Times New Roman" w:hAnsi="Times New Roman" w:cs="Times New Roman"/>
                <w:b/>
                <w:bCs/>
                <w:color w:val="000000"/>
                <w:lang w:val="ro-MD" w:eastAsia="en-US"/>
              </w:rPr>
            </w:pPr>
            <w:r w:rsidRPr="00AA0D7A">
              <w:rPr>
                <w:rFonts w:ascii="Times New Roman" w:eastAsia="Times New Roman" w:hAnsi="Times New Roman" w:cs="Times New Roman"/>
                <w:b/>
                <w:bCs/>
                <w:color w:val="000000"/>
                <w:lang w:val="ro-MD" w:eastAsia="en-US"/>
              </w:rPr>
              <w:t>Conținutul obiecției, propunerii, recomandării, concluziii</w:t>
            </w:r>
          </w:p>
        </w:tc>
        <w:tc>
          <w:tcPr>
            <w:tcW w:w="3969" w:type="dxa"/>
            <w:shd w:val="clear" w:color="auto" w:fill="C6D9F1" w:themeFill="text2" w:themeFillTint="33"/>
          </w:tcPr>
          <w:p w14:paraId="2F612A5B" w14:textId="77777777" w:rsidR="00FD6FAB" w:rsidRPr="00AA0D7A" w:rsidRDefault="00FD6FAB" w:rsidP="00063E27">
            <w:pPr>
              <w:jc w:val="both"/>
              <w:rPr>
                <w:rFonts w:ascii="Times New Roman" w:eastAsia="Times New Roman" w:hAnsi="Times New Roman" w:cs="Times New Roman"/>
                <w:b/>
                <w:bCs/>
                <w:color w:val="000000"/>
                <w:lang w:val="ro-MD" w:eastAsia="en-US"/>
              </w:rPr>
            </w:pPr>
            <w:r w:rsidRPr="00AA0D7A">
              <w:rPr>
                <w:rFonts w:ascii="Times New Roman" w:eastAsia="Times New Roman" w:hAnsi="Times New Roman" w:cs="Times New Roman"/>
                <w:b/>
                <w:bCs/>
                <w:color w:val="000000"/>
                <w:lang w:val="ro-MD" w:eastAsia="en-US"/>
              </w:rPr>
              <w:t>Argumentarea autorului proiectului</w:t>
            </w:r>
          </w:p>
        </w:tc>
      </w:tr>
      <w:tr w:rsidR="00FD6FAB" w:rsidRPr="00AA0D7A" w14:paraId="4E301C5D" w14:textId="77777777" w:rsidTr="00FD6FAB">
        <w:trPr>
          <w:trHeight w:val="315"/>
        </w:trPr>
        <w:tc>
          <w:tcPr>
            <w:tcW w:w="562" w:type="dxa"/>
            <w:vMerge w:val="restart"/>
          </w:tcPr>
          <w:p w14:paraId="37675404" w14:textId="7F933276" w:rsidR="00FD6FAB" w:rsidRPr="00B44678" w:rsidRDefault="00FD6FAB" w:rsidP="00063E27">
            <w:pPr>
              <w:jc w:val="both"/>
              <w:rPr>
                <w:rFonts w:ascii="Times New Roman" w:eastAsia="Times New Roman" w:hAnsi="Times New Roman" w:cs="Times New Roman"/>
                <w:b/>
                <w:bCs/>
                <w:color w:val="000000"/>
                <w:lang w:val="ro-MD" w:eastAsia="en-US"/>
              </w:rPr>
            </w:pPr>
            <w:r>
              <w:rPr>
                <w:rFonts w:ascii="Times New Roman" w:eastAsia="Times New Roman" w:hAnsi="Times New Roman" w:cs="Times New Roman"/>
                <w:b/>
                <w:bCs/>
                <w:color w:val="000000"/>
                <w:lang w:val="ro-MD" w:eastAsia="en-US"/>
              </w:rPr>
              <w:t>1.</w:t>
            </w:r>
          </w:p>
        </w:tc>
        <w:tc>
          <w:tcPr>
            <w:tcW w:w="1985" w:type="dxa"/>
            <w:vMerge w:val="restart"/>
          </w:tcPr>
          <w:p w14:paraId="42EB908D" w14:textId="5E7B332E" w:rsidR="00FD6FAB" w:rsidRPr="00B44678" w:rsidRDefault="00FD6FAB" w:rsidP="00063E27">
            <w:pPr>
              <w:jc w:val="both"/>
              <w:rPr>
                <w:rFonts w:ascii="Times New Roman" w:eastAsia="Times New Roman" w:hAnsi="Times New Roman" w:cs="Times New Roman"/>
                <w:b/>
                <w:bCs/>
                <w:color w:val="000000"/>
                <w:lang w:val="ro-MD" w:eastAsia="en-US"/>
              </w:rPr>
            </w:pPr>
            <w:r w:rsidRPr="00B44678">
              <w:rPr>
                <w:rFonts w:ascii="Times New Roman" w:eastAsia="Times New Roman" w:hAnsi="Times New Roman" w:cs="Times New Roman"/>
                <w:b/>
                <w:bCs/>
                <w:color w:val="000000"/>
                <w:lang w:val="ro-MD" w:eastAsia="en-US"/>
              </w:rPr>
              <w:t xml:space="preserve">Centrul Național Anticorupție al Republicii Moldova </w:t>
            </w:r>
          </w:p>
          <w:p w14:paraId="621558EC" w14:textId="3093C9CA" w:rsidR="00FD6FAB" w:rsidRPr="008D32CD" w:rsidRDefault="008D32CD" w:rsidP="00063E27">
            <w:pPr>
              <w:jc w:val="both"/>
              <w:rPr>
                <w:rFonts w:ascii="Times New Roman" w:eastAsia="Times New Roman" w:hAnsi="Times New Roman" w:cs="Times New Roman"/>
                <w:i/>
                <w:iCs/>
                <w:color w:val="000000"/>
                <w:lang w:val="ro-MD" w:eastAsia="en-US"/>
              </w:rPr>
            </w:pPr>
            <w:r w:rsidRPr="008D32CD">
              <w:rPr>
                <w:rFonts w:ascii="Times New Roman" w:eastAsia="Times New Roman" w:hAnsi="Times New Roman" w:cs="Times New Roman"/>
                <w:i/>
                <w:iCs/>
                <w:color w:val="000000"/>
                <w:lang w:val="ro-MD" w:eastAsia="en-US"/>
              </w:rPr>
              <w:t>(</w:t>
            </w:r>
            <w:r w:rsidR="00FD6FAB" w:rsidRPr="008D32CD">
              <w:rPr>
                <w:rFonts w:ascii="Times New Roman" w:eastAsia="Times New Roman" w:hAnsi="Times New Roman" w:cs="Times New Roman"/>
                <w:i/>
                <w:iCs/>
                <w:color w:val="000000"/>
                <w:lang w:val="ro-MD" w:eastAsia="en-US"/>
              </w:rPr>
              <w:t>Nr. EHG26/11607 din 24.06.2026</w:t>
            </w:r>
            <w:r w:rsidRPr="008D32CD">
              <w:rPr>
                <w:rFonts w:ascii="Times New Roman" w:eastAsia="Times New Roman" w:hAnsi="Times New Roman" w:cs="Times New Roman"/>
                <w:i/>
                <w:iCs/>
                <w:color w:val="000000"/>
                <w:lang w:val="ro-MD" w:eastAsia="en-US"/>
              </w:rPr>
              <w:t>)</w:t>
            </w:r>
          </w:p>
        </w:tc>
        <w:tc>
          <w:tcPr>
            <w:tcW w:w="1838" w:type="dxa"/>
          </w:tcPr>
          <w:p w14:paraId="68013E8F" w14:textId="77777777" w:rsidR="00FD6FAB" w:rsidRPr="00AA0D7A" w:rsidRDefault="00FD6FAB" w:rsidP="00063E27">
            <w:pPr>
              <w:jc w:val="both"/>
              <w:rPr>
                <w:rFonts w:ascii="Times New Roman" w:eastAsia="Times New Roman" w:hAnsi="Times New Roman" w:cs="Times New Roman"/>
                <w:color w:val="000000"/>
                <w:lang w:val="ro-MD" w:eastAsia="en-US"/>
              </w:rPr>
            </w:pPr>
            <w:r w:rsidRPr="00AA0D7A">
              <w:rPr>
                <w:rFonts w:ascii="Times New Roman" w:eastAsia="Times New Roman" w:hAnsi="Times New Roman" w:cs="Times New Roman"/>
                <w:color w:val="000000"/>
                <w:lang w:val="ro-MD" w:eastAsia="en-US"/>
              </w:rPr>
              <w:t>1</w:t>
            </w:r>
          </w:p>
        </w:tc>
        <w:tc>
          <w:tcPr>
            <w:tcW w:w="5958" w:type="dxa"/>
          </w:tcPr>
          <w:p w14:paraId="12C9D236" w14:textId="77777777" w:rsidR="00FD6FAB" w:rsidRPr="00AA0D7A" w:rsidRDefault="00FD6FAB" w:rsidP="00063E27">
            <w:pPr>
              <w:jc w:val="both"/>
              <w:rPr>
                <w:rFonts w:ascii="Times New Roman" w:eastAsia="Times New Roman" w:hAnsi="Times New Roman" w:cs="Times New Roman"/>
                <w:color w:val="000000"/>
                <w:lang w:val="ro-MD" w:eastAsia="en-US"/>
              </w:rPr>
            </w:pPr>
            <w:r w:rsidRPr="00AA0D7A">
              <w:rPr>
                <w:rFonts w:ascii="Times New Roman" w:eastAsia="Times New Roman" w:hAnsi="Times New Roman" w:cs="Times New Roman"/>
                <w:color w:val="000000"/>
                <w:lang w:val="ro-MD" w:eastAsia="en-US"/>
              </w:rPr>
              <w:t>Se constată lipsa anunțului privind organizarea consultării publice, proiectul şi nota de fundamentare la acesta pe pagina web oficială a Centrului Național de Management al Crizelor, cât și pe portalul www.particip.gov.md, ceea ce nu este conform prevederilor privind transparența procesului decizional.</w:t>
            </w:r>
          </w:p>
        </w:tc>
        <w:tc>
          <w:tcPr>
            <w:tcW w:w="3969" w:type="dxa"/>
          </w:tcPr>
          <w:p w14:paraId="6392286C" w14:textId="77777777" w:rsidR="00FD6FAB" w:rsidRPr="00AA0D7A" w:rsidRDefault="00FD6FAB" w:rsidP="00063E27">
            <w:pPr>
              <w:jc w:val="both"/>
              <w:rPr>
                <w:rFonts w:ascii="Times New Roman" w:eastAsia="Times New Roman" w:hAnsi="Times New Roman" w:cs="Times New Roman"/>
                <w:color w:val="000000"/>
                <w:lang w:val="ro-MD" w:eastAsia="en-US"/>
              </w:rPr>
            </w:pPr>
            <w:r w:rsidRPr="00AA0D7A">
              <w:rPr>
                <w:rFonts w:ascii="Times New Roman" w:eastAsia="Times New Roman" w:hAnsi="Times New Roman" w:cs="Times New Roman"/>
                <w:color w:val="000000"/>
                <w:lang w:val="ro-MD" w:eastAsia="en-US"/>
              </w:rPr>
              <w:t>Proiectul a fost supus procedurii de avizare și consultare publică în conformitate cu prevederile legislației în vigoare:</w:t>
            </w:r>
          </w:p>
          <w:p w14:paraId="7925AA05" w14:textId="77777777" w:rsidR="00FD6FAB" w:rsidRPr="00AA0D7A" w:rsidRDefault="00FD6FAB" w:rsidP="00063E27">
            <w:pPr>
              <w:jc w:val="both"/>
              <w:rPr>
                <w:rFonts w:ascii="Times New Roman" w:eastAsia="Times New Roman" w:hAnsi="Times New Roman" w:cs="Times New Roman"/>
                <w:color w:val="000000"/>
                <w:lang w:val="ro-MD" w:eastAsia="en-US"/>
              </w:rPr>
            </w:pPr>
            <w:r w:rsidRPr="00AA0D7A">
              <w:rPr>
                <w:rFonts w:ascii="Times New Roman" w:eastAsia="Times New Roman" w:hAnsi="Times New Roman" w:cs="Times New Roman"/>
                <w:color w:val="000000"/>
                <w:lang w:val="ro-MD" w:eastAsia="en-US"/>
              </w:rPr>
              <w:t>(</w:t>
            </w:r>
            <w:hyperlink r:id="rId6" w:history="1">
              <w:r w:rsidRPr="00AA0D7A">
                <w:rPr>
                  <w:rStyle w:val="Hyperlink"/>
                  <w:rFonts w:ascii="Times New Roman" w:eastAsia="Times New Roman" w:hAnsi="Times New Roman" w:cs="Times New Roman"/>
                  <w:lang w:val="ro-MD" w:eastAsia="en-US"/>
                </w:rPr>
                <w:t>https://particip.gov.md/ro/document/stages/*/16159</w:t>
              </w:r>
            </w:hyperlink>
            <w:r w:rsidRPr="00AA0D7A">
              <w:rPr>
                <w:rFonts w:ascii="Times New Roman" w:eastAsia="Times New Roman" w:hAnsi="Times New Roman" w:cs="Times New Roman"/>
                <w:color w:val="000000"/>
                <w:u w:val="single"/>
                <w:lang w:val="ro-MD" w:eastAsia="en-US"/>
              </w:rPr>
              <w:t xml:space="preserve">; </w:t>
            </w:r>
            <w:hyperlink r:id="rId7" w:history="1">
              <w:r w:rsidRPr="00AA0D7A">
                <w:rPr>
                  <w:rStyle w:val="Hyperlink"/>
                  <w:rFonts w:ascii="Times New Roman" w:eastAsia="Times New Roman" w:hAnsi="Times New Roman" w:cs="Times New Roman"/>
                  <w:lang w:val="ro-MD" w:eastAsia="en-US"/>
                </w:rPr>
                <w:t>pagina web a CNMC)</w:t>
              </w:r>
            </w:hyperlink>
            <w:r w:rsidRPr="00AA0D7A">
              <w:rPr>
                <w:rFonts w:ascii="Times New Roman" w:eastAsia="Times New Roman" w:hAnsi="Times New Roman" w:cs="Times New Roman"/>
                <w:color w:val="000000"/>
                <w:u w:val="single"/>
                <w:lang w:val="ro-MD" w:eastAsia="en-US"/>
              </w:rPr>
              <w:t>.</w:t>
            </w:r>
          </w:p>
          <w:p w14:paraId="34F88C82" w14:textId="77777777" w:rsidR="00FD6FAB" w:rsidRPr="00AA0D7A" w:rsidRDefault="00FD6FAB" w:rsidP="00063E27">
            <w:pPr>
              <w:jc w:val="both"/>
              <w:rPr>
                <w:rFonts w:ascii="Times New Roman" w:eastAsia="Times New Roman" w:hAnsi="Times New Roman" w:cs="Times New Roman"/>
                <w:color w:val="000000"/>
                <w:lang w:val="ro-MD" w:eastAsia="en-US"/>
              </w:rPr>
            </w:pPr>
            <w:r w:rsidRPr="00AA0D7A">
              <w:rPr>
                <w:rFonts w:ascii="Times New Roman" w:eastAsia="Times New Roman" w:hAnsi="Times New Roman" w:cs="Times New Roman"/>
                <w:color w:val="000000"/>
                <w:lang w:val="ro-MD" w:eastAsia="en-US"/>
              </w:rPr>
              <w:t>Observațiile și propunerile recepționate din partea autorităților publice au fost examinate și, după caz, integrate în textul proiectului, fapt reflectat în tabelul de sinteză.</w:t>
            </w:r>
          </w:p>
          <w:p w14:paraId="3E333975" w14:textId="77777777" w:rsidR="00FD6FAB" w:rsidRPr="00AA0D7A" w:rsidRDefault="00FD6FAB" w:rsidP="00063E27">
            <w:pPr>
              <w:jc w:val="both"/>
              <w:rPr>
                <w:rFonts w:ascii="Times New Roman" w:eastAsia="Times New Roman" w:hAnsi="Times New Roman" w:cs="Times New Roman"/>
                <w:color w:val="000000"/>
                <w:lang w:val="ro-MD" w:eastAsia="en-US"/>
              </w:rPr>
            </w:pPr>
            <w:r w:rsidRPr="00AA0D7A">
              <w:rPr>
                <w:rFonts w:ascii="Times New Roman" w:eastAsia="Times New Roman" w:hAnsi="Times New Roman" w:cs="Times New Roman"/>
                <w:color w:val="000000"/>
                <w:lang w:val="ro-MD" w:eastAsia="en-US"/>
              </w:rPr>
              <w:t>Pagina web a CNMC nu este definitivată și se va remedia acest impediment pentru proiectele viitoare.</w:t>
            </w:r>
          </w:p>
        </w:tc>
      </w:tr>
      <w:tr w:rsidR="00FD6FAB" w:rsidRPr="00AA0D7A" w14:paraId="3999B435" w14:textId="77777777" w:rsidTr="00FD6FAB">
        <w:trPr>
          <w:trHeight w:val="315"/>
        </w:trPr>
        <w:tc>
          <w:tcPr>
            <w:tcW w:w="562" w:type="dxa"/>
            <w:vMerge/>
          </w:tcPr>
          <w:p w14:paraId="5FFE8EC6" w14:textId="77777777" w:rsidR="00FD6FAB" w:rsidRPr="00AA0D7A" w:rsidRDefault="00FD6FAB" w:rsidP="00063E27">
            <w:pPr>
              <w:jc w:val="both"/>
              <w:rPr>
                <w:rFonts w:ascii="Times New Roman" w:eastAsia="Times New Roman" w:hAnsi="Times New Roman" w:cs="Times New Roman"/>
                <w:color w:val="000000"/>
                <w:lang w:val="ro-MD" w:eastAsia="en-US"/>
              </w:rPr>
            </w:pPr>
          </w:p>
        </w:tc>
        <w:tc>
          <w:tcPr>
            <w:tcW w:w="1985" w:type="dxa"/>
            <w:vMerge/>
          </w:tcPr>
          <w:p w14:paraId="26BCF3FA" w14:textId="120EE1F1" w:rsidR="00FD6FAB" w:rsidRPr="00AA0D7A" w:rsidRDefault="00FD6FAB" w:rsidP="00063E27">
            <w:pPr>
              <w:jc w:val="both"/>
              <w:rPr>
                <w:rFonts w:ascii="Times New Roman" w:eastAsia="Times New Roman" w:hAnsi="Times New Roman" w:cs="Times New Roman"/>
                <w:color w:val="000000"/>
                <w:lang w:val="ro-MD" w:eastAsia="en-US"/>
              </w:rPr>
            </w:pPr>
          </w:p>
        </w:tc>
        <w:tc>
          <w:tcPr>
            <w:tcW w:w="1838" w:type="dxa"/>
          </w:tcPr>
          <w:p w14:paraId="39E88FA5" w14:textId="77777777" w:rsidR="00FD6FAB" w:rsidRPr="00AA0D7A" w:rsidRDefault="00FD6FAB" w:rsidP="00063E27">
            <w:pPr>
              <w:jc w:val="both"/>
              <w:rPr>
                <w:rFonts w:ascii="Times New Roman" w:eastAsia="Times New Roman" w:hAnsi="Times New Roman" w:cs="Times New Roman"/>
                <w:color w:val="000000"/>
                <w:lang w:val="ro-MD" w:eastAsia="en-US"/>
              </w:rPr>
            </w:pPr>
          </w:p>
        </w:tc>
        <w:tc>
          <w:tcPr>
            <w:tcW w:w="5958" w:type="dxa"/>
          </w:tcPr>
          <w:p w14:paraId="29DB6DE8" w14:textId="77777777" w:rsidR="00FD6FAB" w:rsidRPr="00AA0D7A" w:rsidRDefault="00FD6FAB" w:rsidP="00063E27">
            <w:pPr>
              <w:jc w:val="both"/>
              <w:rPr>
                <w:rFonts w:ascii="Times New Roman" w:eastAsia="Times New Roman" w:hAnsi="Times New Roman" w:cs="Times New Roman"/>
                <w:color w:val="000000"/>
                <w:lang w:val="ro-MD" w:eastAsia="en-US"/>
              </w:rPr>
            </w:pPr>
            <w:r w:rsidRPr="00AA0D7A">
              <w:rPr>
                <w:rFonts w:ascii="Times New Roman" w:eastAsia="Times New Roman" w:hAnsi="Times New Roman" w:cs="Times New Roman"/>
                <w:color w:val="000000"/>
                <w:lang w:val="ro-MD" w:eastAsia="en-US"/>
              </w:rPr>
              <w:t>Concluzia expertizei</w:t>
            </w:r>
          </w:p>
        </w:tc>
        <w:tc>
          <w:tcPr>
            <w:tcW w:w="3969" w:type="dxa"/>
          </w:tcPr>
          <w:p w14:paraId="62142343" w14:textId="77777777" w:rsidR="00FD6FAB" w:rsidRPr="00AA0D7A" w:rsidRDefault="00FD6FAB" w:rsidP="00063E27">
            <w:pPr>
              <w:jc w:val="both"/>
              <w:rPr>
                <w:rFonts w:ascii="Times New Roman" w:eastAsia="Times New Roman" w:hAnsi="Times New Roman" w:cs="Times New Roman"/>
                <w:color w:val="000000"/>
                <w:lang w:val="ro-MD" w:eastAsia="en-US"/>
              </w:rPr>
            </w:pPr>
          </w:p>
        </w:tc>
      </w:tr>
      <w:tr w:rsidR="00FD6FAB" w:rsidRPr="00AA0D7A" w14:paraId="5DE0B67F" w14:textId="77777777" w:rsidTr="00FD6FAB">
        <w:trPr>
          <w:trHeight w:val="315"/>
        </w:trPr>
        <w:tc>
          <w:tcPr>
            <w:tcW w:w="562" w:type="dxa"/>
            <w:vMerge/>
          </w:tcPr>
          <w:p w14:paraId="0C865E48" w14:textId="77777777" w:rsidR="00FD6FAB" w:rsidRPr="00AA0D7A" w:rsidRDefault="00FD6FAB" w:rsidP="00063E27">
            <w:pPr>
              <w:jc w:val="both"/>
              <w:rPr>
                <w:rFonts w:ascii="Times New Roman" w:eastAsia="Times New Roman" w:hAnsi="Times New Roman" w:cs="Times New Roman"/>
                <w:color w:val="000000"/>
                <w:lang w:val="ro-MD" w:eastAsia="en-US"/>
              </w:rPr>
            </w:pPr>
          </w:p>
        </w:tc>
        <w:tc>
          <w:tcPr>
            <w:tcW w:w="1985" w:type="dxa"/>
            <w:vMerge/>
          </w:tcPr>
          <w:p w14:paraId="58A31A30" w14:textId="43B832EC" w:rsidR="00FD6FAB" w:rsidRPr="00AA0D7A" w:rsidRDefault="00FD6FAB" w:rsidP="00063E27">
            <w:pPr>
              <w:jc w:val="both"/>
              <w:rPr>
                <w:rFonts w:ascii="Times New Roman" w:eastAsia="Times New Roman" w:hAnsi="Times New Roman" w:cs="Times New Roman"/>
                <w:color w:val="000000"/>
                <w:lang w:val="ro-MD" w:eastAsia="en-US"/>
              </w:rPr>
            </w:pPr>
          </w:p>
        </w:tc>
        <w:tc>
          <w:tcPr>
            <w:tcW w:w="1838" w:type="dxa"/>
          </w:tcPr>
          <w:p w14:paraId="0430817A" w14:textId="77777777" w:rsidR="00FD6FAB" w:rsidRPr="00AA0D7A" w:rsidRDefault="00FD6FAB" w:rsidP="00063E27">
            <w:pPr>
              <w:jc w:val="both"/>
              <w:rPr>
                <w:rFonts w:ascii="Times New Roman" w:eastAsia="Times New Roman" w:hAnsi="Times New Roman" w:cs="Times New Roman"/>
                <w:color w:val="000000"/>
                <w:lang w:val="ro-MD" w:eastAsia="en-US"/>
              </w:rPr>
            </w:pPr>
            <w:r w:rsidRPr="00AA0D7A">
              <w:rPr>
                <w:rFonts w:ascii="Times New Roman" w:eastAsia="Times New Roman" w:hAnsi="Times New Roman" w:cs="Times New Roman"/>
                <w:color w:val="000000"/>
                <w:lang w:val="ro-MD" w:eastAsia="en-US"/>
              </w:rPr>
              <w:t>2.</w:t>
            </w:r>
          </w:p>
        </w:tc>
        <w:tc>
          <w:tcPr>
            <w:tcW w:w="5958" w:type="dxa"/>
          </w:tcPr>
          <w:p w14:paraId="53E3D739" w14:textId="77777777" w:rsidR="00FD6FAB" w:rsidRPr="00AA0D7A" w:rsidRDefault="00FD6FAB" w:rsidP="00063E27">
            <w:pPr>
              <w:jc w:val="both"/>
              <w:rPr>
                <w:rFonts w:ascii="Times New Roman" w:eastAsia="Times New Roman" w:hAnsi="Times New Roman" w:cs="Times New Roman"/>
                <w:color w:val="000000"/>
                <w:lang w:val="ro-MD" w:eastAsia="en-US"/>
              </w:rPr>
            </w:pPr>
            <w:r w:rsidRPr="00AA0D7A">
              <w:rPr>
                <w:rFonts w:ascii="Times New Roman" w:eastAsia="Times New Roman" w:hAnsi="Times New Roman" w:cs="Times New Roman"/>
                <w:color w:val="000000"/>
                <w:lang w:val="ro-MD" w:eastAsia="en-US"/>
              </w:rPr>
              <w:t xml:space="preserve">1. Conform art.30 lit.d) al Legii nr.100/2017 cu privire la actele normative, nota de fundamentare trebuie să conțină „d) analiza impactului de reglementare". </w:t>
            </w:r>
          </w:p>
          <w:p w14:paraId="66C47E7F" w14:textId="77777777" w:rsidR="00FD6FAB" w:rsidRPr="00AA0D7A" w:rsidRDefault="00FD6FAB" w:rsidP="00063E27">
            <w:pPr>
              <w:jc w:val="both"/>
              <w:rPr>
                <w:rFonts w:ascii="Times New Roman" w:eastAsia="Times New Roman" w:hAnsi="Times New Roman" w:cs="Times New Roman"/>
                <w:color w:val="000000"/>
                <w:lang w:val="ro-MD" w:eastAsia="en-US"/>
              </w:rPr>
            </w:pPr>
            <w:r w:rsidRPr="00AA0D7A">
              <w:rPr>
                <w:rFonts w:ascii="Times New Roman" w:eastAsia="Times New Roman" w:hAnsi="Times New Roman" w:cs="Times New Roman"/>
                <w:color w:val="000000"/>
                <w:lang w:val="ro-MD" w:eastAsia="en-US"/>
              </w:rPr>
              <w:lastRenderedPageBreak/>
              <w:t>2. În nota de fundamentare autorul descrie informații detaliate în compartimentul „Impactul financiar și argumentarea costurilor estimative”.</w:t>
            </w:r>
          </w:p>
          <w:p w14:paraId="1B35B158" w14:textId="77777777" w:rsidR="00FD6FAB" w:rsidRPr="00AA0D7A" w:rsidRDefault="00FD6FAB" w:rsidP="00063E27">
            <w:pPr>
              <w:jc w:val="both"/>
              <w:rPr>
                <w:rFonts w:ascii="Times New Roman" w:eastAsia="Times New Roman" w:hAnsi="Times New Roman" w:cs="Times New Roman"/>
                <w:color w:val="000000"/>
                <w:lang w:val="ro-MD" w:eastAsia="en-US"/>
              </w:rPr>
            </w:pPr>
            <w:r w:rsidRPr="00AA0D7A">
              <w:rPr>
                <w:rFonts w:ascii="Times New Roman" w:eastAsia="Times New Roman" w:hAnsi="Times New Roman" w:cs="Times New Roman"/>
                <w:color w:val="000000"/>
                <w:lang w:val="ro-MD" w:eastAsia="en-US"/>
              </w:rPr>
              <w:t>În final, menționăm că, în redacția propusă, proiectul nu conține factori și riscuri de corupție.</w:t>
            </w:r>
          </w:p>
        </w:tc>
        <w:tc>
          <w:tcPr>
            <w:tcW w:w="3969" w:type="dxa"/>
          </w:tcPr>
          <w:p w14:paraId="75E14353" w14:textId="77777777" w:rsidR="00FD6FAB" w:rsidRPr="00B44678" w:rsidRDefault="00FD6FAB" w:rsidP="00063E27">
            <w:pPr>
              <w:jc w:val="both"/>
              <w:rPr>
                <w:rFonts w:ascii="Times New Roman" w:eastAsia="Times New Roman" w:hAnsi="Times New Roman" w:cs="Times New Roman"/>
                <w:b/>
                <w:bCs/>
                <w:color w:val="000000"/>
                <w:lang w:val="ro-MD" w:eastAsia="en-US"/>
              </w:rPr>
            </w:pPr>
            <w:r w:rsidRPr="00B44678">
              <w:rPr>
                <w:rFonts w:ascii="Times New Roman" w:eastAsia="Times New Roman" w:hAnsi="Times New Roman" w:cs="Times New Roman"/>
                <w:b/>
                <w:bCs/>
                <w:color w:val="000000"/>
                <w:lang w:val="ro-MD" w:eastAsia="en-US"/>
              </w:rPr>
              <w:lastRenderedPageBreak/>
              <w:t>Se ia act.</w:t>
            </w:r>
          </w:p>
        </w:tc>
      </w:tr>
      <w:tr w:rsidR="00FD6FAB" w:rsidRPr="00AA0D7A" w14:paraId="1C985491" w14:textId="77777777" w:rsidTr="00FD6FAB">
        <w:trPr>
          <w:trHeight w:val="315"/>
        </w:trPr>
        <w:tc>
          <w:tcPr>
            <w:tcW w:w="562" w:type="dxa"/>
            <w:shd w:val="clear" w:color="auto" w:fill="00B0F0"/>
          </w:tcPr>
          <w:p w14:paraId="35BCB73B" w14:textId="77777777" w:rsidR="00FD6FAB" w:rsidRPr="00AA0D7A" w:rsidRDefault="00FD6FAB" w:rsidP="00063E27">
            <w:pPr>
              <w:jc w:val="both"/>
              <w:rPr>
                <w:rFonts w:ascii="Times New Roman" w:eastAsia="Times New Roman" w:hAnsi="Times New Roman" w:cs="Times New Roman"/>
                <w:color w:val="000000"/>
                <w:lang w:val="ro-MD" w:eastAsia="en-US"/>
              </w:rPr>
            </w:pPr>
          </w:p>
        </w:tc>
        <w:tc>
          <w:tcPr>
            <w:tcW w:w="1985" w:type="dxa"/>
            <w:shd w:val="clear" w:color="auto" w:fill="00B0F0"/>
          </w:tcPr>
          <w:p w14:paraId="23CE2994" w14:textId="77777777" w:rsidR="00FD6FAB" w:rsidRPr="00AA0D7A" w:rsidRDefault="00FD6FAB" w:rsidP="00063E27">
            <w:pPr>
              <w:jc w:val="both"/>
              <w:rPr>
                <w:rFonts w:ascii="Times New Roman" w:eastAsia="Times New Roman" w:hAnsi="Times New Roman" w:cs="Times New Roman"/>
                <w:color w:val="000000"/>
                <w:lang w:val="ro-MD" w:eastAsia="en-US"/>
              </w:rPr>
            </w:pPr>
          </w:p>
        </w:tc>
        <w:tc>
          <w:tcPr>
            <w:tcW w:w="1838" w:type="dxa"/>
            <w:shd w:val="clear" w:color="auto" w:fill="00B0F0"/>
          </w:tcPr>
          <w:p w14:paraId="371DCFC2" w14:textId="77777777" w:rsidR="00FD6FAB" w:rsidRPr="00AA0D7A" w:rsidRDefault="00FD6FAB" w:rsidP="00063E27">
            <w:pPr>
              <w:jc w:val="both"/>
              <w:rPr>
                <w:rFonts w:ascii="Times New Roman" w:eastAsia="Times New Roman" w:hAnsi="Times New Roman" w:cs="Times New Roman"/>
                <w:color w:val="000000"/>
                <w:lang w:val="ro-MD" w:eastAsia="en-US"/>
              </w:rPr>
            </w:pPr>
          </w:p>
        </w:tc>
        <w:tc>
          <w:tcPr>
            <w:tcW w:w="5958" w:type="dxa"/>
            <w:shd w:val="clear" w:color="auto" w:fill="00B0F0"/>
          </w:tcPr>
          <w:p w14:paraId="0DB819C6" w14:textId="77777777" w:rsidR="00FD6FAB" w:rsidRPr="00AA0D7A" w:rsidRDefault="00FD6FAB" w:rsidP="00063E27">
            <w:pPr>
              <w:jc w:val="both"/>
              <w:rPr>
                <w:rFonts w:ascii="Times New Roman" w:eastAsia="Times New Roman" w:hAnsi="Times New Roman" w:cs="Times New Roman"/>
                <w:color w:val="000000"/>
                <w:lang w:val="ro-MD" w:eastAsia="en-US"/>
              </w:rPr>
            </w:pPr>
          </w:p>
        </w:tc>
        <w:tc>
          <w:tcPr>
            <w:tcW w:w="3969" w:type="dxa"/>
            <w:shd w:val="clear" w:color="auto" w:fill="00B0F0"/>
          </w:tcPr>
          <w:p w14:paraId="6AC181AA" w14:textId="77777777" w:rsidR="00FD6FAB" w:rsidRPr="00B44678" w:rsidRDefault="00FD6FAB" w:rsidP="00063E27">
            <w:pPr>
              <w:jc w:val="both"/>
              <w:rPr>
                <w:rFonts w:ascii="Times New Roman" w:eastAsia="Times New Roman" w:hAnsi="Times New Roman" w:cs="Times New Roman"/>
                <w:b/>
                <w:bCs/>
                <w:color w:val="000000"/>
                <w:lang w:val="ro-MD" w:eastAsia="en-US"/>
              </w:rPr>
            </w:pPr>
          </w:p>
        </w:tc>
      </w:tr>
      <w:tr w:rsidR="00FD6FAB" w:rsidRPr="00D24F86" w14:paraId="6D7B05B7" w14:textId="77777777" w:rsidTr="00FD6FAB">
        <w:tc>
          <w:tcPr>
            <w:tcW w:w="562" w:type="dxa"/>
            <w:vMerge w:val="restart"/>
          </w:tcPr>
          <w:p w14:paraId="3A05AAC5" w14:textId="27917A60" w:rsidR="00FD6FAB" w:rsidRPr="00CD3DC4" w:rsidRDefault="00FD6FAB" w:rsidP="00063E27">
            <w:pPr>
              <w:rPr>
                <w:rFonts w:ascii="Times New Roman" w:eastAsia="Times New Roman" w:hAnsi="Times New Roman" w:cs="Times New Roman"/>
                <w:b/>
                <w:bCs/>
                <w:lang w:val="ro-MD" w:eastAsia="en-GB"/>
              </w:rPr>
            </w:pPr>
            <w:r>
              <w:rPr>
                <w:rFonts w:ascii="Times New Roman" w:eastAsia="Times New Roman" w:hAnsi="Times New Roman" w:cs="Times New Roman"/>
                <w:b/>
                <w:bCs/>
                <w:lang w:val="ro-MD" w:eastAsia="en-GB"/>
              </w:rPr>
              <w:t>2.</w:t>
            </w:r>
          </w:p>
        </w:tc>
        <w:tc>
          <w:tcPr>
            <w:tcW w:w="1985" w:type="dxa"/>
            <w:vMerge w:val="restart"/>
            <w:hideMark/>
          </w:tcPr>
          <w:p w14:paraId="70F8CE8E" w14:textId="77777777" w:rsidR="008D32CD" w:rsidRDefault="00FD6FAB" w:rsidP="00063E27">
            <w:pPr>
              <w:rPr>
                <w:rFonts w:ascii="Times New Roman" w:eastAsia="Times New Roman" w:hAnsi="Times New Roman" w:cs="Times New Roman"/>
                <w:b/>
                <w:bCs/>
                <w:lang w:val="ro-MD" w:eastAsia="en-GB"/>
              </w:rPr>
            </w:pPr>
            <w:r w:rsidRPr="00CD3DC4">
              <w:rPr>
                <w:rFonts w:ascii="Times New Roman" w:eastAsia="Times New Roman" w:hAnsi="Times New Roman" w:cs="Times New Roman"/>
                <w:b/>
                <w:bCs/>
                <w:lang w:val="ro-MD" w:eastAsia="en-GB"/>
              </w:rPr>
              <w:t>Ministerul Justiției</w:t>
            </w:r>
            <w:r>
              <w:rPr>
                <w:rFonts w:ascii="Times New Roman" w:eastAsia="Times New Roman" w:hAnsi="Times New Roman" w:cs="Times New Roman"/>
                <w:b/>
                <w:bCs/>
                <w:lang w:val="ro-MD" w:eastAsia="en-GB"/>
              </w:rPr>
              <w:t xml:space="preserve"> </w:t>
            </w:r>
          </w:p>
          <w:p w14:paraId="18F7A251" w14:textId="36302B45" w:rsidR="00FD6FAB" w:rsidRPr="00CD3DC4" w:rsidRDefault="008D32CD" w:rsidP="00063E27">
            <w:pPr>
              <w:rPr>
                <w:rFonts w:ascii="Times New Roman" w:eastAsia="Times New Roman" w:hAnsi="Times New Roman" w:cs="Times New Roman"/>
                <w:b/>
                <w:bCs/>
                <w:lang w:val="ro-MD" w:eastAsia="en-GB"/>
              </w:rPr>
            </w:pPr>
            <w:r w:rsidRPr="008D32CD">
              <w:rPr>
                <w:rFonts w:ascii="Times New Roman" w:eastAsia="Times New Roman" w:hAnsi="Times New Roman" w:cs="Times New Roman"/>
                <w:i/>
                <w:iCs/>
                <w:lang w:val="ro-MD" w:eastAsia="en-GB"/>
              </w:rPr>
              <w:t xml:space="preserve">(Nr. </w:t>
            </w:r>
            <w:r w:rsidRPr="008D32CD">
              <w:rPr>
                <w:rFonts w:ascii="Times New Roman" w:eastAsia="Times New Roman" w:hAnsi="Times New Roman" w:cs="Times New Roman"/>
                <w:i/>
                <w:iCs/>
                <w:lang w:eastAsia="en-GB"/>
              </w:rPr>
              <w:t>30.06.2026 nr. 04/1-1-7277)</w:t>
            </w:r>
          </w:p>
        </w:tc>
        <w:tc>
          <w:tcPr>
            <w:tcW w:w="1838" w:type="dxa"/>
            <w:hideMark/>
          </w:tcPr>
          <w:p w14:paraId="6F1ACD99" w14:textId="77777777" w:rsidR="00FD6FAB" w:rsidRPr="00D24F86" w:rsidRDefault="00FD6FAB" w:rsidP="00063E27">
            <w:pPr>
              <w:jc w:val="center"/>
              <w:rPr>
                <w:rFonts w:ascii="Times New Roman" w:eastAsia="Times New Roman" w:hAnsi="Times New Roman" w:cs="Times New Roman"/>
                <w:lang w:val="en-GB" w:eastAsia="en-GB"/>
              </w:rPr>
            </w:pPr>
            <w:r w:rsidRPr="00D24F86">
              <w:rPr>
                <w:rFonts w:ascii="Times New Roman" w:eastAsia="Times New Roman" w:hAnsi="Times New Roman" w:cs="Times New Roman"/>
                <w:lang w:val="en-GB" w:eastAsia="en-GB"/>
              </w:rPr>
              <w:t>1</w:t>
            </w:r>
          </w:p>
        </w:tc>
        <w:tc>
          <w:tcPr>
            <w:tcW w:w="5958" w:type="dxa"/>
            <w:hideMark/>
          </w:tcPr>
          <w:p w14:paraId="724E4E0E" w14:textId="77777777" w:rsidR="00FD6FAB" w:rsidRPr="00AD5A88" w:rsidRDefault="00FD6FAB" w:rsidP="00063E27">
            <w:pPr>
              <w:rPr>
                <w:rFonts w:ascii="Times New Roman" w:eastAsia="Times New Roman" w:hAnsi="Times New Roman" w:cs="Times New Roman"/>
                <w:lang w:val="ro-MD" w:eastAsia="en-GB"/>
              </w:rPr>
            </w:pPr>
            <w:r w:rsidRPr="00AD5A88">
              <w:rPr>
                <w:rFonts w:ascii="Times New Roman" w:eastAsia="Times New Roman" w:hAnsi="Times New Roman" w:cs="Times New Roman"/>
                <w:lang w:val="ro-MD" w:eastAsia="en-GB"/>
              </w:rPr>
              <w:t>Se propune excluderea referințelor la art. 6 alin. (1) din Legea nr. 248/2025 și art. 21 din Legea nr. 249/2025 din clauza de adoptare, deoarece acestea nu constituie temei al competenței Guvernului de a aproba actul.</w:t>
            </w:r>
          </w:p>
        </w:tc>
        <w:tc>
          <w:tcPr>
            <w:tcW w:w="3969" w:type="dxa"/>
            <w:hideMark/>
          </w:tcPr>
          <w:p w14:paraId="41156972" w14:textId="77777777" w:rsidR="00FD6FAB" w:rsidRPr="00CD3DC4" w:rsidRDefault="00FD6FAB" w:rsidP="00063E27">
            <w:pPr>
              <w:rPr>
                <w:rFonts w:ascii="Times New Roman" w:eastAsia="Times New Roman" w:hAnsi="Times New Roman" w:cs="Times New Roman"/>
                <w:b/>
                <w:bCs/>
                <w:lang w:val="ro-MD" w:eastAsia="en-GB"/>
              </w:rPr>
            </w:pPr>
            <w:r w:rsidRPr="00CD3DC4">
              <w:rPr>
                <w:rFonts w:ascii="Times New Roman" w:eastAsia="Times New Roman" w:hAnsi="Times New Roman" w:cs="Times New Roman"/>
                <w:b/>
                <w:bCs/>
                <w:lang w:val="ro-MD" w:eastAsia="en-GB"/>
              </w:rPr>
              <w:t>Se acceptă parțial</w:t>
            </w:r>
          </w:p>
        </w:tc>
      </w:tr>
      <w:tr w:rsidR="00FD6FAB" w:rsidRPr="00D24F86" w14:paraId="02DCBD56" w14:textId="77777777" w:rsidTr="00FD6FAB">
        <w:tc>
          <w:tcPr>
            <w:tcW w:w="562" w:type="dxa"/>
            <w:vMerge/>
          </w:tcPr>
          <w:p w14:paraId="55D48CDC" w14:textId="77777777" w:rsidR="00FD6FAB" w:rsidRPr="00AD5A88" w:rsidRDefault="00FD6FAB" w:rsidP="00063E27">
            <w:pPr>
              <w:rPr>
                <w:rFonts w:ascii="Times New Roman" w:eastAsia="Times New Roman" w:hAnsi="Times New Roman" w:cs="Times New Roman"/>
                <w:sz w:val="20"/>
                <w:szCs w:val="20"/>
                <w:lang w:val="ro-MD" w:eastAsia="en-GB"/>
              </w:rPr>
            </w:pPr>
          </w:p>
        </w:tc>
        <w:tc>
          <w:tcPr>
            <w:tcW w:w="1985" w:type="dxa"/>
            <w:vMerge/>
            <w:hideMark/>
          </w:tcPr>
          <w:p w14:paraId="23972C60" w14:textId="06751C8A" w:rsidR="00FD6FAB" w:rsidRPr="00AD5A88" w:rsidRDefault="00FD6FAB" w:rsidP="00063E27">
            <w:pPr>
              <w:rPr>
                <w:rFonts w:ascii="Times New Roman" w:eastAsia="Times New Roman" w:hAnsi="Times New Roman" w:cs="Times New Roman"/>
                <w:sz w:val="20"/>
                <w:szCs w:val="20"/>
                <w:lang w:val="ro-MD" w:eastAsia="en-GB"/>
              </w:rPr>
            </w:pPr>
          </w:p>
        </w:tc>
        <w:tc>
          <w:tcPr>
            <w:tcW w:w="1838" w:type="dxa"/>
            <w:hideMark/>
          </w:tcPr>
          <w:p w14:paraId="798E321E" w14:textId="77777777" w:rsidR="00FD6FAB" w:rsidRPr="00D24F86" w:rsidRDefault="00FD6FAB" w:rsidP="00063E27">
            <w:pPr>
              <w:jc w:val="center"/>
              <w:rPr>
                <w:rFonts w:ascii="Times New Roman" w:eastAsia="Times New Roman" w:hAnsi="Times New Roman" w:cs="Times New Roman"/>
                <w:lang w:val="en-GB" w:eastAsia="en-GB"/>
              </w:rPr>
            </w:pPr>
            <w:r w:rsidRPr="00D24F86">
              <w:rPr>
                <w:rFonts w:ascii="Times New Roman" w:eastAsia="Times New Roman" w:hAnsi="Times New Roman" w:cs="Times New Roman"/>
                <w:lang w:val="en-GB" w:eastAsia="en-GB"/>
              </w:rPr>
              <w:t>2</w:t>
            </w:r>
          </w:p>
        </w:tc>
        <w:tc>
          <w:tcPr>
            <w:tcW w:w="5958" w:type="dxa"/>
            <w:hideMark/>
          </w:tcPr>
          <w:p w14:paraId="5F25A188" w14:textId="77777777" w:rsidR="00FD6FAB" w:rsidRPr="00AD5A88" w:rsidRDefault="00FD6FAB" w:rsidP="00063E27">
            <w:pPr>
              <w:rPr>
                <w:rFonts w:ascii="Times New Roman" w:eastAsia="Times New Roman" w:hAnsi="Times New Roman" w:cs="Times New Roman"/>
                <w:lang w:val="ro-MD" w:eastAsia="en-GB"/>
              </w:rPr>
            </w:pPr>
            <w:r w:rsidRPr="00AD5A88">
              <w:rPr>
                <w:rFonts w:ascii="Times New Roman" w:eastAsia="Times New Roman" w:hAnsi="Times New Roman" w:cs="Times New Roman"/>
                <w:lang w:val="ro-MD" w:eastAsia="en-GB"/>
              </w:rPr>
              <w:t>La pct. 2–4 se propune excluderea cuvântului „maximum”, deoarece nu este propriu limbajului normativ.</w:t>
            </w:r>
          </w:p>
        </w:tc>
        <w:tc>
          <w:tcPr>
            <w:tcW w:w="3969" w:type="dxa"/>
            <w:hideMark/>
          </w:tcPr>
          <w:p w14:paraId="41B2C92E" w14:textId="77777777" w:rsidR="00FD6FAB" w:rsidRPr="00CD3DC4" w:rsidRDefault="00FD6FAB" w:rsidP="00063E27">
            <w:pPr>
              <w:rPr>
                <w:rFonts w:ascii="Times New Roman" w:eastAsia="Times New Roman" w:hAnsi="Times New Roman" w:cs="Times New Roman"/>
                <w:b/>
                <w:bCs/>
                <w:lang w:val="ro-MD" w:eastAsia="en-GB"/>
              </w:rPr>
            </w:pPr>
            <w:r w:rsidRPr="00CD3DC4">
              <w:rPr>
                <w:rFonts w:ascii="Times New Roman" w:eastAsia="Times New Roman" w:hAnsi="Times New Roman" w:cs="Times New Roman"/>
                <w:b/>
                <w:bCs/>
                <w:lang w:val="ro-MD" w:eastAsia="en-GB"/>
              </w:rPr>
              <w:t>Se acceptă</w:t>
            </w:r>
          </w:p>
        </w:tc>
      </w:tr>
      <w:tr w:rsidR="00FD6FAB" w:rsidRPr="00D24F86" w14:paraId="1F77D5BE" w14:textId="77777777" w:rsidTr="00FD6FAB">
        <w:tc>
          <w:tcPr>
            <w:tcW w:w="562" w:type="dxa"/>
            <w:vMerge/>
          </w:tcPr>
          <w:p w14:paraId="0AE7C575" w14:textId="77777777" w:rsidR="00FD6FAB" w:rsidRPr="00D24F86" w:rsidRDefault="00FD6FAB" w:rsidP="00063E27">
            <w:pPr>
              <w:rPr>
                <w:rFonts w:ascii="Times New Roman" w:eastAsia="Times New Roman" w:hAnsi="Times New Roman" w:cs="Times New Roman"/>
                <w:sz w:val="20"/>
                <w:szCs w:val="20"/>
                <w:lang w:val="en-GB" w:eastAsia="en-GB"/>
              </w:rPr>
            </w:pPr>
          </w:p>
        </w:tc>
        <w:tc>
          <w:tcPr>
            <w:tcW w:w="1985" w:type="dxa"/>
            <w:vMerge/>
            <w:hideMark/>
          </w:tcPr>
          <w:p w14:paraId="695834A0" w14:textId="562CACA3" w:rsidR="00FD6FAB" w:rsidRPr="00D24F86" w:rsidRDefault="00FD6FAB" w:rsidP="00063E27">
            <w:pPr>
              <w:rPr>
                <w:rFonts w:ascii="Times New Roman" w:eastAsia="Times New Roman" w:hAnsi="Times New Roman" w:cs="Times New Roman"/>
                <w:sz w:val="20"/>
                <w:szCs w:val="20"/>
                <w:lang w:val="en-GB" w:eastAsia="en-GB"/>
              </w:rPr>
            </w:pPr>
          </w:p>
        </w:tc>
        <w:tc>
          <w:tcPr>
            <w:tcW w:w="1838" w:type="dxa"/>
            <w:hideMark/>
          </w:tcPr>
          <w:p w14:paraId="77E7DAA8" w14:textId="77777777" w:rsidR="00FD6FAB" w:rsidRPr="00D24F86" w:rsidRDefault="00FD6FAB" w:rsidP="00063E27">
            <w:pPr>
              <w:jc w:val="center"/>
              <w:rPr>
                <w:rFonts w:ascii="Times New Roman" w:eastAsia="Times New Roman" w:hAnsi="Times New Roman" w:cs="Times New Roman"/>
                <w:lang w:val="en-GB" w:eastAsia="en-GB"/>
              </w:rPr>
            </w:pPr>
            <w:r w:rsidRPr="00D24F86">
              <w:rPr>
                <w:rFonts w:ascii="Times New Roman" w:eastAsia="Times New Roman" w:hAnsi="Times New Roman" w:cs="Times New Roman"/>
                <w:lang w:val="en-GB" w:eastAsia="en-GB"/>
              </w:rPr>
              <w:t>3</w:t>
            </w:r>
          </w:p>
        </w:tc>
        <w:tc>
          <w:tcPr>
            <w:tcW w:w="5958" w:type="dxa"/>
            <w:hideMark/>
          </w:tcPr>
          <w:p w14:paraId="14BC4B88" w14:textId="77777777" w:rsidR="00FD6FAB" w:rsidRPr="00AD5A88" w:rsidRDefault="00FD6FAB" w:rsidP="00063E27">
            <w:pPr>
              <w:rPr>
                <w:rFonts w:ascii="Times New Roman" w:eastAsia="Times New Roman" w:hAnsi="Times New Roman" w:cs="Times New Roman"/>
                <w:lang w:val="ro-MD" w:eastAsia="en-GB"/>
              </w:rPr>
            </w:pPr>
            <w:r w:rsidRPr="00AD5A88">
              <w:rPr>
                <w:rFonts w:ascii="Times New Roman" w:eastAsia="Times New Roman" w:hAnsi="Times New Roman" w:cs="Times New Roman"/>
                <w:lang w:val="ro-MD" w:eastAsia="en-GB"/>
              </w:rPr>
              <w:t>La pct. 6, sintagma „la o lună” se va substitui cu sintagma „la expirarea termenului de o lună”.</w:t>
            </w:r>
          </w:p>
        </w:tc>
        <w:tc>
          <w:tcPr>
            <w:tcW w:w="3969" w:type="dxa"/>
            <w:hideMark/>
          </w:tcPr>
          <w:p w14:paraId="16AA547C" w14:textId="77777777" w:rsidR="00FD6FAB" w:rsidRPr="00CD3DC4" w:rsidRDefault="00FD6FAB" w:rsidP="00063E27">
            <w:pPr>
              <w:rPr>
                <w:rFonts w:ascii="Times New Roman" w:eastAsia="Times New Roman" w:hAnsi="Times New Roman" w:cs="Times New Roman"/>
                <w:b/>
                <w:bCs/>
                <w:lang w:val="ro-MD" w:eastAsia="en-GB"/>
              </w:rPr>
            </w:pPr>
            <w:r w:rsidRPr="00CD3DC4">
              <w:rPr>
                <w:rFonts w:ascii="Times New Roman" w:eastAsia="Times New Roman" w:hAnsi="Times New Roman" w:cs="Times New Roman"/>
                <w:b/>
                <w:bCs/>
                <w:lang w:val="ro-MD" w:eastAsia="en-GB"/>
              </w:rPr>
              <w:t>Se acceptă</w:t>
            </w:r>
          </w:p>
        </w:tc>
      </w:tr>
      <w:tr w:rsidR="00FD6FAB" w:rsidRPr="00D24F86" w14:paraId="4BACDA8D" w14:textId="77777777" w:rsidTr="00FD6FAB">
        <w:tc>
          <w:tcPr>
            <w:tcW w:w="562" w:type="dxa"/>
            <w:vMerge/>
          </w:tcPr>
          <w:p w14:paraId="170D455F" w14:textId="77777777" w:rsidR="00FD6FAB" w:rsidRPr="00D24F86" w:rsidRDefault="00FD6FAB" w:rsidP="00063E27">
            <w:pPr>
              <w:rPr>
                <w:rFonts w:ascii="Times New Roman" w:eastAsia="Times New Roman" w:hAnsi="Times New Roman" w:cs="Times New Roman"/>
                <w:sz w:val="20"/>
                <w:szCs w:val="20"/>
                <w:lang w:val="en-GB" w:eastAsia="en-GB"/>
              </w:rPr>
            </w:pPr>
          </w:p>
        </w:tc>
        <w:tc>
          <w:tcPr>
            <w:tcW w:w="1985" w:type="dxa"/>
            <w:vMerge/>
            <w:hideMark/>
          </w:tcPr>
          <w:p w14:paraId="534F9272" w14:textId="788EBD9E" w:rsidR="00FD6FAB" w:rsidRPr="00D24F86" w:rsidRDefault="00FD6FAB" w:rsidP="00063E27">
            <w:pPr>
              <w:rPr>
                <w:rFonts w:ascii="Times New Roman" w:eastAsia="Times New Roman" w:hAnsi="Times New Roman" w:cs="Times New Roman"/>
                <w:sz w:val="20"/>
                <w:szCs w:val="20"/>
                <w:lang w:val="en-GB" w:eastAsia="en-GB"/>
              </w:rPr>
            </w:pPr>
          </w:p>
        </w:tc>
        <w:tc>
          <w:tcPr>
            <w:tcW w:w="1838" w:type="dxa"/>
            <w:hideMark/>
          </w:tcPr>
          <w:p w14:paraId="2EB1F0A3" w14:textId="77777777" w:rsidR="00FD6FAB" w:rsidRPr="00D24F86" w:rsidRDefault="00FD6FAB" w:rsidP="00063E27">
            <w:pPr>
              <w:jc w:val="center"/>
              <w:rPr>
                <w:rFonts w:ascii="Times New Roman" w:eastAsia="Times New Roman" w:hAnsi="Times New Roman" w:cs="Times New Roman"/>
                <w:lang w:val="en-GB" w:eastAsia="en-GB"/>
              </w:rPr>
            </w:pPr>
            <w:r w:rsidRPr="00D24F86">
              <w:rPr>
                <w:rFonts w:ascii="Times New Roman" w:eastAsia="Times New Roman" w:hAnsi="Times New Roman" w:cs="Times New Roman"/>
                <w:lang w:val="en-GB" w:eastAsia="en-GB"/>
              </w:rPr>
              <w:t>4</w:t>
            </w:r>
          </w:p>
        </w:tc>
        <w:tc>
          <w:tcPr>
            <w:tcW w:w="5958" w:type="dxa"/>
            <w:hideMark/>
          </w:tcPr>
          <w:p w14:paraId="7B697327" w14:textId="77777777" w:rsidR="00FD6FAB" w:rsidRPr="00D24F86" w:rsidRDefault="00FD6FAB" w:rsidP="00063E27">
            <w:pPr>
              <w:rPr>
                <w:rFonts w:ascii="Times New Roman" w:eastAsia="Times New Roman" w:hAnsi="Times New Roman" w:cs="Times New Roman"/>
                <w:lang w:val="en-GB" w:eastAsia="en-GB"/>
              </w:rPr>
            </w:pPr>
            <w:r w:rsidRPr="00AD5A88">
              <w:rPr>
                <w:rFonts w:ascii="Times New Roman" w:eastAsia="Times New Roman" w:hAnsi="Times New Roman" w:cs="Times New Roman"/>
                <w:lang w:val="ro-MD" w:eastAsia="en-GB"/>
              </w:rPr>
              <w:t>În formula de autentificare, cuvântul „Ministra” se va substitui cu „Ministrul”. Totodată, se recomandă reexaminarea listei contrasemnatarilor potrivit art. 36 alin. (2) din Legea nr. 136/2017</w:t>
            </w:r>
            <w:r w:rsidRPr="00D24F86">
              <w:rPr>
                <w:rFonts w:ascii="Times New Roman" w:eastAsia="Times New Roman" w:hAnsi="Times New Roman" w:cs="Times New Roman"/>
                <w:lang w:val="en-GB" w:eastAsia="en-GB"/>
              </w:rPr>
              <w:t>.</w:t>
            </w:r>
          </w:p>
        </w:tc>
        <w:tc>
          <w:tcPr>
            <w:tcW w:w="3969" w:type="dxa"/>
            <w:hideMark/>
          </w:tcPr>
          <w:p w14:paraId="1773AC7C" w14:textId="77777777" w:rsidR="00FD6FAB" w:rsidRPr="00CD3DC4" w:rsidRDefault="00FD6FAB" w:rsidP="00063E27">
            <w:pPr>
              <w:rPr>
                <w:rFonts w:ascii="Times New Roman" w:eastAsia="Times New Roman" w:hAnsi="Times New Roman" w:cs="Times New Roman"/>
                <w:b/>
                <w:bCs/>
                <w:lang w:val="ro-MD" w:eastAsia="en-GB"/>
              </w:rPr>
            </w:pPr>
            <w:r w:rsidRPr="00CD3DC4">
              <w:rPr>
                <w:rFonts w:ascii="Times New Roman" w:eastAsia="Times New Roman" w:hAnsi="Times New Roman" w:cs="Times New Roman"/>
                <w:b/>
                <w:bCs/>
                <w:lang w:val="ro-MD" w:eastAsia="en-GB"/>
              </w:rPr>
              <w:t>Se acceptă</w:t>
            </w:r>
          </w:p>
        </w:tc>
      </w:tr>
      <w:tr w:rsidR="00FD6FAB" w:rsidRPr="00D24F86" w14:paraId="0B25238E" w14:textId="77777777" w:rsidTr="00FD6FAB">
        <w:tc>
          <w:tcPr>
            <w:tcW w:w="562" w:type="dxa"/>
            <w:vMerge/>
          </w:tcPr>
          <w:p w14:paraId="53E2FACE" w14:textId="77777777" w:rsidR="00FD6FAB" w:rsidRPr="00D24F86" w:rsidRDefault="00FD6FAB" w:rsidP="00063E27">
            <w:pPr>
              <w:rPr>
                <w:rFonts w:ascii="Times New Roman" w:eastAsia="Times New Roman" w:hAnsi="Times New Roman" w:cs="Times New Roman"/>
                <w:sz w:val="20"/>
                <w:szCs w:val="20"/>
                <w:lang w:val="en-GB" w:eastAsia="en-GB"/>
              </w:rPr>
            </w:pPr>
          </w:p>
        </w:tc>
        <w:tc>
          <w:tcPr>
            <w:tcW w:w="1985" w:type="dxa"/>
            <w:vMerge/>
            <w:hideMark/>
          </w:tcPr>
          <w:p w14:paraId="41493454" w14:textId="732B016F" w:rsidR="00FD6FAB" w:rsidRPr="00D24F86" w:rsidRDefault="00FD6FAB" w:rsidP="00063E27">
            <w:pPr>
              <w:rPr>
                <w:rFonts w:ascii="Times New Roman" w:eastAsia="Times New Roman" w:hAnsi="Times New Roman" w:cs="Times New Roman"/>
                <w:sz w:val="20"/>
                <w:szCs w:val="20"/>
                <w:lang w:val="en-GB" w:eastAsia="en-GB"/>
              </w:rPr>
            </w:pPr>
          </w:p>
        </w:tc>
        <w:tc>
          <w:tcPr>
            <w:tcW w:w="1838" w:type="dxa"/>
            <w:hideMark/>
          </w:tcPr>
          <w:p w14:paraId="306963F1" w14:textId="77777777" w:rsidR="00FD6FAB" w:rsidRPr="00D24F86" w:rsidRDefault="00FD6FAB" w:rsidP="00063E27">
            <w:pPr>
              <w:jc w:val="center"/>
              <w:rPr>
                <w:rFonts w:ascii="Times New Roman" w:eastAsia="Times New Roman" w:hAnsi="Times New Roman" w:cs="Times New Roman"/>
                <w:lang w:val="en-GB" w:eastAsia="en-GB"/>
              </w:rPr>
            </w:pPr>
            <w:r w:rsidRPr="00D24F86">
              <w:rPr>
                <w:rFonts w:ascii="Times New Roman" w:eastAsia="Times New Roman" w:hAnsi="Times New Roman" w:cs="Times New Roman"/>
                <w:lang w:val="en-GB" w:eastAsia="en-GB"/>
              </w:rPr>
              <w:t>5</w:t>
            </w:r>
          </w:p>
        </w:tc>
        <w:tc>
          <w:tcPr>
            <w:tcW w:w="5958" w:type="dxa"/>
            <w:hideMark/>
          </w:tcPr>
          <w:p w14:paraId="562BDDD4" w14:textId="77777777" w:rsidR="00FD6FAB" w:rsidRPr="00A102A3" w:rsidRDefault="00FD6FAB" w:rsidP="00063E27">
            <w:pPr>
              <w:rPr>
                <w:rFonts w:ascii="Times New Roman" w:eastAsia="Times New Roman" w:hAnsi="Times New Roman" w:cs="Times New Roman"/>
                <w:lang w:val="ro-MD" w:eastAsia="en-GB"/>
              </w:rPr>
            </w:pPr>
            <w:r w:rsidRPr="00A102A3">
              <w:rPr>
                <w:rFonts w:ascii="Times New Roman" w:eastAsia="Times New Roman" w:hAnsi="Times New Roman" w:cs="Times New Roman"/>
                <w:lang w:val="ro-MD" w:eastAsia="en-GB"/>
              </w:rPr>
              <w:t>În parafa de aprobare a Metodologiei, cuvântul „Aprobat” se va substitui cu „Aprobată”.</w:t>
            </w:r>
          </w:p>
        </w:tc>
        <w:tc>
          <w:tcPr>
            <w:tcW w:w="3969" w:type="dxa"/>
            <w:hideMark/>
          </w:tcPr>
          <w:p w14:paraId="6BEA0094" w14:textId="77777777" w:rsidR="00FD6FAB" w:rsidRPr="00CD3DC4" w:rsidRDefault="00FD6FAB" w:rsidP="00063E27">
            <w:pPr>
              <w:rPr>
                <w:rFonts w:ascii="Times New Roman" w:eastAsia="Times New Roman" w:hAnsi="Times New Roman" w:cs="Times New Roman"/>
                <w:b/>
                <w:bCs/>
                <w:lang w:val="ro-MD" w:eastAsia="en-GB"/>
              </w:rPr>
            </w:pPr>
            <w:r w:rsidRPr="00CD3DC4">
              <w:rPr>
                <w:rFonts w:ascii="Times New Roman" w:eastAsia="Times New Roman" w:hAnsi="Times New Roman" w:cs="Times New Roman"/>
                <w:b/>
                <w:bCs/>
                <w:lang w:val="ro-MD" w:eastAsia="en-GB"/>
              </w:rPr>
              <w:t>Se acceptă</w:t>
            </w:r>
          </w:p>
        </w:tc>
      </w:tr>
      <w:tr w:rsidR="00FD6FAB" w:rsidRPr="00D24F86" w14:paraId="63934F9A" w14:textId="77777777" w:rsidTr="00FD6FAB">
        <w:tc>
          <w:tcPr>
            <w:tcW w:w="562" w:type="dxa"/>
            <w:vMerge/>
          </w:tcPr>
          <w:p w14:paraId="6F1AC9C1" w14:textId="77777777" w:rsidR="00FD6FAB" w:rsidRPr="00D24F86" w:rsidRDefault="00FD6FAB" w:rsidP="00063E27">
            <w:pPr>
              <w:rPr>
                <w:rFonts w:ascii="Times New Roman" w:eastAsia="Times New Roman" w:hAnsi="Times New Roman" w:cs="Times New Roman"/>
                <w:sz w:val="20"/>
                <w:szCs w:val="20"/>
                <w:lang w:val="en-GB" w:eastAsia="en-GB"/>
              </w:rPr>
            </w:pPr>
          </w:p>
        </w:tc>
        <w:tc>
          <w:tcPr>
            <w:tcW w:w="1985" w:type="dxa"/>
            <w:vMerge/>
            <w:hideMark/>
          </w:tcPr>
          <w:p w14:paraId="2AD1C6BE" w14:textId="45BC97DD" w:rsidR="00FD6FAB" w:rsidRPr="00D24F86" w:rsidRDefault="00FD6FAB" w:rsidP="00063E27">
            <w:pPr>
              <w:rPr>
                <w:rFonts w:ascii="Times New Roman" w:eastAsia="Times New Roman" w:hAnsi="Times New Roman" w:cs="Times New Roman"/>
                <w:sz w:val="20"/>
                <w:szCs w:val="20"/>
                <w:lang w:val="en-GB" w:eastAsia="en-GB"/>
              </w:rPr>
            </w:pPr>
          </w:p>
        </w:tc>
        <w:tc>
          <w:tcPr>
            <w:tcW w:w="1838" w:type="dxa"/>
            <w:hideMark/>
          </w:tcPr>
          <w:p w14:paraId="4CC23DCA" w14:textId="77777777" w:rsidR="00FD6FAB" w:rsidRPr="00D24F86" w:rsidRDefault="00FD6FAB" w:rsidP="00063E27">
            <w:pPr>
              <w:jc w:val="center"/>
              <w:rPr>
                <w:rFonts w:ascii="Times New Roman" w:eastAsia="Times New Roman" w:hAnsi="Times New Roman" w:cs="Times New Roman"/>
                <w:lang w:val="en-GB" w:eastAsia="en-GB"/>
              </w:rPr>
            </w:pPr>
            <w:r w:rsidRPr="00D24F86">
              <w:rPr>
                <w:rFonts w:ascii="Times New Roman" w:eastAsia="Times New Roman" w:hAnsi="Times New Roman" w:cs="Times New Roman"/>
                <w:lang w:val="en-GB" w:eastAsia="en-GB"/>
              </w:rPr>
              <w:t>6</w:t>
            </w:r>
          </w:p>
        </w:tc>
        <w:tc>
          <w:tcPr>
            <w:tcW w:w="5958" w:type="dxa"/>
            <w:hideMark/>
          </w:tcPr>
          <w:p w14:paraId="52C95542" w14:textId="77777777" w:rsidR="00FD6FAB" w:rsidRPr="00A102A3" w:rsidRDefault="00FD6FAB" w:rsidP="00063E27">
            <w:pPr>
              <w:rPr>
                <w:rFonts w:ascii="Times New Roman" w:eastAsia="Times New Roman" w:hAnsi="Times New Roman" w:cs="Times New Roman"/>
                <w:lang w:val="ro-MD" w:eastAsia="en-GB"/>
              </w:rPr>
            </w:pPr>
            <w:r w:rsidRPr="00A102A3">
              <w:rPr>
                <w:rFonts w:ascii="Times New Roman" w:eastAsia="Times New Roman" w:hAnsi="Times New Roman" w:cs="Times New Roman"/>
                <w:lang w:val="ro-MD" w:eastAsia="en-GB"/>
              </w:rPr>
              <w:t>Denumirea Metodologiei va fi uniformizată cu denumirea utilizată în proiectul hotărârii, pentru asigurarea consecvenței terminologice.</w:t>
            </w:r>
          </w:p>
        </w:tc>
        <w:tc>
          <w:tcPr>
            <w:tcW w:w="3969" w:type="dxa"/>
            <w:hideMark/>
          </w:tcPr>
          <w:p w14:paraId="10D8ADE1" w14:textId="77777777" w:rsidR="00FD6FAB" w:rsidRPr="00CD3DC4" w:rsidRDefault="00FD6FAB" w:rsidP="00063E27">
            <w:pPr>
              <w:rPr>
                <w:rFonts w:ascii="Times New Roman" w:eastAsia="Times New Roman" w:hAnsi="Times New Roman" w:cs="Times New Roman"/>
                <w:b/>
                <w:bCs/>
                <w:lang w:val="ro-MD" w:eastAsia="en-GB"/>
              </w:rPr>
            </w:pPr>
            <w:r w:rsidRPr="00CD3DC4">
              <w:rPr>
                <w:rFonts w:ascii="Times New Roman" w:eastAsia="Times New Roman" w:hAnsi="Times New Roman" w:cs="Times New Roman"/>
                <w:b/>
                <w:bCs/>
                <w:lang w:val="ro-MD" w:eastAsia="en-GB"/>
              </w:rPr>
              <w:t>Se acceptă</w:t>
            </w:r>
          </w:p>
        </w:tc>
      </w:tr>
      <w:tr w:rsidR="00FD6FAB" w:rsidRPr="00D24F86" w14:paraId="03E439B5" w14:textId="77777777" w:rsidTr="00FD6FAB">
        <w:tc>
          <w:tcPr>
            <w:tcW w:w="562" w:type="dxa"/>
            <w:vMerge/>
          </w:tcPr>
          <w:p w14:paraId="2C413CBE" w14:textId="77777777" w:rsidR="00FD6FAB" w:rsidRPr="00D24F86" w:rsidRDefault="00FD6FAB" w:rsidP="00063E27">
            <w:pPr>
              <w:rPr>
                <w:rFonts w:ascii="Times New Roman" w:eastAsia="Times New Roman" w:hAnsi="Times New Roman" w:cs="Times New Roman"/>
                <w:sz w:val="20"/>
                <w:szCs w:val="20"/>
                <w:lang w:val="en-GB" w:eastAsia="en-GB"/>
              </w:rPr>
            </w:pPr>
          </w:p>
        </w:tc>
        <w:tc>
          <w:tcPr>
            <w:tcW w:w="1985" w:type="dxa"/>
            <w:vMerge/>
            <w:hideMark/>
          </w:tcPr>
          <w:p w14:paraId="2561AFFF" w14:textId="71BAF476" w:rsidR="00FD6FAB" w:rsidRPr="00D24F86" w:rsidRDefault="00FD6FAB" w:rsidP="00063E27">
            <w:pPr>
              <w:rPr>
                <w:rFonts w:ascii="Times New Roman" w:eastAsia="Times New Roman" w:hAnsi="Times New Roman" w:cs="Times New Roman"/>
                <w:sz w:val="20"/>
                <w:szCs w:val="20"/>
                <w:lang w:val="en-GB" w:eastAsia="en-GB"/>
              </w:rPr>
            </w:pPr>
          </w:p>
        </w:tc>
        <w:tc>
          <w:tcPr>
            <w:tcW w:w="1838" w:type="dxa"/>
            <w:hideMark/>
          </w:tcPr>
          <w:p w14:paraId="2FA99671" w14:textId="77777777" w:rsidR="00FD6FAB" w:rsidRPr="00D24F86" w:rsidRDefault="00FD6FAB" w:rsidP="00063E27">
            <w:pPr>
              <w:jc w:val="center"/>
              <w:rPr>
                <w:rFonts w:ascii="Times New Roman" w:eastAsia="Times New Roman" w:hAnsi="Times New Roman" w:cs="Times New Roman"/>
                <w:lang w:val="en-GB" w:eastAsia="en-GB"/>
              </w:rPr>
            </w:pPr>
            <w:r w:rsidRPr="00D24F86">
              <w:rPr>
                <w:rFonts w:ascii="Times New Roman" w:eastAsia="Times New Roman" w:hAnsi="Times New Roman" w:cs="Times New Roman"/>
                <w:lang w:val="en-GB" w:eastAsia="en-GB"/>
              </w:rPr>
              <w:t>7</w:t>
            </w:r>
          </w:p>
        </w:tc>
        <w:tc>
          <w:tcPr>
            <w:tcW w:w="5958" w:type="dxa"/>
            <w:hideMark/>
          </w:tcPr>
          <w:p w14:paraId="17FD277F" w14:textId="77777777" w:rsidR="00FD6FAB" w:rsidRPr="00A102A3" w:rsidRDefault="00FD6FAB" w:rsidP="00063E27">
            <w:pPr>
              <w:rPr>
                <w:rFonts w:ascii="Times New Roman" w:eastAsia="Times New Roman" w:hAnsi="Times New Roman" w:cs="Times New Roman"/>
                <w:lang w:val="ro-MD" w:eastAsia="en-GB"/>
              </w:rPr>
            </w:pPr>
            <w:r w:rsidRPr="00A102A3">
              <w:rPr>
                <w:rFonts w:ascii="Times New Roman" w:eastAsia="Times New Roman" w:hAnsi="Times New Roman" w:cs="Times New Roman"/>
                <w:lang w:val="ro-MD" w:eastAsia="en-GB"/>
              </w:rPr>
              <w:t>La pct. 3, sintagma „Prezenta Metodologie propune” se va substitui cu „Prezenta Metodologie are drept obiectiv”, iar subpct. 3.6 se va reevalua sub aspectul încadrării sale logice în structura normei.</w:t>
            </w:r>
          </w:p>
        </w:tc>
        <w:tc>
          <w:tcPr>
            <w:tcW w:w="3969" w:type="dxa"/>
            <w:hideMark/>
          </w:tcPr>
          <w:p w14:paraId="65E100AF" w14:textId="77777777" w:rsidR="00FD6FAB" w:rsidRPr="00CD3DC4" w:rsidRDefault="00FD6FAB" w:rsidP="00063E27">
            <w:pPr>
              <w:rPr>
                <w:rFonts w:ascii="Times New Roman" w:eastAsia="Times New Roman" w:hAnsi="Times New Roman" w:cs="Times New Roman"/>
                <w:b/>
                <w:bCs/>
                <w:lang w:val="ro-MD" w:eastAsia="en-GB"/>
              </w:rPr>
            </w:pPr>
            <w:r w:rsidRPr="00CD3DC4">
              <w:rPr>
                <w:rFonts w:ascii="Times New Roman" w:eastAsia="Times New Roman" w:hAnsi="Times New Roman" w:cs="Times New Roman"/>
                <w:b/>
                <w:bCs/>
                <w:lang w:val="ro-MD" w:eastAsia="en-GB"/>
              </w:rPr>
              <w:t>Se acceptă</w:t>
            </w:r>
          </w:p>
        </w:tc>
      </w:tr>
      <w:tr w:rsidR="00FD6FAB" w:rsidRPr="00D24F86" w14:paraId="15F23334" w14:textId="77777777" w:rsidTr="00FD6FAB">
        <w:tc>
          <w:tcPr>
            <w:tcW w:w="562" w:type="dxa"/>
            <w:vMerge/>
          </w:tcPr>
          <w:p w14:paraId="45ECAC76" w14:textId="77777777" w:rsidR="00FD6FAB" w:rsidRPr="00D24F86" w:rsidRDefault="00FD6FAB" w:rsidP="00063E27">
            <w:pPr>
              <w:rPr>
                <w:rFonts w:ascii="Times New Roman" w:eastAsia="Times New Roman" w:hAnsi="Times New Roman" w:cs="Times New Roman"/>
                <w:sz w:val="20"/>
                <w:szCs w:val="20"/>
                <w:lang w:val="en-GB" w:eastAsia="en-GB"/>
              </w:rPr>
            </w:pPr>
          </w:p>
        </w:tc>
        <w:tc>
          <w:tcPr>
            <w:tcW w:w="1985" w:type="dxa"/>
            <w:vMerge/>
            <w:hideMark/>
          </w:tcPr>
          <w:p w14:paraId="65867918" w14:textId="5DC411D3" w:rsidR="00FD6FAB" w:rsidRPr="00D24F86" w:rsidRDefault="00FD6FAB" w:rsidP="00063E27">
            <w:pPr>
              <w:rPr>
                <w:rFonts w:ascii="Times New Roman" w:eastAsia="Times New Roman" w:hAnsi="Times New Roman" w:cs="Times New Roman"/>
                <w:sz w:val="20"/>
                <w:szCs w:val="20"/>
                <w:lang w:val="en-GB" w:eastAsia="en-GB"/>
              </w:rPr>
            </w:pPr>
          </w:p>
        </w:tc>
        <w:tc>
          <w:tcPr>
            <w:tcW w:w="1838" w:type="dxa"/>
            <w:hideMark/>
          </w:tcPr>
          <w:p w14:paraId="72E06B3A" w14:textId="77777777" w:rsidR="00FD6FAB" w:rsidRPr="00D24F86" w:rsidRDefault="00FD6FAB" w:rsidP="00063E27">
            <w:pPr>
              <w:jc w:val="center"/>
              <w:rPr>
                <w:rFonts w:ascii="Times New Roman" w:eastAsia="Times New Roman" w:hAnsi="Times New Roman" w:cs="Times New Roman"/>
                <w:lang w:val="en-GB" w:eastAsia="en-GB"/>
              </w:rPr>
            </w:pPr>
            <w:r w:rsidRPr="00D24F86">
              <w:rPr>
                <w:rFonts w:ascii="Times New Roman" w:eastAsia="Times New Roman" w:hAnsi="Times New Roman" w:cs="Times New Roman"/>
                <w:lang w:val="en-GB" w:eastAsia="en-GB"/>
              </w:rPr>
              <w:t>8</w:t>
            </w:r>
          </w:p>
        </w:tc>
        <w:tc>
          <w:tcPr>
            <w:tcW w:w="5958" w:type="dxa"/>
            <w:hideMark/>
          </w:tcPr>
          <w:p w14:paraId="267E8449" w14:textId="77777777" w:rsidR="00FD6FAB" w:rsidRPr="00CD3DC4" w:rsidRDefault="00FD6FAB" w:rsidP="00063E27">
            <w:pPr>
              <w:rPr>
                <w:rFonts w:ascii="Times New Roman" w:eastAsia="Times New Roman" w:hAnsi="Times New Roman" w:cs="Times New Roman"/>
                <w:lang w:val="ro-MD" w:eastAsia="en-GB"/>
              </w:rPr>
            </w:pPr>
            <w:r w:rsidRPr="00CD3DC4">
              <w:rPr>
                <w:rFonts w:ascii="Times New Roman" w:eastAsia="Times New Roman" w:hAnsi="Times New Roman" w:cs="Times New Roman"/>
                <w:lang w:val="ro-MD" w:eastAsia="en-GB"/>
              </w:rPr>
              <w:t>La pct. 7, denumirile actelor normative vor fi redate conform denumirilor oficiale. Totodată, se va elimina dublarea definițiilor și se va asigura concordanța terminologică cu Legea nr. 248/2025 și Legea nr. 249/2025, în special pentru noțiunile „avertizare timpurie”, „evaluarea probabilității”, „indicator de risc”, „instituție principală responsabilă” și „instituție de sprijin”.</w:t>
            </w:r>
          </w:p>
        </w:tc>
        <w:tc>
          <w:tcPr>
            <w:tcW w:w="3969" w:type="dxa"/>
            <w:hideMark/>
          </w:tcPr>
          <w:p w14:paraId="5EA5B3DE" w14:textId="49BABCE9" w:rsidR="00FD6FAB" w:rsidRPr="00CD3DC4" w:rsidRDefault="00FD6FAB" w:rsidP="001367F3">
            <w:pPr>
              <w:jc w:val="both"/>
              <w:rPr>
                <w:rFonts w:ascii="Times New Roman" w:eastAsia="Times New Roman" w:hAnsi="Times New Roman" w:cs="Times New Roman"/>
                <w:lang w:val="ro-MD" w:eastAsia="en-GB"/>
              </w:rPr>
            </w:pPr>
            <w:r w:rsidRPr="00CD3DC4">
              <w:rPr>
                <w:rFonts w:ascii="Times New Roman" w:eastAsia="Times New Roman" w:hAnsi="Times New Roman" w:cs="Times New Roman"/>
                <w:b/>
                <w:bCs/>
                <w:lang w:val="ro-MD" w:eastAsia="en-GB"/>
              </w:rPr>
              <w:t>Se acceptă parțial.</w:t>
            </w:r>
            <w:r w:rsidRPr="00CD3DC4">
              <w:rPr>
                <w:rFonts w:ascii="Times New Roman" w:eastAsia="Times New Roman" w:hAnsi="Times New Roman" w:cs="Times New Roman"/>
                <w:lang w:val="ro-MD" w:eastAsia="en-GB"/>
              </w:rPr>
              <w:t xml:space="preserve"> Denumirile actelor normative </w:t>
            </w:r>
            <w:r w:rsidR="001367F3">
              <w:rPr>
                <w:rFonts w:ascii="Times New Roman" w:eastAsia="Times New Roman" w:hAnsi="Times New Roman" w:cs="Times New Roman"/>
                <w:lang w:val="ro-MD" w:eastAsia="en-GB"/>
              </w:rPr>
              <w:t>sunt</w:t>
            </w:r>
            <w:r w:rsidRPr="00CD3DC4">
              <w:rPr>
                <w:rFonts w:ascii="Times New Roman" w:eastAsia="Times New Roman" w:hAnsi="Times New Roman" w:cs="Times New Roman"/>
                <w:lang w:val="ro-MD" w:eastAsia="en-GB"/>
              </w:rPr>
              <w:t xml:space="preserve"> redactate conform denumirilor oficiale și vor fi operate ajustările terminologice necesare pentru asigurarea concordanței cu Legea nr. 248/2025 și Legea nr. 249/2025. Totodată, definițiile prevăzute în metodologie vor fi </w:t>
            </w:r>
            <w:r w:rsidRPr="00CD3DC4">
              <w:rPr>
                <w:rFonts w:ascii="Times New Roman" w:eastAsia="Times New Roman" w:hAnsi="Times New Roman" w:cs="Times New Roman"/>
                <w:lang w:val="ro-MD" w:eastAsia="en-GB"/>
              </w:rPr>
              <w:lastRenderedPageBreak/>
              <w:t>reexaminate, urmând a fi excluse doar acelea care dublează integral definițiile consacrate de actele normative de nivel superior. Definițiile specifice metodologiei, necesare aplicării unitare a acesteia sau care dezvoltă noțiuni utilizate în procesul de evaluare a riscurilor, vor fi menținute, cu evitarea oricăror neconcordanțe terminologice.</w:t>
            </w:r>
          </w:p>
        </w:tc>
      </w:tr>
      <w:tr w:rsidR="00FD6FAB" w:rsidRPr="00D24F86" w14:paraId="7B20499A" w14:textId="77777777" w:rsidTr="00FD6FAB">
        <w:tc>
          <w:tcPr>
            <w:tcW w:w="562" w:type="dxa"/>
            <w:vMerge/>
          </w:tcPr>
          <w:p w14:paraId="7166FAA2" w14:textId="77777777" w:rsidR="00FD6FAB" w:rsidRPr="00D24F86" w:rsidRDefault="00FD6FAB" w:rsidP="00063E27">
            <w:pPr>
              <w:rPr>
                <w:rFonts w:ascii="Times New Roman" w:eastAsia="Times New Roman" w:hAnsi="Times New Roman" w:cs="Times New Roman"/>
                <w:sz w:val="20"/>
                <w:szCs w:val="20"/>
                <w:lang w:val="en-GB" w:eastAsia="en-GB"/>
              </w:rPr>
            </w:pPr>
          </w:p>
        </w:tc>
        <w:tc>
          <w:tcPr>
            <w:tcW w:w="1985" w:type="dxa"/>
            <w:vMerge/>
            <w:hideMark/>
          </w:tcPr>
          <w:p w14:paraId="07A3066B" w14:textId="23A0F86C" w:rsidR="00FD6FAB" w:rsidRPr="00D24F86" w:rsidRDefault="00FD6FAB" w:rsidP="00063E27">
            <w:pPr>
              <w:rPr>
                <w:rFonts w:ascii="Times New Roman" w:eastAsia="Times New Roman" w:hAnsi="Times New Roman" w:cs="Times New Roman"/>
                <w:sz w:val="20"/>
                <w:szCs w:val="20"/>
                <w:lang w:val="en-GB" w:eastAsia="en-GB"/>
              </w:rPr>
            </w:pPr>
          </w:p>
        </w:tc>
        <w:tc>
          <w:tcPr>
            <w:tcW w:w="1838" w:type="dxa"/>
            <w:hideMark/>
          </w:tcPr>
          <w:p w14:paraId="1439F703" w14:textId="77777777" w:rsidR="00FD6FAB" w:rsidRPr="00D24F86" w:rsidRDefault="00FD6FAB" w:rsidP="00063E27">
            <w:pPr>
              <w:jc w:val="center"/>
              <w:rPr>
                <w:rFonts w:ascii="Times New Roman" w:eastAsia="Times New Roman" w:hAnsi="Times New Roman" w:cs="Times New Roman"/>
                <w:lang w:val="en-GB" w:eastAsia="en-GB"/>
              </w:rPr>
            </w:pPr>
            <w:r w:rsidRPr="00D24F86">
              <w:rPr>
                <w:rFonts w:ascii="Times New Roman" w:eastAsia="Times New Roman" w:hAnsi="Times New Roman" w:cs="Times New Roman"/>
                <w:lang w:val="en-GB" w:eastAsia="en-GB"/>
              </w:rPr>
              <w:t>9</w:t>
            </w:r>
          </w:p>
        </w:tc>
        <w:tc>
          <w:tcPr>
            <w:tcW w:w="5958" w:type="dxa"/>
            <w:hideMark/>
          </w:tcPr>
          <w:p w14:paraId="0EC5F427" w14:textId="77777777" w:rsidR="00FD6FAB" w:rsidRPr="00CD3DC4" w:rsidRDefault="00FD6FAB" w:rsidP="00063E27">
            <w:pPr>
              <w:rPr>
                <w:rFonts w:ascii="Times New Roman" w:eastAsia="Times New Roman" w:hAnsi="Times New Roman" w:cs="Times New Roman"/>
                <w:lang w:val="ro-MD" w:eastAsia="en-GB"/>
              </w:rPr>
            </w:pPr>
            <w:r w:rsidRPr="00CD3DC4">
              <w:rPr>
                <w:rFonts w:ascii="Times New Roman" w:eastAsia="Times New Roman" w:hAnsi="Times New Roman" w:cs="Times New Roman"/>
                <w:lang w:val="ro-MD" w:eastAsia="en-GB"/>
              </w:rPr>
              <w:t>La subpct. 7.6, termenul „admisibilității” va fi substituit cu un termen adecvat sensului normei.</w:t>
            </w:r>
          </w:p>
        </w:tc>
        <w:tc>
          <w:tcPr>
            <w:tcW w:w="3969" w:type="dxa"/>
            <w:hideMark/>
          </w:tcPr>
          <w:p w14:paraId="5B342946" w14:textId="3994BEAC" w:rsidR="00FD6FAB" w:rsidRPr="00CD3DC4" w:rsidRDefault="00FD6FAB" w:rsidP="001367F3">
            <w:pPr>
              <w:jc w:val="both"/>
              <w:rPr>
                <w:rFonts w:ascii="Times New Roman" w:eastAsia="Times New Roman" w:hAnsi="Times New Roman" w:cs="Times New Roman"/>
                <w:lang w:val="ro-MD" w:eastAsia="en-GB"/>
              </w:rPr>
            </w:pPr>
            <w:r w:rsidRPr="00CD3DC4">
              <w:rPr>
                <w:rFonts w:ascii="Times New Roman" w:eastAsia="Times New Roman" w:hAnsi="Times New Roman" w:cs="Times New Roman"/>
                <w:b/>
                <w:bCs/>
                <w:lang w:val="ro-MD" w:eastAsia="en-GB"/>
              </w:rPr>
              <w:t>Se acceptă.</w:t>
            </w:r>
            <w:r w:rsidRPr="00CD3DC4">
              <w:rPr>
                <w:rFonts w:ascii="Times New Roman" w:eastAsia="Times New Roman" w:hAnsi="Times New Roman" w:cs="Times New Roman"/>
                <w:lang w:val="ro-MD" w:eastAsia="en-GB"/>
              </w:rPr>
              <w:t xml:space="preserve"> În vederea utilizării unei terminologii adecvate și asigurării clarității normei, termenul „admisibilității” </w:t>
            </w:r>
            <w:r w:rsidR="001367F3">
              <w:rPr>
                <w:rFonts w:ascii="Times New Roman" w:eastAsia="Times New Roman" w:hAnsi="Times New Roman" w:cs="Times New Roman"/>
                <w:lang w:val="ro-MD" w:eastAsia="en-GB"/>
              </w:rPr>
              <w:t>este</w:t>
            </w:r>
            <w:r w:rsidRPr="00CD3DC4">
              <w:rPr>
                <w:rFonts w:ascii="Times New Roman" w:eastAsia="Times New Roman" w:hAnsi="Times New Roman" w:cs="Times New Roman"/>
                <w:lang w:val="ro-MD" w:eastAsia="en-GB"/>
              </w:rPr>
              <w:t xml:space="preserve"> substituit cu sintagma </w:t>
            </w:r>
            <w:r w:rsidRPr="00CD3DC4">
              <w:rPr>
                <w:rFonts w:ascii="Times New Roman" w:eastAsia="Times New Roman" w:hAnsi="Times New Roman" w:cs="Times New Roman"/>
                <w:b/>
                <w:bCs/>
                <w:lang w:val="ro-MD" w:eastAsia="en-GB"/>
              </w:rPr>
              <w:t>„probabilității de materializare”</w:t>
            </w:r>
            <w:r w:rsidRPr="00CD3DC4">
              <w:rPr>
                <w:rFonts w:ascii="Times New Roman" w:eastAsia="Times New Roman" w:hAnsi="Times New Roman" w:cs="Times New Roman"/>
                <w:lang w:val="ro-MD" w:eastAsia="en-GB"/>
              </w:rPr>
              <w:t>, care reflectă corect conținutul noțiunii de evaluare a probabilității în procesul de analiză și evaluare a riscurilor.</w:t>
            </w:r>
          </w:p>
        </w:tc>
      </w:tr>
      <w:tr w:rsidR="00FD6FAB" w:rsidRPr="00D24F86" w14:paraId="5976F23B" w14:textId="77777777" w:rsidTr="00FD6FAB">
        <w:tc>
          <w:tcPr>
            <w:tcW w:w="562" w:type="dxa"/>
            <w:vMerge/>
          </w:tcPr>
          <w:p w14:paraId="144B59F6" w14:textId="77777777" w:rsidR="00FD6FAB" w:rsidRPr="00D24F86" w:rsidRDefault="00FD6FAB" w:rsidP="00063E27">
            <w:pPr>
              <w:rPr>
                <w:rFonts w:ascii="Times New Roman" w:eastAsia="Times New Roman" w:hAnsi="Times New Roman" w:cs="Times New Roman"/>
                <w:sz w:val="20"/>
                <w:szCs w:val="20"/>
                <w:lang w:val="en-GB" w:eastAsia="en-GB"/>
              </w:rPr>
            </w:pPr>
          </w:p>
        </w:tc>
        <w:tc>
          <w:tcPr>
            <w:tcW w:w="1985" w:type="dxa"/>
            <w:vMerge/>
            <w:hideMark/>
          </w:tcPr>
          <w:p w14:paraId="20B49DB8" w14:textId="16AA09EC" w:rsidR="00FD6FAB" w:rsidRPr="00D24F86" w:rsidRDefault="00FD6FAB" w:rsidP="00063E27">
            <w:pPr>
              <w:rPr>
                <w:rFonts w:ascii="Times New Roman" w:eastAsia="Times New Roman" w:hAnsi="Times New Roman" w:cs="Times New Roman"/>
                <w:sz w:val="20"/>
                <w:szCs w:val="20"/>
                <w:lang w:val="en-GB" w:eastAsia="en-GB"/>
              </w:rPr>
            </w:pPr>
          </w:p>
        </w:tc>
        <w:tc>
          <w:tcPr>
            <w:tcW w:w="1838" w:type="dxa"/>
            <w:hideMark/>
          </w:tcPr>
          <w:p w14:paraId="4C137096" w14:textId="77777777" w:rsidR="00FD6FAB" w:rsidRPr="00D24F86" w:rsidRDefault="00FD6FAB" w:rsidP="00063E27">
            <w:pPr>
              <w:jc w:val="center"/>
              <w:rPr>
                <w:rFonts w:ascii="Times New Roman" w:eastAsia="Times New Roman" w:hAnsi="Times New Roman" w:cs="Times New Roman"/>
                <w:lang w:val="en-GB" w:eastAsia="en-GB"/>
              </w:rPr>
            </w:pPr>
            <w:r w:rsidRPr="00D24F86">
              <w:rPr>
                <w:rFonts w:ascii="Times New Roman" w:eastAsia="Times New Roman" w:hAnsi="Times New Roman" w:cs="Times New Roman"/>
                <w:lang w:val="en-GB" w:eastAsia="en-GB"/>
              </w:rPr>
              <w:t>10</w:t>
            </w:r>
          </w:p>
        </w:tc>
        <w:tc>
          <w:tcPr>
            <w:tcW w:w="5958" w:type="dxa"/>
            <w:hideMark/>
          </w:tcPr>
          <w:p w14:paraId="20D3150B" w14:textId="77777777" w:rsidR="00FD6FAB" w:rsidRPr="003708C3" w:rsidRDefault="00FD6FAB" w:rsidP="00063E27">
            <w:pPr>
              <w:rPr>
                <w:rFonts w:ascii="Times New Roman" w:eastAsia="Times New Roman" w:hAnsi="Times New Roman" w:cs="Times New Roman"/>
                <w:lang w:val="ro-MD" w:eastAsia="en-GB"/>
              </w:rPr>
            </w:pPr>
            <w:r w:rsidRPr="003708C3">
              <w:rPr>
                <w:rFonts w:ascii="Times New Roman" w:eastAsia="Times New Roman" w:hAnsi="Times New Roman" w:cs="Times New Roman"/>
                <w:lang w:val="ro-MD" w:eastAsia="en-GB"/>
              </w:rPr>
              <w:t>Definiția noțiunii „instituție de sprijin” (subpct. 7.11) se va exclude, cu trimitere la Legea nr. 223/2025, pentru evitarea dublării reglementărilor.</w:t>
            </w:r>
          </w:p>
        </w:tc>
        <w:tc>
          <w:tcPr>
            <w:tcW w:w="3969" w:type="dxa"/>
            <w:hideMark/>
          </w:tcPr>
          <w:p w14:paraId="5CDB05B6" w14:textId="77777777" w:rsidR="00FD6FAB" w:rsidRPr="003708C3" w:rsidRDefault="00FD6FAB" w:rsidP="001367F3">
            <w:pPr>
              <w:jc w:val="both"/>
              <w:rPr>
                <w:rFonts w:ascii="Times New Roman" w:eastAsia="Times New Roman" w:hAnsi="Times New Roman" w:cs="Times New Roman"/>
                <w:lang w:val="ro-MD" w:eastAsia="en-GB"/>
              </w:rPr>
            </w:pPr>
            <w:r w:rsidRPr="003708C3">
              <w:rPr>
                <w:rFonts w:ascii="Times New Roman" w:eastAsia="Times New Roman" w:hAnsi="Times New Roman" w:cs="Times New Roman"/>
                <w:b/>
                <w:bCs/>
                <w:lang w:val="ro-MD" w:eastAsia="en-GB"/>
              </w:rPr>
              <w:t>Nu se acceptă</w:t>
            </w:r>
            <w:r w:rsidRPr="003708C3">
              <w:rPr>
                <w:rFonts w:ascii="Times New Roman" w:eastAsia="Times New Roman" w:hAnsi="Times New Roman" w:cs="Times New Roman"/>
                <w:lang w:val="ro-MD" w:eastAsia="en-GB"/>
              </w:rPr>
              <w:t>. Referința la art. 3 pct. 7 din Legea nr. 223/2025 nu este aplicabilă, întrucât dispoziția invocată nu definește noțiunea „instituție de sprijin”, ci noțiunea „infrastructură critică națională”. În aceste condiții, menținerea definiției în proiect se consideră justificată.</w:t>
            </w:r>
          </w:p>
        </w:tc>
      </w:tr>
      <w:tr w:rsidR="00FD6FAB" w:rsidRPr="00D24F86" w14:paraId="53BD653B" w14:textId="77777777" w:rsidTr="00FD6FAB">
        <w:tc>
          <w:tcPr>
            <w:tcW w:w="562" w:type="dxa"/>
            <w:vMerge/>
          </w:tcPr>
          <w:p w14:paraId="4DABC9CE" w14:textId="77777777" w:rsidR="00FD6FAB" w:rsidRPr="00D24F86" w:rsidRDefault="00FD6FAB" w:rsidP="00063E27">
            <w:pPr>
              <w:rPr>
                <w:rFonts w:ascii="Times New Roman" w:eastAsia="Times New Roman" w:hAnsi="Times New Roman" w:cs="Times New Roman"/>
                <w:sz w:val="20"/>
                <w:szCs w:val="20"/>
                <w:lang w:val="en-GB" w:eastAsia="en-GB"/>
              </w:rPr>
            </w:pPr>
          </w:p>
        </w:tc>
        <w:tc>
          <w:tcPr>
            <w:tcW w:w="1985" w:type="dxa"/>
            <w:vMerge/>
            <w:hideMark/>
          </w:tcPr>
          <w:p w14:paraId="4337967A" w14:textId="29C6E0D3" w:rsidR="00FD6FAB" w:rsidRPr="00D24F86" w:rsidRDefault="00FD6FAB" w:rsidP="00063E27">
            <w:pPr>
              <w:rPr>
                <w:rFonts w:ascii="Times New Roman" w:eastAsia="Times New Roman" w:hAnsi="Times New Roman" w:cs="Times New Roman"/>
                <w:sz w:val="20"/>
                <w:szCs w:val="20"/>
                <w:lang w:val="en-GB" w:eastAsia="en-GB"/>
              </w:rPr>
            </w:pPr>
          </w:p>
        </w:tc>
        <w:tc>
          <w:tcPr>
            <w:tcW w:w="1838" w:type="dxa"/>
            <w:hideMark/>
          </w:tcPr>
          <w:p w14:paraId="4694A661" w14:textId="77777777" w:rsidR="00FD6FAB" w:rsidRPr="00D24F86" w:rsidRDefault="00FD6FAB" w:rsidP="00063E27">
            <w:pPr>
              <w:jc w:val="center"/>
              <w:rPr>
                <w:rFonts w:ascii="Times New Roman" w:eastAsia="Times New Roman" w:hAnsi="Times New Roman" w:cs="Times New Roman"/>
                <w:lang w:val="en-GB" w:eastAsia="en-GB"/>
              </w:rPr>
            </w:pPr>
            <w:r w:rsidRPr="00D24F86">
              <w:rPr>
                <w:rFonts w:ascii="Times New Roman" w:eastAsia="Times New Roman" w:hAnsi="Times New Roman" w:cs="Times New Roman"/>
                <w:lang w:val="en-GB" w:eastAsia="en-GB"/>
              </w:rPr>
              <w:t>11</w:t>
            </w:r>
          </w:p>
        </w:tc>
        <w:tc>
          <w:tcPr>
            <w:tcW w:w="5958" w:type="dxa"/>
            <w:hideMark/>
          </w:tcPr>
          <w:p w14:paraId="4FBFABD5" w14:textId="77777777" w:rsidR="00FD6FAB" w:rsidRPr="00AA10AB" w:rsidRDefault="00FD6FAB" w:rsidP="00063E27">
            <w:pPr>
              <w:rPr>
                <w:rFonts w:ascii="Times New Roman" w:eastAsia="Times New Roman" w:hAnsi="Times New Roman" w:cs="Times New Roman"/>
                <w:lang w:val="ro-MD" w:eastAsia="en-GB"/>
              </w:rPr>
            </w:pPr>
            <w:r w:rsidRPr="00AA10AB">
              <w:rPr>
                <w:rFonts w:ascii="Times New Roman" w:eastAsia="Times New Roman" w:hAnsi="Times New Roman" w:cs="Times New Roman"/>
                <w:lang w:val="ro-MD" w:eastAsia="en-GB"/>
              </w:rPr>
              <w:t>La pct. 9 se va utiliza formula „(în continuare – CNMC)”, iar terminologia va fi corelată cu Legea nr. 248/2025 prin utilizarea sintagmei „management al situațiilor de criză”.</w:t>
            </w:r>
          </w:p>
        </w:tc>
        <w:tc>
          <w:tcPr>
            <w:tcW w:w="3969" w:type="dxa"/>
            <w:hideMark/>
          </w:tcPr>
          <w:p w14:paraId="072FE6FE" w14:textId="77777777" w:rsidR="00FD6FAB" w:rsidRPr="002160FD" w:rsidRDefault="00FD6FAB" w:rsidP="00063E27">
            <w:pPr>
              <w:rPr>
                <w:rFonts w:ascii="Times New Roman" w:eastAsia="Times New Roman" w:hAnsi="Times New Roman" w:cs="Times New Roman"/>
                <w:b/>
                <w:bCs/>
                <w:lang w:val="ro-MD" w:eastAsia="en-GB"/>
              </w:rPr>
            </w:pPr>
            <w:r w:rsidRPr="002160FD">
              <w:rPr>
                <w:rFonts w:ascii="Times New Roman" w:eastAsia="Times New Roman" w:hAnsi="Times New Roman" w:cs="Times New Roman"/>
                <w:b/>
                <w:bCs/>
                <w:lang w:val="ro-MD" w:eastAsia="en-GB"/>
              </w:rPr>
              <w:t>Se acceptă</w:t>
            </w:r>
          </w:p>
        </w:tc>
      </w:tr>
      <w:tr w:rsidR="00FD6FAB" w:rsidRPr="00D24F86" w14:paraId="4405976E" w14:textId="77777777" w:rsidTr="00FD6FAB">
        <w:tc>
          <w:tcPr>
            <w:tcW w:w="562" w:type="dxa"/>
            <w:vMerge/>
          </w:tcPr>
          <w:p w14:paraId="3EAF7B3C" w14:textId="77777777" w:rsidR="00FD6FAB" w:rsidRPr="00D24F86" w:rsidRDefault="00FD6FAB" w:rsidP="00063E27">
            <w:pPr>
              <w:rPr>
                <w:rFonts w:ascii="Times New Roman" w:eastAsia="Times New Roman" w:hAnsi="Times New Roman" w:cs="Times New Roman"/>
                <w:sz w:val="20"/>
                <w:szCs w:val="20"/>
                <w:lang w:val="en-GB" w:eastAsia="en-GB"/>
              </w:rPr>
            </w:pPr>
          </w:p>
        </w:tc>
        <w:tc>
          <w:tcPr>
            <w:tcW w:w="1985" w:type="dxa"/>
            <w:vMerge/>
            <w:hideMark/>
          </w:tcPr>
          <w:p w14:paraId="23E162CD" w14:textId="5269C4CB" w:rsidR="00FD6FAB" w:rsidRPr="00D24F86" w:rsidRDefault="00FD6FAB" w:rsidP="00063E27">
            <w:pPr>
              <w:rPr>
                <w:rFonts w:ascii="Times New Roman" w:eastAsia="Times New Roman" w:hAnsi="Times New Roman" w:cs="Times New Roman"/>
                <w:sz w:val="20"/>
                <w:szCs w:val="20"/>
                <w:lang w:val="en-GB" w:eastAsia="en-GB"/>
              </w:rPr>
            </w:pPr>
          </w:p>
        </w:tc>
        <w:tc>
          <w:tcPr>
            <w:tcW w:w="1838" w:type="dxa"/>
            <w:hideMark/>
          </w:tcPr>
          <w:p w14:paraId="18980833" w14:textId="77777777" w:rsidR="00FD6FAB" w:rsidRPr="00D24F86" w:rsidRDefault="00FD6FAB" w:rsidP="00063E27">
            <w:pPr>
              <w:jc w:val="center"/>
              <w:rPr>
                <w:rFonts w:ascii="Times New Roman" w:eastAsia="Times New Roman" w:hAnsi="Times New Roman" w:cs="Times New Roman"/>
                <w:lang w:val="en-GB" w:eastAsia="en-GB"/>
              </w:rPr>
            </w:pPr>
            <w:r w:rsidRPr="00D24F86">
              <w:rPr>
                <w:rFonts w:ascii="Times New Roman" w:eastAsia="Times New Roman" w:hAnsi="Times New Roman" w:cs="Times New Roman"/>
                <w:lang w:val="en-GB" w:eastAsia="en-GB"/>
              </w:rPr>
              <w:t>12</w:t>
            </w:r>
          </w:p>
        </w:tc>
        <w:tc>
          <w:tcPr>
            <w:tcW w:w="5958" w:type="dxa"/>
            <w:hideMark/>
          </w:tcPr>
          <w:p w14:paraId="1B7F4912" w14:textId="77777777" w:rsidR="00FD6FAB" w:rsidRPr="002160FD" w:rsidRDefault="00FD6FAB" w:rsidP="00063E27">
            <w:pPr>
              <w:rPr>
                <w:rFonts w:ascii="Times New Roman" w:eastAsia="Times New Roman" w:hAnsi="Times New Roman" w:cs="Times New Roman"/>
                <w:lang w:val="ro-MD" w:eastAsia="en-GB"/>
              </w:rPr>
            </w:pPr>
            <w:r w:rsidRPr="002160FD">
              <w:rPr>
                <w:rFonts w:ascii="Times New Roman" w:eastAsia="Times New Roman" w:hAnsi="Times New Roman" w:cs="Times New Roman"/>
                <w:lang w:val="ro-MD" w:eastAsia="en-GB"/>
              </w:rPr>
              <w:t>La subpct. 10.1, actele normative vor fi indicate prin denumirea completă, iar pct. 10 va fi redactat ca un singur alineat.</w:t>
            </w:r>
          </w:p>
        </w:tc>
        <w:tc>
          <w:tcPr>
            <w:tcW w:w="3969" w:type="dxa"/>
            <w:hideMark/>
          </w:tcPr>
          <w:p w14:paraId="7D230862" w14:textId="77777777" w:rsidR="00FD6FAB" w:rsidRPr="002160FD" w:rsidRDefault="00FD6FAB" w:rsidP="00063E27">
            <w:pPr>
              <w:rPr>
                <w:rFonts w:ascii="Times New Roman" w:eastAsia="Times New Roman" w:hAnsi="Times New Roman" w:cs="Times New Roman"/>
                <w:b/>
                <w:bCs/>
                <w:lang w:val="ro-MD" w:eastAsia="en-GB"/>
              </w:rPr>
            </w:pPr>
            <w:r w:rsidRPr="002160FD">
              <w:rPr>
                <w:rFonts w:ascii="Times New Roman" w:eastAsia="Times New Roman" w:hAnsi="Times New Roman" w:cs="Times New Roman"/>
                <w:b/>
                <w:bCs/>
                <w:lang w:val="ro-MD" w:eastAsia="en-GB"/>
              </w:rPr>
              <w:t>Se acceptă</w:t>
            </w:r>
          </w:p>
        </w:tc>
      </w:tr>
      <w:tr w:rsidR="00FD6FAB" w:rsidRPr="00D24F86" w14:paraId="040983A7" w14:textId="77777777" w:rsidTr="00FD6FAB">
        <w:tc>
          <w:tcPr>
            <w:tcW w:w="562" w:type="dxa"/>
            <w:vMerge/>
          </w:tcPr>
          <w:p w14:paraId="3955DB3E" w14:textId="77777777" w:rsidR="00FD6FAB" w:rsidRPr="00D24F86" w:rsidRDefault="00FD6FAB" w:rsidP="00063E27">
            <w:pPr>
              <w:rPr>
                <w:rFonts w:ascii="Times New Roman" w:eastAsia="Times New Roman" w:hAnsi="Times New Roman" w:cs="Times New Roman"/>
                <w:sz w:val="20"/>
                <w:szCs w:val="20"/>
                <w:lang w:val="en-GB" w:eastAsia="en-GB"/>
              </w:rPr>
            </w:pPr>
          </w:p>
        </w:tc>
        <w:tc>
          <w:tcPr>
            <w:tcW w:w="1985" w:type="dxa"/>
            <w:vMerge/>
            <w:hideMark/>
          </w:tcPr>
          <w:p w14:paraId="258F2C28" w14:textId="6D177E51" w:rsidR="00FD6FAB" w:rsidRPr="00D24F86" w:rsidRDefault="00FD6FAB" w:rsidP="00063E27">
            <w:pPr>
              <w:rPr>
                <w:rFonts w:ascii="Times New Roman" w:eastAsia="Times New Roman" w:hAnsi="Times New Roman" w:cs="Times New Roman"/>
                <w:sz w:val="20"/>
                <w:szCs w:val="20"/>
                <w:lang w:val="en-GB" w:eastAsia="en-GB"/>
              </w:rPr>
            </w:pPr>
          </w:p>
        </w:tc>
        <w:tc>
          <w:tcPr>
            <w:tcW w:w="1838" w:type="dxa"/>
            <w:hideMark/>
          </w:tcPr>
          <w:p w14:paraId="009DC22B" w14:textId="77777777" w:rsidR="00FD6FAB" w:rsidRPr="00F90359" w:rsidRDefault="00FD6FAB" w:rsidP="00063E27">
            <w:pPr>
              <w:jc w:val="center"/>
              <w:rPr>
                <w:rFonts w:ascii="Times New Roman" w:eastAsia="Times New Roman" w:hAnsi="Times New Roman" w:cs="Times New Roman"/>
                <w:lang w:val="ro-MD" w:eastAsia="en-GB"/>
              </w:rPr>
            </w:pPr>
            <w:r w:rsidRPr="00F90359">
              <w:rPr>
                <w:rFonts w:ascii="Times New Roman" w:eastAsia="Times New Roman" w:hAnsi="Times New Roman" w:cs="Times New Roman"/>
                <w:lang w:val="ro-MD" w:eastAsia="en-GB"/>
              </w:rPr>
              <w:t>13</w:t>
            </w:r>
          </w:p>
        </w:tc>
        <w:tc>
          <w:tcPr>
            <w:tcW w:w="5958" w:type="dxa"/>
            <w:hideMark/>
          </w:tcPr>
          <w:p w14:paraId="3F2E919C" w14:textId="77777777" w:rsidR="00FD6FAB" w:rsidRPr="00F90359" w:rsidRDefault="00FD6FAB" w:rsidP="00063E27">
            <w:pPr>
              <w:rPr>
                <w:rFonts w:ascii="Times New Roman" w:eastAsia="Times New Roman" w:hAnsi="Times New Roman" w:cs="Times New Roman"/>
                <w:lang w:val="ro-MD" w:eastAsia="en-GB"/>
              </w:rPr>
            </w:pPr>
            <w:r w:rsidRPr="00F90359">
              <w:rPr>
                <w:rFonts w:ascii="Times New Roman" w:eastAsia="Times New Roman" w:hAnsi="Times New Roman" w:cs="Times New Roman"/>
                <w:lang w:val="ro-MD" w:eastAsia="en-GB"/>
              </w:rPr>
              <w:t xml:space="preserve">Sintagma „prevederile legislației specifice” de la subpct. 11.1 va fi concretizată, iar normele de tipul 11.1, 12.1, </w:t>
            </w:r>
            <w:r w:rsidRPr="00F90359">
              <w:rPr>
                <w:rFonts w:ascii="Times New Roman" w:eastAsia="Times New Roman" w:hAnsi="Times New Roman" w:cs="Times New Roman"/>
                <w:lang w:val="ro-MD" w:eastAsia="en-GB"/>
              </w:rPr>
              <w:lastRenderedPageBreak/>
              <w:t>14.1, 15.1, 15.2, 17.1, 17.2 etc. vor fi redactate ca puncte distincte.</w:t>
            </w:r>
          </w:p>
        </w:tc>
        <w:tc>
          <w:tcPr>
            <w:tcW w:w="3969" w:type="dxa"/>
            <w:hideMark/>
          </w:tcPr>
          <w:p w14:paraId="7894EB08" w14:textId="33CEA187" w:rsidR="00FD6FAB" w:rsidRPr="00F90359" w:rsidRDefault="00FD6FAB" w:rsidP="001367F3">
            <w:pPr>
              <w:jc w:val="both"/>
              <w:rPr>
                <w:rFonts w:ascii="Times New Roman" w:eastAsia="Times New Roman" w:hAnsi="Times New Roman" w:cs="Times New Roman"/>
                <w:lang w:val="ro-MD" w:eastAsia="en-GB"/>
              </w:rPr>
            </w:pPr>
            <w:r w:rsidRPr="005024A1">
              <w:rPr>
                <w:rFonts w:ascii="Times New Roman" w:eastAsia="Times New Roman" w:hAnsi="Times New Roman" w:cs="Times New Roman"/>
                <w:b/>
                <w:bCs/>
                <w:lang w:val="ro-MD" w:eastAsia="en-GB"/>
              </w:rPr>
              <w:lastRenderedPageBreak/>
              <w:t>Se acceptă parțial.</w:t>
            </w:r>
            <w:r w:rsidRPr="00F90359">
              <w:rPr>
                <w:rFonts w:ascii="Times New Roman" w:eastAsia="Times New Roman" w:hAnsi="Times New Roman" w:cs="Times New Roman"/>
                <w:lang w:val="ro-MD" w:eastAsia="en-GB"/>
              </w:rPr>
              <w:t xml:space="preserve"> Se corectează ...în conformitate cu Legea securității naționale a Republicii Moldova nr. </w:t>
            </w:r>
            <w:r w:rsidRPr="00F90359">
              <w:rPr>
                <w:rFonts w:ascii="Times New Roman" w:eastAsia="Times New Roman" w:hAnsi="Times New Roman" w:cs="Times New Roman"/>
                <w:lang w:val="ro-MD" w:eastAsia="en-GB"/>
              </w:rPr>
              <w:lastRenderedPageBreak/>
              <w:t>249/2025 și cu cadrul normativ aplicabil domeniului.</w:t>
            </w:r>
            <w:r w:rsidR="005024A1">
              <w:rPr>
                <w:rFonts w:ascii="Times New Roman" w:eastAsia="Times New Roman" w:hAnsi="Times New Roman" w:cs="Times New Roman"/>
                <w:lang w:val="ro-MD" w:eastAsia="en-GB"/>
              </w:rPr>
              <w:t xml:space="preserve"> Se menține numerotarea aceeași reieșind din tematica punctului.</w:t>
            </w:r>
          </w:p>
        </w:tc>
      </w:tr>
      <w:tr w:rsidR="00FD6FAB" w:rsidRPr="00D24F86" w14:paraId="777737DA" w14:textId="77777777" w:rsidTr="00FD6FAB">
        <w:tc>
          <w:tcPr>
            <w:tcW w:w="562" w:type="dxa"/>
            <w:vMerge/>
          </w:tcPr>
          <w:p w14:paraId="07174E27" w14:textId="77777777" w:rsidR="00FD6FAB" w:rsidRPr="00D24F86" w:rsidRDefault="00FD6FAB" w:rsidP="00063E27">
            <w:pPr>
              <w:rPr>
                <w:rFonts w:ascii="Times New Roman" w:eastAsia="Times New Roman" w:hAnsi="Times New Roman" w:cs="Times New Roman"/>
                <w:sz w:val="20"/>
                <w:szCs w:val="20"/>
                <w:lang w:val="en-GB" w:eastAsia="en-GB"/>
              </w:rPr>
            </w:pPr>
          </w:p>
        </w:tc>
        <w:tc>
          <w:tcPr>
            <w:tcW w:w="1985" w:type="dxa"/>
            <w:vMerge w:val="restart"/>
          </w:tcPr>
          <w:p w14:paraId="7C0C46CD" w14:textId="2DC8B011" w:rsidR="00FD6FAB" w:rsidRPr="00D24F86" w:rsidRDefault="00FD6FAB" w:rsidP="00063E27">
            <w:pPr>
              <w:rPr>
                <w:rFonts w:ascii="Times New Roman" w:eastAsia="Times New Roman" w:hAnsi="Times New Roman" w:cs="Times New Roman"/>
                <w:sz w:val="20"/>
                <w:szCs w:val="20"/>
                <w:lang w:val="en-GB" w:eastAsia="en-GB"/>
              </w:rPr>
            </w:pPr>
          </w:p>
        </w:tc>
        <w:tc>
          <w:tcPr>
            <w:tcW w:w="1838" w:type="dxa"/>
            <w:hideMark/>
          </w:tcPr>
          <w:p w14:paraId="7E051BF5" w14:textId="77777777" w:rsidR="00FD6FAB" w:rsidRPr="00D24F86" w:rsidRDefault="00FD6FAB" w:rsidP="00063E27">
            <w:pPr>
              <w:jc w:val="center"/>
              <w:rPr>
                <w:rFonts w:ascii="Times New Roman" w:eastAsia="Times New Roman" w:hAnsi="Times New Roman" w:cs="Times New Roman"/>
                <w:lang w:val="en-GB" w:eastAsia="en-GB"/>
              </w:rPr>
            </w:pPr>
            <w:r w:rsidRPr="00D24F86">
              <w:rPr>
                <w:rFonts w:ascii="Times New Roman" w:eastAsia="Times New Roman" w:hAnsi="Times New Roman" w:cs="Times New Roman"/>
                <w:lang w:val="en-GB" w:eastAsia="en-GB"/>
              </w:rPr>
              <w:t>14</w:t>
            </w:r>
          </w:p>
        </w:tc>
        <w:tc>
          <w:tcPr>
            <w:tcW w:w="5958" w:type="dxa"/>
            <w:hideMark/>
          </w:tcPr>
          <w:p w14:paraId="250E7F04" w14:textId="77777777" w:rsidR="00FD6FAB" w:rsidRPr="00F90359" w:rsidRDefault="00FD6FAB" w:rsidP="00063E27">
            <w:pPr>
              <w:rPr>
                <w:rFonts w:ascii="Times New Roman" w:eastAsia="Times New Roman" w:hAnsi="Times New Roman" w:cs="Times New Roman"/>
                <w:lang w:val="ro-MD" w:eastAsia="en-GB"/>
              </w:rPr>
            </w:pPr>
            <w:r w:rsidRPr="00F90359">
              <w:rPr>
                <w:rFonts w:ascii="Times New Roman" w:eastAsia="Times New Roman" w:hAnsi="Times New Roman" w:cs="Times New Roman"/>
                <w:lang w:val="ro-MD" w:eastAsia="en-GB"/>
              </w:rPr>
              <w:t>La pct. 17 și subpct. 17.1 se propune eliminarea dublării normelor privind informațiile clasificate, datele cu caracter personal și informațiile cu acces limitat.</w:t>
            </w:r>
          </w:p>
        </w:tc>
        <w:tc>
          <w:tcPr>
            <w:tcW w:w="3969" w:type="dxa"/>
            <w:hideMark/>
          </w:tcPr>
          <w:p w14:paraId="5D9CEEF1" w14:textId="77777777" w:rsidR="00FD6FAB" w:rsidRDefault="00FD6FAB" w:rsidP="00063E27">
            <w:pPr>
              <w:rPr>
                <w:rFonts w:ascii="Times New Roman" w:eastAsia="Times New Roman" w:hAnsi="Times New Roman" w:cs="Times New Roman"/>
                <w:b/>
                <w:bCs/>
                <w:lang w:val="ro-MD" w:eastAsia="en-GB"/>
              </w:rPr>
            </w:pPr>
            <w:r w:rsidRPr="00705E28">
              <w:rPr>
                <w:rFonts w:ascii="Times New Roman" w:eastAsia="Times New Roman" w:hAnsi="Times New Roman" w:cs="Times New Roman"/>
                <w:b/>
                <w:bCs/>
                <w:lang w:val="ro-MD" w:eastAsia="en-GB"/>
              </w:rPr>
              <w:t>Se acceptă</w:t>
            </w:r>
            <w:r w:rsidR="00FA121D">
              <w:rPr>
                <w:rFonts w:ascii="Times New Roman" w:eastAsia="Times New Roman" w:hAnsi="Times New Roman" w:cs="Times New Roman"/>
                <w:b/>
                <w:bCs/>
                <w:lang w:val="ro-MD" w:eastAsia="en-GB"/>
              </w:rPr>
              <w:t xml:space="preserve"> parțial.</w:t>
            </w:r>
          </w:p>
          <w:p w14:paraId="382B7D6B" w14:textId="1F3220FD" w:rsidR="00FA121D" w:rsidRPr="00FA121D" w:rsidRDefault="00FA121D" w:rsidP="001367F3">
            <w:pPr>
              <w:jc w:val="both"/>
              <w:rPr>
                <w:rFonts w:ascii="Times New Roman" w:eastAsia="Times New Roman" w:hAnsi="Times New Roman" w:cs="Times New Roman"/>
                <w:lang w:val="ro-MD" w:eastAsia="en-GB"/>
              </w:rPr>
            </w:pPr>
            <w:r w:rsidRPr="00FA121D">
              <w:rPr>
                <w:rFonts w:ascii="Times New Roman" w:eastAsia="Times New Roman" w:hAnsi="Times New Roman" w:cs="Times New Roman"/>
                <w:lang w:val="ro-MD" w:eastAsia="en-GB"/>
              </w:rPr>
              <w:t xml:space="preserve">Pct. 17. </w:t>
            </w:r>
            <w:r w:rsidR="00D76098">
              <w:rPr>
                <w:rFonts w:ascii="Times New Roman" w:eastAsia="Times New Roman" w:hAnsi="Times New Roman" w:cs="Times New Roman"/>
                <w:lang w:val="ro-MD" w:eastAsia="en-GB"/>
              </w:rPr>
              <w:t>S-a comasat cu</w:t>
            </w:r>
            <w:r w:rsidRPr="00FA121D">
              <w:rPr>
                <w:rFonts w:ascii="Times New Roman" w:eastAsia="Times New Roman" w:hAnsi="Times New Roman" w:cs="Times New Roman"/>
                <w:lang w:val="ro-MD" w:eastAsia="en-GB"/>
              </w:rPr>
              <w:t xml:space="preserve"> subpct 17.1 </w:t>
            </w:r>
            <w:r w:rsidR="00D76098">
              <w:rPr>
                <w:rFonts w:ascii="Times New Roman" w:eastAsia="Times New Roman" w:hAnsi="Times New Roman" w:cs="Times New Roman"/>
                <w:lang w:val="ro-MD" w:eastAsia="en-GB"/>
              </w:rPr>
              <w:t xml:space="preserve">care </w:t>
            </w:r>
            <w:r w:rsidRPr="00FA121D">
              <w:rPr>
                <w:rFonts w:ascii="Times New Roman" w:eastAsia="Times New Roman" w:hAnsi="Times New Roman" w:cs="Times New Roman"/>
                <w:lang w:val="ro-MD" w:eastAsia="en-GB"/>
              </w:rPr>
              <w:t>face referire la analiza integrată și gestionarea riscurilor</w:t>
            </w:r>
            <w:r>
              <w:rPr>
                <w:rFonts w:ascii="Times New Roman" w:eastAsia="Times New Roman" w:hAnsi="Times New Roman" w:cs="Times New Roman"/>
                <w:lang w:val="ro-MD" w:eastAsia="en-GB"/>
              </w:rPr>
              <w:t>. S-a aliniat terminologia utilizată la Legea nr. 245/2008 cu privire la secretul de stat – au fost înlocuite cuvintele „informații clasificate” cu „informații atribuite la secretul de stat”.</w:t>
            </w:r>
          </w:p>
        </w:tc>
      </w:tr>
      <w:tr w:rsidR="00FD6FAB" w:rsidRPr="00D24F86" w14:paraId="4F8BC27E" w14:textId="77777777" w:rsidTr="00FD6FAB">
        <w:tc>
          <w:tcPr>
            <w:tcW w:w="562" w:type="dxa"/>
            <w:vMerge/>
          </w:tcPr>
          <w:p w14:paraId="27C29B7F" w14:textId="77777777" w:rsidR="00FD6FAB" w:rsidRPr="00D24F86" w:rsidRDefault="00FD6FAB" w:rsidP="00063E27">
            <w:pPr>
              <w:rPr>
                <w:rFonts w:ascii="Times New Roman" w:eastAsia="Times New Roman" w:hAnsi="Times New Roman" w:cs="Times New Roman"/>
                <w:sz w:val="20"/>
                <w:szCs w:val="20"/>
                <w:lang w:val="en-GB" w:eastAsia="en-GB"/>
              </w:rPr>
            </w:pPr>
          </w:p>
        </w:tc>
        <w:tc>
          <w:tcPr>
            <w:tcW w:w="1985" w:type="dxa"/>
            <w:vMerge/>
            <w:hideMark/>
          </w:tcPr>
          <w:p w14:paraId="33A69910" w14:textId="241DD6B5" w:rsidR="00FD6FAB" w:rsidRPr="00D24F86" w:rsidRDefault="00FD6FAB" w:rsidP="00063E27">
            <w:pPr>
              <w:rPr>
                <w:rFonts w:ascii="Times New Roman" w:eastAsia="Times New Roman" w:hAnsi="Times New Roman" w:cs="Times New Roman"/>
                <w:sz w:val="20"/>
                <w:szCs w:val="20"/>
                <w:lang w:val="en-GB" w:eastAsia="en-GB"/>
              </w:rPr>
            </w:pPr>
          </w:p>
        </w:tc>
        <w:tc>
          <w:tcPr>
            <w:tcW w:w="1838" w:type="dxa"/>
            <w:hideMark/>
          </w:tcPr>
          <w:p w14:paraId="194ABFD3" w14:textId="77777777" w:rsidR="00FD6FAB" w:rsidRPr="00D24F86" w:rsidRDefault="00FD6FAB" w:rsidP="00063E27">
            <w:pPr>
              <w:jc w:val="center"/>
              <w:rPr>
                <w:rFonts w:ascii="Times New Roman" w:eastAsia="Times New Roman" w:hAnsi="Times New Roman" w:cs="Times New Roman"/>
                <w:lang w:val="en-GB" w:eastAsia="en-GB"/>
              </w:rPr>
            </w:pPr>
            <w:r w:rsidRPr="00D24F86">
              <w:rPr>
                <w:rFonts w:ascii="Times New Roman" w:eastAsia="Times New Roman" w:hAnsi="Times New Roman" w:cs="Times New Roman"/>
                <w:lang w:val="en-GB" w:eastAsia="en-GB"/>
              </w:rPr>
              <w:t>15</w:t>
            </w:r>
          </w:p>
        </w:tc>
        <w:tc>
          <w:tcPr>
            <w:tcW w:w="5958" w:type="dxa"/>
            <w:hideMark/>
          </w:tcPr>
          <w:p w14:paraId="63ADC04A" w14:textId="77777777" w:rsidR="00FD6FAB" w:rsidRPr="00765C72" w:rsidRDefault="00FD6FAB" w:rsidP="00063E27">
            <w:pPr>
              <w:rPr>
                <w:rFonts w:ascii="Times New Roman" w:eastAsia="Times New Roman" w:hAnsi="Times New Roman" w:cs="Times New Roman"/>
                <w:lang w:val="ro-MD" w:eastAsia="en-GB"/>
              </w:rPr>
            </w:pPr>
            <w:r w:rsidRPr="00765C72">
              <w:rPr>
                <w:rFonts w:ascii="Times New Roman" w:eastAsia="Times New Roman" w:hAnsi="Times New Roman" w:cs="Times New Roman"/>
                <w:lang w:val="ro-MD" w:eastAsia="en-GB"/>
              </w:rPr>
              <w:t>Pct. 20 și 21 vor fi reexaminate pentru eliminarea suprapunerilor privind etapa identificării și structurării riscurilor.</w:t>
            </w:r>
          </w:p>
        </w:tc>
        <w:tc>
          <w:tcPr>
            <w:tcW w:w="3969" w:type="dxa"/>
            <w:hideMark/>
          </w:tcPr>
          <w:p w14:paraId="1BB6D165" w14:textId="580C74AA" w:rsidR="00FD6FAB" w:rsidRPr="00765C72" w:rsidRDefault="00FD6FAB" w:rsidP="001367F3">
            <w:pPr>
              <w:jc w:val="both"/>
              <w:rPr>
                <w:rFonts w:ascii="Times New Roman" w:eastAsia="Times New Roman" w:hAnsi="Times New Roman" w:cs="Times New Roman"/>
                <w:lang w:val="ro-MD" w:eastAsia="en-GB"/>
              </w:rPr>
            </w:pPr>
            <w:r w:rsidRPr="00765C72">
              <w:rPr>
                <w:rFonts w:ascii="Times New Roman" w:eastAsia="Times New Roman" w:hAnsi="Times New Roman" w:cs="Times New Roman"/>
                <w:b/>
                <w:bCs/>
                <w:lang w:val="ro-MD" w:eastAsia="en-GB"/>
              </w:rPr>
              <w:t>Se acceptă.</w:t>
            </w:r>
            <w:r w:rsidRPr="00765C72">
              <w:rPr>
                <w:rFonts w:ascii="Times New Roman" w:eastAsia="Times New Roman" w:hAnsi="Times New Roman" w:cs="Times New Roman"/>
                <w:lang w:val="ro-MD" w:eastAsia="en-GB"/>
              </w:rPr>
              <w:t xml:space="preserve"> Pct. 20 și 21 </w:t>
            </w:r>
            <w:r w:rsidR="00FA121D">
              <w:rPr>
                <w:rFonts w:ascii="Times New Roman" w:eastAsia="Times New Roman" w:hAnsi="Times New Roman" w:cs="Times New Roman"/>
                <w:lang w:val="ro-MD" w:eastAsia="en-GB"/>
              </w:rPr>
              <w:t xml:space="preserve">au fost </w:t>
            </w:r>
            <w:r w:rsidRPr="00765C72">
              <w:rPr>
                <w:rFonts w:ascii="Times New Roman" w:eastAsia="Times New Roman" w:hAnsi="Times New Roman" w:cs="Times New Roman"/>
                <w:lang w:val="ro-MD" w:eastAsia="en-GB"/>
              </w:rPr>
              <w:t>revizuite în sensul delimitării clare a conținutului normativ, prin evitarea suprapunerilor privind etapa de identificare și structurare a riscurilor și prin menținerea pct. 21 cu caracter operațional, referitor la utilizarea Listei extinse inițiale a riscurilor, inclusiv sub aspect metodologic, de colectare a datelor și elaborare a fișelor de risc.”</w:t>
            </w:r>
          </w:p>
        </w:tc>
      </w:tr>
      <w:tr w:rsidR="00FD6FAB" w:rsidRPr="00D24F86" w14:paraId="2BB4DDA8" w14:textId="77777777" w:rsidTr="00FD6FAB">
        <w:tc>
          <w:tcPr>
            <w:tcW w:w="562" w:type="dxa"/>
            <w:vMerge/>
          </w:tcPr>
          <w:p w14:paraId="3884CE38" w14:textId="77777777" w:rsidR="00FD6FAB" w:rsidRPr="00D24F86" w:rsidRDefault="00FD6FAB" w:rsidP="00063E27">
            <w:pPr>
              <w:rPr>
                <w:rFonts w:ascii="Times New Roman" w:eastAsia="Times New Roman" w:hAnsi="Times New Roman" w:cs="Times New Roman"/>
                <w:sz w:val="20"/>
                <w:szCs w:val="20"/>
                <w:lang w:val="en-GB" w:eastAsia="en-GB"/>
              </w:rPr>
            </w:pPr>
          </w:p>
        </w:tc>
        <w:tc>
          <w:tcPr>
            <w:tcW w:w="1985" w:type="dxa"/>
            <w:vMerge/>
            <w:hideMark/>
          </w:tcPr>
          <w:p w14:paraId="3FB13B75" w14:textId="6FD42463" w:rsidR="00FD6FAB" w:rsidRPr="00D24F86" w:rsidRDefault="00FD6FAB" w:rsidP="00063E27">
            <w:pPr>
              <w:rPr>
                <w:rFonts w:ascii="Times New Roman" w:eastAsia="Times New Roman" w:hAnsi="Times New Roman" w:cs="Times New Roman"/>
                <w:sz w:val="20"/>
                <w:szCs w:val="20"/>
                <w:lang w:val="en-GB" w:eastAsia="en-GB"/>
              </w:rPr>
            </w:pPr>
          </w:p>
        </w:tc>
        <w:tc>
          <w:tcPr>
            <w:tcW w:w="1838" w:type="dxa"/>
            <w:hideMark/>
          </w:tcPr>
          <w:p w14:paraId="0D42CF9F" w14:textId="77777777" w:rsidR="00FD6FAB" w:rsidRPr="00D24F86" w:rsidRDefault="00FD6FAB" w:rsidP="00063E27">
            <w:pPr>
              <w:jc w:val="center"/>
              <w:rPr>
                <w:rFonts w:ascii="Times New Roman" w:eastAsia="Times New Roman" w:hAnsi="Times New Roman" w:cs="Times New Roman"/>
                <w:lang w:val="en-GB" w:eastAsia="en-GB"/>
              </w:rPr>
            </w:pPr>
            <w:r w:rsidRPr="00D24F86">
              <w:rPr>
                <w:rFonts w:ascii="Times New Roman" w:eastAsia="Times New Roman" w:hAnsi="Times New Roman" w:cs="Times New Roman"/>
                <w:lang w:val="en-GB" w:eastAsia="en-GB"/>
              </w:rPr>
              <w:t>16</w:t>
            </w:r>
          </w:p>
        </w:tc>
        <w:tc>
          <w:tcPr>
            <w:tcW w:w="5958" w:type="dxa"/>
            <w:hideMark/>
          </w:tcPr>
          <w:p w14:paraId="5723D19D" w14:textId="77777777" w:rsidR="00FD6FAB" w:rsidRPr="0086779E" w:rsidRDefault="00FD6FAB" w:rsidP="00063E27">
            <w:pPr>
              <w:rPr>
                <w:rFonts w:ascii="Times New Roman" w:eastAsia="Times New Roman" w:hAnsi="Times New Roman" w:cs="Times New Roman"/>
                <w:lang w:val="ro-MD" w:eastAsia="en-GB"/>
              </w:rPr>
            </w:pPr>
            <w:r w:rsidRPr="0086779E">
              <w:rPr>
                <w:rFonts w:ascii="Times New Roman" w:eastAsia="Times New Roman" w:hAnsi="Times New Roman" w:cs="Times New Roman"/>
                <w:lang w:val="ro-MD" w:eastAsia="en-GB"/>
              </w:rPr>
              <w:t>La pct. 44 și în alte cazuri similare (45.1–45.4, 46.1, 56.1–56.6, 57.1–57.2, 58.1–58.5 și numerotarea 56.4.1) numerotarea va fi racordată la cerințele Legii nr. 100/2017.</w:t>
            </w:r>
          </w:p>
        </w:tc>
        <w:tc>
          <w:tcPr>
            <w:tcW w:w="3969" w:type="dxa"/>
            <w:hideMark/>
          </w:tcPr>
          <w:p w14:paraId="142D5F7C" w14:textId="77777777" w:rsidR="00FD6FAB" w:rsidRPr="0086779E" w:rsidRDefault="00FD6FAB" w:rsidP="00063E27">
            <w:pPr>
              <w:rPr>
                <w:rFonts w:ascii="Times New Roman" w:eastAsia="Times New Roman" w:hAnsi="Times New Roman" w:cs="Times New Roman"/>
                <w:b/>
                <w:bCs/>
                <w:lang w:val="ro-MD" w:eastAsia="en-GB"/>
              </w:rPr>
            </w:pPr>
            <w:r w:rsidRPr="0086779E">
              <w:rPr>
                <w:rFonts w:ascii="Times New Roman" w:eastAsia="Times New Roman" w:hAnsi="Times New Roman" w:cs="Times New Roman"/>
                <w:b/>
                <w:bCs/>
                <w:lang w:val="ro-MD" w:eastAsia="en-GB"/>
              </w:rPr>
              <w:t>Se acceptă</w:t>
            </w:r>
          </w:p>
        </w:tc>
      </w:tr>
      <w:tr w:rsidR="00FD6FAB" w:rsidRPr="00D24F86" w14:paraId="64F2076B" w14:textId="77777777" w:rsidTr="00FD6FAB">
        <w:tc>
          <w:tcPr>
            <w:tcW w:w="562" w:type="dxa"/>
            <w:vMerge/>
          </w:tcPr>
          <w:p w14:paraId="378EDE6B" w14:textId="77777777" w:rsidR="00FD6FAB" w:rsidRPr="00D24F86" w:rsidRDefault="00FD6FAB" w:rsidP="00063E27">
            <w:pPr>
              <w:rPr>
                <w:rFonts w:ascii="Times New Roman" w:eastAsia="Times New Roman" w:hAnsi="Times New Roman" w:cs="Times New Roman"/>
                <w:sz w:val="20"/>
                <w:szCs w:val="20"/>
                <w:lang w:val="en-GB" w:eastAsia="en-GB"/>
              </w:rPr>
            </w:pPr>
          </w:p>
        </w:tc>
        <w:tc>
          <w:tcPr>
            <w:tcW w:w="1985" w:type="dxa"/>
            <w:vMerge/>
            <w:hideMark/>
          </w:tcPr>
          <w:p w14:paraId="54A8460E" w14:textId="59E81588" w:rsidR="00FD6FAB" w:rsidRPr="00D24F86" w:rsidRDefault="00FD6FAB" w:rsidP="00063E27">
            <w:pPr>
              <w:rPr>
                <w:rFonts w:ascii="Times New Roman" w:eastAsia="Times New Roman" w:hAnsi="Times New Roman" w:cs="Times New Roman"/>
                <w:sz w:val="20"/>
                <w:szCs w:val="20"/>
                <w:lang w:val="en-GB" w:eastAsia="en-GB"/>
              </w:rPr>
            </w:pPr>
          </w:p>
        </w:tc>
        <w:tc>
          <w:tcPr>
            <w:tcW w:w="1838" w:type="dxa"/>
            <w:hideMark/>
          </w:tcPr>
          <w:p w14:paraId="569460A0" w14:textId="77777777" w:rsidR="00FD6FAB" w:rsidRPr="00D24F86" w:rsidRDefault="00FD6FAB" w:rsidP="00063E27">
            <w:pPr>
              <w:jc w:val="center"/>
              <w:rPr>
                <w:rFonts w:ascii="Times New Roman" w:eastAsia="Times New Roman" w:hAnsi="Times New Roman" w:cs="Times New Roman"/>
                <w:lang w:val="en-GB" w:eastAsia="en-GB"/>
              </w:rPr>
            </w:pPr>
            <w:r w:rsidRPr="00D24F86">
              <w:rPr>
                <w:rFonts w:ascii="Times New Roman" w:eastAsia="Times New Roman" w:hAnsi="Times New Roman" w:cs="Times New Roman"/>
                <w:lang w:val="en-GB" w:eastAsia="en-GB"/>
              </w:rPr>
              <w:t>17</w:t>
            </w:r>
          </w:p>
        </w:tc>
        <w:tc>
          <w:tcPr>
            <w:tcW w:w="5958" w:type="dxa"/>
            <w:hideMark/>
          </w:tcPr>
          <w:p w14:paraId="154BB64A" w14:textId="77777777" w:rsidR="00FD6FAB" w:rsidRPr="005064F3" w:rsidRDefault="00FD6FAB" w:rsidP="00063E27">
            <w:pPr>
              <w:rPr>
                <w:rFonts w:ascii="Times New Roman" w:eastAsia="Times New Roman" w:hAnsi="Times New Roman" w:cs="Times New Roman"/>
                <w:lang w:val="ro-MD" w:eastAsia="en-GB"/>
              </w:rPr>
            </w:pPr>
            <w:r w:rsidRPr="005064F3">
              <w:rPr>
                <w:rFonts w:ascii="Times New Roman" w:eastAsia="Times New Roman" w:hAnsi="Times New Roman" w:cs="Times New Roman"/>
                <w:lang w:val="ro-MD" w:eastAsia="en-GB"/>
              </w:rPr>
              <w:t>Se propune eliminarea uneia dintre prevederile subpct. 51.1.8 și 51.1.9, întrucât acestea reglementează aceeași soluție privind Registrul Național al Riscurilor.</w:t>
            </w:r>
          </w:p>
        </w:tc>
        <w:tc>
          <w:tcPr>
            <w:tcW w:w="3969" w:type="dxa"/>
            <w:hideMark/>
          </w:tcPr>
          <w:p w14:paraId="149CF865" w14:textId="77777777" w:rsidR="00FD6FAB" w:rsidRPr="005064F3" w:rsidRDefault="00FD6FAB" w:rsidP="00063E27">
            <w:pPr>
              <w:rPr>
                <w:rFonts w:ascii="Times New Roman" w:eastAsia="Times New Roman" w:hAnsi="Times New Roman" w:cs="Times New Roman"/>
                <w:b/>
                <w:bCs/>
                <w:lang w:val="ro-MD" w:eastAsia="en-GB"/>
              </w:rPr>
            </w:pPr>
            <w:r w:rsidRPr="005064F3">
              <w:rPr>
                <w:rFonts w:ascii="Times New Roman" w:eastAsia="Times New Roman" w:hAnsi="Times New Roman" w:cs="Times New Roman"/>
                <w:b/>
                <w:bCs/>
                <w:lang w:val="ro-MD" w:eastAsia="en-GB"/>
              </w:rPr>
              <w:t>Se acceptă</w:t>
            </w:r>
          </w:p>
        </w:tc>
      </w:tr>
      <w:tr w:rsidR="00FD6FAB" w:rsidRPr="00D24F86" w14:paraId="17151A49" w14:textId="77777777" w:rsidTr="00FD6FAB">
        <w:tc>
          <w:tcPr>
            <w:tcW w:w="562" w:type="dxa"/>
            <w:vMerge/>
          </w:tcPr>
          <w:p w14:paraId="7994FC2A" w14:textId="77777777" w:rsidR="00FD6FAB" w:rsidRPr="00D24F86" w:rsidRDefault="00FD6FAB" w:rsidP="00063E27">
            <w:pPr>
              <w:rPr>
                <w:rFonts w:ascii="Times New Roman" w:eastAsia="Times New Roman" w:hAnsi="Times New Roman" w:cs="Times New Roman"/>
                <w:sz w:val="20"/>
                <w:szCs w:val="20"/>
                <w:lang w:val="en-GB" w:eastAsia="en-GB"/>
              </w:rPr>
            </w:pPr>
          </w:p>
        </w:tc>
        <w:tc>
          <w:tcPr>
            <w:tcW w:w="1985" w:type="dxa"/>
            <w:vMerge/>
            <w:hideMark/>
          </w:tcPr>
          <w:p w14:paraId="34136DB6" w14:textId="7EF78ACE" w:rsidR="00FD6FAB" w:rsidRPr="00D24F86" w:rsidRDefault="00FD6FAB" w:rsidP="00063E27">
            <w:pPr>
              <w:rPr>
                <w:rFonts w:ascii="Times New Roman" w:eastAsia="Times New Roman" w:hAnsi="Times New Roman" w:cs="Times New Roman"/>
                <w:sz w:val="20"/>
                <w:szCs w:val="20"/>
                <w:lang w:val="en-GB" w:eastAsia="en-GB"/>
              </w:rPr>
            </w:pPr>
          </w:p>
        </w:tc>
        <w:tc>
          <w:tcPr>
            <w:tcW w:w="1838" w:type="dxa"/>
            <w:hideMark/>
          </w:tcPr>
          <w:p w14:paraId="6864B0C9" w14:textId="77777777" w:rsidR="00FD6FAB" w:rsidRPr="00D24F86" w:rsidRDefault="00FD6FAB" w:rsidP="00063E27">
            <w:pPr>
              <w:jc w:val="center"/>
              <w:rPr>
                <w:rFonts w:ascii="Times New Roman" w:eastAsia="Times New Roman" w:hAnsi="Times New Roman" w:cs="Times New Roman"/>
                <w:lang w:val="en-GB" w:eastAsia="en-GB"/>
              </w:rPr>
            </w:pPr>
            <w:r w:rsidRPr="00D24F86">
              <w:rPr>
                <w:rFonts w:ascii="Times New Roman" w:eastAsia="Times New Roman" w:hAnsi="Times New Roman" w:cs="Times New Roman"/>
                <w:lang w:val="en-GB" w:eastAsia="en-GB"/>
              </w:rPr>
              <w:t>18</w:t>
            </w:r>
          </w:p>
        </w:tc>
        <w:tc>
          <w:tcPr>
            <w:tcW w:w="5958" w:type="dxa"/>
            <w:hideMark/>
          </w:tcPr>
          <w:p w14:paraId="79DF0EC5" w14:textId="77777777" w:rsidR="00FD6FAB" w:rsidRPr="00B44678" w:rsidRDefault="00FD6FAB" w:rsidP="00063E27">
            <w:pPr>
              <w:rPr>
                <w:rFonts w:ascii="Times New Roman" w:eastAsia="Times New Roman" w:hAnsi="Times New Roman" w:cs="Times New Roman"/>
                <w:lang w:val="ro-MD" w:eastAsia="en-GB"/>
              </w:rPr>
            </w:pPr>
            <w:r w:rsidRPr="00B44678">
              <w:rPr>
                <w:rFonts w:ascii="Times New Roman" w:eastAsia="Times New Roman" w:hAnsi="Times New Roman" w:cs="Times New Roman"/>
                <w:lang w:val="ro-MD" w:eastAsia="en-GB"/>
              </w:rPr>
              <w:t>La subpct. 56.6.1 se va clarifica modalitatea de transmitere a informațiilor către CNMC.</w:t>
            </w:r>
          </w:p>
        </w:tc>
        <w:tc>
          <w:tcPr>
            <w:tcW w:w="3969" w:type="dxa"/>
            <w:hideMark/>
          </w:tcPr>
          <w:p w14:paraId="7D469027" w14:textId="77777777" w:rsidR="00FD6FAB" w:rsidRPr="00B44678" w:rsidRDefault="00FD6FAB" w:rsidP="00063E27">
            <w:pPr>
              <w:rPr>
                <w:rFonts w:ascii="Times New Roman" w:eastAsia="Times New Roman" w:hAnsi="Times New Roman" w:cs="Times New Roman"/>
                <w:b/>
                <w:bCs/>
                <w:lang w:val="ro-MD" w:eastAsia="en-GB"/>
              </w:rPr>
            </w:pPr>
            <w:r w:rsidRPr="00B44678">
              <w:rPr>
                <w:rFonts w:ascii="Times New Roman" w:eastAsia="Times New Roman" w:hAnsi="Times New Roman" w:cs="Times New Roman"/>
                <w:b/>
                <w:bCs/>
                <w:lang w:val="ro-MD" w:eastAsia="en-GB"/>
              </w:rPr>
              <w:t>Se acceptă</w:t>
            </w:r>
          </w:p>
        </w:tc>
      </w:tr>
      <w:tr w:rsidR="00FD6FAB" w:rsidRPr="00D24F86" w14:paraId="30B1CDEA" w14:textId="77777777" w:rsidTr="00FD6FAB">
        <w:tc>
          <w:tcPr>
            <w:tcW w:w="562" w:type="dxa"/>
            <w:vMerge/>
          </w:tcPr>
          <w:p w14:paraId="462BDCE8" w14:textId="77777777" w:rsidR="00FD6FAB" w:rsidRPr="00D24F86" w:rsidRDefault="00FD6FAB" w:rsidP="00FD6FAB">
            <w:pPr>
              <w:rPr>
                <w:rFonts w:ascii="Times New Roman" w:eastAsia="Times New Roman" w:hAnsi="Times New Roman" w:cs="Times New Roman"/>
                <w:sz w:val="20"/>
                <w:szCs w:val="20"/>
                <w:lang w:val="en-GB" w:eastAsia="en-GB"/>
              </w:rPr>
            </w:pPr>
          </w:p>
        </w:tc>
        <w:tc>
          <w:tcPr>
            <w:tcW w:w="1985" w:type="dxa"/>
            <w:vMerge/>
            <w:hideMark/>
          </w:tcPr>
          <w:p w14:paraId="1F9E2E93" w14:textId="639AD6B6" w:rsidR="00FD6FAB" w:rsidRPr="00D24F86" w:rsidRDefault="00FD6FAB" w:rsidP="00FD6FAB">
            <w:pPr>
              <w:rPr>
                <w:rFonts w:ascii="Times New Roman" w:eastAsia="Times New Roman" w:hAnsi="Times New Roman" w:cs="Times New Roman"/>
                <w:sz w:val="20"/>
                <w:szCs w:val="20"/>
                <w:lang w:val="en-GB" w:eastAsia="en-GB"/>
              </w:rPr>
            </w:pPr>
          </w:p>
        </w:tc>
        <w:tc>
          <w:tcPr>
            <w:tcW w:w="1838" w:type="dxa"/>
            <w:hideMark/>
          </w:tcPr>
          <w:p w14:paraId="126D7EE5" w14:textId="77777777" w:rsidR="00FD6FAB" w:rsidRPr="00D24F86" w:rsidRDefault="00FD6FAB" w:rsidP="00FD6FAB">
            <w:pPr>
              <w:jc w:val="center"/>
              <w:rPr>
                <w:rFonts w:ascii="Times New Roman" w:eastAsia="Times New Roman" w:hAnsi="Times New Roman" w:cs="Times New Roman"/>
                <w:lang w:val="en-GB" w:eastAsia="en-GB"/>
              </w:rPr>
            </w:pPr>
            <w:r w:rsidRPr="00D24F86">
              <w:rPr>
                <w:rFonts w:ascii="Times New Roman" w:eastAsia="Times New Roman" w:hAnsi="Times New Roman" w:cs="Times New Roman"/>
                <w:lang w:val="en-GB" w:eastAsia="en-GB"/>
              </w:rPr>
              <w:t>19</w:t>
            </w:r>
          </w:p>
        </w:tc>
        <w:tc>
          <w:tcPr>
            <w:tcW w:w="5958" w:type="dxa"/>
            <w:hideMark/>
          </w:tcPr>
          <w:p w14:paraId="0DA9C13B" w14:textId="77777777" w:rsidR="00FD6FAB" w:rsidRPr="00B44678" w:rsidRDefault="00FD6FAB" w:rsidP="00FD6FAB">
            <w:pPr>
              <w:rPr>
                <w:rFonts w:ascii="Times New Roman" w:eastAsia="Times New Roman" w:hAnsi="Times New Roman" w:cs="Times New Roman"/>
                <w:lang w:val="ro-MD" w:eastAsia="en-GB"/>
              </w:rPr>
            </w:pPr>
            <w:r w:rsidRPr="00B44678">
              <w:rPr>
                <w:rFonts w:ascii="Times New Roman" w:eastAsia="Times New Roman" w:hAnsi="Times New Roman" w:cs="Times New Roman"/>
                <w:lang w:val="ro-MD" w:eastAsia="en-GB"/>
              </w:rPr>
              <w:t>La subpct. 59.1 se va reglementa expres statutul juridic al scalelor, criteriilor de apreciere, metodologiilor de scoring și modelelor fișelor de risc, prin includerea acestora în proiect sau aprobarea ca anexe.</w:t>
            </w:r>
          </w:p>
        </w:tc>
        <w:tc>
          <w:tcPr>
            <w:tcW w:w="3969" w:type="dxa"/>
            <w:hideMark/>
          </w:tcPr>
          <w:p w14:paraId="4466A417" w14:textId="77777777" w:rsidR="00FD6FAB" w:rsidRPr="00B44678" w:rsidRDefault="00FD6FAB" w:rsidP="00FD6FAB">
            <w:pPr>
              <w:rPr>
                <w:rFonts w:ascii="Times New Roman" w:eastAsia="Times New Roman" w:hAnsi="Times New Roman" w:cs="Times New Roman"/>
                <w:b/>
                <w:bCs/>
                <w:lang w:val="ro-MD" w:eastAsia="en-GB"/>
              </w:rPr>
            </w:pPr>
            <w:r w:rsidRPr="00B44678">
              <w:rPr>
                <w:rFonts w:ascii="Times New Roman" w:eastAsia="Times New Roman" w:hAnsi="Times New Roman" w:cs="Times New Roman"/>
                <w:b/>
                <w:bCs/>
                <w:lang w:val="ro-MD" w:eastAsia="en-GB"/>
              </w:rPr>
              <w:t>Se acceptă</w:t>
            </w:r>
          </w:p>
        </w:tc>
      </w:tr>
      <w:tr w:rsidR="00FD6FAB" w:rsidRPr="00D24F86" w14:paraId="733B72FB" w14:textId="77777777" w:rsidTr="00FD6FAB">
        <w:tc>
          <w:tcPr>
            <w:tcW w:w="562" w:type="dxa"/>
            <w:shd w:val="clear" w:color="auto" w:fill="00B0F0"/>
          </w:tcPr>
          <w:p w14:paraId="3E4BBD4C" w14:textId="77777777" w:rsidR="00FD6FAB" w:rsidRPr="00D24F86" w:rsidRDefault="00FD6FAB" w:rsidP="00FD6FAB">
            <w:pPr>
              <w:rPr>
                <w:rFonts w:ascii="Times New Roman" w:eastAsia="Times New Roman" w:hAnsi="Times New Roman" w:cs="Times New Roman"/>
                <w:sz w:val="20"/>
                <w:szCs w:val="20"/>
                <w:lang w:val="en-GB" w:eastAsia="en-GB"/>
              </w:rPr>
            </w:pPr>
          </w:p>
        </w:tc>
        <w:tc>
          <w:tcPr>
            <w:tcW w:w="1985" w:type="dxa"/>
            <w:shd w:val="clear" w:color="auto" w:fill="00B0F0"/>
          </w:tcPr>
          <w:p w14:paraId="7AA9EB04" w14:textId="77777777" w:rsidR="00FD6FAB" w:rsidRPr="00D24F86" w:rsidRDefault="00FD6FAB" w:rsidP="00FD6FAB">
            <w:pPr>
              <w:rPr>
                <w:rFonts w:ascii="Times New Roman" w:eastAsia="Times New Roman" w:hAnsi="Times New Roman" w:cs="Times New Roman"/>
                <w:sz w:val="20"/>
                <w:szCs w:val="20"/>
                <w:lang w:val="en-GB" w:eastAsia="en-GB"/>
              </w:rPr>
            </w:pPr>
          </w:p>
        </w:tc>
        <w:tc>
          <w:tcPr>
            <w:tcW w:w="1838" w:type="dxa"/>
            <w:shd w:val="clear" w:color="auto" w:fill="00B0F0"/>
          </w:tcPr>
          <w:p w14:paraId="63A9F38F" w14:textId="77777777" w:rsidR="00FD6FAB" w:rsidRPr="00D24F86" w:rsidRDefault="00FD6FAB" w:rsidP="00FD6FAB">
            <w:pPr>
              <w:jc w:val="center"/>
              <w:rPr>
                <w:rFonts w:ascii="Times New Roman" w:eastAsia="Times New Roman" w:hAnsi="Times New Roman" w:cs="Times New Roman"/>
                <w:lang w:val="en-GB" w:eastAsia="en-GB"/>
              </w:rPr>
            </w:pPr>
          </w:p>
        </w:tc>
        <w:tc>
          <w:tcPr>
            <w:tcW w:w="5958" w:type="dxa"/>
            <w:shd w:val="clear" w:color="auto" w:fill="00B0F0"/>
          </w:tcPr>
          <w:p w14:paraId="09F19F93" w14:textId="77777777" w:rsidR="00FD6FAB" w:rsidRPr="00B44678" w:rsidRDefault="00FD6FAB" w:rsidP="00FD6FAB">
            <w:pPr>
              <w:rPr>
                <w:rFonts w:ascii="Times New Roman" w:eastAsia="Times New Roman" w:hAnsi="Times New Roman" w:cs="Times New Roman"/>
                <w:lang w:val="ro-MD" w:eastAsia="en-GB"/>
              </w:rPr>
            </w:pPr>
          </w:p>
        </w:tc>
        <w:tc>
          <w:tcPr>
            <w:tcW w:w="3969" w:type="dxa"/>
            <w:shd w:val="clear" w:color="auto" w:fill="00B0F0"/>
          </w:tcPr>
          <w:p w14:paraId="15839017" w14:textId="77777777" w:rsidR="00FD6FAB" w:rsidRPr="00B44678" w:rsidRDefault="00FD6FAB" w:rsidP="00FD6FAB">
            <w:pPr>
              <w:rPr>
                <w:rFonts w:ascii="Times New Roman" w:eastAsia="Times New Roman" w:hAnsi="Times New Roman" w:cs="Times New Roman"/>
                <w:b/>
                <w:bCs/>
                <w:lang w:val="ro-MD" w:eastAsia="en-GB"/>
              </w:rPr>
            </w:pPr>
          </w:p>
        </w:tc>
      </w:tr>
      <w:tr w:rsidR="00FD6FAB" w:rsidRPr="00B44678" w14:paraId="51B78496" w14:textId="77777777" w:rsidTr="00FD6FAB">
        <w:tblPrEx>
          <w:tblLook w:val="04A0" w:firstRow="1" w:lastRow="0" w:firstColumn="1" w:lastColumn="0" w:noHBand="0" w:noVBand="1"/>
        </w:tblPrEx>
        <w:trPr>
          <w:trHeight w:val="315"/>
        </w:trPr>
        <w:tc>
          <w:tcPr>
            <w:tcW w:w="562" w:type="dxa"/>
          </w:tcPr>
          <w:p w14:paraId="15E7EE60" w14:textId="77777777" w:rsidR="00FD6FAB" w:rsidRPr="00B44678" w:rsidRDefault="00FD6FAB" w:rsidP="00FD6FAB">
            <w:pPr>
              <w:jc w:val="both"/>
              <w:rPr>
                <w:rFonts w:ascii="Times New Roman" w:eastAsia="Times New Roman" w:hAnsi="Times New Roman" w:cs="Times New Roman"/>
                <w:b/>
                <w:bCs/>
                <w:color w:val="000000"/>
                <w:lang w:val="ro-MD" w:eastAsia="en-US"/>
              </w:rPr>
            </w:pPr>
          </w:p>
        </w:tc>
        <w:tc>
          <w:tcPr>
            <w:tcW w:w="1985" w:type="dxa"/>
          </w:tcPr>
          <w:p w14:paraId="6F8E9BBF" w14:textId="77777777" w:rsidR="00FD6FAB" w:rsidRDefault="00FD6FAB" w:rsidP="00FD6FAB">
            <w:pPr>
              <w:jc w:val="both"/>
              <w:rPr>
                <w:rFonts w:ascii="Times New Roman" w:eastAsia="Times New Roman" w:hAnsi="Times New Roman" w:cs="Times New Roman"/>
                <w:b/>
                <w:bCs/>
                <w:color w:val="000000"/>
                <w:lang w:val="ro-MD" w:eastAsia="en-US"/>
              </w:rPr>
            </w:pPr>
            <w:r w:rsidRPr="00B44678">
              <w:rPr>
                <w:rFonts w:ascii="Times New Roman" w:eastAsia="Times New Roman" w:hAnsi="Times New Roman" w:cs="Times New Roman"/>
                <w:b/>
                <w:bCs/>
                <w:color w:val="000000"/>
                <w:lang w:val="ro-MD" w:eastAsia="en-US"/>
              </w:rPr>
              <w:t>Consiliul Concurenței</w:t>
            </w:r>
          </w:p>
          <w:p w14:paraId="7DB08F1F" w14:textId="7E5AA08F" w:rsidR="00D76098" w:rsidRPr="00D76098" w:rsidRDefault="00D76098" w:rsidP="00FD6FAB">
            <w:pPr>
              <w:jc w:val="both"/>
              <w:rPr>
                <w:rFonts w:ascii="Times New Roman" w:eastAsia="Times New Roman" w:hAnsi="Times New Roman" w:cs="Times New Roman"/>
                <w:i/>
                <w:iCs/>
                <w:color w:val="000000"/>
                <w:lang w:val="ro-MD" w:eastAsia="en-US"/>
              </w:rPr>
            </w:pPr>
            <w:r w:rsidRPr="00D76098">
              <w:rPr>
                <w:rFonts w:ascii="Times New Roman" w:eastAsia="Times New Roman" w:hAnsi="Times New Roman" w:cs="Times New Roman"/>
                <w:i/>
                <w:iCs/>
                <w:color w:val="000000"/>
                <w:lang w:val="ro-MD" w:eastAsia="en-US"/>
              </w:rPr>
              <w:t>(comentariu în platforma Legiferare)</w:t>
            </w:r>
          </w:p>
        </w:tc>
        <w:tc>
          <w:tcPr>
            <w:tcW w:w="1838" w:type="dxa"/>
          </w:tcPr>
          <w:p w14:paraId="796F8594" w14:textId="77777777" w:rsidR="00FD6FAB" w:rsidRPr="00AA0D7A" w:rsidRDefault="00FD6FAB" w:rsidP="00FD6FAB">
            <w:pPr>
              <w:jc w:val="both"/>
              <w:rPr>
                <w:rFonts w:ascii="Times New Roman" w:eastAsia="Times New Roman" w:hAnsi="Times New Roman" w:cs="Times New Roman"/>
                <w:color w:val="000000"/>
                <w:lang w:val="ro-MD" w:eastAsia="en-US"/>
              </w:rPr>
            </w:pPr>
          </w:p>
        </w:tc>
        <w:tc>
          <w:tcPr>
            <w:tcW w:w="5958" w:type="dxa"/>
          </w:tcPr>
          <w:p w14:paraId="46647F91" w14:textId="77777777" w:rsidR="00FD6FAB" w:rsidRPr="00AA0D7A" w:rsidRDefault="00FD6FAB" w:rsidP="00FD6FAB">
            <w:pPr>
              <w:jc w:val="both"/>
              <w:rPr>
                <w:rFonts w:ascii="Times New Roman" w:eastAsia="Times New Roman" w:hAnsi="Times New Roman" w:cs="Times New Roman"/>
                <w:color w:val="000000"/>
                <w:lang w:val="ro-MD" w:eastAsia="en-US"/>
              </w:rPr>
            </w:pPr>
            <w:r w:rsidRPr="00AA0D7A">
              <w:rPr>
                <w:rFonts w:ascii="Times New Roman" w:eastAsia="Times New Roman" w:hAnsi="Times New Roman" w:cs="Times New Roman"/>
                <w:color w:val="000000"/>
                <w:lang w:val="ro-MD" w:eastAsia="en-US"/>
              </w:rPr>
              <w:t>Consiliul Concurenței comunică despre lipsa obiecțiilor și propunerilor.</w:t>
            </w:r>
          </w:p>
        </w:tc>
        <w:tc>
          <w:tcPr>
            <w:tcW w:w="3969" w:type="dxa"/>
          </w:tcPr>
          <w:p w14:paraId="187EC0CF" w14:textId="77777777" w:rsidR="00FD6FAB" w:rsidRPr="00B44678" w:rsidRDefault="00FD6FAB" w:rsidP="00FD6FAB">
            <w:pPr>
              <w:jc w:val="both"/>
              <w:rPr>
                <w:rFonts w:ascii="Times New Roman" w:eastAsia="Times New Roman" w:hAnsi="Times New Roman" w:cs="Times New Roman"/>
                <w:b/>
                <w:bCs/>
                <w:color w:val="000000"/>
                <w:lang w:val="ro-MD" w:eastAsia="en-US"/>
              </w:rPr>
            </w:pPr>
            <w:r w:rsidRPr="00B44678">
              <w:rPr>
                <w:rFonts w:ascii="Times New Roman" w:eastAsia="Times New Roman" w:hAnsi="Times New Roman" w:cs="Times New Roman"/>
                <w:b/>
                <w:bCs/>
                <w:color w:val="000000"/>
                <w:lang w:val="ro-MD" w:eastAsia="en-US"/>
              </w:rPr>
              <w:t>Se ia act</w:t>
            </w:r>
          </w:p>
        </w:tc>
      </w:tr>
      <w:tr w:rsidR="00FD6FAB" w:rsidRPr="00B44678" w14:paraId="388EB9B3" w14:textId="77777777" w:rsidTr="00FD6FAB">
        <w:tblPrEx>
          <w:tblLook w:val="04A0" w:firstRow="1" w:lastRow="0" w:firstColumn="1" w:lastColumn="0" w:noHBand="0" w:noVBand="1"/>
        </w:tblPrEx>
        <w:trPr>
          <w:trHeight w:val="315"/>
        </w:trPr>
        <w:tc>
          <w:tcPr>
            <w:tcW w:w="562" w:type="dxa"/>
            <w:shd w:val="clear" w:color="auto" w:fill="00B0F0"/>
          </w:tcPr>
          <w:p w14:paraId="086661F6" w14:textId="77777777" w:rsidR="00FD6FAB" w:rsidRPr="00B44678" w:rsidRDefault="00FD6FAB" w:rsidP="00FD6FAB">
            <w:pPr>
              <w:jc w:val="both"/>
              <w:rPr>
                <w:rFonts w:ascii="Times New Roman" w:eastAsia="Times New Roman" w:hAnsi="Times New Roman" w:cs="Times New Roman"/>
                <w:b/>
                <w:bCs/>
                <w:color w:val="000000"/>
                <w:lang w:val="ro-MD" w:eastAsia="en-US"/>
              </w:rPr>
            </w:pPr>
          </w:p>
        </w:tc>
        <w:tc>
          <w:tcPr>
            <w:tcW w:w="1985" w:type="dxa"/>
            <w:shd w:val="clear" w:color="auto" w:fill="00B0F0"/>
          </w:tcPr>
          <w:p w14:paraId="5AC8CA52" w14:textId="77777777" w:rsidR="00FD6FAB" w:rsidRPr="00B44678" w:rsidRDefault="00FD6FAB" w:rsidP="00FD6FAB">
            <w:pPr>
              <w:jc w:val="both"/>
              <w:rPr>
                <w:rFonts w:ascii="Times New Roman" w:eastAsia="Times New Roman" w:hAnsi="Times New Roman" w:cs="Times New Roman"/>
                <w:b/>
                <w:bCs/>
                <w:color w:val="000000"/>
                <w:lang w:val="ro-MD" w:eastAsia="en-US"/>
              </w:rPr>
            </w:pPr>
          </w:p>
        </w:tc>
        <w:tc>
          <w:tcPr>
            <w:tcW w:w="1838" w:type="dxa"/>
            <w:shd w:val="clear" w:color="auto" w:fill="00B0F0"/>
          </w:tcPr>
          <w:p w14:paraId="64068F38" w14:textId="77777777" w:rsidR="00FD6FAB" w:rsidRPr="00AA0D7A" w:rsidRDefault="00FD6FAB" w:rsidP="00FD6FAB">
            <w:pPr>
              <w:jc w:val="both"/>
              <w:rPr>
                <w:rFonts w:ascii="Times New Roman" w:eastAsia="Times New Roman" w:hAnsi="Times New Roman" w:cs="Times New Roman"/>
                <w:color w:val="000000"/>
                <w:lang w:val="ro-MD" w:eastAsia="en-US"/>
              </w:rPr>
            </w:pPr>
          </w:p>
        </w:tc>
        <w:tc>
          <w:tcPr>
            <w:tcW w:w="5958" w:type="dxa"/>
            <w:shd w:val="clear" w:color="auto" w:fill="00B0F0"/>
          </w:tcPr>
          <w:p w14:paraId="6AB1329B" w14:textId="77777777" w:rsidR="00FD6FAB" w:rsidRPr="00AA0D7A" w:rsidRDefault="00FD6FAB" w:rsidP="00FD6FAB">
            <w:pPr>
              <w:jc w:val="both"/>
              <w:rPr>
                <w:rFonts w:ascii="Times New Roman" w:eastAsia="Times New Roman" w:hAnsi="Times New Roman" w:cs="Times New Roman"/>
                <w:color w:val="000000"/>
                <w:lang w:val="ro-MD" w:eastAsia="en-US"/>
              </w:rPr>
            </w:pPr>
          </w:p>
        </w:tc>
        <w:tc>
          <w:tcPr>
            <w:tcW w:w="3969" w:type="dxa"/>
            <w:shd w:val="clear" w:color="auto" w:fill="00B0F0"/>
          </w:tcPr>
          <w:p w14:paraId="2AEF474A" w14:textId="77777777" w:rsidR="00FD6FAB" w:rsidRPr="00B44678" w:rsidRDefault="00FD6FAB" w:rsidP="00FD6FAB">
            <w:pPr>
              <w:jc w:val="both"/>
              <w:rPr>
                <w:rFonts w:ascii="Times New Roman" w:eastAsia="Times New Roman" w:hAnsi="Times New Roman" w:cs="Times New Roman"/>
                <w:b/>
                <w:bCs/>
                <w:color w:val="000000"/>
                <w:lang w:val="ro-MD" w:eastAsia="en-US"/>
              </w:rPr>
            </w:pPr>
          </w:p>
        </w:tc>
      </w:tr>
      <w:tr w:rsidR="00FD6FAB" w:rsidRPr="00B44678" w14:paraId="223676C8" w14:textId="77777777" w:rsidTr="00FD6FAB">
        <w:tblPrEx>
          <w:tblLook w:val="04A0" w:firstRow="1" w:lastRow="0" w:firstColumn="1" w:lastColumn="0" w:noHBand="0" w:noVBand="1"/>
        </w:tblPrEx>
        <w:trPr>
          <w:trHeight w:val="315"/>
        </w:trPr>
        <w:tc>
          <w:tcPr>
            <w:tcW w:w="562" w:type="dxa"/>
          </w:tcPr>
          <w:p w14:paraId="5676DD5F" w14:textId="77777777" w:rsidR="00FD6FAB" w:rsidRPr="00B44678" w:rsidRDefault="00FD6FAB" w:rsidP="00FD6FAB">
            <w:pPr>
              <w:jc w:val="both"/>
              <w:rPr>
                <w:rFonts w:ascii="Times New Roman" w:eastAsia="Times New Roman" w:hAnsi="Times New Roman" w:cs="Times New Roman"/>
                <w:b/>
                <w:bCs/>
                <w:color w:val="000000"/>
                <w:lang w:val="ro-MD" w:eastAsia="en-US"/>
              </w:rPr>
            </w:pPr>
          </w:p>
        </w:tc>
        <w:tc>
          <w:tcPr>
            <w:tcW w:w="1985" w:type="dxa"/>
          </w:tcPr>
          <w:p w14:paraId="7BC05231" w14:textId="77777777" w:rsidR="00FD6FAB" w:rsidRDefault="00FD6FAB" w:rsidP="00FD6FAB">
            <w:pPr>
              <w:jc w:val="both"/>
              <w:rPr>
                <w:rFonts w:ascii="Times New Roman" w:eastAsia="Times New Roman" w:hAnsi="Times New Roman" w:cs="Times New Roman"/>
                <w:b/>
                <w:bCs/>
                <w:color w:val="000000"/>
                <w:lang w:val="ro-MD" w:eastAsia="en-US"/>
              </w:rPr>
            </w:pPr>
            <w:r w:rsidRPr="00B44678">
              <w:rPr>
                <w:rFonts w:ascii="Times New Roman" w:eastAsia="Times New Roman" w:hAnsi="Times New Roman" w:cs="Times New Roman"/>
                <w:b/>
                <w:bCs/>
                <w:color w:val="000000"/>
                <w:lang w:val="ro-MD" w:eastAsia="en-US"/>
              </w:rPr>
              <w:t>Ministerul Finanțelor</w:t>
            </w:r>
          </w:p>
          <w:p w14:paraId="29175B15" w14:textId="1C1E296C" w:rsidR="00D76098" w:rsidRPr="00B44678" w:rsidRDefault="00D76098" w:rsidP="00FD6FAB">
            <w:pPr>
              <w:jc w:val="both"/>
              <w:rPr>
                <w:rFonts w:ascii="Times New Roman" w:eastAsia="Times New Roman" w:hAnsi="Times New Roman" w:cs="Times New Roman"/>
                <w:b/>
                <w:bCs/>
                <w:color w:val="000000"/>
                <w:lang w:val="ro-MD" w:eastAsia="en-US"/>
              </w:rPr>
            </w:pPr>
            <w:r w:rsidRPr="00D76098">
              <w:rPr>
                <w:rFonts w:ascii="Times New Roman" w:eastAsia="Times New Roman" w:hAnsi="Times New Roman" w:cs="Times New Roman"/>
                <w:i/>
                <w:iCs/>
                <w:color w:val="000000"/>
                <w:lang w:val="ro-MD" w:eastAsia="en-US"/>
              </w:rPr>
              <w:t>(comentariu în platforma Legiferare)</w:t>
            </w:r>
          </w:p>
        </w:tc>
        <w:tc>
          <w:tcPr>
            <w:tcW w:w="1838" w:type="dxa"/>
          </w:tcPr>
          <w:p w14:paraId="000DF8BE" w14:textId="77777777" w:rsidR="00FD6FAB" w:rsidRPr="00AA0D7A" w:rsidRDefault="00FD6FAB" w:rsidP="00FD6FAB">
            <w:pPr>
              <w:jc w:val="both"/>
              <w:rPr>
                <w:rFonts w:ascii="Times New Roman" w:eastAsia="Times New Roman" w:hAnsi="Times New Roman" w:cs="Times New Roman"/>
                <w:color w:val="000000"/>
                <w:lang w:val="ro-MD" w:eastAsia="en-US"/>
              </w:rPr>
            </w:pPr>
          </w:p>
        </w:tc>
        <w:tc>
          <w:tcPr>
            <w:tcW w:w="5958" w:type="dxa"/>
          </w:tcPr>
          <w:p w14:paraId="330C48C5" w14:textId="77777777" w:rsidR="00FD6FAB" w:rsidRPr="00AA0D7A" w:rsidRDefault="00FD6FAB" w:rsidP="00FD6FAB">
            <w:pPr>
              <w:jc w:val="both"/>
              <w:rPr>
                <w:rFonts w:ascii="Times New Roman" w:eastAsia="Times New Roman" w:hAnsi="Times New Roman" w:cs="Times New Roman"/>
                <w:color w:val="000000"/>
                <w:lang w:val="ro-MD" w:eastAsia="en-US"/>
              </w:rPr>
            </w:pPr>
            <w:r w:rsidRPr="00AA0D7A">
              <w:rPr>
                <w:rFonts w:ascii="Times New Roman" w:eastAsia="Times New Roman" w:hAnsi="Times New Roman" w:cs="Times New Roman"/>
                <w:color w:val="000000"/>
                <w:lang w:val="ro-MD" w:eastAsia="en-US"/>
              </w:rPr>
              <w:t>Ministerul Finanțelor, în limitele competențelor funcționale, lipsa obiecțiilor și propunerilor.</w:t>
            </w:r>
          </w:p>
        </w:tc>
        <w:tc>
          <w:tcPr>
            <w:tcW w:w="3969" w:type="dxa"/>
          </w:tcPr>
          <w:p w14:paraId="79508CCC" w14:textId="77777777" w:rsidR="00FD6FAB" w:rsidRPr="00B44678" w:rsidRDefault="00FD6FAB" w:rsidP="00FD6FAB">
            <w:pPr>
              <w:jc w:val="both"/>
              <w:rPr>
                <w:rFonts w:ascii="Times New Roman" w:eastAsia="Times New Roman" w:hAnsi="Times New Roman" w:cs="Times New Roman"/>
                <w:b/>
                <w:bCs/>
                <w:color w:val="000000"/>
                <w:lang w:val="ro-MD" w:eastAsia="en-US"/>
              </w:rPr>
            </w:pPr>
            <w:r w:rsidRPr="00B44678">
              <w:rPr>
                <w:rFonts w:ascii="Times New Roman" w:eastAsia="Times New Roman" w:hAnsi="Times New Roman" w:cs="Times New Roman"/>
                <w:b/>
                <w:bCs/>
                <w:color w:val="000000"/>
                <w:lang w:val="ro-MD" w:eastAsia="en-US"/>
              </w:rPr>
              <w:t>Se ia act</w:t>
            </w:r>
          </w:p>
        </w:tc>
      </w:tr>
      <w:tr w:rsidR="00FD6FAB" w:rsidRPr="00B44678" w14:paraId="0EC40968" w14:textId="77777777" w:rsidTr="00FD6FAB">
        <w:tblPrEx>
          <w:tblLook w:val="04A0" w:firstRow="1" w:lastRow="0" w:firstColumn="1" w:lastColumn="0" w:noHBand="0" w:noVBand="1"/>
        </w:tblPrEx>
        <w:trPr>
          <w:trHeight w:val="315"/>
        </w:trPr>
        <w:tc>
          <w:tcPr>
            <w:tcW w:w="562" w:type="dxa"/>
            <w:shd w:val="clear" w:color="auto" w:fill="00B0F0"/>
          </w:tcPr>
          <w:p w14:paraId="1E77961F" w14:textId="77777777" w:rsidR="00FD6FAB" w:rsidRPr="00B44678" w:rsidRDefault="00FD6FAB" w:rsidP="00FD6FAB">
            <w:pPr>
              <w:jc w:val="both"/>
              <w:rPr>
                <w:rFonts w:ascii="Times New Roman" w:eastAsia="Times New Roman" w:hAnsi="Times New Roman" w:cs="Times New Roman"/>
                <w:b/>
                <w:bCs/>
                <w:color w:val="000000"/>
                <w:lang w:val="ro-MD" w:eastAsia="en-US"/>
              </w:rPr>
            </w:pPr>
          </w:p>
        </w:tc>
        <w:tc>
          <w:tcPr>
            <w:tcW w:w="1985" w:type="dxa"/>
            <w:shd w:val="clear" w:color="auto" w:fill="00B0F0"/>
          </w:tcPr>
          <w:p w14:paraId="6CC6F754" w14:textId="77777777" w:rsidR="00FD6FAB" w:rsidRPr="00B44678" w:rsidRDefault="00FD6FAB" w:rsidP="00FD6FAB">
            <w:pPr>
              <w:jc w:val="both"/>
              <w:rPr>
                <w:rFonts w:ascii="Times New Roman" w:eastAsia="Times New Roman" w:hAnsi="Times New Roman" w:cs="Times New Roman"/>
                <w:b/>
                <w:bCs/>
                <w:color w:val="000000"/>
                <w:lang w:val="ro-MD" w:eastAsia="en-US"/>
              </w:rPr>
            </w:pPr>
          </w:p>
        </w:tc>
        <w:tc>
          <w:tcPr>
            <w:tcW w:w="1838" w:type="dxa"/>
            <w:shd w:val="clear" w:color="auto" w:fill="00B0F0"/>
          </w:tcPr>
          <w:p w14:paraId="280B4A14" w14:textId="77777777" w:rsidR="00FD6FAB" w:rsidRPr="00AA0D7A" w:rsidRDefault="00FD6FAB" w:rsidP="00FD6FAB">
            <w:pPr>
              <w:jc w:val="both"/>
              <w:rPr>
                <w:rFonts w:ascii="Times New Roman" w:eastAsia="Times New Roman" w:hAnsi="Times New Roman" w:cs="Times New Roman"/>
                <w:color w:val="000000"/>
                <w:lang w:val="ro-MD" w:eastAsia="en-US"/>
              </w:rPr>
            </w:pPr>
          </w:p>
        </w:tc>
        <w:tc>
          <w:tcPr>
            <w:tcW w:w="5958" w:type="dxa"/>
            <w:shd w:val="clear" w:color="auto" w:fill="00B0F0"/>
          </w:tcPr>
          <w:p w14:paraId="54259EC8" w14:textId="77777777" w:rsidR="00FD6FAB" w:rsidRPr="00AA0D7A" w:rsidRDefault="00FD6FAB" w:rsidP="00FD6FAB">
            <w:pPr>
              <w:jc w:val="both"/>
              <w:rPr>
                <w:rFonts w:ascii="Times New Roman" w:eastAsia="Times New Roman" w:hAnsi="Times New Roman" w:cs="Times New Roman"/>
                <w:color w:val="000000"/>
                <w:lang w:val="ro-MD" w:eastAsia="en-US"/>
              </w:rPr>
            </w:pPr>
          </w:p>
        </w:tc>
        <w:tc>
          <w:tcPr>
            <w:tcW w:w="3969" w:type="dxa"/>
            <w:shd w:val="clear" w:color="auto" w:fill="00B0F0"/>
          </w:tcPr>
          <w:p w14:paraId="42493D5E" w14:textId="77777777" w:rsidR="00FD6FAB" w:rsidRPr="00B44678" w:rsidRDefault="00FD6FAB" w:rsidP="00FD6FAB">
            <w:pPr>
              <w:jc w:val="both"/>
              <w:rPr>
                <w:rFonts w:ascii="Times New Roman" w:eastAsia="Times New Roman" w:hAnsi="Times New Roman" w:cs="Times New Roman"/>
                <w:b/>
                <w:bCs/>
                <w:color w:val="000000"/>
                <w:lang w:val="ro-MD" w:eastAsia="en-US"/>
              </w:rPr>
            </w:pPr>
          </w:p>
        </w:tc>
      </w:tr>
      <w:tr w:rsidR="00FD6FAB" w:rsidRPr="00B44678" w14:paraId="44040737" w14:textId="77777777" w:rsidTr="00FD6FAB">
        <w:tblPrEx>
          <w:tblLook w:val="04A0" w:firstRow="1" w:lastRow="0" w:firstColumn="1" w:lastColumn="0" w:noHBand="0" w:noVBand="1"/>
        </w:tblPrEx>
        <w:trPr>
          <w:trHeight w:val="315"/>
        </w:trPr>
        <w:tc>
          <w:tcPr>
            <w:tcW w:w="562" w:type="dxa"/>
          </w:tcPr>
          <w:p w14:paraId="11A98E7C" w14:textId="77777777" w:rsidR="00FD6FAB" w:rsidRPr="00B44678" w:rsidRDefault="00FD6FAB" w:rsidP="00FD6FAB">
            <w:pPr>
              <w:jc w:val="both"/>
              <w:rPr>
                <w:rFonts w:ascii="Times New Roman" w:eastAsia="Times New Roman" w:hAnsi="Times New Roman" w:cs="Times New Roman"/>
                <w:b/>
                <w:bCs/>
                <w:color w:val="000000"/>
                <w:lang w:val="ro-MD" w:eastAsia="en-US"/>
              </w:rPr>
            </w:pPr>
          </w:p>
        </w:tc>
        <w:tc>
          <w:tcPr>
            <w:tcW w:w="1985" w:type="dxa"/>
          </w:tcPr>
          <w:p w14:paraId="3197AF94" w14:textId="77777777" w:rsidR="00FD6FAB" w:rsidRDefault="00FD6FAB" w:rsidP="00FD6FAB">
            <w:pPr>
              <w:jc w:val="both"/>
              <w:rPr>
                <w:rFonts w:ascii="Times New Roman" w:eastAsia="Times New Roman" w:hAnsi="Times New Roman" w:cs="Times New Roman"/>
                <w:b/>
                <w:bCs/>
                <w:color w:val="000000"/>
                <w:lang w:val="ro-MD" w:eastAsia="en-US"/>
              </w:rPr>
            </w:pPr>
            <w:r w:rsidRPr="00B44678">
              <w:rPr>
                <w:rFonts w:ascii="Times New Roman" w:eastAsia="Times New Roman" w:hAnsi="Times New Roman" w:cs="Times New Roman"/>
                <w:b/>
                <w:bCs/>
                <w:color w:val="000000"/>
                <w:lang w:val="ro-MD" w:eastAsia="en-US"/>
              </w:rPr>
              <w:t>Agenţia Naţională pentru Siguranţa Alimentelor</w:t>
            </w:r>
          </w:p>
          <w:p w14:paraId="30CBEB43" w14:textId="2337857A" w:rsidR="00D76098" w:rsidRPr="00B44678" w:rsidRDefault="00D76098" w:rsidP="00FD6FAB">
            <w:pPr>
              <w:jc w:val="both"/>
              <w:rPr>
                <w:rFonts w:ascii="Times New Roman" w:eastAsia="Times New Roman" w:hAnsi="Times New Roman" w:cs="Times New Roman"/>
                <w:b/>
                <w:bCs/>
                <w:color w:val="000000"/>
                <w:lang w:val="ro-MD" w:eastAsia="en-US"/>
              </w:rPr>
            </w:pPr>
            <w:r w:rsidRPr="00D76098">
              <w:rPr>
                <w:rFonts w:ascii="Times New Roman" w:eastAsia="Times New Roman" w:hAnsi="Times New Roman" w:cs="Times New Roman"/>
                <w:i/>
                <w:iCs/>
                <w:color w:val="000000"/>
                <w:lang w:val="ro-MD" w:eastAsia="en-US"/>
              </w:rPr>
              <w:t>(comentariu în platforma Legiferare)</w:t>
            </w:r>
          </w:p>
        </w:tc>
        <w:tc>
          <w:tcPr>
            <w:tcW w:w="1838" w:type="dxa"/>
          </w:tcPr>
          <w:p w14:paraId="1A0D365E" w14:textId="77777777" w:rsidR="00FD6FAB" w:rsidRPr="00AA0D7A" w:rsidRDefault="00FD6FAB" w:rsidP="00FD6FAB">
            <w:pPr>
              <w:jc w:val="both"/>
              <w:rPr>
                <w:rFonts w:ascii="Times New Roman" w:eastAsia="Times New Roman" w:hAnsi="Times New Roman" w:cs="Times New Roman"/>
                <w:color w:val="000000"/>
                <w:lang w:val="ro-MD" w:eastAsia="en-US"/>
              </w:rPr>
            </w:pPr>
          </w:p>
        </w:tc>
        <w:tc>
          <w:tcPr>
            <w:tcW w:w="5958" w:type="dxa"/>
          </w:tcPr>
          <w:p w14:paraId="07EB8380" w14:textId="77777777" w:rsidR="00FD6FAB" w:rsidRPr="00AA0D7A" w:rsidRDefault="00FD6FAB" w:rsidP="00FD6FAB">
            <w:pPr>
              <w:jc w:val="both"/>
              <w:rPr>
                <w:rFonts w:ascii="Times New Roman" w:eastAsia="Times New Roman" w:hAnsi="Times New Roman" w:cs="Times New Roman"/>
                <w:color w:val="000000"/>
                <w:lang w:val="ro-MD" w:eastAsia="en-US"/>
              </w:rPr>
            </w:pPr>
          </w:p>
          <w:tbl>
            <w:tblPr>
              <w:tblW w:w="14184" w:type="dxa"/>
              <w:tblLayout w:type="fixed"/>
              <w:tblCellMar>
                <w:top w:w="15" w:type="dxa"/>
                <w:left w:w="15" w:type="dxa"/>
                <w:bottom w:w="15" w:type="dxa"/>
                <w:right w:w="15" w:type="dxa"/>
              </w:tblCellMar>
              <w:tblLook w:val="04A0" w:firstRow="1" w:lastRow="0" w:firstColumn="1" w:lastColumn="0" w:noHBand="0" w:noVBand="1"/>
            </w:tblPr>
            <w:tblGrid>
              <w:gridCol w:w="14184"/>
            </w:tblGrid>
            <w:tr w:rsidR="00FD6FAB" w:rsidRPr="00AA0D7A" w14:paraId="07DBE8D4" w14:textId="77777777" w:rsidTr="00063E27">
              <w:tc>
                <w:tcPr>
                  <w:tcW w:w="14184" w:type="dxa"/>
                  <w:vAlign w:val="center"/>
                  <w:hideMark/>
                </w:tcPr>
                <w:p w14:paraId="712086AF" w14:textId="77777777" w:rsidR="00FD6FAB" w:rsidRPr="00AA0D7A" w:rsidRDefault="00FD6FAB" w:rsidP="00FD6FAB">
                  <w:pPr>
                    <w:spacing w:after="0" w:line="240" w:lineRule="auto"/>
                    <w:jc w:val="both"/>
                    <w:rPr>
                      <w:rFonts w:ascii="Times New Roman" w:eastAsia="Times New Roman" w:hAnsi="Times New Roman" w:cs="Times New Roman"/>
                      <w:color w:val="000000"/>
                      <w:lang w:val="ro-MD" w:eastAsia="en-US"/>
                    </w:rPr>
                  </w:pPr>
                </w:p>
              </w:tc>
            </w:tr>
          </w:tbl>
          <w:p w14:paraId="1A7FCD3B" w14:textId="77777777" w:rsidR="00FD6FAB" w:rsidRPr="00AA0D7A" w:rsidRDefault="00FD6FAB" w:rsidP="00FD6FAB">
            <w:pPr>
              <w:jc w:val="both"/>
              <w:rPr>
                <w:rFonts w:ascii="Times New Roman" w:eastAsia="Times New Roman" w:hAnsi="Times New Roman" w:cs="Times New Roman"/>
                <w:color w:val="000000"/>
                <w:lang w:val="ro-MD" w:eastAsia="en-US"/>
              </w:rPr>
            </w:pPr>
            <w:r w:rsidRPr="00AA0D7A">
              <w:rPr>
                <w:rFonts w:ascii="Times New Roman" w:eastAsia="Times New Roman" w:hAnsi="Times New Roman" w:cs="Times New Roman"/>
                <w:color w:val="000000"/>
                <w:lang w:val="ro-MD" w:eastAsia="en-US"/>
              </w:rPr>
              <w:t>Notificarea susținerii proiectului</w:t>
            </w:r>
          </w:p>
        </w:tc>
        <w:tc>
          <w:tcPr>
            <w:tcW w:w="3969" w:type="dxa"/>
          </w:tcPr>
          <w:p w14:paraId="33F11D76" w14:textId="77777777" w:rsidR="00FD6FAB" w:rsidRPr="00B44678" w:rsidRDefault="00FD6FAB" w:rsidP="00FD6FAB">
            <w:pPr>
              <w:jc w:val="both"/>
              <w:rPr>
                <w:rFonts w:ascii="Times New Roman" w:eastAsia="Times New Roman" w:hAnsi="Times New Roman" w:cs="Times New Roman"/>
                <w:b/>
                <w:bCs/>
                <w:color w:val="000000"/>
                <w:lang w:val="ro-MD" w:eastAsia="en-US"/>
              </w:rPr>
            </w:pPr>
            <w:r w:rsidRPr="00B44678">
              <w:rPr>
                <w:rFonts w:ascii="Times New Roman" w:eastAsia="Times New Roman" w:hAnsi="Times New Roman" w:cs="Times New Roman"/>
                <w:b/>
                <w:bCs/>
                <w:color w:val="000000"/>
                <w:lang w:val="ro-MD" w:eastAsia="en-US"/>
              </w:rPr>
              <w:t>Se ia act.</w:t>
            </w:r>
          </w:p>
        </w:tc>
      </w:tr>
    </w:tbl>
    <w:p w14:paraId="30354F65" w14:textId="77777777" w:rsidR="00FD6FAB" w:rsidRPr="00D24F86" w:rsidRDefault="00FD6FAB" w:rsidP="00FD6FAB">
      <w:pPr>
        <w:spacing w:after="0" w:line="240" w:lineRule="auto"/>
        <w:jc w:val="both"/>
        <w:rPr>
          <w:rFonts w:ascii="Times New Roman" w:eastAsia="Times New Roman" w:hAnsi="Times New Roman" w:cs="Times New Roman"/>
          <w:color w:val="000000"/>
          <w:lang w:val="en-GB" w:eastAsia="en-US"/>
        </w:rPr>
      </w:pPr>
    </w:p>
    <w:p w14:paraId="046682D8" w14:textId="77777777" w:rsidR="00FD6FAB" w:rsidRDefault="00FD6FAB">
      <w:pPr>
        <w:pBdr>
          <w:between w:val="single" w:sz="4" w:space="1" w:color="000000"/>
        </w:pBdr>
        <w:jc w:val="both"/>
        <w:rPr>
          <w:rFonts w:ascii="Times New Roman" w:eastAsia="Times New Roman" w:hAnsi="Times New Roman" w:cs="Times New Roman"/>
          <w:color w:val="7030A0"/>
        </w:rPr>
      </w:pPr>
    </w:p>
    <w:sectPr w:rsidR="00FD6FAB">
      <w:pgSz w:w="16838" w:h="11906" w:orient="landscape"/>
      <w:pgMar w:top="567" w:right="1440" w:bottom="1440" w:left="1440"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Aptos">
    <w:altName w:val="Calibri"/>
    <w:charset w:val="00"/>
    <w:family w:val="swiss"/>
    <w:pitch w:val="variable"/>
    <w:sig w:usb0="20000287" w:usb1="00000003" w:usb2="00000000" w:usb3="00000000" w:csb0="0000019F" w:csb1="00000000"/>
    <w:embedRegular r:id="rId1" w:fontKey="{BCDB2892-3AD6-40EB-92BE-6E36CDC24B9F}"/>
    <w:embedItalic r:id="rId2" w:fontKey="{EB200926-CFFA-4B82-A1E4-53A5FF52FC1E}"/>
  </w:font>
  <w:font w:name="Play">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3" w:fontKey="{076B8E06-5DBA-4482-8708-CF4379F2FD02}"/>
  </w:font>
  <w:font w:name="Cambria">
    <w:panose1 w:val="02040503050406030204"/>
    <w:charset w:val="00"/>
    <w:family w:val="roman"/>
    <w:pitch w:val="variable"/>
    <w:sig w:usb0="E00006FF" w:usb1="420024FF" w:usb2="02000000" w:usb3="00000000" w:csb0="0000019F" w:csb1="00000000"/>
    <w:embedRegular r:id="rId4" w:fontKey="{3588EC16-F330-4846-9DDB-07C2C08A1FC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92F54"/>
    <w:multiLevelType w:val="multilevel"/>
    <w:tmpl w:val="E1AC108A"/>
    <w:lvl w:ilvl="0">
      <w:start w:val="2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519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67E"/>
    <w:rsid w:val="000E7DFC"/>
    <w:rsid w:val="001367F3"/>
    <w:rsid w:val="001B0288"/>
    <w:rsid w:val="004C6E8B"/>
    <w:rsid w:val="00501B49"/>
    <w:rsid w:val="005024A1"/>
    <w:rsid w:val="008D32CD"/>
    <w:rsid w:val="008E1EAE"/>
    <w:rsid w:val="00AC399B"/>
    <w:rsid w:val="00B5067E"/>
    <w:rsid w:val="00C443D6"/>
    <w:rsid w:val="00CC4A60"/>
    <w:rsid w:val="00D76098"/>
    <w:rsid w:val="00E2097D"/>
    <w:rsid w:val="00F64672"/>
    <w:rsid w:val="00FA121D"/>
    <w:rsid w:val="00FD6FAB"/>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31297"/>
  <w15:docId w15:val="{7E16CC04-DCA0-4AA3-9D01-2A33B0328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4"/>
        <w:szCs w:val="24"/>
        <w:lang w:val="en" w:eastAsia="ro-MD"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character" w:styleId="Hyperlink">
    <w:name w:val="Hyperlink"/>
    <w:basedOn w:val="DefaultParagraphFont"/>
    <w:uiPriority w:val="99"/>
    <w:unhideWhenUsed/>
    <w:rsid w:val="00FD6FAB"/>
    <w:rPr>
      <w:color w:val="0000FF" w:themeColor="hyperlink"/>
      <w:u w:val="single"/>
    </w:rPr>
  </w:style>
  <w:style w:type="table" w:styleId="TableGrid">
    <w:name w:val="Table Grid"/>
    <w:basedOn w:val="TableNormal"/>
    <w:uiPriority w:val="39"/>
    <w:rsid w:val="00FD6F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cnmc.gov.md/ro/consultarea-public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articip.gov.md/ro/document/stages/*/16159"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tMbR5DJfZK4cAteX+DrW/hotig==">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41</Pages>
  <Words>12268</Words>
  <Characters>69933</Characters>
  <Application>Microsoft Office Word</Application>
  <DocSecurity>0</DocSecurity>
  <Lines>582</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9</cp:revision>
  <dcterms:created xsi:type="dcterms:W3CDTF">2026-07-02T09:13:00Z</dcterms:created>
  <dcterms:modified xsi:type="dcterms:W3CDTF">2026-07-09T10:31:00Z</dcterms:modified>
</cp:coreProperties>
</file>