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0CF6E" w14:textId="77777777" w:rsidR="009A3F2B" w:rsidRPr="00AF1F00" w:rsidRDefault="00AF1F00" w:rsidP="00C262EE">
      <w:pPr>
        <w:spacing w:after="0" w:line="240" w:lineRule="auto"/>
        <w:jc w:val="right"/>
        <w:rPr>
          <w:color w:val="808080" w:themeColor="background1" w:themeShade="80"/>
          <w:lang w:val="ro-RO"/>
        </w:rPr>
      </w:pPr>
      <w:r w:rsidRPr="00AF1F00">
        <w:rPr>
          <w:b/>
          <w:color w:val="808080" w:themeColor="background1" w:themeShade="80"/>
          <w:lang w:val="ro-RO"/>
        </w:rPr>
        <w:t>PROIECT PENTRU UAT CENTRUL ADMINISTRATIV</w:t>
      </w:r>
    </w:p>
    <w:p w14:paraId="01E29A7D" w14:textId="77777777" w:rsidR="00AF1F00" w:rsidRDefault="00AF1F00" w:rsidP="00C262EE">
      <w:pPr>
        <w:spacing w:after="0" w:line="240" w:lineRule="auto"/>
        <w:jc w:val="center"/>
        <w:rPr>
          <w:b/>
          <w:lang w:val="ro-RO"/>
        </w:rPr>
      </w:pPr>
    </w:p>
    <w:p w14:paraId="76CBFA97" w14:textId="77777777" w:rsidR="006161F0" w:rsidRDefault="006161F0" w:rsidP="006161F0"/>
    <w:p w14:paraId="0A596D24" w14:textId="77777777" w:rsidR="006161F0" w:rsidRDefault="006161F0" w:rsidP="006161F0"/>
    <w:p w14:paraId="23BCC257" w14:textId="77777777" w:rsidR="006161F0" w:rsidRPr="003B3850" w:rsidRDefault="006161F0" w:rsidP="006161F0">
      <w:r w:rsidRPr="005D4D0C">
        <w:rPr>
          <w:rFonts w:ascii="Calibri" w:eastAsia="Calibri" w:hAnsi="Calibri" w:cs="Times New Roman"/>
          <w:noProof/>
          <w:lang w:val="ru-RU" w:eastAsia="ru-RU"/>
        </w:rPr>
        <w:drawing>
          <wp:anchor distT="0" distB="0" distL="114300" distR="114300" simplePos="0" relativeHeight="251659264" behindDoc="1" locked="0" layoutInCell="0" allowOverlap="1" wp14:anchorId="5B2D5171" wp14:editId="749A4180">
            <wp:simplePos x="0" y="0"/>
            <wp:positionH relativeFrom="margin">
              <wp:align>center</wp:align>
            </wp:positionH>
            <wp:positionV relativeFrom="paragraph">
              <wp:posOffset>-601980</wp:posOffset>
            </wp:positionV>
            <wp:extent cx="675250" cy="815927"/>
            <wp:effectExtent l="0" t="0" r="0" b="3810"/>
            <wp:wrapNone/>
            <wp:docPr id="4" name="Рисунок 2"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pic:cNvPicPr>
                      <a:picLocks noChangeAspect="1" noChangeArrowheads="1"/>
                    </pic:cNvPicPr>
                  </pic:nvPicPr>
                  <pic:blipFill>
                    <a:blip r:embed="rId6"/>
                    <a:srcRect/>
                    <a:stretch>
                      <a:fillRect/>
                    </a:stretch>
                  </pic:blipFill>
                  <pic:spPr bwMode="auto">
                    <a:xfrm>
                      <a:off x="0" y="0"/>
                      <a:ext cx="675250" cy="815927"/>
                    </a:xfrm>
                    <a:prstGeom prst="rect">
                      <a:avLst/>
                    </a:prstGeom>
                    <a:noFill/>
                  </pic:spPr>
                </pic:pic>
              </a:graphicData>
            </a:graphic>
          </wp:anchor>
        </w:drawing>
      </w:r>
    </w:p>
    <w:p w14:paraId="1B78494B" w14:textId="77777777" w:rsidR="006161F0" w:rsidRPr="00FF3018" w:rsidRDefault="006161F0" w:rsidP="006161F0">
      <w:pPr>
        <w:pStyle w:val="a9"/>
        <w:jc w:val="center"/>
        <w:rPr>
          <w:rFonts w:ascii="Times New Roman" w:hAnsi="Times New Roman" w:cs="Times New Roman"/>
          <w:b/>
          <w:sz w:val="24"/>
          <w:szCs w:val="24"/>
        </w:rPr>
      </w:pPr>
      <w:r w:rsidRPr="00FF3018">
        <w:rPr>
          <w:rFonts w:ascii="Times New Roman" w:hAnsi="Times New Roman" w:cs="Times New Roman"/>
          <w:b/>
          <w:sz w:val="24"/>
          <w:szCs w:val="24"/>
        </w:rPr>
        <w:t>REPUBLICA MOLDOVA</w:t>
      </w:r>
    </w:p>
    <w:p w14:paraId="70A072DF" w14:textId="77777777" w:rsidR="006161F0" w:rsidRPr="00FF3018" w:rsidRDefault="006161F0" w:rsidP="006161F0">
      <w:pPr>
        <w:pStyle w:val="a9"/>
        <w:jc w:val="center"/>
        <w:rPr>
          <w:rFonts w:ascii="Times New Roman" w:hAnsi="Times New Roman" w:cs="Times New Roman"/>
          <w:b/>
          <w:sz w:val="24"/>
          <w:szCs w:val="24"/>
        </w:rPr>
      </w:pPr>
      <w:r w:rsidRPr="00FF3018">
        <w:rPr>
          <w:rFonts w:ascii="Times New Roman" w:hAnsi="Times New Roman" w:cs="Times New Roman"/>
          <w:b/>
          <w:sz w:val="24"/>
          <w:szCs w:val="24"/>
        </w:rPr>
        <w:t>RAIONUL ŞTEFAN VODĂ</w:t>
      </w:r>
    </w:p>
    <w:p w14:paraId="5663D0CB" w14:textId="77777777" w:rsidR="006161F0" w:rsidRPr="00FF3018" w:rsidRDefault="006161F0" w:rsidP="006161F0">
      <w:pPr>
        <w:pStyle w:val="a9"/>
        <w:jc w:val="center"/>
        <w:rPr>
          <w:rFonts w:ascii="Times New Roman" w:hAnsi="Times New Roman" w:cs="Times New Roman"/>
          <w:b/>
          <w:sz w:val="24"/>
          <w:szCs w:val="24"/>
        </w:rPr>
      </w:pPr>
      <w:r w:rsidRPr="00FF3018">
        <w:rPr>
          <w:rFonts w:ascii="Times New Roman" w:hAnsi="Times New Roman" w:cs="Times New Roman"/>
          <w:b/>
          <w:sz w:val="24"/>
          <w:szCs w:val="24"/>
        </w:rPr>
        <w:t xml:space="preserve">CONSILIUL </w:t>
      </w:r>
      <w:proofErr w:type="gramStart"/>
      <w:r w:rsidRPr="00FF3018">
        <w:rPr>
          <w:rFonts w:ascii="Times New Roman" w:hAnsi="Times New Roman" w:cs="Times New Roman"/>
          <w:b/>
          <w:sz w:val="24"/>
          <w:szCs w:val="24"/>
        </w:rPr>
        <w:t>LOCAL  SLOBOZIA</w:t>
      </w:r>
      <w:proofErr w:type="gramEnd"/>
    </w:p>
    <w:p w14:paraId="4E4DD848" w14:textId="77777777" w:rsidR="006161F0" w:rsidRPr="00FF3018" w:rsidRDefault="006161F0" w:rsidP="006161F0">
      <w:pPr>
        <w:pStyle w:val="a9"/>
        <w:jc w:val="center"/>
        <w:rPr>
          <w:rFonts w:ascii="Times New Roman" w:hAnsi="Times New Roman" w:cs="Times New Roman"/>
          <w:b/>
          <w:sz w:val="24"/>
          <w:szCs w:val="24"/>
        </w:rPr>
      </w:pPr>
      <w:r w:rsidRPr="00FF3018">
        <w:rPr>
          <w:rFonts w:ascii="Times New Roman" w:hAnsi="Times New Roman" w:cs="Times New Roman"/>
          <w:b/>
          <w:sz w:val="24"/>
          <w:szCs w:val="24"/>
        </w:rPr>
        <w:t xml:space="preserve">MD-4233, </w:t>
      </w:r>
      <w:proofErr w:type="spellStart"/>
      <w:r w:rsidRPr="00FF3018">
        <w:rPr>
          <w:rFonts w:ascii="Times New Roman" w:hAnsi="Times New Roman" w:cs="Times New Roman"/>
          <w:b/>
          <w:sz w:val="24"/>
          <w:szCs w:val="24"/>
        </w:rPr>
        <w:t>Primaria</w:t>
      </w:r>
      <w:proofErr w:type="spellEnd"/>
      <w:r w:rsidRPr="00FF3018">
        <w:rPr>
          <w:rFonts w:ascii="Times New Roman" w:hAnsi="Times New Roman" w:cs="Times New Roman"/>
          <w:b/>
          <w:sz w:val="24"/>
          <w:szCs w:val="24"/>
        </w:rPr>
        <w:t xml:space="preserve"> </w:t>
      </w:r>
      <w:proofErr w:type="spellStart"/>
      <w:r w:rsidRPr="00FF3018">
        <w:rPr>
          <w:rFonts w:ascii="Times New Roman" w:hAnsi="Times New Roman" w:cs="Times New Roman"/>
          <w:b/>
          <w:sz w:val="24"/>
          <w:szCs w:val="24"/>
        </w:rPr>
        <w:t>Slobozia</w:t>
      </w:r>
      <w:proofErr w:type="spellEnd"/>
      <w:r w:rsidRPr="00FF3018">
        <w:rPr>
          <w:rFonts w:ascii="Times New Roman" w:hAnsi="Times New Roman" w:cs="Times New Roman"/>
          <w:b/>
          <w:sz w:val="24"/>
          <w:szCs w:val="24"/>
        </w:rPr>
        <w:t xml:space="preserve">, </w:t>
      </w:r>
      <w:proofErr w:type="spellStart"/>
      <w:r w:rsidRPr="00FF3018">
        <w:rPr>
          <w:rFonts w:ascii="Times New Roman" w:hAnsi="Times New Roman" w:cs="Times New Roman"/>
          <w:b/>
          <w:sz w:val="24"/>
          <w:szCs w:val="24"/>
        </w:rPr>
        <w:t>Str.Stefan</w:t>
      </w:r>
      <w:proofErr w:type="spellEnd"/>
      <w:r w:rsidRPr="00FF3018">
        <w:rPr>
          <w:rFonts w:ascii="Times New Roman" w:hAnsi="Times New Roman" w:cs="Times New Roman"/>
          <w:b/>
          <w:sz w:val="24"/>
          <w:szCs w:val="24"/>
        </w:rPr>
        <w:t xml:space="preserve"> </w:t>
      </w:r>
      <w:proofErr w:type="spellStart"/>
      <w:r w:rsidRPr="00FF3018">
        <w:rPr>
          <w:rFonts w:ascii="Times New Roman" w:hAnsi="Times New Roman" w:cs="Times New Roman"/>
          <w:b/>
          <w:sz w:val="24"/>
          <w:szCs w:val="24"/>
        </w:rPr>
        <w:t>cel</w:t>
      </w:r>
      <w:proofErr w:type="spellEnd"/>
      <w:r w:rsidRPr="00FF3018">
        <w:rPr>
          <w:rFonts w:ascii="Times New Roman" w:hAnsi="Times New Roman" w:cs="Times New Roman"/>
          <w:b/>
          <w:sz w:val="24"/>
          <w:szCs w:val="24"/>
        </w:rPr>
        <w:t xml:space="preserve"> Mare Tel/fax (242) 2-92-66, 2-92-65</w:t>
      </w:r>
    </w:p>
    <w:p w14:paraId="1B6F2883" w14:textId="77777777" w:rsidR="006161F0" w:rsidRPr="00293EDA" w:rsidRDefault="006161F0" w:rsidP="006161F0">
      <w:pPr>
        <w:pStyle w:val="a9"/>
        <w:jc w:val="center"/>
        <w:rPr>
          <w:rFonts w:ascii="Times New Roman" w:hAnsi="Times New Roman" w:cs="Times New Roman"/>
          <w:b/>
          <w:sz w:val="24"/>
          <w:szCs w:val="24"/>
          <w:lang w:val="ro-RO"/>
        </w:rPr>
      </w:pPr>
      <w:r w:rsidRPr="00D17033">
        <w:rPr>
          <w:rFonts w:ascii="Times New Roman" w:hAnsi="Times New Roman" w:cs="Times New Roman"/>
          <w:b/>
          <w:sz w:val="24"/>
          <w:szCs w:val="24"/>
          <w:lang w:val="ro-RO"/>
        </w:rPr>
        <w:t>e-mail</w:t>
      </w:r>
      <w:r w:rsidRPr="007B7E8C">
        <w:rPr>
          <w:rFonts w:ascii="Times New Roman" w:hAnsi="Times New Roman" w:cs="Times New Roman"/>
          <w:b/>
          <w:sz w:val="24"/>
          <w:szCs w:val="24"/>
          <w:lang w:val="ro-RO"/>
        </w:rPr>
        <w:t xml:space="preserve">: </w:t>
      </w:r>
      <w:hyperlink r:id="rId7" w:history="1">
        <w:r w:rsidRPr="007B7E8C">
          <w:rPr>
            <w:rStyle w:val="aff9"/>
            <w:rFonts w:ascii="Times New Roman" w:hAnsi="Times New Roman" w:cs="Times New Roman"/>
            <w:b/>
            <w:sz w:val="24"/>
            <w:szCs w:val="24"/>
          </w:rPr>
          <w:t>primaria.slobozia@apl.gov.md</w:t>
        </w:r>
      </w:hyperlink>
      <w:r>
        <w:rPr>
          <w:noProof/>
          <w:lang w:val="ru-RU" w:eastAsia="ru-RU"/>
        </w:rPr>
        <mc:AlternateContent>
          <mc:Choice Requires="wps">
            <w:drawing>
              <wp:anchor distT="4294967295" distB="4294967295" distL="114300" distR="114300" simplePos="0" relativeHeight="251660288" behindDoc="0" locked="0" layoutInCell="1" allowOverlap="1" wp14:anchorId="5CCFC974" wp14:editId="2A704E05">
                <wp:simplePos x="0" y="0"/>
                <wp:positionH relativeFrom="column">
                  <wp:posOffset>-571500</wp:posOffset>
                </wp:positionH>
                <wp:positionV relativeFrom="paragraph">
                  <wp:posOffset>158114</wp:posOffset>
                </wp:positionV>
                <wp:extent cx="6858000" cy="0"/>
                <wp:effectExtent l="0" t="1905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98246" id="Прямая соединительная линия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12.45pt" to="49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" strokeweight="2.25pt"/>
            </w:pict>
          </mc:Fallback>
        </mc:AlternateContent>
      </w:r>
      <w:r>
        <w:rPr>
          <w:noProof/>
          <w:lang w:val="ru-RU" w:eastAsia="ru-RU"/>
        </w:rPr>
        <mc:AlternateContent>
          <mc:Choice Requires="wps">
            <w:drawing>
              <wp:anchor distT="4294967295" distB="4294967295" distL="114300" distR="114300" simplePos="0" relativeHeight="251661312" behindDoc="0" locked="0" layoutInCell="1" allowOverlap="1" wp14:anchorId="316DD85B" wp14:editId="5E11D9EC">
                <wp:simplePos x="0" y="0"/>
                <wp:positionH relativeFrom="column">
                  <wp:posOffset>-457200</wp:posOffset>
                </wp:positionH>
                <wp:positionV relativeFrom="paragraph">
                  <wp:posOffset>160019</wp:posOffset>
                </wp:positionV>
                <wp:extent cx="6858000" cy="0"/>
                <wp:effectExtent l="0" t="1905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998F9E" id="Прямая соединительная линия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12.6pt" to="7in,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" strokeweight="2.25pt"/>
            </w:pict>
          </mc:Fallback>
        </mc:AlternateContent>
      </w:r>
    </w:p>
    <w:p w14:paraId="1271E1B7" w14:textId="1CA0E982" w:rsidR="006161F0" w:rsidRPr="00D4355A" w:rsidRDefault="006161F0" w:rsidP="006161F0">
      <w:pPr>
        <w:pStyle w:val="a9"/>
        <w:jc w:val="center"/>
        <w:rPr>
          <w:rFonts w:ascii="Times New Roman" w:hAnsi="Times New Roman" w:cs="Times New Roman"/>
          <w:sz w:val="24"/>
          <w:szCs w:val="24"/>
        </w:rPr>
      </w:pPr>
      <w:r>
        <w:rPr>
          <w:rFonts w:ascii="Times New Roman" w:hAnsi="Times New Roman" w:cs="Times New Roman"/>
          <w:sz w:val="24"/>
          <w:szCs w:val="24"/>
        </w:rPr>
        <w:t>DECIZIE nr. _</w:t>
      </w:r>
      <w:r w:rsidRPr="00874FC7">
        <w:rPr>
          <w:rFonts w:ascii="Times New Roman" w:hAnsi="Times New Roman" w:cs="Times New Roman"/>
          <w:sz w:val="24"/>
          <w:szCs w:val="24"/>
        </w:rPr>
        <w:t>/</w:t>
      </w:r>
      <w:r>
        <w:rPr>
          <w:rFonts w:ascii="Times New Roman" w:hAnsi="Times New Roman" w:cs="Times New Roman"/>
          <w:sz w:val="24"/>
          <w:szCs w:val="24"/>
        </w:rPr>
        <w:t>_</w:t>
      </w:r>
    </w:p>
    <w:p w14:paraId="35ECDED5" w14:textId="01826942" w:rsidR="006161F0" w:rsidRDefault="006161F0" w:rsidP="006161F0">
      <w:pPr>
        <w:spacing w:after="0" w:line="240" w:lineRule="auto"/>
        <w:jc w:val="center"/>
        <w:rPr>
          <w:rFonts w:eastAsia="Calibri" w:cs="Times New Roman"/>
          <w:szCs w:val="24"/>
        </w:rPr>
      </w:pPr>
      <w:proofErr w:type="gramStart"/>
      <w:r>
        <w:rPr>
          <w:rFonts w:eastAsia="Calibri" w:cs="Times New Roman"/>
          <w:szCs w:val="24"/>
        </w:rPr>
        <w:t>d</w:t>
      </w:r>
      <w:r w:rsidRPr="005D4D0C">
        <w:rPr>
          <w:rFonts w:eastAsia="Calibri" w:cs="Times New Roman"/>
          <w:szCs w:val="24"/>
        </w:rPr>
        <w:t>in</w:t>
      </w:r>
      <w:proofErr w:type="gramEnd"/>
      <w:r>
        <w:rPr>
          <w:rFonts w:eastAsia="Calibri" w:cs="Times New Roman"/>
          <w:szCs w:val="24"/>
        </w:rPr>
        <w:t xml:space="preserve"> __ ________ 2026</w:t>
      </w:r>
    </w:p>
    <w:p w14:paraId="578CFFB7" w14:textId="77777777" w:rsidR="006161F0" w:rsidRDefault="006161F0" w:rsidP="006161F0">
      <w:pPr>
        <w:spacing w:after="0" w:line="240" w:lineRule="auto"/>
        <w:rPr>
          <w:b/>
          <w:lang w:val="ro-RO"/>
        </w:rPr>
      </w:pPr>
    </w:p>
    <w:p w14:paraId="030CB916" w14:textId="77777777" w:rsidR="006161F0" w:rsidRDefault="00AF1F00" w:rsidP="006161F0">
      <w:pPr>
        <w:spacing w:after="0" w:line="240" w:lineRule="auto"/>
        <w:rPr>
          <w:b/>
          <w:lang w:val="ro-RO"/>
        </w:rPr>
      </w:pPr>
      <w:r w:rsidRPr="00AF1F00">
        <w:rPr>
          <w:b/>
          <w:lang w:val="ro-RO"/>
        </w:rPr>
        <w:t>Cu privire la amalgamarea voluntară a unităților</w:t>
      </w:r>
    </w:p>
    <w:p w14:paraId="4A92595B" w14:textId="099295E4" w:rsidR="009A3F2B" w:rsidRPr="006161F0" w:rsidRDefault="00AF1F00" w:rsidP="006161F0">
      <w:pPr>
        <w:spacing w:after="0" w:line="240" w:lineRule="auto"/>
        <w:rPr>
          <w:lang w:val="ro-RO"/>
        </w:rPr>
      </w:pPr>
      <w:r w:rsidRPr="00AF1F00">
        <w:rPr>
          <w:b/>
          <w:lang w:val="ro-RO"/>
        </w:rPr>
        <w:t xml:space="preserve"> administrativ-teritoriale</w:t>
      </w:r>
      <w:r w:rsidR="006161F0">
        <w:rPr>
          <w:lang w:val="ro-RO"/>
        </w:rPr>
        <w:t xml:space="preserve"> </w:t>
      </w:r>
      <w:r w:rsidR="00D6458F" w:rsidRPr="007F5479">
        <w:rPr>
          <w:b/>
          <w:lang w:val="ro-RO"/>
        </w:rPr>
        <w:t>UAT</w:t>
      </w:r>
      <w:r w:rsidRPr="007F5479">
        <w:rPr>
          <w:b/>
          <w:lang w:val="ro-RO"/>
        </w:rPr>
        <w:t xml:space="preserve"> </w:t>
      </w:r>
      <w:r w:rsidR="00A70B98">
        <w:rPr>
          <w:b/>
          <w:lang w:val="ro-RO"/>
        </w:rPr>
        <w:t>Slobozia</w:t>
      </w:r>
      <w:r w:rsidR="00901C71">
        <w:rPr>
          <w:b/>
          <w:lang w:val="ro-RO"/>
        </w:rPr>
        <w:t xml:space="preserve"> și</w:t>
      </w:r>
      <w:r w:rsidR="00D6458F" w:rsidRPr="007F5479">
        <w:rPr>
          <w:b/>
          <w:lang w:val="ro-RO"/>
        </w:rPr>
        <w:t xml:space="preserve"> UAT </w:t>
      </w:r>
      <w:r w:rsidR="00A70B98">
        <w:rPr>
          <w:b/>
          <w:lang w:val="ro-RO"/>
        </w:rPr>
        <w:t>Răscăieți</w:t>
      </w:r>
    </w:p>
    <w:p w14:paraId="6B7AD9EA" w14:textId="77777777" w:rsidR="00C262EE" w:rsidRPr="00AF1F00" w:rsidRDefault="00C262EE" w:rsidP="00C262EE">
      <w:pPr>
        <w:spacing w:after="0" w:line="240" w:lineRule="auto"/>
        <w:jc w:val="center"/>
        <w:rPr>
          <w:lang w:val="ro-RO"/>
        </w:rPr>
      </w:pPr>
    </w:p>
    <w:p w14:paraId="6306C863" w14:textId="77777777" w:rsidR="009A3F2B" w:rsidRPr="00AF1F00" w:rsidRDefault="00AF1F00" w:rsidP="00C262EE">
      <w:pPr>
        <w:spacing w:after="0" w:line="240" w:lineRule="auto"/>
        <w:jc w:val="both"/>
        <w:rPr>
          <w:lang w:val="ro-RO"/>
        </w:rPr>
      </w:pPr>
      <w:r w:rsidRPr="00AF1F00">
        <w:rPr>
          <w:lang w:val="ro-RO"/>
        </w:rPr>
        <w:t>În temeiul art. 14 alin. (2) lit. k¹) din Legea nr. 436/2006 privind administrația publică locală, al art. 5, art. 6, art. 8, art. 10 și art. 11 din Legea nr. 225/2023 privind amalgamarea voluntară a unităților administrativ-teritoriale, precum și al pct. 25, pct. 39, pct. 40 și pct. 43 din Metodologia de amalgamare voluntară a unităților administrativ-teritoriale, aprobată prin Hotărârea Guvernului nr. 925/2023, cu modificările ulterioare,</w:t>
      </w:r>
    </w:p>
    <w:p w14:paraId="16426AD7" w14:textId="77777777" w:rsidR="009A3F2B" w:rsidRPr="00AF1F00" w:rsidRDefault="00AF1F00" w:rsidP="00C262EE">
      <w:pPr>
        <w:spacing w:after="0" w:line="240" w:lineRule="auto"/>
        <w:jc w:val="both"/>
        <w:rPr>
          <w:lang w:val="ro-RO"/>
        </w:rPr>
      </w:pPr>
      <w:r w:rsidRPr="00AF1F00">
        <w:rPr>
          <w:lang w:val="ro-RO"/>
        </w:rPr>
        <w:t>având în vedere deciziile consiliilor locale ale UAT participante privind inițierea procesului de amalgamare voluntară și desemnarea reprezentanților în Grupul de Lucru Comun,</w:t>
      </w:r>
    </w:p>
    <w:p w14:paraId="0D096AAA" w14:textId="77777777" w:rsidR="009A3F2B" w:rsidRPr="00AF1F00" w:rsidRDefault="00AF1F00" w:rsidP="00C262EE">
      <w:pPr>
        <w:spacing w:after="0" w:line="240" w:lineRule="auto"/>
        <w:jc w:val="both"/>
        <w:rPr>
          <w:lang w:val="ro-RO"/>
        </w:rPr>
      </w:pPr>
      <w:r w:rsidRPr="00AF1F00">
        <w:rPr>
          <w:lang w:val="ro-RO"/>
        </w:rPr>
        <w:t>ținând cont de faptul că Grupul de Lucru Comun a examinat materialele aferente procesului de amalgamare voluntară, a elaborat proiectul deciziei privind amalgamarea voluntară și a aprobat prin consens înaintarea acestuia spre consultare publică și examinare de către consiliile locale participante,</w:t>
      </w:r>
    </w:p>
    <w:p w14:paraId="3D4DA3D8" w14:textId="77777777" w:rsidR="009A3F2B" w:rsidRPr="00AF1F00" w:rsidRDefault="00AF1F00" w:rsidP="00C262EE">
      <w:pPr>
        <w:spacing w:after="0" w:line="240" w:lineRule="auto"/>
        <w:jc w:val="both"/>
        <w:rPr>
          <w:lang w:val="ro-RO"/>
        </w:rPr>
      </w:pPr>
      <w:r w:rsidRPr="00AF1F00">
        <w:rPr>
          <w:lang w:val="ro-RO"/>
        </w:rPr>
        <w:t>luând în considerare Analiza privind respectarea condițiilor de bază, stabilirea centrului administrativ și sinteza procesului de consultare publică, Viziunea preliminară a viitoarei UAT amalgamate și Tabelul de sinteză al propunerilor, obiecțiilor și recomandărilor recepționate în cadrul consultărilor publice,</w:t>
      </w:r>
    </w:p>
    <w:p w14:paraId="66937620" w14:textId="77777777" w:rsidR="009A3F2B" w:rsidRPr="00AF1F00" w:rsidRDefault="00AF1F00" w:rsidP="00C262EE">
      <w:pPr>
        <w:spacing w:after="0" w:line="240" w:lineRule="auto"/>
        <w:jc w:val="both"/>
        <w:rPr>
          <w:b/>
          <w:lang w:val="ro-RO"/>
        </w:rPr>
      </w:pPr>
      <w:r w:rsidRPr="00AF1F00">
        <w:rPr>
          <w:lang w:val="ro-RO"/>
        </w:rPr>
        <w:t>constatând că UAT participante formează un teritoriu continuu și că populația cumulată a acestora depășește pragul minim de 3.000 de locuitori,</w:t>
      </w:r>
      <w:r w:rsidR="00D6458F" w:rsidRPr="00AF1F00">
        <w:rPr>
          <w:lang w:val="ro-RO"/>
        </w:rPr>
        <w:t xml:space="preserve"> </w:t>
      </w:r>
      <w:r w:rsidR="00D6458F" w:rsidRPr="00AF1F00">
        <w:rPr>
          <w:b/>
          <w:lang w:val="ro-RO"/>
        </w:rPr>
        <w:t>Consiliul local</w:t>
      </w:r>
    </w:p>
    <w:p w14:paraId="42278F9A" w14:textId="77777777" w:rsidR="00D6458F" w:rsidRPr="00AF1F00" w:rsidRDefault="00D6458F" w:rsidP="00C262EE">
      <w:pPr>
        <w:spacing w:after="0" w:line="240" w:lineRule="auto"/>
        <w:jc w:val="both"/>
        <w:rPr>
          <w:lang w:val="ro-RO"/>
        </w:rPr>
      </w:pPr>
    </w:p>
    <w:p w14:paraId="02BCE8F5" w14:textId="77777777" w:rsidR="009A3F2B" w:rsidRPr="00AF1F00" w:rsidRDefault="00AF1F00" w:rsidP="00C262EE">
      <w:pPr>
        <w:spacing w:after="0" w:line="240" w:lineRule="auto"/>
        <w:jc w:val="center"/>
        <w:rPr>
          <w:lang w:val="ro-RO"/>
        </w:rPr>
      </w:pPr>
      <w:r w:rsidRPr="00AF1F00">
        <w:rPr>
          <w:b/>
          <w:lang w:val="ro-RO"/>
        </w:rPr>
        <w:t>DECIDE:</w:t>
      </w:r>
    </w:p>
    <w:p w14:paraId="2441A299" w14:textId="77777777" w:rsidR="009A3F2B" w:rsidRPr="00AF1F00" w:rsidRDefault="00AF1F00" w:rsidP="00C262EE">
      <w:pPr>
        <w:spacing w:after="0" w:line="240" w:lineRule="auto"/>
        <w:jc w:val="both"/>
        <w:rPr>
          <w:lang w:val="ro-RO"/>
        </w:rPr>
      </w:pPr>
      <w:r w:rsidRPr="00AF1F00">
        <w:rPr>
          <w:b/>
          <w:lang w:val="ro-RO"/>
        </w:rPr>
        <w:t xml:space="preserve">1. </w:t>
      </w:r>
      <w:r w:rsidRPr="00AF1F00">
        <w:rPr>
          <w:lang w:val="ro-RO"/>
        </w:rPr>
        <w:t>Se aprobă amalgamarea voluntară a următoarelor unități administrativ-teritoriale:</w:t>
      </w:r>
    </w:p>
    <w:p w14:paraId="050785C7" w14:textId="159C49DC" w:rsidR="009A3F2B" w:rsidRPr="007F5479" w:rsidRDefault="00D6458F" w:rsidP="00C262EE">
      <w:pPr>
        <w:spacing w:after="0" w:line="240" w:lineRule="auto"/>
        <w:jc w:val="both"/>
        <w:rPr>
          <w:lang w:val="ro-RO"/>
        </w:rPr>
      </w:pPr>
      <w:r w:rsidRPr="007F5479">
        <w:rPr>
          <w:lang w:val="ro-RO"/>
        </w:rPr>
        <w:t xml:space="preserve">1.1. UAT </w:t>
      </w:r>
      <w:r w:rsidR="00A70B98">
        <w:rPr>
          <w:lang w:val="ro-RO"/>
        </w:rPr>
        <w:t>Slobozia</w:t>
      </w:r>
    </w:p>
    <w:p w14:paraId="0CA3E4A2" w14:textId="5A97897D" w:rsidR="009A3F2B" w:rsidRPr="007F5479" w:rsidRDefault="00D6458F" w:rsidP="00C262EE">
      <w:pPr>
        <w:spacing w:after="0" w:line="240" w:lineRule="auto"/>
        <w:jc w:val="both"/>
        <w:rPr>
          <w:lang w:val="ro-RO"/>
        </w:rPr>
      </w:pPr>
      <w:r w:rsidRPr="007F5479">
        <w:rPr>
          <w:lang w:val="ro-RO"/>
        </w:rPr>
        <w:t>1.2. UAT</w:t>
      </w:r>
      <w:r w:rsidR="00AF1F00" w:rsidRPr="007F5479">
        <w:rPr>
          <w:lang w:val="ro-RO"/>
        </w:rPr>
        <w:t xml:space="preserve"> </w:t>
      </w:r>
      <w:r w:rsidR="00A70B98">
        <w:rPr>
          <w:lang w:val="ro-RO"/>
        </w:rPr>
        <w:t>Răscăieți</w:t>
      </w:r>
    </w:p>
    <w:p w14:paraId="7EE52452" w14:textId="77777777" w:rsidR="009A3F2B" w:rsidRPr="007F5479" w:rsidRDefault="00AF1F00" w:rsidP="00C262EE">
      <w:pPr>
        <w:spacing w:after="0" w:line="240" w:lineRule="auto"/>
        <w:jc w:val="both"/>
        <w:rPr>
          <w:lang w:val="ro-RO"/>
        </w:rPr>
      </w:pPr>
      <w:r w:rsidRPr="007F5479">
        <w:rPr>
          <w:b/>
          <w:lang w:val="ro-RO"/>
        </w:rPr>
        <w:t xml:space="preserve">2. </w:t>
      </w:r>
      <w:r w:rsidRPr="007F5479">
        <w:rPr>
          <w:lang w:val="ro-RO"/>
        </w:rPr>
        <w:t>Se constată că unitățile administrativ-teritoriale indicate la pct. 1 formează un teritoriu continuu și îndeplinesc condiția privind populația cumulată minimă prevăzută de cadrul normativ aplicabil procesului de amalgamare voluntară.</w:t>
      </w:r>
    </w:p>
    <w:p w14:paraId="37AF4AF6" w14:textId="139E1FFF" w:rsidR="009A3F2B" w:rsidRPr="007F5479" w:rsidRDefault="00AF1F00" w:rsidP="00C262EE">
      <w:pPr>
        <w:spacing w:after="0" w:line="240" w:lineRule="auto"/>
        <w:jc w:val="both"/>
        <w:rPr>
          <w:lang w:val="ro-RO"/>
        </w:rPr>
      </w:pPr>
      <w:r w:rsidRPr="007F5479">
        <w:rPr>
          <w:b/>
          <w:lang w:val="ro-RO"/>
        </w:rPr>
        <w:t xml:space="preserve">3. </w:t>
      </w:r>
      <w:r w:rsidR="00D6458F" w:rsidRPr="007F5479">
        <w:rPr>
          <w:lang w:val="ro-RO"/>
        </w:rPr>
        <w:t xml:space="preserve">Se stabilește UAT </w:t>
      </w:r>
      <w:r w:rsidR="00A70B98">
        <w:rPr>
          <w:lang w:val="ro-RO"/>
        </w:rPr>
        <w:t>Slobozia</w:t>
      </w:r>
      <w:r w:rsidRPr="007F5479">
        <w:rPr>
          <w:lang w:val="ro-RO"/>
        </w:rPr>
        <w:t xml:space="preserve"> în calitate de centru administrativ al viitoarei unități administrativ-teritoriale amalgamate.</w:t>
      </w:r>
    </w:p>
    <w:p w14:paraId="5ADB8BDE" w14:textId="50BFDE6C" w:rsidR="00C262EE" w:rsidRPr="007F5479" w:rsidRDefault="00C262EE" w:rsidP="00C262EE">
      <w:pPr>
        <w:spacing w:after="0" w:line="240" w:lineRule="auto"/>
        <w:jc w:val="both"/>
        <w:rPr>
          <w:lang w:val="ro-RO"/>
        </w:rPr>
      </w:pPr>
      <w:r w:rsidRPr="007F5479">
        <w:rPr>
          <w:b/>
          <w:bCs/>
          <w:lang w:val="ro-RO"/>
        </w:rPr>
        <w:t>4.</w:t>
      </w:r>
      <w:r w:rsidRPr="007F5479">
        <w:rPr>
          <w:b/>
          <w:lang w:val="ro-RO"/>
        </w:rPr>
        <w:t xml:space="preserve"> </w:t>
      </w:r>
      <w:r w:rsidRPr="007F5479">
        <w:rPr>
          <w:lang w:val="ro-RO"/>
        </w:rPr>
        <w:t xml:space="preserve">Se ia act de faptul că stabilirea UAT </w:t>
      </w:r>
      <w:r w:rsidR="00A70B98">
        <w:rPr>
          <w:bCs/>
          <w:lang w:val="ro-RO"/>
        </w:rPr>
        <w:t>Slobozia</w:t>
      </w:r>
      <w:r w:rsidRPr="007F5479">
        <w:rPr>
          <w:lang w:val="ro-RO"/>
        </w:rPr>
        <w:t xml:space="preserve"> în calitate de centru administrativ al viitoarei UAT amalgamate a fost realizată în baza criteriilor și formulei de calcul prevăzute de Metodologia de amalgamare voluntară a unităților administrativ-teritoriale, aprobată prin Hotărârea Guvernului nr. 925/2023, conform </w:t>
      </w:r>
      <w:r w:rsidRPr="007F5479">
        <w:rPr>
          <w:bCs/>
          <w:lang w:val="ro-RO"/>
        </w:rPr>
        <w:t>Formularului din Anexa nr. 1 la Metodologie</w:t>
      </w:r>
      <w:r w:rsidRPr="007F5479">
        <w:rPr>
          <w:lang w:val="ro-RO"/>
        </w:rPr>
        <w:t>, completat și anexat la prezenta decizie.</w:t>
      </w:r>
    </w:p>
    <w:p w14:paraId="3391AEF2" w14:textId="2C542C7A" w:rsidR="009A3F2B" w:rsidRPr="007F5479" w:rsidRDefault="00AF1F00" w:rsidP="00C262EE">
      <w:pPr>
        <w:spacing w:after="0" w:line="240" w:lineRule="auto"/>
        <w:jc w:val="both"/>
        <w:rPr>
          <w:lang w:val="ro-RO"/>
        </w:rPr>
      </w:pPr>
      <w:r w:rsidRPr="007F5479">
        <w:rPr>
          <w:b/>
          <w:lang w:val="ro-RO"/>
        </w:rPr>
        <w:lastRenderedPageBreak/>
        <w:t xml:space="preserve">5. </w:t>
      </w:r>
      <w:r w:rsidRPr="007F5479">
        <w:rPr>
          <w:lang w:val="ro-RO"/>
        </w:rPr>
        <w:t xml:space="preserve">Se propune ca denumirea viitoarei unități administrativ-teritoriale amalgamate să fie </w:t>
      </w:r>
      <w:r w:rsidR="00D6458F" w:rsidRPr="007F5479">
        <w:rPr>
          <w:lang w:val="ro-RO"/>
        </w:rPr>
        <w:t xml:space="preserve">UAT </w:t>
      </w:r>
      <w:r w:rsidR="00A70B98">
        <w:rPr>
          <w:lang w:val="ro-RO"/>
        </w:rPr>
        <w:t>Slobozia</w:t>
      </w:r>
      <w:r w:rsidR="00AE54EC">
        <w:rPr>
          <w:lang w:val="ro-RO"/>
        </w:rPr>
        <w:t>- Răscăieți</w:t>
      </w:r>
      <w:bookmarkStart w:id="0" w:name="_GoBack"/>
      <w:bookmarkEnd w:id="0"/>
      <w:r w:rsidRPr="007F5479">
        <w:rPr>
          <w:lang w:val="ro-RO"/>
        </w:rPr>
        <w:t>.</w:t>
      </w:r>
    </w:p>
    <w:p w14:paraId="76F157F2" w14:textId="77777777" w:rsidR="005B173F" w:rsidRPr="00AF1F00" w:rsidRDefault="005B173F" w:rsidP="005B173F">
      <w:pPr>
        <w:spacing w:after="0" w:line="240" w:lineRule="auto"/>
        <w:jc w:val="both"/>
        <w:rPr>
          <w:lang w:val="ro-RO"/>
        </w:rPr>
      </w:pPr>
      <w:r w:rsidRPr="007F5479">
        <w:rPr>
          <w:b/>
          <w:bCs/>
          <w:lang w:val="ro-RO"/>
        </w:rPr>
        <w:t>6.</w:t>
      </w:r>
      <w:r w:rsidRPr="007F5479">
        <w:rPr>
          <w:b/>
          <w:lang w:val="ro-RO"/>
        </w:rPr>
        <w:t xml:space="preserve"> </w:t>
      </w:r>
      <w:r w:rsidRPr="007F5479">
        <w:rPr>
          <w:lang w:val="ro-RO"/>
        </w:rPr>
        <w:t>Se ia act de faptul că dosarul final al procesului de amalgamare voluntară, care urmează a fi</w:t>
      </w:r>
      <w:r w:rsidRPr="00AF1F00">
        <w:rPr>
          <w:lang w:val="ro-RO"/>
        </w:rPr>
        <w:t xml:space="preserve"> constituit și expediat Cancelariei de Stat de către autoritatea administrației publice locale a UAT selectate în calitate de centru administrativ, va include următoarele documente:</w:t>
      </w:r>
    </w:p>
    <w:p w14:paraId="23C7DD8C" w14:textId="77777777" w:rsidR="00AF1F00" w:rsidRPr="00AF1F00" w:rsidRDefault="00AF1F00" w:rsidP="005B173F">
      <w:pPr>
        <w:spacing w:after="0" w:line="240" w:lineRule="auto"/>
        <w:jc w:val="both"/>
        <w:rPr>
          <w:b/>
          <w:lang w:val="ro-RO"/>
        </w:rPr>
      </w:pPr>
    </w:p>
    <w:tbl>
      <w:tblPr>
        <w:tblStyle w:val="aff1"/>
        <w:tblW w:w="0" w:type="auto"/>
        <w:tblLook w:val="04A0" w:firstRow="1" w:lastRow="0" w:firstColumn="1" w:lastColumn="0" w:noHBand="0" w:noVBand="1"/>
      </w:tblPr>
      <w:tblGrid>
        <w:gridCol w:w="1384"/>
        <w:gridCol w:w="8804"/>
      </w:tblGrid>
      <w:tr w:rsidR="005B173F" w:rsidRPr="00AF1F00" w14:paraId="146846B6" w14:textId="77777777" w:rsidTr="00AF1F00">
        <w:tc>
          <w:tcPr>
            <w:tcW w:w="1384" w:type="dxa"/>
            <w:hideMark/>
          </w:tcPr>
          <w:p w14:paraId="458AF670" w14:textId="77777777" w:rsidR="005B173F" w:rsidRPr="00AF1F00" w:rsidRDefault="005B173F" w:rsidP="005B173F">
            <w:pPr>
              <w:jc w:val="both"/>
              <w:rPr>
                <w:b/>
                <w:bCs/>
                <w:lang w:val="ro-RO"/>
              </w:rPr>
            </w:pPr>
            <w:r w:rsidRPr="00AF1F00">
              <w:rPr>
                <w:b/>
                <w:bCs/>
                <w:lang w:val="ro-RO"/>
              </w:rPr>
              <w:t>Anexa</w:t>
            </w:r>
          </w:p>
        </w:tc>
        <w:tc>
          <w:tcPr>
            <w:tcW w:w="8804" w:type="dxa"/>
            <w:hideMark/>
          </w:tcPr>
          <w:p w14:paraId="7F1CF176" w14:textId="77777777" w:rsidR="005B173F" w:rsidRPr="00AF1F00" w:rsidRDefault="005B173F" w:rsidP="005B173F">
            <w:pPr>
              <w:jc w:val="both"/>
              <w:rPr>
                <w:b/>
                <w:bCs/>
                <w:lang w:val="ro-RO"/>
              </w:rPr>
            </w:pPr>
            <w:r w:rsidRPr="00AF1F00">
              <w:rPr>
                <w:b/>
                <w:bCs/>
                <w:lang w:val="ro-RO"/>
              </w:rPr>
              <w:t>Denumirea documentului</w:t>
            </w:r>
          </w:p>
        </w:tc>
      </w:tr>
      <w:tr w:rsidR="005B173F" w:rsidRPr="00AF1F00" w14:paraId="48955EA3" w14:textId="77777777" w:rsidTr="00AF1F00">
        <w:tc>
          <w:tcPr>
            <w:tcW w:w="1384" w:type="dxa"/>
            <w:hideMark/>
          </w:tcPr>
          <w:p w14:paraId="7F6D7DEB" w14:textId="77777777" w:rsidR="005B173F" w:rsidRPr="00AF1F00" w:rsidRDefault="005B173F" w:rsidP="005B173F">
            <w:pPr>
              <w:jc w:val="both"/>
              <w:rPr>
                <w:lang w:val="ro-RO"/>
              </w:rPr>
            </w:pPr>
            <w:r w:rsidRPr="00AF1F00">
              <w:rPr>
                <w:bCs/>
                <w:lang w:val="ro-RO"/>
              </w:rPr>
              <w:t>Anexa nr. 1</w:t>
            </w:r>
          </w:p>
        </w:tc>
        <w:tc>
          <w:tcPr>
            <w:tcW w:w="8804" w:type="dxa"/>
            <w:hideMark/>
          </w:tcPr>
          <w:p w14:paraId="26849D5A" w14:textId="77777777" w:rsidR="005B173F" w:rsidRPr="00AF1F00" w:rsidRDefault="005B173F" w:rsidP="005B173F">
            <w:pPr>
              <w:jc w:val="both"/>
              <w:rPr>
                <w:lang w:val="ro-RO"/>
              </w:rPr>
            </w:pPr>
            <w:r w:rsidRPr="00AF1F00">
              <w:rPr>
                <w:lang w:val="ro-RO"/>
              </w:rPr>
              <w:t>Copiile deciziilor finale de amalgamare voluntară ale consiliilor locale ale tuturor UAT participante la procesul de amalgamare voluntară.</w:t>
            </w:r>
          </w:p>
        </w:tc>
      </w:tr>
      <w:tr w:rsidR="005B173F" w:rsidRPr="00AF1F00" w14:paraId="76125ED7" w14:textId="77777777" w:rsidTr="00AF1F00">
        <w:tc>
          <w:tcPr>
            <w:tcW w:w="1384" w:type="dxa"/>
            <w:hideMark/>
          </w:tcPr>
          <w:p w14:paraId="255C5DFF" w14:textId="77777777" w:rsidR="005B173F" w:rsidRPr="00AF1F00" w:rsidRDefault="005B173F" w:rsidP="005B173F">
            <w:pPr>
              <w:jc w:val="both"/>
              <w:rPr>
                <w:lang w:val="ro-RO"/>
              </w:rPr>
            </w:pPr>
            <w:r w:rsidRPr="00AF1F00">
              <w:rPr>
                <w:bCs/>
                <w:lang w:val="ro-RO"/>
              </w:rPr>
              <w:t>Anexa nr. 2</w:t>
            </w:r>
          </w:p>
        </w:tc>
        <w:tc>
          <w:tcPr>
            <w:tcW w:w="8804" w:type="dxa"/>
            <w:hideMark/>
          </w:tcPr>
          <w:p w14:paraId="638EBDC0" w14:textId="618D9056" w:rsidR="005B173F" w:rsidRPr="00AF1F00" w:rsidRDefault="005B173F" w:rsidP="005B173F">
            <w:pPr>
              <w:jc w:val="both"/>
              <w:rPr>
                <w:lang w:val="ro-RO"/>
              </w:rPr>
            </w:pPr>
            <w:r w:rsidRPr="00AF1F00">
              <w:rPr>
                <w:lang w:val="ro-RO"/>
              </w:rPr>
              <w:t xml:space="preserve">Formularul Anexa nr. 1 la Metodologia de amalgamare voluntară a unităților administrativ-teritoriale, completat conform procedurii aplicabile, prin care a fost determinată </w:t>
            </w:r>
            <w:r w:rsidRPr="007F5479">
              <w:rPr>
                <w:lang w:val="ro-RO"/>
              </w:rPr>
              <w:t xml:space="preserve">UAT </w:t>
            </w:r>
            <w:r w:rsidR="00A70B98">
              <w:rPr>
                <w:bCs/>
                <w:lang w:val="ro-RO"/>
              </w:rPr>
              <w:t>Slobozia</w:t>
            </w:r>
            <w:r w:rsidRPr="00AF1F00">
              <w:rPr>
                <w:lang w:val="ro-RO"/>
              </w:rPr>
              <w:t xml:space="preserve"> în calitate de centru administrativ al viitoarei UAT amalgamate.</w:t>
            </w:r>
          </w:p>
        </w:tc>
      </w:tr>
      <w:tr w:rsidR="005B173F" w:rsidRPr="00AF1F00" w14:paraId="293F8AA5" w14:textId="77777777" w:rsidTr="00AF1F00">
        <w:tc>
          <w:tcPr>
            <w:tcW w:w="1384" w:type="dxa"/>
            <w:hideMark/>
          </w:tcPr>
          <w:p w14:paraId="39CD541E" w14:textId="77777777" w:rsidR="005B173F" w:rsidRPr="00AF1F00" w:rsidRDefault="005B173F" w:rsidP="005B173F">
            <w:pPr>
              <w:jc w:val="both"/>
              <w:rPr>
                <w:lang w:val="ro-RO"/>
              </w:rPr>
            </w:pPr>
            <w:r w:rsidRPr="00AF1F00">
              <w:rPr>
                <w:bCs/>
                <w:lang w:val="ro-RO"/>
              </w:rPr>
              <w:t>Anexa nr. 3</w:t>
            </w:r>
          </w:p>
        </w:tc>
        <w:tc>
          <w:tcPr>
            <w:tcW w:w="8804" w:type="dxa"/>
            <w:hideMark/>
          </w:tcPr>
          <w:p w14:paraId="1520E00A" w14:textId="77777777" w:rsidR="005B173F" w:rsidRPr="00AF1F00" w:rsidRDefault="005B173F" w:rsidP="005B173F">
            <w:pPr>
              <w:jc w:val="both"/>
              <w:rPr>
                <w:lang w:val="ro-RO"/>
              </w:rPr>
            </w:pPr>
            <w:r w:rsidRPr="00AF1F00">
              <w:rPr>
                <w:lang w:val="ro-RO"/>
              </w:rPr>
              <w:t>Analiza privind respectarea celor două condiții cumulative, modalitatea de stabilire a centrului administrativ și sinteza procesului de consultare publică.</w:t>
            </w:r>
          </w:p>
        </w:tc>
      </w:tr>
      <w:tr w:rsidR="005B173F" w:rsidRPr="00AF1F00" w14:paraId="6ABD943B" w14:textId="77777777" w:rsidTr="00AF1F00">
        <w:tc>
          <w:tcPr>
            <w:tcW w:w="1384" w:type="dxa"/>
            <w:hideMark/>
          </w:tcPr>
          <w:p w14:paraId="05B69976" w14:textId="77777777" w:rsidR="005B173F" w:rsidRPr="00AF1F00" w:rsidRDefault="005B173F" w:rsidP="005B173F">
            <w:pPr>
              <w:jc w:val="both"/>
              <w:rPr>
                <w:lang w:val="ro-RO"/>
              </w:rPr>
            </w:pPr>
            <w:r w:rsidRPr="00AF1F00">
              <w:rPr>
                <w:bCs/>
                <w:lang w:val="ro-RO"/>
              </w:rPr>
              <w:t>Anexa nr. 4</w:t>
            </w:r>
          </w:p>
        </w:tc>
        <w:tc>
          <w:tcPr>
            <w:tcW w:w="8804" w:type="dxa"/>
            <w:hideMark/>
          </w:tcPr>
          <w:p w14:paraId="4929FC37" w14:textId="77777777" w:rsidR="005B173F" w:rsidRPr="00AF1F00" w:rsidRDefault="005B173F" w:rsidP="005B173F">
            <w:pPr>
              <w:jc w:val="both"/>
              <w:rPr>
                <w:lang w:val="ro-RO"/>
              </w:rPr>
            </w:pPr>
            <w:r w:rsidRPr="00AF1F00">
              <w:rPr>
                <w:lang w:val="ro-RO"/>
              </w:rPr>
              <w:t>Dosarul consultărilor publice, care include procesele-verbale ale tuturor evenimentelor de consultare publică, cu listele de prezență semnate, tabelul de sinteză al recomandărilor, dovezile de publicare online și fizică, copiile observațiilor scrise primite și alte documente relevante ale procesului de consultare.</w:t>
            </w:r>
          </w:p>
        </w:tc>
      </w:tr>
    </w:tbl>
    <w:p w14:paraId="05EC9BDD" w14:textId="77777777" w:rsidR="009A3F2B" w:rsidRPr="00AF1F00" w:rsidRDefault="009A3F2B" w:rsidP="00C262EE">
      <w:pPr>
        <w:spacing w:after="0" w:line="240" w:lineRule="auto"/>
        <w:jc w:val="both"/>
        <w:rPr>
          <w:lang w:val="ro-RO"/>
        </w:rPr>
      </w:pPr>
    </w:p>
    <w:p w14:paraId="61242D7F" w14:textId="77777777" w:rsidR="009A3F2B" w:rsidRPr="00AF1F00" w:rsidRDefault="00AF1F00" w:rsidP="00C262EE">
      <w:pPr>
        <w:spacing w:after="0" w:line="240" w:lineRule="auto"/>
        <w:jc w:val="both"/>
        <w:rPr>
          <w:lang w:val="ro-RO"/>
        </w:rPr>
      </w:pPr>
      <w:r w:rsidRPr="00AF1F00">
        <w:rPr>
          <w:b/>
          <w:lang w:val="ro-RO"/>
        </w:rPr>
        <w:t xml:space="preserve">7. </w:t>
      </w:r>
      <w:r w:rsidRPr="00AF1F00">
        <w:rPr>
          <w:lang w:val="ro-RO"/>
        </w:rPr>
        <w:t>Se constată că procesul de consultare publică a proiectului deciziei privind amalgamarea voluntară a fost desfășurat prin forme de informare și consultare accesibile cetățenilor, inclusiv publicarea anunțurilor, consultări prin instituții, organizații și întreprinderi, adunări pe mahalale/sectoare, adunări generale ale localităților, ședințe ale Grupului de Lucru Comun, ateliere tematice, sondaje, colectarea propunerilor scrise și digitale, precum și publicarea materialelor pe canalele publice disponibile.</w:t>
      </w:r>
    </w:p>
    <w:p w14:paraId="43F25487" w14:textId="540E3BB3" w:rsidR="009A3F2B" w:rsidRPr="00AF1F00" w:rsidRDefault="00AF1F00" w:rsidP="00C262EE">
      <w:pPr>
        <w:spacing w:after="0" w:line="240" w:lineRule="auto"/>
        <w:jc w:val="both"/>
        <w:rPr>
          <w:lang w:val="ro-RO"/>
        </w:rPr>
      </w:pPr>
      <w:r w:rsidRPr="00AF1F00">
        <w:rPr>
          <w:b/>
          <w:lang w:val="ro-RO"/>
        </w:rPr>
        <w:t xml:space="preserve">8. </w:t>
      </w:r>
      <w:r w:rsidRPr="00AF1F00">
        <w:rPr>
          <w:lang w:val="ro-RO"/>
        </w:rPr>
        <w:t xml:space="preserve">Se pune în sarcina primarului </w:t>
      </w:r>
      <w:r w:rsidR="00D6458F" w:rsidRPr="00AF1F00">
        <w:rPr>
          <w:lang w:val="ro-RO"/>
        </w:rPr>
        <w:t xml:space="preserve">UAT </w:t>
      </w:r>
      <w:r w:rsidR="00A70B98">
        <w:rPr>
          <w:lang w:val="ro-RO"/>
        </w:rPr>
        <w:t>Slobozia</w:t>
      </w:r>
      <w:r w:rsidRPr="00AF1F00">
        <w:rPr>
          <w:lang w:val="ro-RO"/>
        </w:rPr>
        <w:t xml:space="preserve"> și a secretarului Consiliului </w:t>
      </w:r>
      <w:r w:rsidR="00D6458F" w:rsidRPr="00AF1F00">
        <w:rPr>
          <w:lang w:val="ro-RO"/>
        </w:rPr>
        <w:t>local al UAT</w:t>
      </w:r>
      <w:r w:rsidRPr="00AF1F00">
        <w:rPr>
          <w:lang w:val="ro-RO"/>
        </w:rPr>
        <w:t xml:space="preserve"> </w:t>
      </w:r>
      <w:r w:rsidR="00A70B98">
        <w:rPr>
          <w:lang w:val="ro-RO"/>
        </w:rPr>
        <w:t>Slobozia</w:t>
      </w:r>
      <w:r w:rsidRPr="00AF1F00">
        <w:rPr>
          <w:lang w:val="ro-RO"/>
        </w:rPr>
        <w:t xml:space="preserve"> recepționarea deciziilor de amalgamare voluntară aprobate de consiliile locale ale UAT participante, consolidarea dosarului de amalgamare voluntară și transmiterea acestuia către Cancelaria de Stat a Republicii Moldova, în termenul prevăzut de cadrul normativ.</w:t>
      </w:r>
    </w:p>
    <w:p w14:paraId="42A18E64" w14:textId="655328D2" w:rsidR="009A3F2B" w:rsidRPr="00AF1F00" w:rsidRDefault="00AF1F00" w:rsidP="00C262EE">
      <w:pPr>
        <w:spacing w:after="0" w:line="240" w:lineRule="auto"/>
        <w:jc w:val="both"/>
        <w:rPr>
          <w:lang w:val="ro-RO"/>
        </w:rPr>
      </w:pPr>
      <w:r w:rsidRPr="00AF1F00">
        <w:rPr>
          <w:b/>
          <w:lang w:val="ro-RO"/>
        </w:rPr>
        <w:t xml:space="preserve">9. </w:t>
      </w:r>
      <w:r w:rsidRPr="00AF1F00">
        <w:rPr>
          <w:lang w:val="ro-RO"/>
        </w:rPr>
        <w:t xml:space="preserve">Secretarul Consiliului </w:t>
      </w:r>
      <w:r w:rsidR="00D6458F" w:rsidRPr="00AF1F00">
        <w:rPr>
          <w:highlight w:val="yellow"/>
          <w:lang w:val="ro-RO"/>
        </w:rPr>
        <w:t xml:space="preserve">UAT </w:t>
      </w:r>
      <w:r w:rsidR="00A70B98">
        <w:rPr>
          <w:lang w:val="ro-RO"/>
        </w:rPr>
        <w:t>Slobozia</w:t>
      </w:r>
      <w:r w:rsidR="00D6458F" w:rsidRPr="00AF1F00">
        <w:rPr>
          <w:lang w:val="ro-RO"/>
        </w:rPr>
        <w:t xml:space="preserve"> </w:t>
      </w:r>
      <w:r w:rsidRPr="00AF1F00">
        <w:rPr>
          <w:lang w:val="ro-RO"/>
        </w:rPr>
        <w:t xml:space="preserve"> va asigura includerea prezentei decizii în Registrul de stat al actelor locale și publicarea acesteia conform prevederilor legislației.</w:t>
      </w:r>
    </w:p>
    <w:p w14:paraId="4AE079E1" w14:textId="5C884EDC" w:rsidR="009A3F2B" w:rsidRPr="00AF1F00" w:rsidRDefault="00AF1F00" w:rsidP="00C262EE">
      <w:pPr>
        <w:spacing w:after="0" w:line="240" w:lineRule="auto"/>
        <w:jc w:val="both"/>
        <w:rPr>
          <w:lang w:val="ro-RO"/>
        </w:rPr>
      </w:pPr>
      <w:r w:rsidRPr="00AF1F00">
        <w:rPr>
          <w:b/>
          <w:lang w:val="ro-RO"/>
        </w:rPr>
        <w:t xml:space="preserve">10. </w:t>
      </w:r>
      <w:r w:rsidRPr="00AF1F00">
        <w:rPr>
          <w:lang w:val="ro-RO"/>
        </w:rPr>
        <w:t xml:space="preserve">Controlul executării prezentei decizii se pune în sarcina primarului </w:t>
      </w:r>
      <w:r w:rsidR="00D6458F" w:rsidRPr="00AF1F00">
        <w:rPr>
          <w:highlight w:val="yellow"/>
          <w:lang w:val="ro-RO"/>
        </w:rPr>
        <w:t xml:space="preserve">satului </w:t>
      </w:r>
      <w:r w:rsidR="00A70B98">
        <w:rPr>
          <w:lang w:val="ro-RO"/>
        </w:rPr>
        <w:t>Slobozia</w:t>
      </w:r>
      <w:r w:rsidR="00901C71">
        <w:rPr>
          <w:lang w:val="ro-RO"/>
        </w:rPr>
        <w:t>.</w:t>
      </w:r>
    </w:p>
    <w:p w14:paraId="20B087A1" w14:textId="46F30EE0" w:rsidR="009A3F2B" w:rsidRPr="00AF1F00" w:rsidRDefault="00AF1F00" w:rsidP="00C262EE">
      <w:pPr>
        <w:spacing w:after="0" w:line="240" w:lineRule="auto"/>
        <w:jc w:val="both"/>
        <w:rPr>
          <w:lang w:val="ro-RO"/>
        </w:rPr>
      </w:pPr>
      <w:r w:rsidRPr="00AF1F00">
        <w:rPr>
          <w:b/>
          <w:lang w:val="ro-RO"/>
        </w:rPr>
        <w:t xml:space="preserve">11. </w:t>
      </w:r>
      <w:r w:rsidRPr="00AF1F00">
        <w:rPr>
          <w:lang w:val="ro-RO"/>
        </w:rPr>
        <w:t xml:space="preserve">Prezenta decizie intră în vigoare la data includerii în Registrul de stat al actelor locale și poate fi contestată în termen de 30 de zile de la data comunicării, </w:t>
      </w:r>
      <w:r w:rsidRPr="00AF1F00">
        <w:rPr>
          <w:highlight w:val="yellow"/>
          <w:lang w:val="ro-RO"/>
        </w:rPr>
        <w:t xml:space="preserve">la Judecătoria Căușeni, sediul </w:t>
      </w:r>
      <w:r w:rsidR="00A70B98">
        <w:rPr>
          <w:lang w:val="ro-RO"/>
        </w:rPr>
        <w:t>Ștefan Voă</w:t>
      </w:r>
      <w:r w:rsidRPr="00AF1F00">
        <w:rPr>
          <w:lang w:val="ro-RO"/>
        </w:rPr>
        <w:t>.</w:t>
      </w:r>
    </w:p>
    <w:p w14:paraId="2F4FEBA1" w14:textId="77777777" w:rsidR="009A3F2B" w:rsidRPr="00AF1F00" w:rsidRDefault="009A3F2B" w:rsidP="00C262EE">
      <w:pPr>
        <w:spacing w:after="0" w:line="240" w:lineRule="auto"/>
        <w:jc w:val="both"/>
        <w:rPr>
          <w:lang w:val="ro-RO"/>
        </w:rPr>
      </w:pPr>
    </w:p>
    <w:tbl>
      <w:tblPr>
        <w:tblW w:w="0" w:type="auto"/>
        <w:jc w:val="center"/>
        <w:tblLook w:val="04A0" w:firstRow="1" w:lastRow="0" w:firstColumn="1" w:lastColumn="0" w:noHBand="0" w:noVBand="1"/>
      </w:tblPr>
      <w:tblGrid>
        <w:gridCol w:w="4986"/>
        <w:gridCol w:w="4986"/>
      </w:tblGrid>
      <w:tr w:rsidR="009A3F2B" w:rsidRPr="00AF1F00" w14:paraId="2FE380B1" w14:textId="77777777">
        <w:trPr>
          <w:jc w:val="center"/>
        </w:trPr>
        <w:tc>
          <w:tcPr>
            <w:tcW w:w="4986" w:type="dxa"/>
            <w:tcBorders>
              <w:top w:val="nil"/>
              <w:left w:val="nil"/>
              <w:bottom w:val="nil"/>
              <w:right w:val="nil"/>
            </w:tcBorders>
            <w:vAlign w:val="center"/>
          </w:tcPr>
          <w:p w14:paraId="280F458C" w14:textId="77777777" w:rsidR="009A3F2B" w:rsidRPr="00AF1F00" w:rsidRDefault="00AF1F00" w:rsidP="00C262EE">
            <w:pPr>
              <w:spacing w:after="0" w:line="240" w:lineRule="auto"/>
              <w:rPr>
                <w:lang w:val="ro-RO"/>
              </w:rPr>
            </w:pPr>
            <w:r w:rsidRPr="00AF1F00">
              <w:rPr>
                <w:b/>
                <w:lang w:val="ro-RO"/>
              </w:rPr>
              <w:t>Președintele ședinței</w:t>
            </w:r>
          </w:p>
        </w:tc>
        <w:tc>
          <w:tcPr>
            <w:tcW w:w="4986" w:type="dxa"/>
            <w:tcBorders>
              <w:top w:val="nil"/>
              <w:left w:val="nil"/>
              <w:bottom w:val="nil"/>
              <w:right w:val="nil"/>
            </w:tcBorders>
            <w:vAlign w:val="center"/>
          </w:tcPr>
          <w:p w14:paraId="6CEBDF54" w14:textId="77777777" w:rsidR="009A3F2B" w:rsidRPr="00AF1F00" w:rsidRDefault="00AF1F00" w:rsidP="00C262EE">
            <w:pPr>
              <w:spacing w:after="0" w:line="240" w:lineRule="auto"/>
              <w:rPr>
                <w:lang w:val="ro-RO"/>
              </w:rPr>
            </w:pPr>
            <w:r w:rsidRPr="00AF1F00">
              <w:rPr>
                <w:lang w:val="ro-RO"/>
              </w:rPr>
              <w:t>_____________________ / ____________________ /</w:t>
            </w:r>
          </w:p>
        </w:tc>
      </w:tr>
      <w:tr w:rsidR="009A3F2B" w:rsidRPr="00AF1F00" w14:paraId="0914C25D" w14:textId="77777777">
        <w:trPr>
          <w:jc w:val="center"/>
        </w:trPr>
        <w:tc>
          <w:tcPr>
            <w:tcW w:w="4986" w:type="dxa"/>
            <w:tcBorders>
              <w:top w:val="nil"/>
              <w:left w:val="nil"/>
              <w:bottom w:val="nil"/>
              <w:right w:val="nil"/>
            </w:tcBorders>
            <w:vAlign w:val="center"/>
          </w:tcPr>
          <w:p w14:paraId="45CCE4C9" w14:textId="5074AFC9" w:rsidR="009A3F2B" w:rsidRPr="00AF1F00" w:rsidRDefault="00EC7236" w:rsidP="00EC7236">
            <w:pPr>
              <w:spacing w:after="0" w:line="240" w:lineRule="auto"/>
              <w:rPr>
                <w:lang w:val="ro-RO"/>
              </w:rPr>
            </w:pPr>
            <w:r>
              <w:rPr>
                <w:b/>
                <w:lang w:val="ro-RO"/>
              </w:rPr>
              <w:t>Contrasemnează:</w:t>
            </w:r>
            <w:r>
              <w:rPr>
                <w:b/>
                <w:lang w:val="ro-RO"/>
              </w:rPr>
              <w:br/>
              <w:t>Secretara</w:t>
            </w:r>
            <w:r w:rsidR="00AF1F00" w:rsidRPr="00AF1F00">
              <w:rPr>
                <w:b/>
                <w:lang w:val="ro-RO"/>
              </w:rPr>
              <w:t xml:space="preserve"> Consiliului </w:t>
            </w:r>
            <w:r>
              <w:rPr>
                <w:b/>
                <w:lang w:val="ro-RO"/>
              </w:rPr>
              <w:t>local</w:t>
            </w:r>
          </w:p>
        </w:tc>
        <w:tc>
          <w:tcPr>
            <w:tcW w:w="4986" w:type="dxa"/>
            <w:tcBorders>
              <w:top w:val="nil"/>
              <w:left w:val="nil"/>
              <w:bottom w:val="nil"/>
              <w:right w:val="nil"/>
            </w:tcBorders>
            <w:vAlign w:val="center"/>
          </w:tcPr>
          <w:p w14:paraId="6071CEBB" w14:textId="77777777" w:rsidR="009A3F2B" w:rsidRPr="00AF1F00" w:rsidRDefault="00AF1F00" w:rsidP="00C262EE">
            <w:pPr>
              <w:spacing w:after="0" w:line="240" w:lineRule="auto"/>
              <w:rPr>
                <w:lang w:val="ro-RO"/>
              </w:rPr>
            </w:pPr>
            <w:r w:rsidRPr="00AF1F00">
              <w:rPr>
                <w:lang w:val="ro-RO"/>
              </w:rPr>
              <w:t>_____________________ / ____________________ /</w:t>
            </w:r>
          </w:p>
        </w:tc>
      </w:tr>
    </w:tbl>
    <w:p w14:paraId="7C7128DF" w14:textId="77777777" w:rsidR="009A3F2B" w:rsidRPr="00AF1F00" w:rsidRDefault="009A3F2B" w:rsidP="00C262EE">
      <w:pPr>
        <w:spacing w:after="0" w:line="240" w:lineRule="auto"/>
        <w:jc w:val="both"/>
        <w:rPr>
          <w:lang w:val="ro-RO"/>
        </w:rPr>
      </w:pPr>
    </w:p>
    <w:p w14:paraId="1C39F0F8" w14:textId="77777777" w:rsidR="009A3F2B" w:rsidRPr="00AF1F00" w:rsidRDefault="00AF1F00" w:rsidP="00C262EE">
      <w:pPr>
        <w:spacing w:after="0" w:line="240" w:lineRule="auto"/>
        <w:rPr>
          <w:lang w:val="ro-RO"/>
        </w:rPr>
      </w:pPr>
      <w:r w:rsidRPr="00AF1F00">
        <w:rPr>
          <w:lang w:val="ro-RO"/>
        </w:rPr>
        <w:t>Semnat la data de ___ __________ 2026</w:t>
      </w:r>
    </w:p>
    <w:p w14:paraId="75DE1A9B" w14:textId="77777777" w:rsidR="00AF1F00" w:rsidRPr="00AF1F00" w:rsidRDefault="00AF1F00">
      <w:pPr>
        <w:spacing w:after="0" w:line="240" w:lineRule="auto"/>
        <w:rPr>
          <w:lang w:val="ro-RO"/>
        </w:rPr>
      </w:pPr>
    </w:p>
    <w:sectPr w:rsidR="00AF1F00" w:rsidRPr="00AF1F00"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9"/>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1763D"/>
    <w:rsid w:val="005B173F"/>
    <w:rsid w:val="006161F0"/>
    <w:rsid w:val="007F5479"/>
    <w:rsid w:val="00901C71"/>
    <w:rsid w:val="009A3F2B"/>
    <w:rsid w:val="00A70B98"/>
    <w:rsid w:val="00AA1D8D"/>
    <w:rsid w:val="00AE54EC"/>
    <w:rsid w:val="00AF1F00"/>
    <w:rsid w:val="00B47730"/>
    <w:rsid w:val="00C262EE"/>
    <w:rsid w:val="00CB0664"/>
    <w:rsid w:val="00D6458F"/>
    <w:rsid w:val="00EC72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FBF77B"/>
  <w14:defaultImageDpi w14:val="300"/>
  <w15:docId w15:val="{0EA6DAEF-4731-4E40-B85D-7593F4F2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link w:val="aa"/>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b">
    <w:name w:val="Title"/>
    <w:basedOn w:val="a1"/>
    <w:next w:val="a1"/>
    <w:link w:val="ac"/>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2"/>
    <w:link w:val="ab"/>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d">
    <w:name w:val="Subtitle"/>
    <w:basedOn w:val="a1"/>
    <w:next w:val="a1"/>
    <w:link w:val="ae"/>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e">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f">
    <w:name w:val="List Paragraph"/>
    <w:basedOn w:val="a1"/>
    <w:uiPriority w:val="34"/>
    <w:qFormat/>
    <w:rsid w:val="00FC693F"/>
    <w:pPr>
      <w:ind w:left="720"/>
      <w:contextualSpacing/>
    </w:pPr>
  </w:style>
  <w:style w:type="paragraph" w:styleId="af0">
    <w:name w:val="Body Text"/>
    <w:basedOn w:val="a1"/>
    <w:link w:val="af1"/>
    <w:uiPriority w:val="99"/>
    <w:unhideWhenUsed/>
    <w:rsid w:val="00AA1D8D"/>
    <w:pPr>
      <w:spacing w:after="120"/>
    </w:pPr>
  </w:style>
  <w:style w:type="character" w:customStyle="1" w:styleId="af1">
    <w:name w:val="Основной текст Знак"/>
    <w:basedOn w:val="a2"/>
    <w:link w:val="af0"/>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2">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3">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4">
    <w:name w:val="macro"/>
    <w:link w:val="af5"/>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5">
    <w:name w:val="Текст макроса Знак"/>
    <w:basedOn w:val="a2"/>
    <w:link w:val="af4"/>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6">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7">
    <w:name w:val="Strong"/>
    <w:basedOn w:val="a2"/>
    <w:uiPriority w:val="22"/>
    <w:qFormat/>
    <w:rsid w:val="00FC693F"/>
    <w:rPr>
      <w:b/>
      <w:bCs/>
    </w:rPr>
  </w:style>
  <w:style w:type="character" w:styleId="af8">
    <w:name w:val="Emphasis"/>
    <w:basedOn w:val="a2"/>
    <w:uiPriority w:val="20"/>
    <w:qFormat/>
    <w:rsid w:val="00FC693F"/>
    <w:rPr>
      <w:i/>
      <w:iCs/>
    </w:rPr>
  </w:style>
  <w:style w:type="paragraph" w:styleId="af9">
    <w:name w:val="Intense Quote"/>
    <w:basedOn w:val="a1"/>
    <w:next w:val="a1"/>
    <w:link w:val="af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2"/>
    <w:link w:val="af9"/>
    <w:uiPriority w:val="30"/>
    <w:rsid w:val="00FC693F"/>
    <w:rPr>
      <w:b/>
      <w:bCs/>
      <w:i/>
      <w:iCs/>
      <w:color w:val="4F81BD" w:themeColor="accent1"/>
    </w:rPr>
  </w:style>
  <w:style w:type="character" w:styleId="afb">
    <w:name w:val="Subtle Emphasis"/>
    <w:basedOn w:val="a2"/>
    <w:uiPriority w:val="19"/>
    <w:qFormat/>
    <w:rsid w:val="00FC693F"/>
    <w:rPr>
      <w:i/>
      <w:iCs/>
      <w:color w:val="808080" w:themeColor="text1" w:themeTint="7F"/>
    </w:rPr>
  </w:style>
  <w:style w:type="character" w:styleId="afc">
    <w:name w:val="Intense Emphasis"/>
    <w:basedOn w:val="a2"/>
    <w:uiPriority w:val="21"/>
    <w:qFormat/>
    <w:rsid w:val="00FC693F"/>
    <w:rPr>
      <w:b/>
      <w:bCs/>
      <w:i/>
      <w:iCs/>
      <w:color w:val="4F81BD" w:themeColor="accent1"/>
    </w:rPr>
  </w:style>
  <w:style w:type="character" w:styleId="afd">
    <w:name w:val="Subtle Reference"/>
    <w:basedOn w:val="a2"/>
    <w:uiPriority w:val="31"/>
    <w:qFormat/>
    <w:rsid w:val="00FC693F"/>
    <w:rPr>
      <w:smallCaps/>
      <w:color w:val="C0504D" w:themeColor="accent2"/>
      <w:u w:val="single"/>
    </w:rPr>
  </w:style>
  <w:style w:type="character" w:styleId="afe">
    <w:name w:val="Intense Reference"/>
    <w:basedOn w:val="a2"/>
    <w:uiPriority w:val="32"/>
    <w:qFormat/>
    <w:rsid w:val="00FC693F"/>
    <w:rPr>
      <w:b/>
      <w:bCs/>
      <w:smallCaps/>
      <w:color w:val="C0504D" w:themeColor="accent2"/>
      <w:spacing w:val="5"/>
      <w:u w:val="single"/>
    </w:rPr>
  </w:style>
  <w:style w:type="character" w:styleId="aff">
    <w:name w:val="Book Title"/>
    <w:basedOn w:val="a2"/>
    <w:uiPriority w:val="33"/>
    <w:qFormat/>
    <w:rsid w:val="00FC693F"/>
    <w:rPr>
      <w:b/>
      <w:bCs/>
      <w:smallCaps/>
      <w:spacing w:val="5"/>
    </w:rPr>
  </w:style>
  <w:style w:type="paragraph" w:styleId="aff0">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9">
    <w:name w:val="Hyperlink"/>
    <w:basedOn w:val="a2"/>
    <w:uiPriority w:val="99"/>
    <w:unhideWhenUsed/>
    <w:rsid w:val="006161F0"/>
    <w:rPr>
      <w:color w:val="0000FF" w:themeColor="hyperlink"/>
      <w:u w:val="single"/>
    </w:rPr>
  </w:style>
  <w:style w:type="character" w:customStyle="1" w:styleId="aa">
    <w:name w:val="Без интервала Знак"/>
    <w:basedOn w:val="a2"/>
    <w:link w:val="a9"/>
    <w:uiPriority w:val="1"/>
    <w:locked/>
    <w:rsid w:val="006161F0"/>
  </w:style>
  <w:style w:type="paragraph" w:styleId="affa">
    <w:name w:val="Balloon Text"/>
    <w:basedOn w:val="a1"/>
    <w:link w:val="affb"/>
    <w:uiPriority w:val="99"/>
    <w:semiHidden/>
    <w:unhideWhenUsed/>
    <w:rsid w:val="00AE54EC"/>
    <w:pPr>
      <w:spacing w:after="0" w:line="240" w:lineRule="auto"/>
    </w:pPr>
    <w:rPr>
      <w:rFonts w:ascii="Segoe UI" w:hAnsi="Segoe UI" w:cs="Segoe UI"/>
      <w:sz w:val="18"/>
      <w:szCs w:val="18"/>
    </w:rPr>
  </w:style>
  <w:style w:type="character" w:customStyle="1" w:styleId="affb">
    <w:name w:val="Текст выноски Знак"/>
    <w:basedOn w:val="a2"/>
    <w:link w:val="affa"/>
    <w:uiPriority w:val="99"/>
    <w:semiHidden/>
    <w:rsid w:val="00AE54E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035605">
      <w:bodyDiv w:val="1"/>
      <w:marLeft w:val="0"/>
      <w:marRight w:val="0"/>
      <w:marTop w:val="0"/>
      <w:marBottom w:val="0"/>
      <w:divBdr>
        <w:top w:val="none" w:sz="0" w:space="0" w:color="auto"/>
        <w:left w:val="none" w:sz="0" w:space="0" w:color="auto"/>
        <w:bottom w:val="none" w:sz="0" w:space="0" w:color="auto"/>
        <w:right w:val="none" w:sz="0" w:space="0" w:color="auto"/>
      </w:divBdr>
      <w:divsChild>
        <w:div w:id="1722050231">
          <w:marLeft w:val="0"/>
          <w:marRight w:val="0"/>
          <w:marTop w:val="0"/>
          <w:marBottom w:val="0"/>
          <w:divBdr>
            <w:top w:val="none" w:sz="0" w:space="0" w:color="auto"/>
            <w:left w:val="none" w:sz="0" w:space="0" w:color="auto"/>
            <w:bottom w:val="none" w:sz="0" w:space="0" w:color="auto"/>
            <w:right w:val="none" w:sz="0" w:space="0" w:color="auto"/>
          </w:divBdr>
          <w:divsChild>
            <w:div w:id="1452825516">
              <w:marLeft w:val="0"/>
              <w:marRight w:val="0"/>
              <w:marTop w:val="0"/>
              <w:marBottom w:val="0"/>
              <w:divBdr>
                <w:top w:val="none" w:sz="0" w:space="0" w:color="auto"/>
                <w:left w:val="none" w:sz="0" w:space="0" w:color="auto"/>
                <w:bottom w:val="none" w:sz="0" w:space="0" w:color="auto"/>
                <w:right w:val="none" w:sz="0" w:space="0" w:color="auto"/>
              </w:divBdr>
              <w:divsChild>
                <w:div w:id="33847040">
                  <w:marLeft w:val="0"/>
                  <w:marRight w:val="0"/>
                  <w:marTop w:val="0"/>
                  <w:marBottom w:val="0"/>
                  <w:divBdr>
                    <w:top w:val="none" w:sz="0" w:space="0" w:color="auto"/>
                    <w:left w:val="none" w:sz="0" w:space="0" w:color="auto"/>
                    <w:bottom w:val="none" w:sz="0" w:space="0" w:color="auto"/>
                    <w:right w:val="none" w:sz="0" w:space="0" w:color="auto"/>
                  </w:divBdr>
                  <w:divsChild>
                    <w:div w:id="191500603">
                      <w:marLeft w:val="0"/>
                      <w:marRight w:val="0"/>
                      <w:marTop w:val="0"/>
                      <w:marBottom w:val="0"/>
                      <w:divBdr>
                        <w:top w:val="none" w:sz="0" w:space="0" w:color="auto"/>
                        <w:left w:val="none" w:sz="0" w:space="0" w:color="auto"/>
                        <w:bottom w:val="none" w:sz="0" w:space="0" w:color="auto"/>
                        <w:right w:val="none" w:sz="0" w:space="0" w:color="auto"/>
                      </w:divBdr>
                      <w:divsChild>
                        <w:div w:id="573009181">
                          <w:marLeft w:val="0"/>
                          <w:marRight w:val="0"/>
                          <w:marTop w:val="0"/>
                          <w:marBottom w:val="0"/>
                          <w:divBdr>
                            <w:top w:val="none" w:sz="0" w:space="0" w:color="auto"/>
                            <w:left w:val="none" w:sz="0" w:space="0" w:color="auto"/>
                            <w:bottom w:val="none" w:sz="0" w:space="0" w:color="auto"/>
                            <w:right w:val="none" w:sz="0" w:space="0" w:color="auto"/>
                          </w:divBdr>
                          <w:divsChild>
                            <w:div w:id="2021925714">
                              <w:marLeft w:val="0"/>
                              <w:marRight w:val="0"/>
                              <w:marTop w:val="0"/>
                              <w:marBottom w:val="0"/>
                              <w:divBdr>
                                <w:top w:val="none" w:sz="0" w:space="0" w:color="auto"/>
                                <w:left w:val="none" w:sz="0" w:space="0" w:color="auto"/>
                                <w:bottom w:val="none" w:sz="0" w:space="0" w:color="auto"/>
                                <w:right w:val="none" w:sz="0" w:space="0" w:color="auto"/>
                              </w:divBdr>
                              <w:divsChild>
                                <w:div w:id="62076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235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imaria.slobozia@apl.gov.m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31B6B-C794-42FA-819A-059D778D2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836</Words>
  <Characters>4771</Characters>
  <Application>Microsoft Office Word</Application>
  <DocSecurity>0</DocSecurity>
  <Lines>39</Lines>
  <Paragraphs>11</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5596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SECRETARA</cp:lastModifiedBy>
  <cp:revision>8</cp:revision>
  <cp:lastPrinted>2026-06-25T13:51:00Z</cp:lastPrinted>
  <dcterms:created xsi:type="dcterms:W3CDTF">2013-12-23T23:15:00Z</dcterms:created>
  <dcterms:modified xsi:type="dcterms:W3CDTF">2026-06-25T13:53:00Z</dcterms:modified>
  <cp:category/>
</cp:coreProperties>
</file>