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E23" w:rsidRDefault="005E5E23"/>
    <w:p w:rsidR="005E5E23" w:rsidRPr="00292D97" w:rsidRDefault="00292D97">
      <w:pPr>
        <w:jc w:val="center"/>
        <w:rPr>
          <w:b/>
          <w:bCs/>
          <w:color w:val="000000"/>
        </w:rPr>
      </w:pPr>
      <w:r w:rsidRPr="00292D97">
        <w:rPr>
          <w:b/>
          <w:bCs/>
          <w:color w:val="000000"/>
        </w:rPr>
        <w:t>TABELUL DE SINTEZĂ</w:t>
      </w:r>
    </w:p>
    <w:p w:rsidR="00292D97" w:rsidRPr="00292D97" w:rsidRDefault="00292D97" w:rsidP="00292D97">
      <w:pPr>
        <w:tabs>
          <w:tab w:val="center" w:pos="810"/>
          <w:tab w:val="left" w:pos="721"/>
        </w:tabs>
        <w:jc w:val="center"/>
        <w:rPr>
          <w:color w:val="000000"/>
          <w:lang w:val="ro"/>
        </w:rPr>
      </w:pPr>
      <w:r w:rsidRPr="00292D97">
        <w:rPr>
          <w:color w:val="000000"/>
          <w:lang w:val="ro"/>
        </w:rPr>
        <w:t>PHG c</w:t>
      </w:r>
      <w:r w:rsidRPr="00292D97">
        <w:rPr>
          <w:color w:val="000000"/>
          <w:lang w:val="ro"/>
        </w:rPr>
        <w:t xml:space="preserve">u privire la constituirea și organizarea activității </w:t>
      </w:r>
    </w:p>
    <w:p w:rsidR="00292D97" w:rsidRPr="00292D97" w:rsidRDefault="00292D97" w:rsidP="00292D97">
      <w:pPr>
        <w:tabs>
          <w:tab w:val="center" w:pos="810"/>
          <w:tab w:val="left" w:pos="721"/>
        </w:tabs>
        <w:jc w:val="center"/>
        <w:rPr>
          <w:color w:val="000000"/>
          <w:lang w:val="ro"/>
        </w:rPr>
      </w:pPr>
      <w:r w:rsidRPr="00292D97">
        <w:rPr>
          <w:color w:val="000000"/>
          <w:lang w:val="ro"/>
        </w:rPr>
        <w:t>Comisiei Naționale de Management al Crizelor și a Comisiilor regionale,  teritoriale și locale de management al situațiilor de criză și a Centrelor operaționale de coordonare ale acestora</w:t>
      </w:r>
    </w:p>
    <w:p w:rsidR="005E5E23" w:rsidRPr="00292D97" w:rsidRDefault="00000000">
      <w:pPr>
        <w:jc w:val="center"/>
        <w:rPr>
          <w:i/>
          <w:iCs/>
        </w:rPr>
      </w:pPr>
      <w:r w:rsidRPr="00292D97">
        <w:rPr>
          <w:i/>
          <w:iCs/>
        </w:rPr>
        <w:t xml:space="preserve">(număr unic 345/CNMC/2026) </w:t>
      </w:r>
    </w:p>
    <w:p w:rsidR="005E5E23" w:rsidRDefault="005E5E23">
      <w:pPr>
        <w:jc w:val="center"/>
      </w:pPr>
    </w:p>
    <w:tbl>
      <w:tblPr>
        <w:tblStyle w:val="a"/>
        <w:tblW w:w="12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67"/>
        <w:gridCol w:w="7088"/>
        <w:gridCol w:w="3402"/>
      </w:tblGrid>
      <w:tr w:rsidR="005E5E23">
        <w:trPr>
          <w:trHeight w:val="315"/>
        </w:trPr>
        <w:tc>
          <w:tcPr>
            <w:tcW w:w="1838" w:type="dxa"/>
            <w:shd w:val="clear" w:color="auto" w:fill="C6D9F1"/>
          </w:tcPr>
          <w:p w:rsidR="005E5E23" w:rsidRDefault="00000000">
            <w:pPr>
              <w:rPr>
                <w:color w:val="000000"/>
              </w:rPr>
            </w:pPr>
            <w:r>
              <w:rPr>
                <w:color w:val="000000"/>
              </w:rPr>
              <w:t>Instituția avizatoare</w:t>
            </w:r>
          </w:p>
        </w:tc>
        <w:tc>
          <w:tcPr>
            <w:tcW w:w="567" w:type="dxa"/>
            <w:shd w:val="clear" w:color="auto" w:fill="C6D9F1"/>
          </w:tcPr>
          <w:p w:rsidR="005E5E23" w:rsidRDefault="00000000">
            <w:pPr>
              <w:rPr>
                <w:color w:val="000000"/>
              </w:rPr>
            </w:pPr>
            <w:r>
              <w:rPr>
                <w:color w:val="000000"/>
              </w:rPr>
              <w:t>Nr. crt.</w:t>
            </w:r>
          </w:p>
        </w:tc>
        <w:tc>
          <w:tcPr>
            <w:tcW w:w="7088" w:type="dxa"/>
            <w:shd w:val="clear" w:color="auto" w:fill="C6D9F1"/>
          </w:tcPr>
          <w:p w:rsidR="005E5E23" w:rsidRDefault="00000000">
            <w:pPr>
              <w:rPr>
                <w:color w:val="000000"/>
              </w:rPr>
            </w:pPr>
            <w:r>
              <w:rPr>
                <w:color w:val="000000"/>
              </w:rPr>
              <w:t>Conținutul obiecției, propunerii, recomandării, concluzi</w:t>
            </w:r>
            <w:r>
              <w:t>i</w:t>
            </w:r>
            <w:r>
              <w:rPr>
                <w:color w:val="000000"/>
              </w:rPr>
              <w:t>i</w:t>
            </w:r>
          </w:p>
        </w:tc>
        <w:tc>
          <w:tcPr>
            <w:tcW w:w="3402" w:type="dxa"/>
            <w:shd w:val="clear" w:color="auto" w:fill="C6D9F1"/>
          </w:tcPr>
          <w:p w:rsidR="005E5E23" w:rsidRDefault="00000000">
            <w:pPr>
              <w:rPr>
                <w:color w:val="000000"/>
              </w:rPr>
            </w:pPr>
            <w:r>
              <w:rPr>
                <w:color w:val="000000"/>
              </w:rPr>
              <w:t>Argumentarea autorului proiectului</w:t>
            </w:r>
          </w:p>
        </w:tc>
      </w:tr>
      <w:tr w:rsidR="005E5E23">
        <w:trPr>
          <w:trHeight w:val="315"/>
        </w:trPr>
        <w:tc>
          <w:tcPr>
            <w:tcW w:w="1838" w:type="dxa"/>
            <w:vMerge w:val="restart"/>
          </w:tcPr>
          <w:p w:rsidR="005E5E23" w:rsidRDefault="00000000">
            <w:r>
              <w:t>Ministerul Apărării al Republicii Moldova</w:t>
            </w:r>
          </w:p>
          <w:p w:rsidR="005E5E23" w:rsidRDefault="00000000">
            <w:pPr>
              <w:rPr>
                <w:i/>
                <w:iCs/>
                <w:color w:val="000000"/>
              </w:rPr>
            </w:pPr>
            <w:r>
              <w:rPr>
                <w:i/>
                <w:iCs/>
              </w:rPr>
              <w:t>(Nr. 11/644 din 22.04.2026)</w:t>
            </w:r>
          </w:p>
          <w:p w:rsidR="005E5E23" w:rsidRDefault="005E5E23">
            <w:pPr>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pct.11, propunem substituirea cuvântului „atribuțiile” cu cuvântul „responsabilitățile” pentru a aduce în corespundere cu prevederile art.34 din Legea nr.248/2025 privind managementul situațiilor de criză.</w:t>
            </w:r>
          </w:p>
        </w:tc>
        <w:tc>
          <w:tcPr>
            <w:tcW w:w="3402" w:type="dxa"/>
          </w:tcPr>
          <w:p w:rsidR="005E5E23" w:rsidRDefault="00000000">
            <w:pPr>
              <w:rPr>
                <w:color w:val="000000"/>
              </w:rPr>
            </w:pPr>
            <w:r>
              <w:rPr>
                <w:color w:val="000000"/>
              </w:rP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pct.12, propunem substituirea textului „În exercitarea atribuțiilor sale, Comisia:” cu textul „Comisia exercită următoarele atribuții:”.</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Pct.15 din Anexa nr.1, respectiv, pct. 2-4 din Anexa nr. 3 la proiectul hotărârii de Guvern, prevăd că Comisia exercită atribuțiile prevăzute în sarcina Comisiei pentru Situații Excepționale din Hotărârea Guvernului nr. 820/2024 și din Hotărârea Guvernului nr.728/2024 în măsura în care nu contravin prezentei hotărâri și Legii nr.248/2025. Respectiv, în Anexa nr.3 este prevăzută substituirea sintagmei „Comisia pentru Situații Excepționale a Republicii Moldova” cu sintagma „Comisia Națională de Management al Crizelor” în Hotărârea Guvernului nr. 820/2024 și din Hotărârea Guvernului nr.728/2024, precum și abrogarea Hotărârii Guvernului nr. 1340/2001 cu privire la Comisia pentru Situații Excepționale a Republicii și Hotărârii Guvernului nr. 803/2018 cu privire la Centrul de dirijare în situații excepționale al Comisiei pentru Situații Excepționale a Republicii Moldova și structurile de asigurare a activității altor comisii pentru situații excepționale.</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Atribuțiile Comisiei pentru Situații Excepționale sunt reglementate prin Legea nr. 164/2025 cu privire la energia electrică (art.14, etc.), fiind necesar modificarea inițială a prevederilor Legii nr. 164/2025 și ulterior modificarea/abrogarea hotărârilor de Guvern menționate.</w:t>
            </w:r>
          </w:p>
        </w:tc>
        <w:tc>
          <w:tcPr>
            <w:tcW w:w="3402" w:type="dxa"/>
          </w:tcPr>
          <w:p w:rsidR="005E5E23" w:rsidRDefault="00000000">
            <w:pPr>
              <w:rPr>
                <w:color w:val="000000"/>
              </w:rPr>
            </w:pPr>
            <w:r>
              <w:t>P</w:t>
            </w:r>
            <w:r>
              <w:rPr>
                <w:color w:val="000000"/>
              </w:rPr>
              <w:t>e rol un proiect al Ministerului Energiei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Pct. 31 prevede că „Comisia deliberează în prezența a cel puțin jumătate din numărul membrilor săi în funcție. Deciziile se adoptă cu majoritatea simplă a membrilor prezenți, în conformitate cu art. 35 alin. (3) din Legea nr. 248/2025 privind managementul situațiilor de criză.” Art. 35 alin.(3) din Legea nr.248/2025 privind managementul situațiilor de criză stabilește că „Deciziile Comisiei Naționale de Management al Crizelor se iau cu majoritatea membrilor prezenți, iar pentru ca decizia să fie validă, la ședință trebuie să participe cel puțin o jumătate din numărul membrilor desemnați.”. Se propune autorului proiectului să revizuiască și să coreleze pct.31 din proiect cu prevederile normative de nivel superior din art. 35 alin.(3) din Legea nr. 248/2025.</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Pct.41, 42, 44-46 prevăd, la general, cooperarea Comisiei și Centrului Național de Management al Crizelor cu Consiliul Național de Securitate, precum și rolul și competențele acestora, iar pct. 43 prevede modul în care se iau deciziile Comisiei și ale Consiliului Național de Securitate. Contextual, propunem revizuirea și aducerea în conformitate a pct.41-46 cu prevederile legale ce stabilesc responsabilitățile, respectiv, atribuțiile Comisiei și Centrului Național de Management al Crizelor și a Consiliului Național de Securitate, rolul și modul de luare a deciziilor de către aceste organe și în special cu art.33-34, art.39, art. 45 și art.46 din Legea nr.248/2025 privind managementul situațiilor de criză, precum și cu art.15 și art.21 din Legea nr. 249/2025 privind securitatea națională a Republicii Moldova.</w:t>
            </w:r>
          </w:p>
        </w:tc>
        <w:tc>
          <w:tcPr>
            <w:tcW w:w="3402" w:type="dxa"/>
          </w:tcPr>
          <w:p w:rsidR="005E5E23" w:rsidRDefault="00000000">
            <w:pPr>
              <w:rPr>
                <w:color w:val="000000"/>
              </w:rPr>
            </w:pPr>
            <w:r>
              <w:t>Se acceptă, integrat în textul proiectului în conformitate cu avizul CNS.</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w:t>
            </w:r>
            <w:r>
              <w:t xml:space="preserve">. </w:t>
            </w:r>
            <w:r>
              <w:rPr>
                <w:color w:val="000000"/>
              </w:rPr>
              <w:t>18, subpct.18.5, propunem expunerea cu următorul cuprins: „18.5 reprezentantul subdiviziunii Ministerului Apărării;”, deoarece în funcție de tipul crizei este necesar desemnarea reprezentantului corespunzător.</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Punctele ce urmează după pct.18 necesită a fi numerotate în ordine consecutivă, iar la pct.22, la final este necesar de prevăzut numărul punctului la care se face referirea.</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 xml:space="preserve">La pct.23, propunem substituirea cuvântului „atribuțiile” cu cuvântul „responsabilitățile” pentru a aduce în corespundere cu prevederile </w:t>
            </w:r>
            <w:r>
              <w:rPr>
                <w:color w:val="000000"/>
              </w:rPr>
              <w:lastRenderedPageBreak/>
              <w:t>art.37 alin.(4) din Legea nr.248/2025 privind managementul situațiilor de criză.</w:t>
            </w:r>
          </w:p>
        </w:tc>
        <w:tc>
          <w:tcPr>
            <w:tcW w:w="3402" w:type="dxa"/>
          </w:tcPr>
          <w:p w:rsidR="005E5E23" w:rsidRDefault="00000000">
            <w:pPr>
              <w:rPr>
                <w:color w:val="000000"/>
              </w:rPr>
            </w:pPr>
            <w:r>
              <w:lastRenderedPageBreak/>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0"/>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Pct.35, pct.36-55 prevăd că „centrele operaționale de coordonare ale comisiilor teritoriale de management al situațiilor de criză se constituie prin dispoziția președintelui raionului (municipiului Chișinău, Bălți, UTA Găgăuzia)”. Art. 37 alin.(6) din Legea nr. 248/2025 privind managementul situațiilor de criză prevede „Înființarea și asigurarea funcționării centrelor operaționale de coordonare (COC) care vor sprijini activitatea comisiilor regionale sau teritoriale de management al situațiilor de criză cad în sarcina Ministerului Afacerilor Interne.”</w:t>
            </w:r>
            <w:r>
              <w:t xml:space="preserve"> </w:t>
            </w:r>
            <w:r>
              <w:rPr>
                <w:color w:val="000000"/>
              </w:rPr>
              <w:t>Respectiv, propunem revizuirea și aducerea în concordanță a pct. 35, pct.36-55 din Anexa nr.2 la proiectul hotărârii de Guvern cu prevederile art. 37 alin.(6) din Legea nr. 248/2025.</w:t>
            </w:r>
          </w:p>
        </w:tc>
        <w:tc>
          <w:tcPr>
            <w:tcW w:w="3402" w:type="dxa"/>
          </w:tcPr>
          <w:p w:rsidR="005E5E23" w:rsidRDefault="00000000">
            <w:pPr>
              <w:rPr>
                <w:color w:val="000000"/>
              </w:rPr>
            </w:pPr>
            <w:r>
              <w:rPr>
                <w:color w:val="000000"/>
              </w:rPr>
              <w:t>Proiect redactat în comun cu MAI/co</w:t>
            </w:r>
            <w:r>
              <w:t>redactori</w:t>
            </w:r>
          </w:p>
        </w:tc>
      </w:tr>
      <w:tr w:rsidR="005E5E23">
        <w:trPr>
          <w:trHeight w:val="315"/>
        </w:trPr>
        <w:tc>
          <w:tcPr>
            <w:tcW w:w="1838" w:type="dxa"/>
            <w:shd w:val="clear" w:color="auto" w:fill="00B0F0"/>
          </w:tcPr>
          <w:p w:rsidR="005E5E23" w:rsidRDefault="005E5E23">
            <w:pPr>
              <w:rPr>
                <w:color w:val="000000"/>
              </w:rPr>
            </w:pPr>
          </w:p>
        </w:tc>
        <w:tc>
          <w:tcPr>
            <w:tcW w:w="567" w:type="dxa"/>
            <w:shd w:val="clear" w:color="auto" w:fill="00B0F0"/>
          </w:tcPr>
          <w:p w:rsidR="005E5E23" w:rsidRDefault="005E5E23">
            <w:pPr>
              <w:rPr>
                <w:color w:val="000000"/>
              </w:rPr>
            </w:pPr>
          </w:p>
        </w:tc>
        <w:tc>
          <w:tcPr>
            <w:tcW w:w="7088" w:type="dxa"/>
            <w:shd w:val="clear" w:color="auto" w:fill="00B0F0"/>
          </w:tcPr>
          <w:p w:rsidR="005E5E23" w:rsidRDefault="005E5E23">
            <w:pPr>
              <w:rPr>
                <w:color w:val="000000"/>
              </w:rPr>
            </w:pPr>
          </w:p>
        </w:tc>
        <w:tc>
          <w:tcPr>
            <w:tcW w:w="3402" w:type="dxa"/>
            <w:shd w:val="clear" w:color="auto" w:fill="00B0F0"/>
          </w:tcPr>
          <w:p w:rsidR="005E5E23" w:rsidRDefault="005E5E23">
            <w:pPr>
              <w:rPr>
                <w:color w:val="000000"/>
              </w:rPr>
            </w:pPr>
          </w:p>
        </w:tc>
      </w:tr>
      <w:tr w:rsidR="005E5E23">
        <w:trPr>
          <w:trHeight w:val="315"/>
        </w:trPr>
        <w:tc>
          <w:tcPr>
            <w:tcW w:w="1838" w:type="dxa"/>
          </w:tcPr>
          <w:p w:rsidR="005E5E23" w:rsidRDefault="00000000">
            <w:r>
              <w:t xml:space="preserve">Ministerul Afacerilor Externe al Republicii Moldova </w:t>
            </w:r>
          </w:p>
          <w:p w:rsidR="005E5E23" w:rsidRDefault="00000000">
            <w:pPr>
              <w:rPr>
                <w:i/>
                <w:iCs/>
                <w:color w:val="000000"/>
              </w:rPr>
            </w:pPr>
            <w:r>
              <w:rPr>
                <w:i/>
                <w:iCs/>
              </w:rPr>
              <w:t>(Nr. DI/3/041-4258 din 15.04.2026)</w:t>
            </w:r>
          </w:p>
        </w:tc>
        <w:tc>
          <w:tcPr>
            <w:tcW w:w="567" w:type="dxa"/>
          </w:tcPr>
          <w:p w:rsidR="005E5E23" w:rsidRDefault="005E5E23">
            <w:pPr>
              <w:numPr>
                <w:ilvl w:val="0"/>
                <w:numId w:val="11"/>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 xml:space="preserve">Se consideră judicioasă includerea Viceprim-ministrului, Ministrului afacerilor externe în componența Comisiei Naționale de Management al Crizelor (în continuare – CNMC), prevăzută la pct. 8 din proiectul Regulamentului de organizare și funcționare a CNMC, având în vedere caracterul multidimensional al crizelor contemporane. </w:t>
            </w:r>
            <w:r>
              <w:t>Această necesitate derivă din imperativul de implicare sau coordonare diplomatică și/sau strategică a unor crize, care pot exceda caracterul național al acestora, cum ar fi comunicarea cu partenerii externi, accelerarea negocierilor pentru asistență externă, facilitarea ajutoarelor internaționale, etc. Totodată, întrucât atribuțiile CNMC pe dimensiunea externă sunt deja prevăzute la pct. 12.15. din proiectul Regulamentului, includerea Viceprim-ministrului, Ministerului afacerilor externe în componența acesteia devine necesară și justificată.</w:t>
            </w:r>
          </w:p>
        </w:tc>
        <w:tc>
          <w:tcPr>
            <w:tcW w:w="3402" w:type="dxa"/>
          </w:tcPr>
          <w:p w:rsidR="005E5E23" w:rsidRDefault="00000000">
            <w:pPr>
              <w:rPr>
                <w:i/>
                <w:iCs/>
              </w:rPr>
            </w:pPr>
            <w:r>
              <w:t>Nu se acceptă, conform pct. 8</w:t>
            </w:r>
            <w:r>
              <w:rPr>
                <w:i/>
                <w:iCs/>
              </w:rPr>
              <w:t>.  „În funcție de natura, amploarea și domeniul de manifestare al crizei, la ședințele Comisiei pot fi invitați membri cu drept de vot, de către președintele acesteia:</w:t>
            </w:r>
          </w:p>
          <w:p w:rsidR="005E5E23" w:rsidRDefault="00000000">
            <w:pPr>
              <w:tabs>
                <w:tab w:val="right" w:pos="1440"/>
                <w:tab w:val="left" w:pos="901"/>
                <w:tab w:val="center" w:pos="810"/>
                <w:tab w:val="left" w:pos="720"/>
                <w:tab w:val="left" w:pos="709"/>
                <w:tab w:val="left" w:pos="855"/>
                <w:tab w:val="left" w:pos="993"/>
                <w:tab w:val="left" w:pos="1701"/>
              </w:tabs>
              <w:ind w:firstLine="709"/>
            </w:pPr>
            <w:r>
              <w:rPr>
                <w:i/>
                <w:iCs/>
              </w:rPr>
              <w:t>8.1 alți membri ai Guvernului;”</w:t>
            </w:r>
          </w:p>
        </w:tc>
      </w:tr>
      <w:tr w:rsidR="005E5E23">
        <w:trPr>
          <w:trHeight w:val="315"/>
        </w:trPr>
        <w:tc>
          <w:tcPr>
            <w:tcW w:w="1838" w:type="dxa"/>
            <w:shd w:val="clear" w:color="auto" w:fill="00B0F0"/>
          </w:tcPr>
          <w:p w:rsidR="005E5E23" w:rsidRDefault="005E5E23">
            <w:pPr>
              <w:rPr>
                <w:color w:val="000000"/>
              </w:rPr>
            </w:pPr>
          </w:p>
        </w:tc>
        <w:tc>
          <w:tcPr>
            <w:tcW w:w="567" w:type="dxa"/>
            <w:shd w:val="clear" w:color="auto" w:fill="00B0F0"/>
          </w:tcPr>
          <w:p w:rsidR="005E5E23" w:rsidRDefault="005E5E23">
            <w:pPr>
              <w:rPr>
                <w:color w:val="000000"/>
              </w:rPr>
            </w:pPr>
          </w:p>
        </w:tc>
        <w:tc>
          <w:tcPr>
            <w:tcW w:w="7088" w:type="dxa"/>
            <w:shd w:val="clear" w:color="auto" w:fill="00B0F0"/>
          </w:tcPr>
          <w:p w:rsidR="005E5E23" w:rsidRDefault="005E5E23">
            <w:pPr>
              <w:rPr>
                <w:color w:val="000000"/>
              </w:rPr>
            </w:pPr>
          </w:p>
        </w:tc>
        <w:tc>
          <w:tcPr>
            <w:tcW w:w="3402" w:type="dxa"/>
            <w:shd w:val="clear" w:color="auto" w:fill="00B0F0"/>
          </w:tcPr>
          <w:p w:rsidR="005E5E23" w:rsidRDefault="005E5E23">
            <w:pPr>
              <w:rPr>
                <w:color w:val="000000"/>
              </w:rPr>
            </w:pPr>
          </w:p>
        </w:tc>
      </w:tr>
      <w:tr w:rsidR="005E5E23">
        <w:trPr>
          <w:trHeight w:val="315"/>
        </w:trPr>
        <w:tc>
          <w:tcPr>
            <w:tcW w:w="1838" w:type="dxa"/>
            <w:vMerge w:val="restart"/>
          </w:tcPr>
          <w:p w:rsidR="005E5E23" w:rsidRDefault="00000000">
            <w:r>
              <w:t xml:space="preserve">Ministerul Mediului al Republicii Moldova </w:t>
            </w:r>
          </w:p>
          <w:p w:rsidR="005E5E23" w:rsidRDefault="00000000">
            <w:pPr>
              <w:rPr>
                <w:i/>
                <w:iCs/>
                <w:color w:val="000000"/>
              </w:rPr>
            </w:pPr>
            <w:r>
              <w:rPr>
                <w:i/>
                <w:iCs/>
              </w:rPr>
              <w:lastRenderedPageBreak/>
              <w:t>(Nr. 13-05/1208 din 14.04.2026)</w:t>
            </w:r>
          </w:p>
          <w:p w:rsidR="005E5E23" w:rsidRDefault="005E5E23">
            <w:pPr>
              <w:rPr>
                <w:color w:val="000000"/>
              </w:rPr>
            </w:pPr>
          </w:p>
          <w:p w:rsidR="005E5E23" w:rsidRDefault="005E5E23">
            <w:pPr>
              <w:rPr>
                <w:color w:val="000000"/>
              </w:rPr>
            </w:pPr>
          </w:p>
        </w:tc>
        <w:tc>
          <w:tcPr>
            <w:tcW w:w="567" w:type="dxa"/>
          </w:tcPr>
          <w:p w:rsidR="005E5E23" w:rsidRDefault="005E5E23">
            <w:pPr>
              <w:numPr>
                <w:ilvl w:val="0"/>
                <w:numId w:val="1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 xml:space="preserve">Deși la Secțiunea a 5-a „Secretariatul Comisiei” sunt reglementate atribuțiile acestuia, proiectul nu prevede expres autoritatea responsabilă de asigurarea secretariatului Comisiei. În context, se propune completarea Secțiunii a 5-a „Secretariatul Comisiei” cu un </w:t>
            </w:r>
            <w:r>
              <w:rPr>
                <w:color w:val="000000"/>
              </w:rPr>
              <w:lastRenderedPageBreak/>
              <w:t>punct nou, cu următorul cuprins: „Centrul Național de Management al Crizelor asigură secretariatul Comisiei.”</w:t>
            </w:r>
          </w:p>
        </w:tc>
        <w:tc>
          <w:tcPr>
            <w:tcW w:w="3402" w:type="dxa"/>
          </w:tcPr>
          <w:p w:rsidR="005E5E23" w:rsidRDefault="00000000">
            <w:pPr>
              <w:rPr>
                <w:color w:val="000000"/>
              </w:rPr>
            </w:pPr>
            <w:r>
              <w:rPr>
                <w:color w:val="000000"/>
              </w:rPr>
              <w:lastRenderedPageBreak/>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Anexa 1, pct. 8: printre membrii permanenți ai Comisiei Naționale de Management al Crizelor, nu se regăsește ministrul mediului, respectiv considerăm necesar de a fi inclus.</w:t>
            </w:r>
          </w:p>
        </w:tc>
        <w:tc>
          <w:tcPr>
            <w:tcW w:w="3402" w:type="dxa"/>
          </w:tcPr>
          <w:p w:rsidR="005E5E23" w:rsidRDefault="00000000">
            <w:pPr>
              <w:rPr>
                <w:i/>
                <w:iCs/>
              </w:rPr>
            </w:pPr>
            <w:r>
              <w:t xml:space="preserve">Nu se acceptă, conform pct. 8.  </w:t>
            </w:r>
            <w:r>
              <w:rPr>
                <w:i/>
                <w:iCs/>
              </w:rPr>
              <w:t>„În funcție de natura, amploarea și domeniul de manifestare al crizei, la ședințele Comisiei pot fi invitați membri cu drept de vot, de către președintele acesteia:</w:t>
            </w:r>
          </w:p>
          <w:p w:rsidR="005E5E23" w:rsidRDefault="00000000">
            <w:pPr>
              <w:tabs>
                <w:tab w:val="right" w:pos="1440"/>
                <w:tab w:val="left" w:pos="901"/>
                <w:tab w:val="center" w:pos="810"/>
                <w:tab w:val="left" w:pos="720"/>
                <w:tab w:val="left" w:pos="709"/>
                <w:tab w:val="left" w:pos="855"/>
                <w:tab w:val="left" w:pos="993"/>
                <w:tab w:val="left" w:pos="1701"/>
              </w:tabs>
              <w:ind w:firstLine="709"/>
            </w:pPr>
            <w:r>
              <w:rPr>
                <w:i/>
                <w:iCs/>
              </w:rPr>
              <w:t>8.1 alți membri ai Guvernului;”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1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Anexa 2, pct. 18: se propune includerea în Comisiile regionale, teritoriale și locale de management al situațiilor de criză a reprezentantului IPM din teritoriu.</w:t>
            </w:r>
          </w:p>
        </w:tc>
        <w:tc>
          <w:tcPr>
            <w:tcW w:w="3402" w:type="dxa"/>
          </w:tcPr>
          <w:p w:rsidR="005E5E23" w:rsidRDefault="00000000">
            <w:pPr>
              <w:rPr>
                <w:color w:val="000000"/>
              </w:rPr>
            </w:pPr>
            <w:r>
              <w:t>Se acceptă, integrat în textul proiectului</w:t>
            </w:r>
          </w:p>
          <w:p w:rsidR="005E5E23" w:rsidRDefault="005E5E23"/>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12"/>
              </w:numPr>
              <w:pBdr>
                <w:top w:val="nil"/>
                <w:left w:val="nil"/>
                <w:bottom w:val="nil"/>
                <w:right w:val="nil"/>
                <w:between w:val="nil"/>
              </w:pBdr>
            </w:pPr>
          </w:p>
        </w:tc>
        <w:tc>
          <w:tcPr>
            <w:tcW w:w="7088" w:type="dxa"/>
          </w:tcPr>
          <w:p w:rsidR="005E5E23" w:rsidRDefault="00000000">
            <w:pPr>
              <w:rPr>
                <w:color w:val="000000"/>
              </w:rPr>
            </w:pPr>
            <w:r>
              <w:t>Suplimentar se notează că pct. 18 se repetă de 2 ori.</w:t>
            </w:r>
          </w:p>
        </w:tc>
        <w:tc>
          <w:tcPr>
            <w:tcW w:w="3402" w:type="dxa"/>
          </w:tcPr>
          <w:p w:rsidR="005E5E23" w:rsidRDefault="00000000">
            <w:pPr>
              <w:rPr>
                <w:color w:val="000000"/>
              </w:rPr>
            </w:pPr>
            <w:r>
              <w:t>Se ia act</w:t>
            </w:r>
          </w:p>
        </w:tc>
      </w:tr>
      <w:tr w:rsidR="005E5E23">
        <w:trPr>
          <w:trHeight w:val="315"/>
        </w:trPr>
        <w:tc>
          <w:tcPr>
            <w:tcW w:w="1838" w:type="dxa"/>
            <w:shd w:val="clear" w:color="auto" w:fill="00B0F0"/>
          </w:tcPr>
          <w:p w:rsidR="005E5E23" w:rsidRDefault="005E5E23">
            <w:pPr>
              <w:rPr>
                <w:color w:val="000000"/>
              </w:rPr>
            </w:pPr>
          </w:p>
        </w:tc>
        <w:tc>
          <w:tcPr>
            <w:tcW w:w="567" w:type="dxa"/>
            <w:shd w:val="clear" w:color="auto" w:fill="00B0F0"/>
          </w:tcPr>
          <w:p w:rsidR="005E5E23" w:rsidRDefault="005E5E23">
            <w:pPr>
              <w:rPr>
                <w:color w:val="000000"/>
              </w:rPr>
            </w:pPr>
          </w:p>
        </w:tc>
        <w:tc>
          <w:tcPr>
            <w:tcW w:w="7088" w:type="dxa"/>
            <w:shd w:val="clear" w:color="auto" w:fill="00B0F0"/>
          </w:tcPr>
          <w:p w:rsidR="005E5E23" w:rsidRDefault="005E5E23">
            <w:pPr>
              <w:rPr>
                <w:color w:val="000000"/>
              </w:rPr>
            </w:pPr>
          </w:p>
        </w:tc>
        <w:tc>
          <w:tcPr>
            <w:tcW w:w="3402" w:type="dxa"/>
            <w:shd w:val="clear" w:color="auto" w:fill="00B0F0"/>
          </w:tcPr>
          <w:p w:rsidR="005E5E23" w:rsidRDefault="005E5E23">
            <w:pPr>
              <w:rPr>
                <w:color w:val="000000"/>
              </w:rPr>
            </w:pPr>
          </w:p>
        </w:tc>
      </w:tr>
      <w:tr w:rsidR="005E5E23">
        <w:trPr>
          <w:trHeight w:val="315"/>
        </w:trPr>
        <w:tc>
          <w:tcPr>
            <w:tcW w:w="1838" w:type="dxa"/>
            <w:vMerge w:val="restart"/>
          </w:tcPr>
          <w:p w:rsidR="005E5E23" w:rsidRDefault="00000000">
            <w:r>
              <w:t xml:space="preserve">Ministerul Infrastructurii și Dezvoltării Regionale al Republicii Moldova </w:t>
            </w:r>
          </w:p>
          <w:p w:rsidR="005E5E23" w:rsidRDefault="00000000">
            <w:pPr>
              <w:rPr>
                <w:i/>
                <w:iCs/>
                <w:color w:val="000000"/>
              </w:rPr>
            </w:pPr>
            <w:r>
              <w:rPr>
                <w:i/>
                <w:iCs/>
              </w:rPr>
              <w:t>(Nr. 21-2090 din 22.04.2026)</w:t>
            </w:r>
          </w:p>
          <w:p w:rsidR="005E5E23" w:rsidRDefault="005E5E23">
            <w:pPr>
              <w:rPr>
                <w:color w:val="000000"/>
              </w:rPr>
            </w:pPr>
          </w:p>
        </w:tc>
        <w:tc>
          <w:tcPr>
            <w:tcW w:w="567" w:type="dxa"/>
          </w:tcPr>
          <w:p w:rsidR="005E5E23" w:rsidRDefault="005E5E23">
            <w:pPr>
              <w:numPr>
                <w:ilvl w:val="0"/>
                <w:numId w:val="13"/>
              </w:numPr>
              <w:pBdr>
                <w:top w:val="nil"/>
                <w:left w:val="nil"/>
                <w:bottom w:val="nil"/>
                <w:right w:val="nil"/>
                <w:between w:val="nil"/>
              </w:pBdr>
            </w:pPr>
          </w:p>
        </w:tc>
        <w:tc>
          <w:tcPr>
            <w:tcW w:w="7088" w:type="dxa"/>
          </w:tcPr>
          <w:p w:rsidR="005E5E23" w:rsidRDefault="00000000">
            <w:pPr>
              <w:rPr>
                <w:color w:val="000000"/>
              </w:rPr>
            </w:pPr>
            <w:r>
              <w:t>Den</w:t>
            </w:r>
            <w:r>
              <w:rPr>
                <w:color w:val="000000"/>
              </w:rPr>
              <w:t>mirea proiectului de hotărâre, urmează a fi completată cu textul „și a comisiilor teritoriale și locale de management al situațiilor de criză și a centrelor operaționale de coordonare ale acestora”, având în vedere necesitatea de a exprima în integralitate obiectul de reglementare al proiectului, în sensul art.42 alin.(2) al Legii nr.100/2017 cu privire la actele normative.</w:t>
            </w:r>
          </w:p>
        </w:tc>
        <w:tc>
          <w:tcPr>
            <w:tcW w:w="3402" w:type="dxa"/>
          </w:tcPr>
          <w:p w:rsidR="005E5E23" w:rsidRDefault="00000000">
            <w:pPr>
              <w:rPr>
                <w:color w:val="000000"/>
              </w:rPr>
            </w:pPr>
            <w:r>
              <w:t>Se acceptă, integrat în textul proiectului, în baza propunerilor din avizele autorităților..</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13"/>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pct.10 din anexa nr.1 la proiect, în vederea asigurării previzibilității normei, se va preciza dacă persoanele care vor înlocui membrii permanenți ai Comisiei Naționale de Management al Crizelor vor avea drept de vot sau nu.</w:t>
            </w:r>
          </w:p>
        </w:tc>
        <w:tc>
          <w:tcPr>
            <w:tcW w:w="3402" w:type="dxa"/>
          </w:tcPr>
          <w:p w:rsidR="005E5E23" w:rsidRDefault="00000000">
            <w:r>
              <w:t>Se acceptă, integrat în textul proiectului</w:t>
            </w:r>
          </w:p>
        </w:tc>
      </w:tr>
      <w:tr w:rsidR="005E5E23">
        <w:trPr>
          <w:trHeight w:val="315"/>
        </w:trPr>
        <w:tc>
          <w:tcPr>
            <w:tcW w:w="1838" w:type="dxa"/>
            <w:shd w:val="clear" w:color="auto" w:fill="00B0F0"/>
          </w:tcPr>
          <w:p w:rsidR="005E5E23" w:rsidRDefault="005E5E23">
            <w:pPr>
              <w:rPr>
                <w:color w:val="000000"/>
              </w:rPr>
            </w:pPr>
          </w:p>
        </w:tc>
        <w:tc>
          <w:tcPr>
            <w:tcW w:w="567" w:type="dxa"/>
            <w:shd w:val="clear" w:color="auto" w:fill="00B0F0"/>
          </w:tcPr>
          <w:p w:rsidR="005E5E23" w:rsidRDefault="005E5E23">
            <w:pPr>
              <w:rPr>
                <w:color w:val="000000"/>
              </w:rPr>
            </w:pPr>
          </w:p>
        </w:tc>
        <w:tc>
          <w:tcPr>
            <w:tcW w:w="7088" w:type="dxa"/>
            <w:shd w:val="clear" w:color="auto" w:fill="00B0F0"/>
          </w:tcPr>
          <w:p w:rsidR="005E5E23" w:rsidRDefault="005E5E23">
            <w:pPr>
              <w:rPr>
                <w:color w:val="000000"/>
              </w:rPr>
            </w:pPr>
          </w:p>
        </w:tc>
        <w:tc>
          <w:tcPr>
            <w:tcW w:w="3402" w:type="dxa"/>
            <w:shd w:val="clear" w:color="auto" w:fill="00B0F0"/>
          </w:tcPr>
          <w:p w:rsidR="005E5E23" w:rsidRDefault="005E5E23">
            <w:pPr>
              <w:rPr>
                <w:color w:val="000000"/>
              </w:rPr>
            </w:pPr>
          </w:p>
        </w:tc>
      </w:tr>
      <w:tr w:rsidR="005E5E23">
        <w:trPr>
          <w:trHeight w:val="315"/>
        </w:trPr>
        <w:tc>
          <w:tcPr>
            <w:tcW w:w="1838" w:type="dxa"/>
          </w:tcPr>
          <w:p w:rsidR="005E5E23" w:rsidRDefault="00000000">
            <w:r>
              <w:t xml:space="preserve">Ministerul Agriculturii și Industriei Alimentare al Republicii Moldova </w:t>
            </w:r>
          </w:p>
          <w:p w:rsidR="005E5E23" w:rsidRDefault="00000000">
            <w:pPr>
              <w:rPr>
                <w:i/>
                <w:iCs/>
                <w:color w:val="000000"/>
              </w:rPr>
            </w:pPr>
            <w:r>
              <w:rPr>
                <w:i/>
                <w:iCs/>
              </w:rPr>
              <w:lastRenderedPageBreak/>
              <w:t>(Nr. 23-02/1157 din 21.04.2026)</w:t>
            </w:r>
          </w:p>
        </w:tc>
        <w:tc>
          <w:tcPr>
            <w:tcW w:w="567" w:type="dxa"/>
          </w:tcPr>
          <w:p w:rsidR="005E5E23" w:rsidRDefault="005E5E23">
            <w:pPr>
              <w:numPr>
                <w:ilvl w:val="0"/>
                <w:numId w:val="1"/>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 xml:space="preserve">Totodată, în vederea asigurării unei abordări integrate și eficiente, se recomandă completarea componenței Comisiei Naționale de Management al Crizelor prin includerea Ministerului Agriculturii și Industriei Alimentare. </w:t>
            </w:r>
            <w:r>
              <w:t xml:space="preserve">Necesitatea acestei completări rezultă din prevederile art. 2 din Legea nr. 248/2025, potrivit cărora incidentele, urgențele și crizele pot afecta, inclusiv, economia națională și </w:t>
            </w:r>
            <w:r>
              <w:lastRenderedPageBreak/>
              <w:t>securitatea livrării de bunuri și servicii esențiale. În acest context, domeniul agriculturii are un impact direct asupra acestor componente, în special asupra securității aprovizionării cu produse alimentare. În concluzie, se recomandă ajustarea proiectului în sensul includerii Ministerului Agriculturii și Industriei Alimentare în componența Comisiei Naționale de Management al Crizelor.</w:t>
            </w:r>
          </w:p>
        </w:tc>
        <w:tc>
          <w:tcPr>
            <w:tcW w:w="3402" w:type="dxa"/>
          </w:tcPr>
          <w:p w:rsidR="005E5E23" w:rsidRDefault="00000000">
            <w:pPr>
              <w:rPr>
                <w:i/>
                <w:iCs/>
              </w:rPr>
            </w:pPr>
            <w:r>
              <w:lastRenderedPageBreak/>
              <w:t xml:space="preserve">Nu se acceptă, conform pct. 8.  </w:t>
            </w:r>
            <w:r>
              <w:rPr>
                <w:i/>
                <w:iCs/>
              </w:rPr>
              <w:t xml:space="preserve">„În funcție de natura, amploarea și domeniul de manifestare al crizei, la ședințele Comisiei pot fi invitați </w:t>
            </w:r>
            <w:r>
              <w:rPr>
                <w:i/>
                <w:iCs/>
              </w:rPr>
              <w:lastRenderedPageBreak/>
              <w:t>membri cu drept de vot, de către președintele acesteia:</w:t>
            </w:r>
          </w:p>
          <w:p w:rsidR="005E5E23" w:rsidRDefault="00000000">
            <w:pPr>
              <w:tabs>
                <w:tab w:val="right" w:pos="1440"/>
                <w:tab w:val="left" w:pos="901"/>
                <w:tab w:val="center" w:pos="810"/>
                <w:tab w:val="left" w:pos="720"/>
                <w:tab w:val="left" w:pos="709"/>
                <w:tab w:val="left" w:pos="855"/>
                <w:tab w:val="left" w:pos="993"/>
                <w:tab w:val="left" w:pos="1701"/>
              </w:tabs>
              <w:ind w:firstLine="709"/>
            </w:pPr>
            <w:r>
              <w:rPr>
                <w:i/>
                <w:iCs/>
              </w:rPr>
              <w:t>8.1 alți membri ai Guvernului;”</w:t>
            </w:r>
          </w:p>
        </w:tc>
      </w:tr>
      <w:tr w:rsidR="005E5E23">
        <w:trPr>
          <w:trHeight w:val="315"/>
        </w:trPr>
        <w:tc>
          <w:tcPr>
            <w:tcW w:w="1838" w:type="dxa"/>
            <w:shd w:val="clear" w:color="auto" w:fill="00B0F0"/>
          </w:tcPr>
          <w:p w:rsidR="005E5E23" w:rsidRDefault="005E5E23">
            <w:pPr>
              <w:rPr>
                <w:color w:val="000000"/>
              </w:rPr>
            </w:pPr>
          </w:p>
        </w:tc>
        <w:tc>
          <w:tcPr>
            <w:tcW w:w="567" w:type="dxa"/>
            <w:shd w:val="clear" w:color="auto" w:fill="00B0F0"/>
          </w:tcPr>
          <w:p w:rsidR="005E5E23" w:rsidRDefault="005E5E23">
            <w:pPr>
              <w:rPr>
                <w:color w:val="000000"/>
              </w:rPr>
            </w:pPr>
          </w:p>
        </w:tc>
        <w:tc>
          <w:tcPr>
            <w:tcW w:w="7088" w:type="dxa"/>
            <w:shd w:val="clear" w:color="auto" w:fill="00B0F0"/>
          </w:tcPr>
          <w:p w:rsidR="005E5E23" w:rsidRDefault="005E5E23">
            <w:pPr>
              <w:rPr>
                <w:color w:val="000000"/>
              </w:rPr>
            </w:pPr>
          </w:p>
        </w:tc>
        <w:tc>
          <w:tcPr>
            <w:tcW w:w="3402" w:type="dxa"/>
            <w:shd w:val="clear" w:color="auto" w:fill="00B0F0"/>
          </w:tcPr>
          <w:p w:rsidR="005E5E23" w:rsidRDefault="005E5E23">
            <w:pPr>
              <w:rPr>
                <w:color w:val="000000"/>
              </w:rPr>
            </w:pPr>
          </w:p>
        </w:tc>
      </w:tr>
      <w:tr w:rsidR="005E5E23">
        <w:trPr>
          <w:trHeight w:val="315"/>
        </w:trPr>
        <w:tc>
          <w:tcPr>
            <w:tcW w:w="1838" w:type="dxa"/>
            <w:vMerge w:val="restart"/>
          </w:tcPr>
          <w:p w:rsidR="005E5E23" w:rsidRDefault="00000000">
            <w:r>
              <w:t xml:space="preserve">Ministerul Justiției al Republicii Moldova </w:t>
            </w:r>
          </w:p>
          <w:p w:rsidR="005E5E23" w:rsidRDefault="00000000">
            <w:pPr>
              <w:rPr>
                <w:i/>
                <w:iCs/>
                <w:color w:val="000000"/>
              </w:rPr>
            </w:pPr>
            <w:r>
              <w:rPr>
                <w:i/>
                <w:iCs/>
              </w:rPr>
              <w:t>(Nr. 04/1-4436 din 23.04.2026)</w:t>
            </w:r>
          </w:p>
          <w:p w:rsidR="005E5E23" w:rsidRDefault="005E5E23">
            <w:pPr>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Sbp. 2.2 din proiectul hotărârii care stabilește aprobarea Regulamentului-cadru privind organizarea și funcționarea comisiilor teritoriale și locale de management al situațiilor de criză și a centrelor operaționale de coordonare ale acestora, se va examina suplimentar prin prisma art. 35 și 37 din Legea nr. 248/2025.</w:t>
            </w:r>
          </w:p>
        </w:tc>
        <w:tc>
          <w:tcPr>
            <w:tcW w:w="3402" w:type="dxa"/>
          </w:tcPr>
          <w:p w:rsidR="005E5E23" w:rsidRDefault="00000000">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În măsura în care normele legale menționate instituie competența Guvernului de a aproba regulamente distincte de funcționare pentru comisiile de management al situațiilor de criză, aprobarea unui regulament-cadru unic ar putea să nu asigure executarea deplină și conformă a legii.</w:t>
            </w:r>
          </w:p>
        </w:tc>
        <w:tc>
          <w:tcPr>
            <w:tcW w:w="3402" w:type="dxa"/>
          </w:tcPr>
          <w:p w:rsidR="005E5E23" w:rsidRDefault="00000000">
            <w:pPr>
              <w:rPr>
                <w:color w:val="000000"/>
              </w:rPr>
            </w:pPr>
            <w:r>
              <w:t>Se ia act.</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rPr>
                <w:color w:val="000000"/>
              </w:rPr>
            </w:pPr>
          </w:p>
        </w:tc>
        <w:tc>
          <w:tcPr>
            <w:tcW w:w="7088" w:type="dxa"/>
          </w:tcPr>
          <w:p w:rsidR="005E5E23" w:rsidRDefault="00000000">
            <w:pPr>
              <w:rPr>
                <w:color w:val="000000"/>
              </w:rPr>
            </w:pPr>
            <w:r>
              <w:rPr>
                <w:color w:val="000000"/>
              </w:rPr>
              <w:t>La Anexa nr. 1:</w:t>
            </w:r>
          </w:p>
        </w:tc>
        <w:tc>
          <w:tcPr>
            <w:tcW w:w="3402" w:type="dxa"/>
          </w:tcPr>
          <w:p w:rsidR="005E5E23" w:rsidRDefault="005E5E23">
            <w:pPr>
              <w:rPr>
                <w:color w:val="000000"/>
              </w:rPr>
            </w:pP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 4, norma este lipsită de densitate normativă, motiv pentru care se recomandă a fi exclusă.</w:t>
            </w:r>
          </w:p>
        </w:tc>
        <w:tc>
          <w:tcPr>
            <w:tcW w:w="3402" w:type="dxa"/>
          </w:tcPr>
          <w:p w:rsidR="005E5E23" w:rsidRDefault="00000000">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 10, norma se va reformula, deoarece în varianta propusă contravine principiilor tehnicii legislative.</w:t>
            </w:r>
          </w:p>
        </w:tc>
        <w:tc>
          <w:tcPr>
            <w:tcW w:w="3402" w:type="dxa"/>
          </w:tcPr>
          <w:p w:rsidR="005E5E23" w:rsidRDefault="00000000">
            <w:pPr>
              <w:tabs>
                <w:tab w:val="right" w:pos="1440"/>
                <w:tab w:val="left" w:pos="901"/>
                <w:tab w:val="center" w:pos="810"/>
                <w:tab w:val="left" w:pos="720"/>
                <w:tab w:val="left" w:pos="709"/>
                <w:tab w:val="left" w:pos="855"/>
                <w:tab w:val="left" w:pos="993"/>
                <w:tab w:val="left" w:pos="1701"/>
              </w:tabs>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12.2, norma se va aduce în concordanță cu prevederile art. 34 din Legea nr. 248/2025 privind managementul situațiilor de criză.</w:t>
            </w:r>
          </w:p>
        </w:tc>
        <w:tc>
          <w:tcPr>
            <w:tcW w:w="3402" w:type="dxa"/>
          </w:tcPr>
          <w:p w:rsidR="005E5E23" w:rsidRDefault="00000000">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12.3, din cuprinsul normei se va exclude termenul „situații de contingență”.</w:t>
            </w:r>
          </w:p>
        </w:tc>
        <w:tc>
          <w:tcPr>
            <w:tcW w:w="3402" w:type="dxa"/>
          </w:tcPr>
          <w:p w:rsidR="005E5E23" w:rsidRDefault="00000000">
            <w:r>
              <w:t>Se acceptă parțial,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12.7, expresia „formulează propuneri către” se propune a fi substituită cu „propune”.</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12.13, se va analiza oportunitatea menținerii termenului „dezbate”.</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Norma de la sbp. 12.16 se va exclude deoarece depășește limitele de competență stabilite prin Legea nr. 248/2025.</w:t>
            </w:r>
          </w:p>
        </w:tc>
        <w:tc>
          <w:tcPr>
            <w:tcW w:w="3402" w:type="dxa"/>
          </w:tcPr>
          <w:p w:rsidR="005E5E23" w:rsidRDefault="00000000">
            <w:r>
              <w:t>Se acceptă parțial, expus în redacție nouă,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Pct. 15 se va exclude, deoarece nu respectă normele de tehnică legislativă privind evitarea paralelismelor.</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18.3, propunem substituirea cuvintelor „formulează opțiuni” cu „propune opțiuni de răspuns”.</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Cu referire la modalitățile de convocare a Comisiei reglementate la pct. 20 și sbp. 20.1, se vor reține următoarele.</w:t>
            </w:r>
          </w:p>
        </w:tc>
        <w:tc>
          <w:tcPr>
            <w:tcW w:w="3402" w:type="dxa"/>
          </w:tcPr>
          <w:p w:rsidR="005E5E23" w:rsidRDefault="005E5E23">
            <w:pPr>
              <w:rPr>
                <w:color w:val="000000"/>
              </w:rPr>
            </w:pP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Art. 35 alin. (2) din Legea nr. 248/2025 stabilește că Comisia se reunește la convocarea Prim-ministrului ori de câte ori este nevoie.</w:t>
            </w:r>
          </w:p>
          <w:p w:rsidR="005E5E23" w:rsidRDefault="00000000">
            <w:r>
              <w:t>Astfel, pentru a asigura legalitatea, pct. 20 și sbp. 20.1 se vor comasa astfel încât să preia fidel mecanismul stabilit în Legea nr. 248/2025.</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 41, termenii „actori statali sau non-statali” se vor substitui cu termenii „amenințare internă sau externă”.</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pPr>
              <w:rPr>
                <w:color w:val="000000"/>
              </w:rPr>
            </w:pPr>
            <w:r>
              <w:rPr>
                <w:color w:val="000000"/>
              </w:rPr>
              <w:t>La Anexa nr. 2:</w:t>
            </w:r>
          </w:p>
        </w:tc>
        <w:tc>
          <w:tcPr>
            <w:tcW w:w="3402" w:type="dxa"/>
          </w:tcPr>
          <w:p w:rsidR="005E5E23" w:rsidRDefault="005E5E23">
            <w:pPr>
              <w:rPr>
                <w:color w:val="000000"/>
              </w:rPr>
            </w:pP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 2, autorul stabilește forma abreviată a denumirii Comisiilor regionale, teritoriale și locale.</w:t>
            </w:r>
          </w:p>
        </w:tc>
        <w:tc>
          <w:tcPr>
            <w:tcW w:w="3402" w:type="dxa"/>
          </w:tcPr>
          <w:p w:rsidR="005E5E23" w:rsidRDefault="00000000">
            <w:pPr>
              <w:rPr>
                <w:color w:val="000000"/>
              </w:rPr>
            </w:pPr>
            <w:r>
              <w:rPr>
                <w:color w:val="000000"/>
              </w:rPr>
              <w:t>Se ia act</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Norma de la pct. 13 se va exclude în contextul în care la pct. 3 din Hotărâre este deja stabilit un termen de 30 de zile.</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pct. 18 (expus a doua oară), se vor revizui trimiterile.</w:t>
            </w:r>
          </w:p>
        </w:tc>
        <w:tc>
          <w:tcPr>
            <w:tcW w:w="3402" w:type="dxa"/>
          </w:tcPr>
          <w:p w:rsidR="005E5E23" w:rsidRDefault="00000000">
            <w:pPr>
              <w:rPr>
                <w:color w:val="000000"/>
              </w:rPr>
            </w:pPr>
            <w:r>
              <w:rPr>
                <w:color w:val="000000"/>
              </w:rPr>
              <w:t>Se ia act</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r>
              <w:rPr>
                <w:color w:val="000000"/>
              </w:rPr>
              <w:t>Cu referire la pct. 22 se va reține că norma de la pct. 20 din proiect soluționează deja necesitatea de flexibilitate.</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În acest context, norma de la pct. 22 se va exclude.</w:t>
            </w:r>
          </w:p>
        </w:tc>
        <w:tc>
          <w:tcPr>
            <w:tcW w:w="3402" w:type="dxa"/>
          </w:tcPr>
          <w:p w:rsidR="005E5E23" w:rsidRDefault="00000000">
            <w:pPr>
              <w:rPr>
                <w:color w:val="000000"/>
              </w:rPr>
            </w:pPr>
            <w:r>
              <w:t>Se acceptă, în redacție nouă</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rPr>
                <w:color w:val="000000"/>
              </w:rPr>
            </w:pPr>
          </w:p>
        </w:tc>
        <w:tc>
          <w:tcPr>
            <w:tcW w:w="7088" w:type="dxa"/>
          </w:tcPr>
          <w:p w:rsidR="005E5E23" w:rsidRDefault="00000000">
            <w:pPr>
              <w:rPr>
                <w:color w:val="000000"/>
              </w:rPr>
            </w:pPr>
            <w:r>
              <w:rPr>
                <w:color w:val="000000"/>
              </w:rPr>
              <w:t>La Anexa nr. 3:</w:t>
            </w:r>
          </w:p>
        </w:tc>
        <w:tc>
          <w:tcPr>
            <w:tcW w:w="3402" w:type="dxa"/>
          </w:tcPr>
          <w:p w:rsidR="005E5E23" w:rsidRDefault="005E5E23">
            <w:pPr>
              <w:rPr>
                <w:color w:val="000000"/>
              </w:rPr>
            </w:pP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1.5.1.1 cuvântul „sintagma” se va substitui cu „cuvintele”.</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La sbp. 1.5.1.3, cuvintele „la orice formă gramaticală corespunzătoare” se vor substitui.</w:t>
            </w:r>
          </w:p>
        </w:tc>
        <w:tc>
          <w:tcPr>
            <w:tcW w:w="3402" w:type="dxa"/>
          </w:tcPr>
          <w:p w:rsidR="005E5E23" w:rsidRDefault="00000000">
            <w:pPr>
              <w:rPr>
                <w:color w:val="000000"/>
              </w:rPr>
            </w:pPr>
            <w:r>
              <w:t>Se acceptă, integrat în textul proiectului</w:t>
            </w:r>
          </w:p>
        </w:tc>
      </w:tr>
      <w:tr w:rsidR="005E5E23">
        <w:trPr>
          <w:trHeight w:val="315"/>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2"/>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Suplimentar, la definitivarea proiectului, se va revizui numerotarea punctelor și subpunctelor.</w:t>
            </w:r>
          </w:p>
        </w:tc>
        <w:tc>
          <w:tcPr>
            <w:tcW w:w="3402" w:type="dxa"/>
          </w:tcPr>
          <w:p w:rsidR="005E5E23" w:rsidRDefault="00000000">
            <w:pPr>
              <w:rPr>
                <w:color w:val="000000"/>
              </w:rPr>
            </w:pPr>
            <w:r>
              <w:rPr>
                <w:color w:val="000000"/>
              </w:rPr>
              <w:t>Se ia act</w:t>
            </w:r>
          </w:p>
        </w:tc>
      </w:tr>
      <w:tr w:rsidR="005E5E23">
        <w:trPr>
          <w:trHeight w:val="315"/>
        </w:trPr>
        <w:tc>
          <w:tcPr>
            <w:tcW w:w="1838" w:type="dxa"/>
            <w:shd w:val="clear" w:color="auto" w:fill="00B0F0"/>
          </w:tcPr>
          <w:p w:rsidR="005E5E23" w:rsidRDefault="005E5E23">
            <w:pPr>
              <w:rPr>
                <w:color w:val="000000"/>
              </w:rPr>
            </w:pPr>
          </w:p>
        </w:tc>
        <w:tc>
          <w:tcPr>
            <w:tcW w:w="567" w:type="dxa"/>
            <w:shd w:val="clear" w:color="auto" w:fill="00B0F0"/>
          </w:tcPr>
          <w:p w:rsidR="005E5E23" w:rsidRDefault="005E5E23">
            <w:pPr>
              <w:rPr>
                <w:color w:val="000000"/>
              </w:rPr>
            </w:pPr>
          </w:p>
        </w:tc>
        <w:tc>
          <w:tcPr>
            <w:tcW w:w="7088" w:type="dxa"/>
            <w:shd w:val="clear" w:color="auto" w:fill="00B0F0"/>
          </w:tcPr>
          <w:p w:rsidR="005E5E23" w:rsidRDefault="005E5E23">
            <w:pPr>
              <w:rPr>
                <w:color w:val="000000"/>
              </w:rPr>
            </w:pPr>
          </w:p>
        </w:tc>
        <w:tc>
          <w:tcPr>
            <w:tcW w:w="3402" w:type="dxa"/>
            <w:shd w:val="clear" w:color="auto" w:fill="00B0F0"/>
          </w:tcPr>
          <w:p w:rsidR="005E5E23" w:rsidRDefault="005E5E23">
            <w:pPr>
              <w:rPr>
                <w:color w:val="000000"/>
              </w:rPr>
            </w:pPr>
          </w:p>
        </w:tc>
      </w:tr>
      <w:tr w:rsidR="005E5E23">
        <w:trPr>
          <w:trHeight w:val="113"/>
        </w:trPr>
        <w:tc>
          <w:tcPr>
            <w:tcW w:w="1838" w:type="dxa"/>
            <w:vMerge w:val="restart"/>
          </w:tcPr>
          <w:p w:rsidR="005E5E23" w:rsidRDefault="00000000">
            <w:r>
              <w:t xml:space="preserve">Ministerul Afacerilor Interne al </w:t>
            </w:r>
            <w:r>
              <w:lastRenderedPageBreak/>
              <w:t xml:space="preserve">Republicii Moldova  </w:t>
            </w:r>
          </w:p>
          <w:p w:rsidR="005E5E23" w:rsidRDefault="00000000">
            <w:pPr>
              <w:rPr>
                <w:i/>
                <w:iCs/>
              </w:rPr>
            </w:pPr>
            <w:r>
              <w:rPr>
                <w:i/>
                <w:iCs/>
              </w:rPr>
              <w:t>(Nr. 30/1566 din 21.04.2026)</w:t>
            </w: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I. La proiectul hotărârii.</w:t>
            </w:r>
          </w:p>
        </w:tc>
        <w:tc>
          <w:tcPr>
            <w:tcW w:w="3402" w:type="dxa"/>
          </w:tcPr>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Se recomandă reformularea titlului proiectului, deoarece denumirea propusă de autor este restrictivă și nu acoperă totalitatea </w:t>
            </w:r>
            <w:r>
              <w:lastRenderedPageBreak/>
              <w:t>reglementărilor cuprinse în text (</w:t>
            </w:r>
            <w:r>
              <w:rPr>
                <w:i/>
                <w:iCs/>
              </w:rPr>
              <w:t>în special prevederile referitoare la nivelurile teritoriale și locale de management al crizelor</w:t>
            </w:r>
            <w:r>
              <w:t xml:space="preserve">). Pentru asigurarea rigorii terminologice, titlul trebuie extins astfel încât să cuprindă întregul domeniu de aplicare al intervenției normative. În acest sens, se propune următoarea denumire: </w:t>
            </w:r>
            <w:r>
              <w:rPr>
                <w:i/>
                <w:iCs/>
              </w:rPr>
              <w:t>„Hotărârea de Guvern cu privire la constituirea, organizarea și funcționarea comisiilor de management al situațiilor de criză la nivel național, regional și local”</w:t>
            </w:r>
            <w:r>
              <w:t>. Această formulare cuprinde și reflectă întregul spectru ierarhic al structurilor vizate (</w:t>
            </w:r>
            <w:r>
              <w:rPr>
                <w:i/>
                <w:iCs/>
              </w:rPr>
              <w:t>național, regional și local</w:t>
            </w:r>
            <w:r>
              <w:t xml:space="preserve">), asigurând astfel claritatea normativă, sau în următoarea redacție: </w:t>
            </w:r>
            <w:r>
              <w:rPr>
                <w:i/>
                <w:iCs/>
              </w:rPr>
              <w:t xml:space="preserve">„cu privire la constituirea și organizarea activității Comisiei Naționale de Management al Crizelor, Comisiilor regionale, teritoriale, locale de management al situațiilor de criză și a Centrelor operaționale de coordonare ale acestora.”. </w:t>
            </w:r>
            <w:r>
              <w:t>Totodată, denumirea propusă va reflecta intenția autorului proiectului de a unifica într-un singur cadru normativ, mecanismele de organizare prevăzute la                art. 35 și 37 din Legea nr. 248/2025 privind managementul situațiilor de criză.</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Suplimentar, se propune aprobarea componenței Comisiei Naționale de Management al Crizelor (în continuare - Comisia) prin anexă distinctă pentru a asigura o mai mare flexibilitate operațională, permițând actualizarea rapidă a listei membrilor în cazul survenirii unor schimbări fără a afecta stabilitatea normativă a Regulamentului de funcționare a comisiei vizate.</w:t>
            </w:r>
          </w:p>
        </w:tc>
        <w:tc>
          <w:tcPr>
            <w:tcW w:w="3402" w:type="dxa"/>
          </w:tcPr>
          <w:p w:rsidR="005E5E23" w:rsidRDefault="00000000">
            <w:r>
              <w:t>Nu se acceptă. Modificarea componenței Comisiei este suficient de flexibilă pentru a nu necesita modificarea frecventă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2. și 3. - în partea dispozitivă a proiectului, se propune revizuirea subpct. 2.2. și a pct. 3., întrucât acestea fac referire doar la „</w:t>
            </w:r>
            <w:r>
              <w:rPr>
                <w:i/>
                <w:iCs/>
              </w:rPr>
              <w:t>comisiile teritoriale și locale de management al situațiilor de criză</w:t>
            </w:r>
            <w:r>
              <w:t>”, deși, potrivit art. 35 alin. (5) și art. 37 alin. (3) din Legea nr. 248/2025 privind managementul situațiilor de criză, mecanismul instituțional include și comisiile regionale. În acest sens, se recomandă completarea prevederilor respective prin includerea expresă în următoarea redacție:</w:t>
            </w:r>
          </w:p>
          <w:p w:rsidR="005E5E23" w:rsidRDefault="00000000">
            <w:r>
              <w:t>„</w:t>
            </w:r>
            <w:r>
              <w:rPr>
                <w:i/>
                <w:iCs/>
              </w:rPr>
              <w:t xml:space="preserve">2.2. Regulamentul-cadru privind organizarea și funcționarea comisiilor regionale, teritoriale și locale de management al situațiilor de criză și a centrelor operaționale de coordonare ale acestora, </w:t>
            </w:r>
            <w:r>
              <w:rPr>
                <w:i/>
                <w:iCs/>
              </w:rPr>
              <w:lastRenderedPageBreak/>
              <w:t>conform anexei nr. 2.</w:t>
            </w:r>
            <w:r>
              <w:t>”, pentru asigurarea corelării cu prevederile legii și cu conținutul anexei nr. 2.</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Se impune asigurarea concordanței și uniformității terminologice cu denumirea propriu-zisă a anexei nr. 2. De asemenea, în temeiul art. 54 alin. (1) c) din Legea       nr. 100/2017 cu privire la actele normative, se impune utilizarea constantă și uniformă a terminologiei, astfel fiind necesară uniformizarea pe întregul conținut al documentului a termenilor </w:t>
            </w:r>
            <w:r>
              <w:rPr>
                <w:i/>
                <w:iCs/>
              </w:rPr>
              <w:t xml:space="preserve">,,Comisie”, ,,Comisiilor”, ,,Centrului” </w:t>
            </w:r>
            <w:r>
              <w:t xml:space="preserve">(cu majusculă), întrucât în cuprinsul proiectului se utilizează inclusiv forme precum </w:t>
            </w:r>
            <w:r>
              <w:rPr>
                <w:i/>
                <w:iCs/>
              </w:rPr>
              <w:t>„comisii”, ,,comisiilor”, ,,centrului”.</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II. La anexa nr. 1, Regulamentul de organizare și funcționare a Comisiei Naționale de Management al Crizelor (anexa nr. 1 la proiectul Hotărârii de Guvern).</w:t>
            </w:r>
          </w:p>
        </w:tc>
        <w:tc>
          <w:tcPr>
            <w:tcW w:w="3402" w:type="dxa"/>
          </w:tcPr>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Denumirea Regulamentului, conform anexei nr. 1 la proiectul Hotărârii de Guvern, urmează a fi modificată, astfel încât să fie în concordanță cu pct. 2. subpct. 2.1. din proiectul hotărârii de Guvern.</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4. - sunt constatate deficiențe de redactare care afectează claritatea și corectitudinea normei juridice. Spre exemplu, la pct. 4. din Regulament, formularea „</w:t>
            </w:r>
            <w:r>
              <w:rPr>
                <w:i/>
                <w:iCs/>
              </w:rPr>
              <w:t>Comisia își desfășoară activitatea în conformitate Constituția</w:t>
            </w:r>
            <w:r>
              <w:t xml:space="preserve">” este eronată din punct de vedere gramatical, lipsind prepoziția </w:t>
            </w:r>
            <w:r>
              <w:rPr>
                <w:i/>
                <w:iCs/>
              </w:rPr>
              <w:t>„cu”</w:t>
            </w:r>
            <w:r>
              <w:t>, ceea ce contravine exigențelor de tehnică legislativă privind corectitudinea lingvistică.</w:t>
            </w:r>
          </w:p>
        </w:tc>
        <w:tc>
          <w:tcPr>
            <w:tcW w:w="3402" w:type="dxa"/>
          </w:tcPr>
          <w:p w:rsidR="005E5E23" w:rsidRDefault="00000000">
            <w:r>
              <w:t>Precizare. Potrivit avizului Ministerului Justiției, pct. 4 este eliminat din proiectul HG.</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8.13. - sub aspectul tehnicii legislative, o problemă relevantă este identificată la pct. 8.13., unde este inclus un membru în componența permanentă a Comisiei „</w:t>
            </w:r>
            <w:r>
              <w:rPr>
                <w:i/>
                <w:iCs/>
              </w:rPr>
              <w:t>fără drept de vot</w:t>
            </w:r>
            <w:r>
              <w:t>”. Or, o asemenea soluție normativă este insuficient justificată și ridică probleme de coerență, întrucât includerea unui membru în componența permanentă presupune, în mod firesc, participarea la procesul decizional. Lipsa dreptului de vot ar trebui fie motivată expres (prin natura atribuțiilor, caracter consultativ etc.), fie reconsiderată poziționarea acestuia în categoria invitaților sau a membrilor consultativi.</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Totodată, se propune excluderea Capitolului II, având în vedere recomandarea anterioară de a aproba componența Comisiei prin anexă distinctă.</w:t>
            </w:r>
          </w:p>
        </w:tc>
        <w:tc>
          <w:tcPr>
            <w:tcW w:w="3402" w:type="dxa"/>
          </w:tcPr>
          <w:p w:rsidR="005E5E23" w:rsidRDefault="00000000">
            <w:r>
              <w:t>Se respinge, conceptual așa e construit proiectul, nu se acceptă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Tot aici, se subliniază necesitatea corectării statutului juridic al Prim-ministrului, având în vedere că acesta nu poate deține calitatea de membru al Comisiei și pe cea de Președinte al acesteia.</w:t>
            </w:r>
          </w:p>
          <w:p w:rsidR="005E5E23" w:rsidRDefault="00000000">
            <w:r>
              <w:t>Din punct de vedere juridic, funcția de Președinte este una de conducere și coordonare, situată ierarhic superioară componenței colective, în timp ce calitatea de membru presupune subordonare față de conducerea Comisiei. Conform art. 35 alin. (1) din Legea nr. 248/2025, Prim-ministrul prezidează Comisia Națională de Management al Crizelor, fapt ce exclude necesitatea includerii acestuia în lista membrilor, or, o persoană nu poate exercita simultan rolul de conducător și cel de subordonat în cadrul aceleiași entități decizionale.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9. - subpct. 9.3., se propune substituirea sintagmei „</w:t>
            </w:r>
            <w:r>
              <w:rPr>
                <w:i/>
                <w:iCs/>
              </w:rPr>
              <w:t>conducători ai autorităților administrației publice centrale</w:t>
            </w:r>
            <w:r>
              <w:t>” cu sintagma „</w:t>
            </w:r>
            <w:r>
              <w:rPr>
                <w:i/>
                <w:iCs/>
              </w:rPr>
              <w:t>conducători ai autorităților administrative și instituțiilor publice din subordinea autorităților administrației publice centrale</w:t>
            </w:r>
            <w:r>
              <w:t>” sau, după caz, cu o formulare echivalentă, mai clară. Sintagma utilizată nu individualizează suficient categoria subiecților vizați și poate crea confuzie între autoritățile administrației publice centrale și entitățile administrative din subordinea acestora. Pentru claritate normativă, se recomandă precizarea expresă a categoriei de conducători.</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11. - în continuare, se recomandă comasarea pct. 11. și 12. și reformularea pct. 11. prin raportare directă la cadrul legal superior, după cum urmează:</w:t>
            </w:r>
          </w:p>
          <w:p w:rsidR="005E5E23" w:rsidRDefault="00000000">
            <w:r>
              <w:rPr>
                <w:i/>
                <w:iCs/>
              </w:rPr>
              <w:t>„11. Reieșind din responsabilitățile generale prevăzute la art. 34 din Legea nr. 248/2025 privind managementul situațiilor de criză, Comisia exercită următoarele atribuții:”.</w:t>
            </w:r>
            <w:r>
              <w:t>Această abordare asigură trasabilitatea normativă și justifică competențele acordate Comisiei prin prezentul Regulament.</w:t>
            </w:r>
          </w:p>
          <w:p w:rsidR="005E5E23" w:rsidRDefault="00000000">
            <w:r>
              <w:t>Pe aceeași axă conceptuală, se propune excluderea pct. 12., iar textul „</w:t>
            </w:r>
            <w:r>
              <w:rPr>
                <w:i/>
                <w:iCs/>
              </w:rPr>
              <w:t>alte atribuții prevăzute de legislație</w:t>
            </w:r>
            <w:r>
              <w:t xml:space="preserve">” prevăzut la pct. 11. se </w:t>
            </w:r>
            <w:r>
              <w:lastRenderedPageBreak/>
              <w:t>recomandă a fi repoziționat ca ultimul subpunct al listei de atribuții.Această propunere va servi drept normă juridică de închidere care va permite Comisiei exercitarea oricăror alte competențe derivate din legislație, fără a fi necesară o enumerare exhaustivă.</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12. - în ceea ce privește atribuțiile Comisiei, anumite prevederi necesită o fundamentare explicită și o delimitare mai clară a competențelor. Astfel, subpct. 12.2. prevede că aceasta „</w:t>
            </w:r>
            <w:r>
              <w:rPr>
                <w:i/>
                <w:iCs/>
              </w:rPr>
              <w:t>emite decizii obligatorii</w:t>
            </w:r>
            <w:r>
              <w:t>” inclusiv pentru agenți economici, organizații necomerciale și cetățeni. O asemenea competență are un caracter extensiv și potențial intruziv, în lipsa unor argumentări corespunzătoare. Este necesar ca aceasta să fie corelată expres cu temeiul legal din Legea nr. 248/2025 și cu principiul legalității, or în lipsa unei delimitări clare, există riscul ca actul subordonat (hotărârea Guvernului) să depășească cadrul de reglementare stabilit prin lege. Totodată, subpct. 12.2., după cuvântul „</w:t>
            </w:r>
            <w:r>
              <w:rPr>
                <w:i/>
                <w:iCs/>
              </w:rPr>
              <w:t>alertă</w:t>
            </w:r>
            <w:r>
              <w:t>”, termenul „</w:t>
            </w:r>
            <w:r>
              <w:rPr>
                <w:i/>
                <w:iCs/>
              </w:rPr>
              <w:t>urgență</w:t>
            </w:r>
            <w:r>
              <w:t>” urmează a fi substituit cu sintagma „</w:t>
            </w:r>
            <w:r>
              <w:rPr>
                <w:i/>
                <w:iCs/>
              </w:rPr>
              <w:t>sau stării de urgență</w:t>
            </w:r>
            <w:r>
              <w:t>”, în scopul unificării terminologice cu definițiile stabilite la pct. 2 și pct. 33 din art. 2 al Legii nr. 248/2025. Aceeași completare este necesară și la subpct. 12.13.</w:t>
            </w:r>
          </w:p>
        </w:tc>
        <w:tc>
          <w:tcPr>
            <w:tcW w:w="3402" w:type="dxa"/>
          </w:tcPr>
          <w:p w:rsidR="005E5E23" w:rsidRDefault="00000000">
            <w:r>
              <w:t>Se acceptă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La subpct. 12.3. se propune revizuirea normei, deoarece aceasta utilizează sintagma „</w:t>
            </w:r>
            <w:r>
              <w:rPr>
                <w:i/>
                <w:iCs/>
              </w:rPr>
              <w:t>gestionării situațiilor de contingență</w:t>
            </w:r>
            <w:r>
              <w:t>”, noțiune care nu este definită de Legea nr. 248/2025 privind managementul situațiilor de criză.</w:t>
            </w:r>
          </w:p>
          <w:p w:rsidR="005E5E23" w:rsidRDefault="00000000">
            <w:r>
              <w:t xml:space="preserve">Suplimentar, există o neconcordanță de competență între subpct 12.3. și art. 7 alin. (1) din Legea 248/2025, care poate genera confuzie privind aprobarea actelor. Astfel, redacția propusă a subpct. 12.3. afirmă că, Comisia </w:t>
            </w:r>
            <w:r>
              <w:rPr>
                <w:i/>
                <w:iCs/>
              </w:rPr>
              <w:t>„examinează și aprobă planuri naționale”</w:t>
            </w:r>
            <w:r>
              <w:t>. Însă, art. 7 alin. (1) din Legea 248/2025, stabilește clar că, Guvernul este autoritatea care aprobă Planul Național de Management al Crizelor.</w:t>
            </w:r>
          </w:p>
          <w:p w:rsidR="005E5E23" w:rsidRDefault="00000000">
            <w:r>
              <w:t>Se propune reformularea pct. 12.3. „</w:t>
            </w:r>
            <w:r>
              <w:rPr>
                <w:i/>
                <w:iCs/>
              </w:rPr>
              <w:t>avizează planurile naționale și aprobă măsurile operative necesare prevenirii, pregătirii și răspunsului la crize, gestionării situațiilor de contingență, creșterii rezilienței naționale, asigurării continuității guvernării, furnizării de servicii esențiale și protecției infrastructurii critice”</w:t>
            </w:r>
            <w:r>
              <w:t>;</w:t>
            </w:r>
          </w:p>
          <w:p w:rsidR="005E5E23" w:rsidRDefault="00000000">
            <w:r>
              <w:lastRenderedPageBreak/>
              <w:t xml:space="preserve">sau </w:t>
            </w:r>
            <w:r>
              <w:rPr>
                <w:i/>
                <w:iCs/>
              </w:rPr>
              <w:t>„examinează și aprobă, Planurile și măsurile de răspuns la situații de criză și de recuperare după situații de criză, precum și alte măsuri operative necesare prevenirii, pregătirii, gestionării situațiilor de contingență, creșterii rezilienței naționale, asigurării continuității guvernării, furnizării de servicii esențiale și protecției infrastructurii critice”</w:t>
            </w:r>
            <w:r>
              <w:t>.</w:t>
            </w:r>
          </w:p>
        </w:tc>
        <w:tc>
          <w:tcPr>
            <w:tcW w:w="3402" w:type="dxa"/>
          </w:tcPr>
          <w:p w:rsidR="005E5E23" w:rsidRDefault="00000000">
            <w:r>
              <w:lastRenderedPageBreak/>
              <w:t>Se acceptă, integrat în textul proiectului</w:t>
            </w:r>
          </w:p>
          <w:p w:rsidR="005E5E23" w:rsidRDefault="00000000">
            <w:r>
              <w:t>Precizare. În HG se referă la diferite tipuri de planuri, altele decât cel de la art. 7 LP 248/2025</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La subpct. 12.4. se recomandă reformularea textului, deoarece noțiunile „</w:t>
            </w:r>
            <w:r>
              <w:rPr>
                <w:i/>
                <w:iCs/>
              </w:rPr>
              <w:t>coordonare strategică</w:t>
            </w:r>
            <w:r>
              <w:t>” și „</w:t>
            </w:r>
            <w:r>
              <w:rPr>
                <w:i/>
                <w:iCs/>
              </w:rPr>
              <w:t>integrarea acțiunilor de răspuns</w:t>
            </w:r>
            <w:r>
              <w:t>” nu delimitează suficient de clar competențele Comisiei în raport cu atribuțiile instituției principale. Formularea actuală este prea generală și poate genera dificultăți de interpretare în ceea ce privește raportul dintre coordonarea strategică exercitată de Comisie și conducerea operațională a intervenției exercitată de instituția principală. Pentru claritate normativă, se recomandă precizarea expresă a faptului că, rolul Comisiei vizează coordonarea strategică la nivel interinstituțional, fără afectarea conducerii operaționale. Astfel, se propune a expune textul în următoarea redacție: „</w:t>
            </w:r>
            <w:r>
              <w:rPr>
                <w:i/>
                <w:iCs/>
              </w:rPr>
              <w:t>asigură coordonarea strategică a măsurilor de răspuns la nivel interinstituțional, fără a interveni în conducerea operațională a acțiunilor, exercitată de instituția principală</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La subpct. 12.8. se propune revizuirea prevederii, întrucât formularea actuală atribuie Comisiei activități de monitorizare care, potrivit Legii nr. 248/2025 și a Regulamentului privind organizarea și funcționarea Centrului Național de Management al Crizelor, aprobat prin Hotărârea Guvernului nr. 579/2025, precum și a  pct. 34 din prezentul Regulament (</w:t>
            </w:r>
            <w:r>
              <w:rPr>
                <w:i/>
                <w:iCs/>
              </w:rPr>
              <w:t>proiect</w:t>
            </w:r>
            <w:r>
              <w:t>), revin în principal Centrului Național de Management al Crizelor.</w:t>
            </w:r>
          </w:p>
          <w:p w:rsidR="005E5E23" w:rsidRDefault="00000000">
            <w:r>
              <w:t>În acest sens, se recomandă delimitarea clară a rolului Comisiei și a rolului și atribuțiilor Centrului Național de Management al Crizelor în vederea coordonării strategice, monitorizării, colectării informațiilor și raportării.</w:t>
            </w:r>
          </w:p>
          <w:p w:rsidR="005E5E23" w:rsidRDefault="00000000">
            <w:pPr>
              <w:rPr>
                <w:i/>
                <w:iCs/>
              </w:rPr>
            </w:pPr>
            <w:r>
              <w:t>În context, se propune a expune pct. 12.8. în următoarea redacție: „</w:t>
            </w:r>
            <w:r>
              <w:rPr>
                <w:i/>
                <w:iCs/>
              </w:rPr>
              <w:t xml:space="preserve">12.8. examinează informațiile și rapoartele prezentate de Centrul </w:t>
            </w:r>
            <w:r>
              <w:rPr>
                <w:i/>
                <w:iCs/>
              </w:rPr>
              <w:lastRenderedPageBreak/>
              <w:t>Național de Management al Crizelor privind realizarea obiectivelor stabilite;</w:t>
            </w:r>
          </w:p>
          <w:p w:rsidR="005E5E23" w:rsidRDefault="00000000">
            <w:r>
              <w:rPr>
                <w:i/>
                <w:iCs/>
              </w:rPr>
              <w:t>12.8</w:t>
            </w:r>
            <w:r>
              <w:rPr>
                <w:i/>
                <w:iCs/>
                <w:vertAlign w:val="superscript"/>
              </w:rPr>
              <w:t xml:space="preserve">1 </w:t>
            </w:r>
            <w:r>
              <w:rPr>
                <w:i/>
                <w:iCs/>
              </w:rPr>
              <w:t>monitorizează implementarea deciziilor Comisiei, precum și executarea măsurilor și planurilor de prevenire, pregătire și răspuns la crize ale instituțiilor și ale comisiilor regionale, teritoriale și locale de management al crizelor și dispune, după caz, măsuri de ajustare</w:t>
            </w:r>
            <w:r>
              <w:t>”.</w:t>
            </w:r>
          </w:p>
        </w:tc>
        <w:tc>
          <w:tcPr>
            <w:tcW w:w="3402" w:type="dxa"/>
          </w:tcPr>
          <w:p w:rsidR="005E5E23" w:rsidRDefault="00000000">
            <w:r>
              <w:lastRenderedPageBreak/>
              <w:t>Se acceptă, integrat în textul proiectului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La subpct. 12.2., 12.5. și 12.11. se recomandă revizuirea și corelarea prevederilor, astfel încât să fie delimitate mai clar atribuțiile generale ale Comisiei de competențele exercitate în cazul declarării stării de alertă sau de urgență. În redactarea actuală, subpct. 12.2. face deja referire la exercitarea atribuțiilor inclusiv în aceste situații, iar subpct. 12.11. reglementează distinct aceeași ipoteză, ceea ce poate crea impresia unei suprapuneri parțiale. Totodată, subpct. 12.5., care vizează alocarea și utilizarea resurselor logistice, umane sau financiare, nu este corelat expres cu aceeași situație juridică.</w:t>
            </w:r>
          </w:p>
          <w:p w:rsidR="005E5E23" w:rsidRDefault="00000000">
            <w:r>
              <w:t>Pentru aplicarea uniformă a normei, este necesar ca textul să distingă expres atribuțiile exercitate de Comisie în regim general și cele aplicabile în cazul declarării stării de alertă sau de urgență. O asemenea precizare ar contribui la evitarea paralelismului normativ și la clarificarea raportului dintre prevederile respective.</w:t>
            </w:r>
          </w:p>
        </w:tc>
        <w:tc>
          <w:tcPr>
            <w:tcW w:w="3402" w:type="dxa"/>
          </w:tcPr>
          <w:p w:rsidR="005E5E23" w:rsidRDefault="00000000">
            <w:pPr>
              <w:rPr>
                <w:highlight w:val="yellow"/>
              </w:rPr>
            </w:pPr>
            <w:r>
              <w:t>Se acceptă,  în redacție nouă punctul 12.5</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rPr>
                <w:highlight w:val="yellow"/>
              </w:rPr>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La subpct. 12.11. se propune a fi completat cu sintagma „</w:t>
            </w:r>
            <w:r>
              <w:rPr>
                <w:i/>
                <w:iCs/>
              </w:rPr>
              <w:t>situație de criză</w:t>
            </w:r>
            <w:r>
              <w:t xml:space="preserve">”, asigurând astfel corelarea cu spectrul larg de situații (incidente, urgențe, crize), definit la art. 2 pct. 5 din Legea nr. 248/2025, prevedere supusă modificării urmând a fi expusă în următoarea redacție: </w:t>
            </w:r>
            <w:r>
              <w:rPr>
                <w:i/>
                <w:iCs/>
              </w:rPr>
              <w:t>„...stării de alertă, de urgență sau situației de criză...”.</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Subpct. 12.15 se propune a fi expus în următoarea redacție: „</w:t>
            </w:r>
            <w:r>
              <w:rPr>
                <w:i/>
                <w:iCs/>
              </w:rPr>
              <w:t>12.15 decide asupra notificării internaționale, solicitării și coordonării asistenței externe, precum și asupra cooperării cu statele și organizațiile internaționale în gestionarea situațiilor de criză, inclusiv a celor cu impact transfrontalier;</w:t>
            </w:r>
            <w:r>
              <w:t>”</w:t>
            </w:r>
          </w:p>
          <w:p w:rsidR="005E5E23" w:rsidRDefault="00000000">
            <w:r>
              <w:t xml:space="preserve">Potrivit prevederilor din Legea nr. 248/2025 și a Regulamentului privind organizarea și funcționarea Centrului Național de Management al Crizelor, aprobat prin Hotărârea Guvernului nr. 579/2025, atribuția </w:t>
            </w:r>
            <w:r>
              <w:lastRenderedPageBreak/>
              <w:t xml:space="preserve">de </w:t>
            </w:r>
            <w:r>
              <w:rPr>
                <w:i/>
                <w:iCs/>
              </w:rPr>
              <w:t>notificare internațională, solicitării și coordonării asistenței externe, precum și asupra cooperării cu statele și organizațiile internaționale în gestionarea situațiilor de criză</w:t>
            </w:r>
            <w:r>
              <w:t xml:space="preserve"> îi revine Centrului Național de Management al Crizelor. În aceste condiții, Comisiei îi revine rolul decizional în vederea aplicării de către CNMC a măsurilor expuse mai sus, nu realizarea nemijlocită a acestora.</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Prevederea de la subpct. 12.16., care instituie posibilitatea „</w:t>
            </w:r>
            <w:r>
              <w:rPr>
                <w:i/>
                <w:iCs/>
              </w:rPr>
              <w:t>antrenării populației apte de muncă</w:t>
            </w:r>
            <w:r>
              <w:t>” și a operatorilor economici privați la lucrări de intervenție, ridică riscuri serioase din perspectiva respectării drepturilor fundamentale (în special libertatea muncii) și necesită o reglementare strictă, cu indicarea expresă a temeiului, limitelor și garanțiilor legale aplicabile.</w:t>
            </w:r>
          </w:p>
          <w:p w:rsidR="005E5E23" w:rsidRDefault="00000000">
            <w:r>
              <w:t>În acest sens, potrivit redacției propuse de autor la subpct. 12.16. ,,</w:t>
            </w:r>
            <w:r>
              <w:rPr>
                <w:i/>
                <w:iCs/>
              </w:rPr>
              <w:t>Comisia antrenează populația republicii aptă pentru muncă, precum și operatorii economici privați, la desfășurarea lucrărilor de salvare, deblocare sau altor măsuri de lichidare ale efectelor crizei”</w:t>
            </w:r>
            <w:r>
              <w:t>. Însă, măsurile descrise, pot fi interpretate ca muncă forțată sau prestări obligatorii de servicii, ceea ce contravine drepturilor fundamentale.</w:t>
            </w:r>
          </w:p>
          <w:p w:rsidR="005E5E23" w:rsidRDefault="00000000">
            <w:r>
              <w:t>Legea nr. 248/2025 instituie obligația generală de cooperare și de executare a deciziilor emise în procesul de răspuns la situații de criză, însă nu configurează în mod expres, la nivelul atribuțiilor Comisiei, o competență generală de antrenare a populației apte pentru muncă. Redactarea actuală poate genera probleme de claritate, proporționalitate și previzibilitate normativă.</w:t>
            </w:r>
          </w:p>
          <w:p w:rsidR="005E5E23" w:rsidRDefault="00000000">
            <w:r>
              <w:t xml:space="preserve">Se propune reformularea: </w:t>
            </w:r>
            <w:r>
              <w:rPr>
                <w:i/>
                <w:iCs/>
              </w:rPr>
              <w:t>„12.16. Coordonează participarea voluntară a populației și colaborează cu operatorii economici privați pentru mobilizarea resurselor umane și tehnice necesare lucrărilor de salvare și lichidare a efectelor crizei, cu respectarea legislației privind remunerarea muncii și compensarea costurilor suportate de mediul privat”.</w:t>
            </w:r>
          </w:p>
        </w:tc>
        <w:tc>
          <w:tcPr>
            <w:tcW w:w="3402" w:type="dxa"/>
          </w:tcPr>
          <w:p w:rsidR="005E5E23" w:rsidRDefault="00000000">
            <w:r>
              <w:t>Se acceptă parțial, integrat în textul proiectului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17. - se recomandă revizuirea prevederii, prin corelarea acesteia cu pct. 39 și 40 din Regulament, care stabilesc atribuțiile secretariatului </w:t>
            </w:r>
            <w:r>
              <w:lastRenderedPageBreak/>
              <w:t>Comisiei. În acest sens, se propune precizarea faptului că, pregătirea ședințelor Comisiei se asigură de secretariatul Comisiei.</w:t>
            </w:r>
          </w:p>
          <w:p w:rsidR="005E5E23" w:rsidRDefault="00000000">
            <w:r>
              <w:t>Redacția actuală nu este pe deplin corelată cu prevederile ulterioare ale Regulamentului, potrivit cărora atribuțiile de organizare a lucrărilor de secretariat al Comisiei, convocare a ședințelor și pregătire a materialelor revin secretariatului Comisiei. Astfel, pentru claritate și coerență internă, se recomandă precizarea expresă a acestui rol și se propune a expune pct. 17. în următoarea redacție: „</w:t>
            </w:r>
            <w:r>
              <w:rPr>
                <w:i/>
                <w:iCs/>
              </w:rPr>
              <w:t>17.</w:t>
            </w:r>
            <w:r>
              <w:t xml:space="preserve"> </w:t>
            </w:r>
            <w:r>
              <w:rPr>
                <w:i/>
                <w:iCs/>
              </w:rPr>
              <w:t>Pregătirea ședințelor Comisiei se asigură de secretariatul Comisiei din cadrul Centrului Național de Management al Crizelor, în cooperare cu autoritățile și instituțiile publice competente.</w:t>
            </w:r>
            <w:r>
              <w:t>”.</w:t>
            </w:r>
          </w:p>
        </w:tc>
        <w:tc>
          <w:tcPr>
            <w:tcW w:w="3402" w:type="dxa"/>
          </w:tcPr>
          <w:p w:rsidR="005E5E23" w:rsidRDefault="00000000">
            <w:r>
              <w:lastRenderedPageBreak/>
              <w:t>Se acceptă,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19. și 20. - în context, se observă că prevederile pot genera interpretări echivoce privind natura „</w:t>
            </w:r>
            <w:r>
              <w:rPr>
                <w:i/>
                <w:iCs/>
              </w:rPr>
              <w:t>permanenței</w:t>
            </w:r>
            <w:r>
              <w:t>” activității Comisiei în raport cu frecvența ședințelor acesteia. Pentru asigurarea clarității normei, se recomandă precizarea expresă în nota de fundamentare a faptului că permanența activității se referă la caracterul continuu al funcțiilor de monitorizare și avertizare timpurie, în timp ce ședințele membrilor reprezintă modalitatea de exercitare a rolului decizional, fiind convocate semestrial în regim ordinar sau ori de câte ori este necesar în contextul unei crize.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22. - se propune reformularea subpct. 22.3. pentru a defini clar mecanismele tehnice și administrative prin care Centrul Național de Management al Crizelor raportează președintelui Comisiei (</w:t>
            </w:r>
            <w:r>
              <w:rPr>
                <w:i/>
                <w:iCs/>
              </w:rPr>
              <w:t>ex: prin rapoarte operative, fluxuri automatizate de date sau secretariat</w:t>
            </w:r>
            <w:r>
              <w:t>), eliminând formulările vagi și stabilind o obligație procedurală precisă.</w:t>
            </w:r>
          </w:p>
        </w:tc>
        <w:tc>
          <w:tcPr>
            <w:tcW w:w="3402" w:type="dxa"/>
          </w:tcPr>
          <w:p w:rsidR="005E5E23" w:rsidRDefault="00000000">
            <w:r>
              <w:t>Se respinge, detaliile tehnice se vor stabili prin acte subsecvente</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24. - se propune corelarea/completarea cu pct. 9, întrucât ambele prevederi reglementează participarea invitaților la ședințele Comisiei. Pentru coerența textului, se recomandă gruparea acestora în aceeași secțiune.</w:t>
            </w:r>
          </w:p>
        </w:tc>
        <w:tc>
          <w:tcPr>
            <w:tcW w:w="3402" w:type="dxa"/>
          </w:tcPr>
          <w:p w:rsidR="005E5E23" w:rsidRDefault="00000000">
            <w:r>
              <w:t>Se respinge, pct 24 se referă si alte persoane, experti care pot fi invitati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26. - se propune includerea expresă în următoarea redacție:</w:t>
            </w:r>
          </w:p>
          <w:p w:rsidR="005E5E23" w:rsidRDefault="00000000">
            <w:r>
              <w:t>„</w:t>
            </w:r>
            <w:r>
              <w:rPr>
                <w:i/>
                <w:iCs/>
              </w:rPr>
              <w:t>26. Materialele pentru ședință se transmit membrilor Comisiei de către secretariatul Comisiei, în regim de urgență, imediat ce sunt disponibile, într-un termen adecvat urgenței situației.</w:t>
            </w:r>
            <w:r>
              <w:t xml:space="preserve">”Precizarea </w:t>
            </w:r>
            <w:r>
              <w:lastRenderedPageBreak/>
              <w:t>propusă contribuie la claritatea și coerența internă a Regulamentului, conform prevederilor pct. 39 și 40 din proiect.</w:t>
            </w:r>
          </w:p>
        </w:tc>
        <w:tc>
          <w:tcPr>
            <w:tcW w:w="3402" w:type="dxa"/>
          </w:tcPr>
          <w:p w:rsidR="005E5E23" w:rsidRDefault="00000000">
            <w:r>
              <w:lastRenderedPageBreak/>
              <w:t>Se acceptă,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29. - 30. - tratează același obiect de reglementare: asigurarea spațiului fizic de lucru. Menținerea lor separată încarcă inutil textul. Comasarea permite expunerea întregului spectru într-o singură normă și elimină fragmentarea inutilă. Prin urmare, la comasarea pct. 29. și 30., norma de reglementare ar urma a fi expusă în următoarea redacție: </w:t>
            </w:r>
            <w:r>
              <w:rPr>
                <w:i/>
                <w:iCs/>
              </w:rPr>
              <w:t>„Cancelaria de Stat asigură logistica și spațiile principale, iar instituțiile publice pun la dispoziție locații de rezervă securizate, la solicitarea secretariatului Comisiei.”</w:t>
            </w:r>
            <w:r>
              <w:t>.</w:t>
            </w:r>
          </w:p>
          <w:p w:rsidR="005E5E23" w:rsidRDefault="00000000">
            <w:r>
              <w:t>Această formulare asigură un limbaj simplu și concis, integrând unitar soluția normativă într-o singură idee, conform rigorilor art. 54 alin. (1) lit. a) și b) din Legea nr. 100/2017.</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31. - primul enunț urmează a fi revizuit pentru a asigura o interpretare clară a normei juridice. Formularea propusă de autor „</w:t>
            </w:r>
            <w:r>
              <w:rPr>
                <w:i/>
                <w:iCs/>
              </w:rPr>
              <w:t>deliberează în prezența a cel puțin jumătate din numărul membrilor săi în funcție</w:t>
            </w:r>
            <w:r>
              <w:t>” este insuficient de precisă, deoarece nu clarifică dacă raportarea se face la numărul total de membri ai Guvernului sau strict la membrii desemnați prin actul de constituire pentru o criză specifică. Astfel, se propune expunerea primului enunț în următoarea redacție: „</w:t>
            </w:r>
            <w:r>
              <w:rPr>
                <w:i/>
                <w:iCs/>
              </w:rPr>
              <w:t>Ședințele Comisiei sunt deliberative dacă la ele participă majoritatea membrilor desemnați.</w:t>
            </w:r>
            <w:r>
              <w:t>”.</w:t>
            </w:r>
          </w:p>
          <w:p w:rsidR="005E5E23" w:rsidRDefault="00000000">
            <w:r>
              <w:t>De asemenea, prevederile pct. 31. referitoare la cvorum, care stabilesc că ședința este deliberativă în prezența a „</w:t>
            </w:r>
            <w:r>
              <w:rPr>
                <w:i/>
                <w:iCs/>
              </w:rPr>
              <w:t>cel puțin jumătate din numărul membrilor în funcție</w:t>
            </w:r>
            <w:r>
              <w:t>”, nu clarifică dacă în calcul sunt incluși și membrii fără drept de vot, ceea ce poate genera incertitudini în determinarea legalității ședinței.</w:t>
            </w:r>
          </w:p>
        </w:tc>
        <w:tc>
          <w:tcPr>
            <w:tcW w:w="3402" w:type="dxa"/>
          </w:tcPr>
          <w:p w:rsidR="005E5E23" w:rsidRDefault="00000000">
            <w:r>
              <w:t>Se acceptă,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Suplimentar, subpct. 31.2., se propune a fi completat la finalul primului enunț, cu textul „ , </w:t>
            </w:r>
            <w:r>
              <w:rPr>
                <w:i/>
                <w:iCs/>
              </w:rPr>
              <w:t>cu excepția cazurilor de conflict de interese declarate conform legislației privind integritatea</w:t>
            </w:r>
            <w:r>
              <w:t>”.</w:t>
            </w:r>
          </w:p>
          <w:p w:rsidR="005E5E23" w:rsidRDefault="00000000">
            <w:r>
              <w:t xml:space="preserve">În situația în care un membru al Comisiei se află în conflict de interese cu privire la un subiect supus votului, acesta are obligația de a declara conflictul și de a se abține de la procesul decizional. Participarea sa la </w:t>
            </w:r>
            <w:r>
              <w:lastRenderedPageBreak/>
              <w:t>vot, în prezența unui eventual interes personal, constituie o încălcare a normelor legale privind integritatea și poate atrage nulitatea actului adoptat sau poate compromite legitimitatea deciziei.</w:t>
            </w:r>
          </w:p>
        </w:tc>
        <w:tc>
          <w:tcPr>
            <w:tcW w:w="3402" w:type="dxa"/>
          </w:tcPr>
          <w:p w:rsidR="005E5E23" w:rsidRDefault="00000000">
            <w:r>
              <w:lastRenderedPageBreak/>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32. - sintagma</w:t>
            </w:r>
            <w:r>
              <w:rPr>
                <w:i/>
                <w:iCs/>
              </w:rPr>
              <w:t xml:space="preserve"> „Comisia urmărește asigurarea unei participări cât mai largi...”, </w:t>
            </w:r>
            <w:r>
              <w:t>este una echivocă și nu stabilește o obligație juridică clară.</w:t>
            </w:r>
            <w:r>
              <w:rPr>
                <w:i/>
                <w:iCs/>
              </w:rPr>
              <w:t xml:space="preserve"> </w:t>
            </w:r>
            <w:r>
              <w:t>Conform art. 54 alin. (1) din Legea nr. 100/2017, un regulament trebuie să spună clar și concis, pentru a se exclude orice echivoc, nu ce „</w:t>
            </w:r>
            <w:r>
              <w:rPr>
                <w:i/>
                <w:iCs/>
              </w:rPr>
              <w:t>urmărește</w:t>
            </w:r>
            <w:r>
              <w:t>” să facă.</w:t>
            </w:r>
          </w:p>
          <w:p w:rsidR="005E5E23" w:rsidRDefault="00000000">
            <w:r>
              <w:t xml:space="preserve">Se propune expunerea într-o altă redacție, și anume: </w:t>
            </w:r>
            <w:r>
              <w:rPr>
                <w:i/>
                <w:iCs/>
              </w:rPr>
              <w:t>„Deciziile cu caracter strategic ori cele privind restrângerea drepturilor și libertăților fundamentale se adoptă cu participarea obligatorie a două treimi din numărul membrilor permanenți, asigurându-se, în prealabil, consultarea autorităților de resort și a experților vizați.”.</w:t>
            </w:r>
          </w:p>
        </w:tc>
        <w:tc>
          <w:tcPr>
            <w:tcW w:w="3402" w:type="dxa"/>
          </w:tcPr>
          <w:p w:rsidR="005E5E23" w:rsidRDefault="00000000">
            <w:r>
              <w:t>Se acceptă parțial,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35. - 38. - termenul </w:t>
            </w:r>
            <w:r>
              <w:rPr>
                <w:i/>
                <w:iCs/>
              </w:rPr>
              <w:t>„dispoziție”</w:t>
            </w:r>
            <w:r>
              <w:t xml:space="preserve">, în forma gramaticală corespunzătoare, urmează a fi substituit cu cel de </w:t>
            </w:r>
            <w:r>
              <w:rPr>
                <w:i/>
                <w:iCs/>
              </w:rPr>
              <w:t>„decizie”</w:t>
            </w:r>
            <w:r>
              <w:t xml:space="preserve"> pentru a asigura unitatea terminologică și respectarea statutului de organ colegial al Comisiei. Această modificare este impusă de art. 34 lit. b) din Legea nr. 248/2025, care stabilește expres atribuția Comisiei de a emite decizii obligatorii.</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36. - se propune înlocuirea conjuncției </w:t>
            </w:r>
            <w:r>
              <w:rPr>
                <w:i/>
                <w:iCs/>
              </w:rPr>
              <w:t>„și”</w:t>
            </w:r>
            <w:r>
              <w:t xml:space="preserve"> cu </w:t>
            </w:r>
            <w:r>
              <w:rPr>
                <w:i/>
                <w:iCs/>
              </w:rPr>
              <w:t>„sau”</w:t>
            </w:r>
            <w:r>
              <w:t xml:space="preserve"> pentru a conferi normei un caracter disjunctiv. Astfel, se garantează transparența decizională prin publicarea obligatorie a actelor Comisiei în oricare dintre cele două situații prevăzute de Legea nr. 248/2025, fie că este vorba de starea de alertă, fie de starea de urgență.</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38. - consecvent, se recomandă revizuirea pct. 38, care reglementează încetarea valabilității dispozițiilor Comisiei pentru a evita riscul apariției unui vid juridic în perioada post-criză. În redacția propusă, norma juridică impune o abrogare automată și nediferențiată a tuturor măsurilor, ceea ce poate afecta continuitatea unor procese esențiale de recuperare demarate sub regimul stării de urgență (</w:t>
            </w:r>
            <w:r>
              <w:rPr>
                <w:i/>
                <w:iCs/>
              </w:rPr>
              <w:t>de ex: contracte de achiziții publice</w:t>
            </w:r>
            <w:r>
              <w:t xml:space="preserve">). Este necesar să se permită păstrarea în vigoare a acelor dispoziții care, prin natura lor, produc efecte și după încetarea regimului special. În acest context, pentru pct. 38. se propune </w:t>
            </w:r>
            <w:r>
              <w:lastRenderedPageBreak/>
              <w:t>următoarea redacție:</w:t>
            </w:r>
            <w:r>
              <w:rPr>
                <w:i/>
                <w:iCs/>
              </w:rPr>
              <w:t>„38. Dispozițiile Comisiei, emise pe perioada stării de urgență sau de alertă, își încetează aplicabilitatea la data încetării acestor stări, cu excepția cazurilor în care, prin natura lor, acestea sunt prevăzute să producă efecte pentru o perioadă determinată sau dacă actul de încetare a stării de urgență dispune altfel pentru anumite măsuri specifice.”</w:t>
            </w:r>
            <w:r>
              <w:t xml:space="preserve">, suplimentar sub aspectul tehnicii legislative, utilizarea expresiei </w:t>
            </w:r>
            <w:r>
              <w:rPr>
                <w:i/>
                <w:iCs/>
              </w:rPr>
              <w:t>„ies din vigoare”</w:t>
            </w:r>
            <w:r>
              <w:t xml:space="preserve"> la pct. 38. este improprie, fiind contrară uzanțelor normative actuale.Astfel, se propune înlocuirea sintagmei </w:t>
            </w:r>
            <w:r>
              <w:rPr>
                <w:i/>
                <w:iCs/>
              </w:rPr>
              <w:t>„ies din vigoare”</w:t>
            </w:r>
            <w:r>
              <w:t xml:space="preserve"> cu termenul </w:t>
            </w:r>
            <w:r>
              <w:rPr>
                <w:i/>
                <w:iCs/>
              </w:rPr>
              <w:t>„se abrogă”</w:t>
            </w:r>
            <w:r>
              <w:t xml:space="preserve"> pentru a utiliza o terminologie juridică corectă și explicită. Această modificare indică în mod clar încetarea definitivă a activității normelor cuprinse în decizia Comisiei, corelând momentul încetării efectelor acestora cu actul juridic care dispune încetarea stării de alertă sau de urgență.</w:t>
            </w:r>
          </w:p>
        </w:tc>
        <w:tc>
          <w:tcPr>
            <w:tcW w:w="3402" w:type="dxa"/>
          </w:tcPr>
          <w:p w:rsidR="005E5E23" w:rsidRDefault="00000000">
            <w:r>
              <w:lastRenderedPageBreak/>
              <w:t>Se acceptă parțial,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40. - la subpct 40.1. se propune înlocuirea sintagmei </w:t>
            </w:r>
            <w:r>
              <w:rPr>
                <w:i/>
                <w:iCs/>
              </w:rPr>
              <w:t>„la dispoziția”</w:t>
            </w:r>
            <w:r>
              <w:t xml:space="preserve"> cu </w:t>
            </w:r>
            <w:r>
              <w:rPr>
                <w:i/>
                <w:iCs/>
              </w:rPr>
              <w:t>„prin dispoziția”</w:t>
            </w:r>
            <w:r>
              <w:t xml:space="preserve"> pentru a preciza că ședințele se convoacă printr-un act administrativ formal, eliminând interpretarea unui raport de subordonare, iar la subpct. 40.12., se propune înlocuirea prepoziției </w:t>
            </w:r>
            <w:r>
              <w:rPr>
                <w:i/>
                <w:iCs/>
              </w:rPr>
              <w:t>„cu”</w:t>
            </w:r>
            <w:r>
              <w:t xml:space="preserve"> prin sintagma </w:t>
            </w:r>
            <w:r>
              <w:rPr>
                <w:i/>
                <w:iCs/>
              </w:rPr>
              <w:t>„între”</w:t>
            </w:r>
            <w:r>
              <w:t xml:space="preserve"> pentru a reflecta rolul de coordonator.</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41. - în ceea ce privește raportul dintre Comisia Națională de Management al Crizelor și Consiliul Național de Securitate (pct. 41. - 46.) , se constată o delimitare insuficient de clară a competențelor, în special în raport cu noțiunile de </w:t>
            </w:r>
            <w:r>
              <w:rPr>
                <w:i/>
                <w:iCs/>
              </w:rPr>
              <w:t>„riscuri”, „pericole” și „amenințări la adresa securității naționale”</w:t>
            </w:r>
            <w:r>
              <w:t>. Formulările existente pot genera suprapuneri de atribuții și incertitudini privind regimul juridic aplicabil, fiind necesară o clarificare conceptuală și funcțională, inclusiv prin raportare la legislația în domeniul securității naționale.</w:t>
            </w:r>
          </w:p>
          <w:p w:rsidR="005E5E23" w:rsidRDefault="00000000">
            <w:r>
              <w:t>De asemenea, se sugerează reformularea pct. 41. în următoarea redacție:</w:t>
            </w:r>
          </w:p>
          <w:p w:rsidR="005E5E23" w:rsidRDefault="00000000">
            <w:r>
              <w:rPr>
                <w:i/>
                <w:iCs/>
              </w:rPr>
              <w:t xml:space="preserve">„41. În situația în care principalele riscuri care pot genera declanșarea unor crize sunt provocate sau amplificate de entități ostile, cu statut statal sau non-statal, Centrul Național de Management </w:t>
            </w:r>
            <w:r>
              <w:rPr>
                <w:i/>
                <w:iCs/>
              </w:rPr>
              <w:lastRenderedPageBreak/>
              <w:t>al Crizelor transmite imediat toate datele și analizele relevante către Consiliul Național de Securitate, în conformitate cu prevederile art. 36 din Legea nr. 248/2025.”</w:t>
            </w:r>
            <w:r>
              <w:t>.</w:t>
            </w:r>
          </w:p>
          <w:p w:rsidR="005E5E23" w:rsidRDefault="00000000">
            <w:r>
              <w:t>Această ajustare asigură rigoarea necesară pentru definirea subiecților de drept  (</w:t>
            </w:r>
            <w:r>
              <w:rPr>
                <w:i/>
                <w:iCs/>
              </w:rPr>
              <w:t>termenul „actori” este necesar de substituit cu cel de „entități”</w:t>
            </w:r>
            <w:r>
              <w:t>) și a raporturilor de securitate națională, sau la punctul menționat sintagma „</w:t>
            </w:r>
            <w:r>
              <w:rPr>
                <w:i/>
                <w:iCs/>
              </w:rPr>
              <w:t>actori ostili statali sau non-statali</w:t>
            </w:r>
            <w:r>
              <w:t>" este importată din terminologia strategică internațională, fără transpunere juridică consistentă în dreptul intern. În vederea asigurării previzibilității normei (art. 3 și art. 54 din Legea nr. 100/2017), se propune reformularea prin raportare la noțiunea de „</w:t>
            </w:r>
            <w:r>
              <w:rPr>
                <w:i/>
                <w:iCs/>
              </w:rPr>
              <w:t>amenințări la adresa securității naționale</w:t>
            </w:r>
            <w:r>
              <w:t>”, astfel cum este ea consacrată de legislația specifică securității naționale.</w:t>
            </w:r>
          </w:p>
        </w:tc>
        <w:tc>
          <w:tcPr>
            <w:tcW w:w="3402" w:type="dxa"/>
          </w:tcPr>
          <w:p w:rsidR="005E5E23" w:rsidRDefault="00000000">
            <w:r>
              <w:lastRenderedPageBreak/>
              <w:t>Se acceptă parțial,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45. - se propune substituirea prepoziției </w:t>
            </w:r>
            <w:r>
              <w:rPr>
                <w:i/>
                <w:iCs/>
              </w:rPr>
              <w:t>„cu”</w:t>
            </w:r>
            <w:r>
              <w:t xml:space="preserve"> prin prepoziția </w:t>
            </w:r>
            <w:r>
              <w:rPr>
                <w:i/>
                <w:iCs/>
              </w:rPr>
              <w:t>„de”</w:t>
            </w:r>
            <w:r>
              <w:t>, pentru a asigura o exprimare conformă ce ar sublinia natura atribuțiilor ce îi revin Secretariatului Comisiei.</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III. La anexa nr. 2, Regulament-cadru Privind organizarea și funcționarea Comisiilor regionale, teritoriale și locale de management al situațiilor de criză, precum și a Centrelor operaționale ale acestora (anexa nr. 2 la proiectul Hotărârii de Guvern).</w:t>
            </w:r>
          </w:p>
        </w:tc>
        <w:tc>
          <w:tcPr>
            <w:tcW w:w="3402" w:type="dxa"/>
          </w:tcPr>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Se reiterează observația formulată anterior în raport cu anexa nr. 1, fiind constatată aceeași lipsă de corelare terminologică între denumirea anexei și titlul acesteia menționat în textul proiectului.</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1. - se sugerează respectarea semnelor de punctuație pentru claritatea și coerența textului propoziției.</w:t>
            </w:r>
          </w:p>
        </w:tc>
        <w:tc>
          <w:tcPr>
            <w:tcW w:w="3402" w:type="dxa"/>
          </w:tcPr>
          <w:p w:rsidR="005E5E23" w:rsidRDefault="00000000">
            <w:r>
              <w:t>Se acceptă, integrat în proiect</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3. - se propune utilizarea conjuncției </w:t>
            </w:r>
            <w:r>
              <w:rPr>
                <w:i/>
                <w:iCs/>
              </w:rPr>
              <w:t>„și”</w:t>
            </w:r>
            <w:r>
              <w:t xml:space="preserve"> în loc de </w:t>
            </w:r>
            <w:r>
              <w:rPr>
                <w:i/>
                <w:iCs/>
              </w:rPr>
              <w:t>„sau”</w:t>
            </w:r>
            <w:r>
              <w:t xml:space="preserve"> și includerea nivelului </w:t>
            </w:r>
            <w:r>
              <w:rPr>
                <w:i/>
                <w:iCs/>
              </w:rPr>
              <w:t>„regional”</w:t>
            </w:r>
            <w:r>
              <w:t xml:space="preserve"> pentru a asigura unitatea terminologică deplină între tipurile de comisii și de competență. Această rectificare conferă normei un caracter complet, eliminând orice omisiune în aplicarea ei pe toate palierele administrative.</w:t>
            </w:r>
          </w:p>
        </w:tc>
        <w:tc>
          <w:tcPr>
            <w:tcW w:w="3402" w:type="dxa"/>
          </w:tcPr>
          <w:p w:rsidR="005E5E23" w:rsidRDefault="00000000">
            <w:r>
              <w:t>Se acceptă, integrat în proiect</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4. - se propune rectificarea gramaticală a punctului prin utilizarea corectă a regimului prepozițional, asigurând astfel concordanța între elementele enumerării. Varianta propusă: „</w:t>
            </w:r>
            <w:r>
              <w:rPr>
                <w:i/>
                <w:iCs/>
              </w:rPr>
              <w:t xml:space="preserve">Comisiile activează în </w:t>
            </w:r>
            <w:r>
              <w:rPr>
                <w:i/>
                <w:iCs/>
              </w:rPr>
              <w:lastRenderedPageBreak/>
              <w:t>conformitate cu Legea nr. 248/2025 privind managementul situațiilor de criză, cu prezentul Regulament-cadru, precum și cu alte acte normative, inclusiv cu cele adoptate la nivel local</w:t>
            </w:r>
            <w:r>
              <w:t>”.</w:t>
            </w:r>
          </w:p>
        </w:tc>
        <w:tc>
          <w:tcPr>
            <w:tcW w:w="3402" w:type="dxa"/>
          </w:tcPr>
          <w:p w:rsidR="005E5E23" w:rsidRDefault="00000000">
            <w:r>
              <w:lastRenderedPageBreak/>
              <w:t>Se acceptă, integrat în proiect</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5. - utilizarea punctelor la numerotare a subpunctelor (5.1., 5.2., ..) și subpct. 5.3. se propune a fi expus în următoarea redacție: „</w:t>
            </w:r>
            <w:r>
              <w:rPr>
                <w:i/>
                <w:iCs/>
              </w:rPr>
              <w:t>5.3. în cadrul unității teritoriale autonome Găgăuzia - Comisie regională de management al situațiilor de criză și centrul operațional de coordonare al acesteia.</w:t>
            </w:r>
            <w:r>
              <w:t>”</w:t>
            </w:r>
            <w:r>
              <w:rPr>
                <w:i/>
                <w:iCs/>
              </w:rPr>
              <w:t>.</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7. - unele dispoziții din anexa nr. 2 prezintă deficiențe de claritate și previzibilitate. Spre exemplu, formularea de la pct. 7. </w:t>
            </w:r>
            <w:r>
              <w:rPr>
                <w:i/>
                <w:iCs/>
              </w:rPr>
              <w:t>„..., în condițiile în care sunt necesare asigurării managementului unor crize la nivel național.” -</w:t>
            </w:r>
            <w:r>
              <w:t xml:space="preserve"> este vagă și necesită reformulare pentru a indica explicit situațiile și condițiile de aplicare. De asemenea, utilizarea concomitentă a termenilor </w:t>
            </w:r>
            <w:r>
              <w:rPr>
                <w:i/>
                <w:iCs/>
              </w:rPr>
              <w:t>„criză”</w:t>
            </w:r>
            <w:r>
              <w:t xml:space="preserve"> și </w:t>
            </w:r>
            <w:r>
              <w:rPr>
                <w:i/>
                <w:iCs/>
              </w:rPr>
              <w:t>„situație de criză”</w:t>
            </w:r>
            <w:r>
              <w:t xml:space="preserve">, fără o definire expresă a acestora, este de natură să genereze confuzii, cu atât mai mult cu cât în practica normativă este utilizată și noțiunea de </w:t>
            </w:r>
            <w:r>
              <w:rPr>
                <w:i/>
                <w:iCs/>
              </w:rPr>
              <w:t>„criză majoră”</w:t>
            </w:r>
            <w:r>
              <w:t>.</w:t>
            </w:r>
          </w:p>
        </w:tc>
        <w:tc>
          <w:tcPr>
            <w:tcW w:w="3402" w:type="dxa"/>
          </w:tcPr>
          <w:p w:rsidR="005E5E23" w:rsidRDefault="00000000">
            <w:r>
              <w:t>Se acceptă parțial, în redacție nouă</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16. - se propune a fi expus în următoarea redacție: „</w:t>
            </w:r>
            <w:r>
              <w:rPr>
                <w:i/>
                <w:iCs/>
              </w:rPr>
              <w:t>16. La nivelul municipiului/orașului/satului/comunei, conducerea Comisiilor se asigură de către primari</w:t>
            </w:r>
            <w:r>
              <w:t>.”. A fost introdus cuvântul „</w:t>
            </w:r>
            <w:r>
              <w:rPr>
                <w:i/>
                <w:iCs/>
              </w:rPr>
              <w:t>municipiului</w:t>
            </w:r>
            <w:r>
              <w:t>”, care se referă la municipiile Ungheni, Strășeni, etc. (ca unități teritorial administrative de nivelul întâi), în conformitate cu art. 8 din Legea nr. 248/2016 pentru modificarea și completarea Legii nr. 764/2001 privind organizarea administrativ-teritorială a Republicii Moldova.</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18. - este necesar subpct. 18.1. din anexa nr. 2 al proiectului hotărârii Guvernului, de a completa abreviatura „MAI”, din paranteze de la finalul propoziției cu sintagma </w:t>
            </w:r>
            <w:r>
              <w:rPr>
                <w:i/>
                <w:iCs/>
              </w:rPr>
              <w:t>„în continuare”</w:t>
            </w:r>
            <w:r>
              <w:t>, pentru o redare concisă.</w:t>
            </w:r>
          </w:p>
        </w:tc>
        <w:tc>
          <w:tcPr>
            <w:tcW w:w="3402" w:type="dxa"/>
          </w:tcPr>
          <w:p w:rsidR="005E5E23" w:rsidRDefault="00000000">
            <w:r>
              <w:t>Se acceptă, integrat în proiect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La subpct. 18.4.-18.6., de adăugat la final sintagma </w:t>
            </w:r>
            <w:r>
              <w:rPr>
                <w:i/>
                <w:iCs/>
              </w:rPr>
              <w:t xml:space="preserve">„după caz.”. </w:t>
            </w:r>
            <w:r>
              <w:t>Nu în toate unitățile administrativ teritoriale de nivelul doi, există asemenea subdiviziuni.</w:t>
            </w:r>
          </w:p>
        </w:tc>
        <w:tc>
          <w:tcPr>
            <w:tcW w:w="3402" w:type="dxa"/>
          </w:tcPr>
          <w:p w:rsidR="005E5E23" w:rsidRDefault="00000000">
            <w:r>
              <w:t>Se acceptă, au fost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În conținutul textului subpct. 18.4. sintagma </w:t>
            </w:r>
            <w:r>
              <w:rPr>
                <w:i/>
                <w:iCs/>
              </w:rPr>
              <w:t>„organele teritoriale”</w:t>
            </w:r>
            <w:r>
              <w:t xml:space="preserve"> urmează a fi substituită cu sintagma </w:t>
            </w:r>
            <w:r>
              <w:rPr>
                <w:i/>
                <w:iCs/>
              </w:rPr>
              <w:t>„subdiviziunii regionale”</w:t>
            </w:r>
            <w:r>
              <w:t xml:space="preserve">, or, </w:t>
            </w:r>
            <w:r>
              <w:lastRenderedPageBreak/>
              <w:t>formularea actuală este contrară prevederilor Hotărârii Guvernului nr. 1145/2018 cu privire la organizarea și funcționarea Inspectoratului General al Poliției de Frontieră, care reglementează organizarea Poliției de Frontieră prin subdiviziuni regionale.</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bookmarkStart w:id="0" w:name="bookmark=id.jzlekhh802gn" w:colFirst="0" w:colLast="0"/>
            <w:bookmarkEnd w:id="0"/>
            <w:r>
              <w:t xml:space="preserve">După subpct. 18.21. (pag. 11), se constată erori de numerotare, se repetă        „pct. 18” (ex. „18.21., 18., 19.”, după care ar trebui să urmeze „19.1., 19.2., 19.3., 19.4.”), fapt ce afectează coerența structurii actului normativ și poate genera dificultăți în aplicare. Subsidiar, se propune a concretiza la care punct din Anexa nr. 1 se face referire deoarece pct. 8.1., din Anexa nr. 1 nu conține prevederea expusă </w:t>
            </w:r>
            <w:r>
              <w:rPr>
                <w:i/>
                <w:iCs/>
              </w:rPr>
              <w:t>(„8.1 Prim-ministrul – președinte al Comisiei;”).</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Totodată, având în vedere specificul crizelor, propunem de examinat oportunitatea completării cu următorul subpunct:„</w:t>
            </w:r>
            <w:r>
              <w:rPr>
                <w:i/>
                <w:iCs/>
              </w:rPr>
              <w:t>18.22. reprezentantul organului teritorial al Inspectoratului General pentru Migrație al MAI</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18. - (</w:t>
            </w:r>
            <w:r>
              <w:rPr>
                <w:i/>
                <w:iCs/>
              </w:rPr>
              <w:t>succesorul subpct. 18.21.,</w:t>
            </w:r>
            <w:r>
              <w:t xml:space="preserve"> </w:t>
            </w:r>
            <w:r>
              <w:rPr>
                <w:i/>
                <w:iCs/>
              </w:rPr>
              <w:t>după renumerotare – pct. 19.</w:t>
            </w:r>
            <w:r>
              <w:t>), rămâne valabilă observația expusă în raport cu prevederile Capitolului II din anexa nr. 1, urmând a se asigura aceeași distincție juridică între calitatea de conducător al comisiei și cea de membru al acesteia. Tot aici, se menționează despre necesitatea corectării deficienței privind numerotarea elementelor structurale și utilizarea semnelor de punctuație.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21. - subpct. 21.1.2., se propune înlocuirea termenului </w:t>
            </w:r>
            <w:r>
              <w:rPr>
                <w:i/>
                <w:iCs/>
              </w:rPr>
              <w:t>„dimensiunea”</w:t>
            </w:r>
            <w:r>
              <w:t xml:space="preserve"> cu </w:t>
            </w:r>
            <w:r>
              <w:rPr>
                <w:i/>
                <w:iCs/>
              </w:rPr>
              <w:t>„suprafața”</w:t>
            </w:r>
            <w:r>
              <w:t xml:space="preserve">, pentru a asigura precizia terminologică. Termenul de </w:t>
            </w:r>
            <w:r>
              <w:rPr>
                <w:i/>
                <w:iCs/>
              </w:rPr>
              <w:t>„suprafață”</w:t>
            </w:r>
            <w:r>
              <w:t xml:space="preserve"> în contextul dat, este unul mai corect, deoarece se referă strict la întinderea geografică (aria exprimată în km² sau hectare). Totodată, structura propusă de autor la acest compartiment, urmează a fi ajustată la cerințele Legii nr. 100/2017 (21.1., 21.2.,...).</w:t>
            </w:r>
          </w:p>
        </w:tc>
        <w:tc>
          <w:tcPr>
            <w:tcW w:w="3402" w:type="dxa"/>
          </w:tcPr>
          <w:p w:rsidR="005E5E23" w:rsidRDefault="00000000">
            <w:r>
              <w:t>Punctul a fost exclus, ca urmare a faptului ca dimensiunea sau suprafața nu influențează componența Comisiilor locale</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22. - este necesar de reglementat finalizarea referinței de la sfârșit </w:t>
            </w:r>
            <w:r>
              <w:rPr>
                <w:i/>
                <w:iCs/>
              </w:rPr>
              <w:t>„... fără a fi limitate la structura prevăzută la pct....”</w:t>
            </w:r>
            <w:r>
              <w:t>.</w:t>
            </w:r>
          </w:p>
        </w:tc>
        <w:tc>
          <w:tcPr>
            <w:tcW w:w="3402" w:type="dxa"/>
          </w:tcPr>
          <w:p w:rsidR="005E5E23" w:rsidRDefault="00000000">
            <w:r>
              <w:t>Se acceptă parțial, în redacție nouă</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24. - subpct. 24.1. și 24.3. se recomandă reexaminarea textului, întrucât atribuțiile respective par a reveni, prin natura lor, comisiilor regionale și teritoriale, iar nu în aceeași măsură și comisiilor locale. Se propune delimitarea expresă a competențelor pe niveluri, iar subpct. 24.4., se propune excluderea sintagmei </w:t>
            </w:r>
            <w:r>
              <w:rPr>
                <w:i/>
                <w:iCs/>
              </w:rPr>
              <w:t>„de urgență”</w:t>
            </w:r>
            <w:r>
              <w:t xml:space="preserve"> pentru a asigura conformitatea cu terminologia instituită prin art. 2 din Legea nr. 248/2025, care uniformizează conceptele sub noțiunea de situație de criză și dat fiind faptul că, noțiunea de </w:t>
            </w:r>
            <w:r>
              <w:rPr>
                <w:i/>
                <w:iCs/>
              </w:rPr>
              <w:t xml:space="preserve">„situație de urgență” </w:t>
            </w:r>
            <w:r>
              <w:t>în cadrul normativ actual nu este prevăzută.</w:t>
            </w:r>
          </w:p>
          <w:p w:rsidR="005E5E23" w:rsidRDefault="005E5E23"/>
        </w:tc>
        <w:tc>
          <w:tcPr>
            <w:tcW w:w="3402" w:type="dxa"/>
          </w:tcPr>
          <w:p w:rsidR="005E5E23" w:rsidRDefault="00000000">
            <w:pPr>
              <w:shd w:val="clear" w:color="auto" w:fill="FFFFFF"/>
              <w:rPr>
                <w:color w:val="333333"/>
              </w:rPr>
            </w:pPr>
            <w:r>
              <w:rPr>
                <w:color w:val="333333"/>
              </w:rPr>
              <w:t>Se acceptă parțial, integrat în textul proiectului sub redacție nouă.</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24.4. se propune a fi expus în următoarea redacție: </w:t>
            </w:r>
            <w:r>
              <w:rPr>
                <w:i/>
                <w:iCs/>
              </w:rPr>
              <w:t>„24.4. analizează și evaluează urgențele și situațiile de criză produse la nivelul unităților administrativ-teritoriale și propun măsuri pentru gestionarea acestora, monitorizând implementarea acestora”.</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24.7. se propune a fi expus în următoarea redacție: </w:t>
            </w:r>
            <w:r>
              <w:rPr>
                <w:i/>
                <w:iCs/>
              </w:rPr>
              <w:t>„24.7. aprobă planuri și programe de pregătire și exerciții în domeniul managementului urgențelor și situațiilor de criză la nivel regional, teritorial sau local”</w:t>
            </w:r>
            <w:r>
              <w:t xml:space="preserve">. În Legea nr. 248/2025 noțiunea de </w:t>
            </w:r>
            <w:r>
              <w:rPr>
                <w:i/>
                <w:iCs/>
              </w:rPr>
              <w:t>„situații de urgență”</w:t>
            </w:r>
            <w:r>
              <w:t xml:space="preserve"> nu este  definită.</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24.14. se propune a fi expus în următoarea redacție: </w:t>
            </w:r>
            <w:r>
              <w:rPr>
                <w:i/>
                <w:iCs/>
              </w:rPr>
              <w:t>„poate desemna o persoană să exercite atribuțiile de conducător al intervenției la nivel local, în vederea asigurării unității conducerii răspunsului la criză la nivel local.”</w:t>
            </w:r>
            <w:r>
              <w:t xml:space="preserve"> A fost înlocuit textul </w:t>
            </w:r>
            <w:r>
              <w:rPr>
                <w:i/>
                <w:iCs/>
              </w:rPr>
              <w:t>„conducător al operațiunilor”</w:t>
            </w:r>
            <w:r>
              <w:t xml:space="preserve"> cu textul </w:t>
            </w:r>
            <w:r>
              <w:rPr>
                <w:i/>
                <w:iCs/>
              </w:rPr>
              <w:t>„conducător al intervenției”</w:t>
            </w:r>
            <w:r>
              <w:t>, în scopul corelării cu prevederile Legii nr. 248/2025, art. 20. și 47 litera d), (conducător al operațiunilor se desemnează din cadrul instituției cu rol principal).</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36. - se propune a fi expus în următoarea redacție: </w:t>
            </w:r>
            <w:r>
              <w:rPr>
                <w:i/>
                <w:iCs/>
              </w:rPr>
              <w:t xml:space="preserve">„36. Centrele operaționale de coordonare ale Comisiilor regionale sau teritoriale de management al situațiilor de criză (în continuare - COC) se constituie prin Dispoziția Bașcanului UTA Găgăuzia, președintelui raionului, primarului municipiului Chișinău, Bălți - președinți a Comisiilor regionale sau teritoriale de management al situațiilor de criză și se </w:t>
            </w:r>
            <w:r>
              <w:rPr>
                <w:i/>
                <w:iCs/>
              </w:rPr>
              <w:lastRenderedPageBreak/>
              <w:t>activează la solicitarea acestora.”.</w:t>
            </w:r>
            <w:r>
              <w:t xml:space="preserve"> Textul a fost ajustat conform prevederilor generale expuse în punctele anterioare ale proiectului.</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37. și 40. - urmează a fi operate aceleași modificări.</w:t>
            </w:r>
          </w:p>
        </w:tc>
        <w:tc>
          <w:tcPr>
            <w:tcW w:w="3402" w:type="dxa"/>
          </w:tcPr>
          <w:p w:rsidR="005E5E23" w:rsidRDefault="00000000">
            <w:r>
              <w:t>Text revizuit.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39. - se propune înlocuirea prepoziției </w:t>
            </w:r>
            <w:r>
              <w:rPr>
                <w:i/>
                <w:iCs/>
              </w:rPr>
              <w:t>„de pe”</w:t>
            </w:r>
            <w:r>
              <w:t xml:space="preserve"> cu </w:t>
            </w:r>
            <w:r>
              <w:rPr>
                <w:i/>
                <w:iCs/>
              </w:rPr>
              <w:t>„din”</w:t>
            </w:r>
            <w:r>
              <w:t xml:space="preserve"> pentru a asigura o exprimare corectă și conformă cu normele limbii române.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46. - subpct. 46.1. și pct. 47. se recomandă excluderea sintagmei „</w:t>
            </w:r>
            <w:r>
              <w:rPr>
                <w:i/>
                <w:iCs/>
              </w:rPr>
              <w:t>dispecerat</w:t>
            </w:r>
            <w:r>
              <w:t>”, pentru evitarea confuziilor terminologice și corelarea denumirii structurii cu atribuțiile prevăzute de Regulament.</w:t>
            </w:r>
          </w:p>
          <w:p w:rsidR="005E5E23" w:rsidRDefault="00000000">
            <w:r>
              <w:t xml:space="preserve">Noțiunea </w:t>
            </w:r>
            <w:r>
              <w:rPr>
                <w:i/>
                <w:iCs/>
              </w:rPr>
              <w:t>„dispecerat”</w:t>
            </w:r>
            <w:r>
              <w:t xml:space="preserve"> are un sens mai restrâns și nu acoperă în mod adecvat activitățile de colectare, analiză, generalizare și prezentare a informațiilor, prevăzute la pct. 47. Pentru claritate și corelare cu conținutul atribuțiilor stabilite, se recomandă utilizarea uniformă a denumirii „</w:t>
            </w:r>
            <w:r>
              <w:rPr>
                <w:i/>
                <w:iCs/>
              </w:rPr>
              <w:t>Grupul de management al informațiilor</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48. și 49. - textul </w:t>
            </w:r>
            <w:r>
              <w:rPr>
                <w:i/>
                <w:iCs/>
              </w:rPr>
              <w:t>„consecințelor crizei”</w:t>
            </w:r>
            <w:r>
              <w:t xml:space="preserve">, de înlocuit cu textul </w:t>
            </w:r>
            <w:r>
              <w:rPr>
                <w:i/>
                <w:iCs/>
              </w:rPr>
              <w:t>„consecințele situației de criză”.</w:t>
            </w:r>
            <w:r>
              <w:t xml:space="preserve"> Asemenea propunere se referă și la alte expuneri în text, unde este utilizat cuvântul </w:t>
            </w:r>
            <w:r>
              <w:rPr>
                <w:i/>
                <w:iCs/>
              </w:rPr>
              <w:t>„criză”</w:t>
            </w:r>
            <w:r>
              <w:t xml:space="preserve"> (unde nu este nemijlocit „criză” în sensul noțiunii din Legea nr. 248, dar anume „situație de criză”), în sensul expus în pct. 48 și 49 (exemplu încă o referire în pct. 49 „</w:t>
            </w:r>
            <w:r>
              <w:rPr>
                <w:i/>
                <w:iCs/>
              </w:rPr>
              <w:t>în care s-a produs criza</w:t>
            </w:r>
            <w:r>
              <w:t>”, pct. 50, etc.).</w:t>
            </w:r>
          </w:p>
          <w:p w:rsidR="005E5E23" w:rsidRDefault="00000000">
            <w:r>
              <w:t>Noțiunea</w:t>
            </w:r>
            <w:r>
              <w:rPr>
                <w:i/>
                <w:iCs/>
              </w:rPr>
              <w:t xml:space="preserve"> „situația de criză”, </w:t>
            </w:r>
            <w:r>
              <w:t>încadrează în sine mai multe evenimente, decât</w:t>
            </w:r>
            <w:r>
              <w:rPr>
                <w:i/>
                <w:iCs/>
              </w:rPr>
              <w:t xml:space="preserve"> „criza”.</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Pct. 53. - subpct. 53.1 se recomandă revizuirea prevederii, întrucât sintagma „</w:t>
            </w:r>
            <w:r>
              <w:rPr>
                <w:i/>
                <w:iCs/>
              </w:rPr>
              <w:t>secretariatul tehnic permanent</w:t>
            </w:r>
            <w:r>
              <w:t>” nu este corelată cu regimul de organizare și funcționare al Centrului operațional de coordonare, care are activitate periodică și se activează la necesitate.</w:t>
            </w:r>
          </w:p>
          <w:p w:rsidR="005E5E23" w:rsidRDefault="00000000">
            <w:r>
              <w:t>Potrivit proiectului, COC se constituie prin dispoziție, se activează la solicitarea președintelui și are activitate periodică, nu permanentă. Redactarea actuală poate crea confuzie cu privire la caracterul permanent al activității COC. Pentru claritate, se recomandă utilizarea unei formulări care să reflecte faptul că COC asigură suportul tehnic și organizatoric al Comisiei pe perioada activării sale.</w:t>
            </w:r>
          </w:p>
          <w:p w:rsidR="005E5E23" w:rsidRDefault="00000000">
            <w:r>
              <w:lastRenderedPageBreak/>
              <w:t>Se propune includerea expresă în următoarea redacție: „</w:t>
            </w:r>
            <w:r>
              <w:rPr>
                <w:i/>
                <w:iCs/>
              </w:rPr>
              <w:t>53.1. asigură secretariatul tehnic al Comisiei regionale sau teritoriale de management al situațiilor de criză pe perioada activării sale;</w:t>
            </w:r>
            <w:r>
              <w:t>”.</w:t>
            </w:r>
          </w:p>
        </w:tc>
        <w:tc>
          <w:tcPr>
            <w:tcW w:w="3402" w:type="dxa"/>
          </w:tcPr>
          <w:p w:rsidR="005E5E23" w:rsidRDefault="00000000">
            <w:r>
              <w:lastRenderedPageBreak/>
              <w:t>Se acceptă, s-a implementat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Textul subpct. 53.6. urmează a fi redactat la forma gramaticală corectă </w:t>
            </w:r>
            <w:r>
              <w:rPr>
                <w:i/>
                <w:iCs/>
              </w:rPr>
              <w:t>„monitorizează”</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La subpct. 53.6.4. de expus în următoarea redacție: </w:t>
            </w:r>
            <w:r>
              <w:rPr>
                <w:i/>
                <w:iCs/>
              </w:rPr>
              <w:t>„53.6.4. gestionarea informațiilor privind consecințele situației de criză din teritoriul deservit”.</w:t>
            </w:r>
            <w:r>
              <w:t xml:space="preserve"> Baza de date presupune o aplicație IT (sistem informațional). În prezent doar Inspectoratul General pentru Situații de Urgență gestionează o bază de date statistice privind situațiile excepționale produse în Republica Moldova (în conformitate cu Hotărârea Guvernului nr.1076/2010 cu privire la clasificarea situațiilor excepționale și la modul de acumulare și prezentare a informațiilor în domeniul protecției populației și teritoriului în caz de situații excepționale).</w:t>
            </w:r>
          </w:p>
        </w:tc>
        <w:tc>
          <w:tcPr>
            <w:tcW w:w="3402" w:type="dxa"/>
          </w:tcPr>
          <w:p w:rsidR="005E5E23" w:rsidRDefault="00000000">
            <w:r>
              <w:t>Se acceptă parțial, integrat în redacție nouă pentru a evita potențiala confuzie cu baza de date gestionată de IGSU</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Subpct. 53.6.5. se propune de exclus sau reformulat, deoarece se repetă cu normele prevăzute în subpct. 53.15.</w:t>
            </w:r>
          </w:p>
        </w:tc>
        <w:tc>
          <w:tcPr>
            <w:tcW w:w="3402" w:type="dxa"/>
          </w:tcPr>
          <w:p w:rsidR="005E5E23" w:rsidRDefault="00000000">
            <w:r>
              <w:t>Se acceptă, s-a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53.7. se propune în următoarea redacție: „53.7. </w:t>
            </w:r>
            <w:r>
              <w:rPr>
                <w:i/>
                <w:iCs/>
              </w:rPr>
              <w:t>asigură, pe perioada activării sale, coordonarea aplicării planurilor sectoriale de management al crizelor de către autoritățile administrației publice locale de nivelul întâi, în executarea deciziilor Comisiei regionale sau teritoriale de management al situațiilor de criză;</w:t>
            </w:r>
            <w:r>
              <w:t>”.</w:t>
            </w:r>
          </w:p>
          <w:p w:rsidR="005E5E23" w:rsidRDefault="00000000">
            <w:r>
              <w:t>Pentru claritatea normei, urmează a fi delimitat rolul COC, ca structură de suport și coordonare operațională, de competențele Comisiei regionale sau teritoriale.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53.9., se propune utilizarea verbului </w:t>
            </w:r>
            <w:r>
              <w:rPr>
                <w:i/>
                <w:iCs/>
              </w:rPr>
              <w:t>„identifică”</w:t>
            </w:r>
            <w:r>
              <w:t xml:space="preserve"> în loc de </w:t>
            </w:r>
            <w:r>
              <w:rPr>
                <w:i/>
                <w:iCs/>
              </w:rPr>
              <w:t>„concretizează”</w:t>
            </w:r>
            <w:r>
              <w:t xml:space="preserve"> și a conjuncției </w:t>
            </w:r>
            <w:r>
              <w:rPr>
                <w:i/>
                <w:iCs/>
              </w:rPr>
              <w:t>„și”</w:t>
            </w:r>
            <w:r>
              <w:t xml:space="preserve"> în loc de </w:t>
            </w:r>
            <w:r>
              <w:rPr>
                <w:i/>
                <w:iCs/>
              </w:rPr>
              <w:t>„sau”</w:t>
            </w:r>
            <w:r>
              <w:t>, pentru a stabili o obligație clară de inventariere a resurselor și pentru a reflecta caracterul unitar și obligatoriu al tuturor etapelor managementului crizelor. Această rectificare asigură conformitatea cu fazele succesive prevăzute de art. 4 din Legea nr. 248/2025, eliminând interpretarea alternativă a acestora.</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53.12. se propune de exclus, deoarece prevederea respectivă </w:t>
            </w:r>
            <w:r>
              <w:rPr>
                <w:i/>
                <w:iCs/>
              </w:rPr>
              <w:t xml:space="preserve">(„53.12. coordonează activitățile Comisiilor locale de management al situațiilor de criză;), </w:t>
            </w:r>
            <w:r>
              <w:t>este o normă deja prevăzută pentru comisiile regionale/teritoriale de management al situațiilor de criză, conform prevederilor pct. 26 și 27 din anexa nr. 2 a proiectului.</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Subpct. 53.13. textul „</w:t>
            </w:r>
            <w:r>
              <w:rPr>
                <w:i/>
                <w:iCs/>
              </w:rPr>
              <w:t>Comisiei a raionului...</w:t>
            </w:r>
            <w:r>
              <w:t>”, de expus în formă deplină „</w:t>
            </w:r>
            <w:r>
              <w:rPr>
                <w:i/>
                <w:iCs/>
              </w:rPr>
              <w:t>Comisiei regionale sau teritoriale de management al situațiilor de criză a raionului...</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Aceiași propunere este și pentru pct. 53.14 și alte cazuri similare.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53.16., de expus în următoarea redacție: </w:t>
            </w:r>
            <w:r>
              <w:rPr>
                <w:i/>
                <w:iCs/>
              </w:rPr>
              <w:t>„53.16. conlucrează cu COC din alte raioane, municipiile Chișinău, Bălți, UTA Găgăuzia în aspecte ce țin de desfășurarea lucrărilor de prevenire, lichidare a consecințelor, sau recuperare după situații de criză;”.</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Subpct. 53.17 textul</w:t>
            </w:r>
            <w:r>
              <w:rPr>
                <w:i/>
                <w:iCs/>
              </w:rPr>
              <w:t xml:space="preserve"> „unitatea administrativ-teritorială” </w:t>
            </w:r>
            <w:r>
              <w:t>de substituit  cu textul</w:t>
            </w:r>
            <w:r>
              <w:rPr>
                <w:i/>
                <w:iCs/>
              </w:rPr>
              <w:t xml:space="preserve"> „UTA Găgăuzia”</w:t>
            </w:r>
            <w:r>
              <w:t xml:space="preserve">, sau de expus în următoarea redacție: </w:t>
            </w:r>
            <w:r>
              <w:rPr>
                <w:i/>
                <w:iCs/>
              </w:rPr>
              <w:t>„53.17. conlucrează permanent cu Conducătorul operațiunilor și conducătorul intervenției, în aspecte ce țin de desfășurarea lucrărilor de prevenire, lichidare a consecințelor și recuperare după situații de criză, precum și asigurare multilaterală a acțiunilor de intervenție, inclusiv, după caz, a echipelor internaționale.”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Respectiv aceiași propunere este necesar de luat în considerare și la subpct. 54.3. și alte cazuri similare.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bookmarkStart w:id="1" w:name="bookmark=id.wi9ghprsmro7" w:colFirst="0" w:colLast="0"/>
            <w:bookmarkEnd w:id="1"/>
            <w:r>
              <w:t>Suplimentar, după subpct. 53.10. - în cuprinsul anexei (pag. 15–16), se constată erori de numerotare (ex. „53.10., 49.11., 53.12.”, respectiv „54.1., 54.21., 54.3.”), care afectează coerența structurii actului normativ și pot genera dificultăți în aplicare.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Pct. 54. - unele prevederi instituie atribuții fără a preciza conținutul juridic al acestora. Astfel, la pct. 54.4., formularea </w:t>
            </w:r>
            <w:r>
              <w:rPr>
                <w:i/>
                <w:iCs/>
              </w:rPr>
              <w:t>„este responsabil de sistemul de avertizare instituțională”</w:t>
            </w:r>
            <w:r>
              <w:t xml:space="preserve"> prezintă neclarități privind limitele și natura responsabilității. În mod similar, la pct. 54.5., sintagma </w:t>
            </w:r>
            <w:r>
              <w:rPr>
                <w:i/>
                <w:iCs/>
              </w:rPr>
              <w:t>„propune numirea conducătorului operațiilor”</w:t>
            </w:r>
            <w:r>
              <w:t xml:space="preserve"> nu precizează </w:t>
            </w:r>
            <w:r>
              <w:lastRenderedPageBreak/>
              <w:t>caracterul juridic al propunerii (obligatoriu sau consultativ), ceea ce afectează claritatea normei.</w:t>
            </w:r>
          </w:p>
        </w:tc>
        <w:tc>
          <w:tcPr>
            <w:tcW w:w="3402" w:type="dxa"/>
          </w:tcPr>
          <w:p w:rsidR="005E5E23" w:rsidRDefault="00000000">
            <w:r>
              <w:lastRenderedPageBreak/>
              <w:t>Se acceptă, integrat în textul proiectului prin clarificarea 54.4. și eliminarea 54.5.</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54.1 ar fi benefic de comasat cu pct. 54.21. (care de fapt este 54.2.) și de expus în următoarea redacție: </w:t>
            </w:r>
            <w:r>
              <w:rPr>
                <w:i/>
                <w:iCs/>
              </w:rPr>
              <w:t xml:space="preserve">„54.1. coordonează activitatea de prevenire, pregătire și răspuns în situații de criză în cadrul autorității în care este înființat. </w:t>
            </w:r>
            <w:r>
              <w:t>COC se formează doar la nivel de raion, mun. Chișinău, Bălți, UTA Găgăuzia, nu și în cadrul instituțiilor.</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Subpct. 54.5. se propune de reformulat, probabil se are în vedere nu </w:t>
            </w:r>
            <w:r>
              <w:rPr>
                <w:i/>
                <w:iCs/>
              </w:rPr>
              <w:t>„conducătorul operațiilor”</w:t>
            </w:r>
            <w:r>
              <w:t xml:space="preserve">, dar </w:t>
            </w:r>
            <w:r>
              <w:rPr>
                <w:i/>
                <w:iCs/>
              </w:rPr>
              <w:t>„conducătorul intervenției”</w:t>
            </w:r>
            <w:r>
              <w:t>.</w:t>
            </w:r>
          </w:p>
        </w:tc>
        <w:tc>
          <w:tcPr>
            <w:tcW w:w="3402" w:type="dxa"/>
          </w:tcPr>
          <w:p w:rsidR="005E5E23" w:rsidRDefault="00000000">
            <w:r>
              <w:t>Se respinge, punctul 54.5. a fost eliminat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Complementar, se consideră necesară completarea anexei nr. 2 cu prevederi mai clare privind condițiile minime de funcționare a Comisiilor regionale, teritoriale și locale de management al situațiilor de criză și, după caz, a Centrelor operaționale de coordonare. Aceste prevederi urmează să vizeze dotarea minimă, spațiile de lucru, echipamentele necesare și alte condiții tehnice și logistice indispensabile pentru desfășurarea activității acestora.</w:t>
            </w:r>
          </w:p>
        </w:tc>
        <w:tc>
          <w:tcPr>
            <w:tcW w:w="3402" w:type="dxa"/>
          </w:tcPr>
          <w:p w:rsidR="005E5E23" w:rsidRDefault="00000000">
            <w:r>
              <w:t>Se acceptă parțial. A fost introdus un nou punct prin care se trasează în sarcina MAI responsabilitatea de a furniza cerințele minime de funcționare ca sprijin pentru autoritățile locale. Pentru a fi în acord cu Legea 248/2026, MAI trebuie să aibă un rol central în operaționalizarea COC-urilor, similar cu activitatea deja depusa pentru centrele de dirijare în situații excepționale.</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De asemenea, se propune completarea proiectului cu norme privind asigurarea financiară minimă a activității acestor structuri. Deși, Legea nr. 248/2025 prevede expres asemenea elemente doar pentru Centrul Național de Management al Crizelor, reglementarea organizării și funcționării structurilor prevăzute la art. 51 alin. (3) necesită stabilirea unor condiții minime care să permită funcționarea lor efectivă.</w:t>
            </w:r>
          </w:p>
        </w:tc>
        <w:tc>
          <w:tcPr>
            <w:tcW w:w="3402" w:type="dxa"/>
          </w:tcPr>
          <w:p w:rsidR="005E5E23" w:rsidRDefault="00000000">
            <w:r>
              <w:t>Se acceptă, integrat în textul proiectului. Punctul 38 prevede că resursele financiare se aloca din bugetele locale și bugetul național.</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Totodată, se propune examinarea oportunității de a specifica amplasarea sau reamplasarea COC-urilor (mobile), ca structură operativă de teren, necesară în situațiile în care coordonarea activităților urmează a fi realizată nemijlocit în teritoriul afectat.</w:t>
            </w:r>
          </w:p>
        </w:tc>
        <w:tc>
          <w:tcPr>
            <w:tcW w:w="3402" w:type="dxa"/>
          </w:tcPr>
          <w:p w:rsidR="005E5E23" w:rsidRDefault="00000000">
            <w:r>
              <w:t xml:space="preserve">Se respinge. Se propune includerea centrelor mobile de comandă în planurile instituției principale. Se propune </w:t>
            </w:r>
            <w:r>
              <w:lastRenderedPageBreak/>
              <w:t>coordonarea sa se realizeze la nivelul COC-ului, iar comanda să poată fi exercitată în teren în funcție de nevoile instituției principale.</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Concomitent, în schema fluxului informațional (pag. 16), este identificată eroarea privind denumirea ,,COC” și anume fiind specificată drept ,,</w:t>
            </w:r>
            <w:r>
              <w:rPr>
                <w:i/>
                <w:iCs/>
              </w:rPr>
              <w:t>Centrul operațional de comandă</w:t>
            </w:r>
            <w:r>
              <w:t>”, însă pe întreg parcursul proiectului este utilizată sintagma ,,</w:t>
            </w:r>
            <w:r>
              <w:rPr>
                <w:i/>
                <w:iCs/>
              </w:rPr>
              <w:t>Centrul operațional de coordonare</w:t>
            </w:r>
            <w:r>
              <w:t>”.</w:t>
            </w:r>
          </w:p>
        </w:tc>
        <w:tc>
          <w:tcPr>
            <w:tcW w:w="3402" w:type="dxa"/>
          </w:tcPr>
          <w:p w:rsidR="005E5E23" w:rsidRDefault="00000000">
            <w:r>
              <w:t>Se acceptă, dar nu putem face modificarea, imaginea a fost transmisa de MAI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Suplimentar, analiza pct. 36. - 52. din Proiect evidențiază necorelări semnificative cu prevederile Legii nr. 248/2025, în special sub aspectul delimitării competențelor de coordonare operațională. Se constată o suprapunere de atribuții între Centrul operațional de coordonare (COC) și instituția principală, ambele entități fiind investite cu funcții de coordonare și conducere a intervenției, în absența unei ierarhizari explicite a deciziei operative. Această configurație normativă contravine principiului unității de comandă și este de natură să genereze disfuncționalități în procesul decizional.</w:t>
            </w:r>
          </w:p>
        </w:tc>
        <w:tc>
          <w:tcPr>
            <w:tcW w:w="3402" w:type="dxa"/>
          </w:tcPr>
          <w:p w:rsidR="005E5E23" w:rsidRDefault="00000000">
            <w:r>
              <w:t>Se acceptă. S-a integrat în textul propunerii precizări la punctele 41 și 42 mențiuni din care reiese clar că COC este platformă de coordonare și sprijin, conducerea operațională fiind o prerogativă a instituției principale</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De asemenea, regimul juridic al COC este marcat de o inconsecvență internă, fiind calificat formal drept structură de suport decizional, dar învestit, în fapt, cu atribuții de conducere operativă. În același timp, raporturile dintre Comisia Națională de Management al Crizelor, instituția principală și COC nu sunt suficient de clar delimitate, rezultând o arhitectură decizională multiliniară, susceptibilă să producă paralelism decizional și incertitudine în transmiterea și executarea ordinelor.</w:t>
            </w:r>
          </w:p>
        </w:tc>
        <w:tc>
          <w:tcPr>
            <w:tcW w:w="3402" w:type="dxa"/>
          </w:tcPr>
          <w:p w:rsidR="005E5E23" w:rsidRDefault="00000000">
            <w:r>
              <w:t>Se acceptă, textul a fost modificat pentru a delimita clar competențele de coordonare în sarcina COC și cele de comandă operațională în sarcina instituției principale</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IV. La anexa nr. 3, Modificări ce se operează în unele hotărâri ale Guvernului</w:t>
            </w:r>
          </w:p>
        </w:tc>
        <w:tc>
          <w:tcPr>
            <w:tcW w:w="3402" w:type="dxa"/>
          </w:tcPr>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În cuprinsul anexei (pag. 18), se constată erori de numerotare (ex. „3., 4., 4.1”, respectiv „1.2,”), care afectează coerența structurii actului normativ și pot genera dificultăți în aplicare.</w:t>
            </w:r>
          </w:p>
        </w:tc>
        <w:tc>
          <w:tcPr>
            <w:tcW w:w="3402" w:type="dxa"/>
          </w:tcPr>
          <w:p w:rsidR="005E5E23" w:rsidRDefault="00000000">
            <w:r>
              <w:t>Se ia act.</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bookmarkStart w:id="2" w:name="bookmark=id.5pwuwnwc4td2" w:colFirst="0" w:colLast="0"/>
            <w:bookmarkEnd w:id="2"/>
            <w:r>
              <w:t>Pct. 1. - subpct. 1.1 propunem a expune în următoarea redacție:</w:t>
            </w:r>
          </w:p>
          <w:p w:rsidR="005E5E23" w:rsidRDefault="00000000">
            <w:r>
              <w:rPr>
                <w:i/>
                <w:iCs/>
              </w:rPr>
              <w:t>„1.1. pe tot parcursul textului Regulamentului, sintagma „Comisia pentru Situații Excepționale a Republicii Moldova” la orice formă gramaticală, se substituie cu sintagma „Comisia Națională de Management al Crizelor”, la forma gramaticală corespunzătoare, cuvintele „situației excepționale” se substituie cu cuvintele „crizei sau crizei majore” la forma gramaticală corespunzătoare; iar cuvintele „Cancelaria de Stat„ la forma gramaticală corespunzătoare, se substituie cu cuvintele „Centrul Național de Management al Crizelor” la forma gramaticală corespunzătoare.”;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Subpct. 1.3 - se recomandă corelarea denumirii „</w:t>
            </w:r>
            <w:r>
              <w:rPr>
                <w:i/>
                <w:iCs/>
              </w:rPr>
              <w:t>Comisiile de management al crizelor ale autorităților administrației publice locale de nivelul al doilea și de nivel special</w:t>
            </w:r>
            <w:r>
              <w:t>” cu denumirile utilizate în anexa nr. 2 a proiectului, care reglementează comisiile regionale, teritoriale și locale de management al situațiilor de criză.</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Totodată, se propune implementarea/operarea următoarelor modificări suplimentare, ajustate la numerotarea corespunzătoare succesiunii după cum urmează:</w:t>
            </w:r>
          </w:p>
          <w:p w:rsidR="005E5E23" w:rsidRDefault="00000000">
            <w:r>
              <w:t>1. Hotărârea Guvernului nr. 1012/2023 cu privire la aprobarea Regulamentului privind exploatarea construcțiilor de protecție (Monitorul Oficial al Republicii Moldova, 2024, nr. 9-12, art. 6),  se modifică, după cum urmează:</w:t>
            </w:r>
          </w:p>
          <w:p w:rsidR="005E5E23" w:rsidRDefault="00000000">
            <w:r>
              <w:t>1.1. pe tot parcursul textului cuvintele „</w:t>
            </w:r>
            <w:r>
              <w:rPr>
                <w:i/>
                <w:iCs/>
              </w:rPr>
              <w:t>situațiilor  excepționale</w:t>
            </w:r>
            <w:r>
              <w:t>”, la orice formă gramaticală, se substituie cu cuvintele „</w:t>
            </w:r>
            <w:r>
              <w:rPr>
                <w:i/>
                <w:iCs/>
              </w:rPr>
              <w:t>crizei sau crizei majore</w:t>
            </w:r>
            <w:r>
              <w:t>”, la forma gramaticală corespunzătoare.</w:t>
            </w:r>
          </w:p>
          <w:p w:rsidR="005E5E23" w:rsidRDefault="00000000">
            <w:r>
              <w:t>1.2. la Regulamentul privind exploatarea construcțiilor de protecție:</w:t>
            </w:r>
          </w:p>
          <w:p w:rsidR="005E5E23" w:rsidRDefault="00000000">
            <w:r>
              <w:t>1.2.1. la pct. 4 sintagma ,,conform funcțiilor deținute (în continuare - </w:t>
            </w:r>
            <w:r>
              <w:rPr>
                <w:i/>
                <w:iCs/>
              </w:rPr>
              <w:t>președinți ai comisiilor pentru situații excepționale</w:t>
            </w:r>
            <w:r>
              <w:t>)” se propune de exclus.</w:t>
            </w:r>
          </w:p>
          <w:p w:rsidR="005E5E23" w:rsidRDefault="00000000">
            <w:r>
              <w:t xml:space="preserve">Astfel, obligația de acumulare a fondului necesar de construcții de protecție și menținerea lor în stare permanentă de pregătire revine nu doar Președinților comisiilor de management al crizelor de nivel corespunzător, dar și  conducătorilor autorităților administrației publice </w:t>
            </w:r>
            <w:r>
              <w:lastRenderedPageBreak/>
              <w:t>centrale, ai instituțiilor, organizațiilor și agenților economici cu orice formă juridică de organizare și tip de proprietate.</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1.2.2. la pct. 40 se propune substituirea sintagmei ,,</w:t>
            </w:r>
            <w:r>
              <w:rPr>
                <w:i/>
                <w:iCs/>
              </w:rPr>
              <w:t>gestionarii adăposturilor de protecție civilă</w:t>
            </w:r>
            <w:r>
              <w:t>” cu sintagma ,,</w:t>
            </w:r>
            <w:r>
              <w:rPr>
                <w:i/>
                <w:iCs/>
              </w:rPr>
              <w:t>gestionarii construcțiilor de protecție</w:t>
            </w:r>
            <w:r>
              <w:t>”, ceea ce va asigura executarea măsurilor de pregătire a tuturor tipurilor de construcții de protecție existente în zonele cu pericol de criză sau criză majoră.</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1.2.3. Complementar, la pct. 40 și pct. 47 cuvintele „</w:t>
            </w:r>
            <w:r>
              <w:rPr>
                <w:i/>
                <w:iCs/>
              </w:rPr>
              <w:t>Comisiei pentru situații excepționale de nivel corespunzător</w:t>
            </w:r>
            <w:r>
              <w:t>”, se substituie cu cuvintele „</w:t>
            </w:r>
            <w:r>
              <w:rPr>
                <w:i/>
                <w:iCs/>
              </w:rPr>
              <w:t>Comisia de management al situațiilor de criză de nivelul corespunzător.</w:t>
            </w:r>
            <w:r>
              <w:t>”</w:t>
            </w:r>
            <w:r>
              <w:rPr>
                <w:i/>
                <w:iCs/>
              </w:rPr>
              <w:t xml:space="preserve">, </w:t>
            </w:r>
            <w:r>
              <w:t>la forma gramaticală corespunzătoare.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1.2.4. la pct. 46, 54, 60  cuvintele „</w:t>
            </w:r>
            <w:r>
              <w:rPr>
                <w:i/>
                <w:iCs/>
              </w:rPr>
              <w:t>Președinții comisiilor pentru situații excepționale</w:t>
            </w:r>
            <w:r>
              <w:t>”, se substituie cu cuvintele „</w:t>
            </w:r>
            <w:r>
              <w:rPr>
                <w:i/>
                <w:iCs/>
              </w:rPr>
              <w:t>Președinții comisiilor regionale, teritoriale sau locale de management al situațiilor de criză</w:t>
            </w:r>
            <w:r>
              <w:t>” la forma gramaticală corespunzătoare;</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1.2.5. la pct. 61 cuvintele </w:t>
            </w:r>
            <w:r>
              <w:rPr>
                <w:i/>
                <w:iCs/>
              </w:rPr>
              <w:t>„Președinții comisiilor pentru situații excepționale ale unităților economice</w:t>
            </w:r>
            <w:r>
              <w:t xml:space="preserve">” la forma gramaticală corespunzătoare, se substituie cu cuvintele </w:t>
            </w:r>
            <w:r>
              <w:rPr>
                <w:i/>
                <w:iCs/>
              </w:rPr>
              <w:t xml:space="preserve">„Conducătorii unităților economice”, </w:t>
            </w:r>
            <w:r>
              <w:t>iar cuvintele</w:t>
            </w:r>
            <w:r>
              <w:rPr>
                <w:i/>
                <w:iCs/>
              </w:rPr>
              <w:t xml:space="preserve"> </w:t>
            </w:r>
            <w:r>
              <w:t>„</w:t>
            </w:r>
            <w:r>
              <w:rPr>
                <w:i/>
                <w:iCs/>
              </w:rPr>
              <w:t>președinții comisiilor pentru situații excepționale de nivelul întâi</w:t>
            </w:r>
            <w:r>
              <w:t>” la forma gramaticală corespunzătoare, se substituie cu cuvintele „</w:t>
            </w:r>
            <w:r>
              <w:rPr>
                <w:i/>
                <w:iCs/>
              </w:rPr>
              <w:t>președinții comisiilor locale de management al situațiilor de criză</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1.2.6. la pct. 62  cuvintele </w:t>
            </w:r>
            <w:r>
              <w:rPr>
                <w:i/>
                <w:iCs/>
              </w:rPr>
              <w:t>„Președinții comisiilor pentru situații excepționale de nivelul întâi”</w:t>
            </w:r>
            <w:r>
              <w:t xml:space="preserve"> la forma gramaticală corespunzătoare, se substituie cu cuvintele </w:t>
            </w:r>
            <w:r>
              <w:rPr>
                <w:i/>
                <w:iCs/>
              </w:rPr>
              <w:t>„Președinții comisiilor locale de management al situațiilor de criză”</w:t>
            </w:r>
            <w:r>
              <w:t xml:space="preserve"> la forma gramaticală corespunzătoare, iar cuvintele </w:t>
            </w:r>
            <w:r>
              <w:rPr>
                <w:i/>
                <w:iCs/>
              </w:rPr>
              <w:t>„președinții comisiilor pentru situații excepționale de nivelul al doilea”</w:t>
            </w:r>
            <w:r>
              <w:t xml:space="preserve"> la forma gramaticală corespunzătoare, se substituie cu cuvintele </w:t>
            </w:r>
            <w:r>
              <w:rPr>
                <w:i/>
                <w:iCs/>
              </w:rPr>
              <w:t>„Președinții comisiilor teritoriale de management al situațiilor de criză”</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1.2.7. la pct. 63 cuvintele </w:t>
            </w:r>
            <w:r>
              <w:rPr>
                <w:i/>
                <w:iCs/>
              </w:rPr>
              <w:t>„Președinții comisiilor pentru situații excepționale ale autorităților publice centrale și locale de nivelul al doilea, unității teritoriale autonome Găgăuzia”</w:t>
            </w:r>
            <w:r>
              <w:t xml:space="preserve"> se substituie cu </w:t>
            </w:r>
            <w:r>
              <w:lastRenderedPageBreak/>
              <w:t xml:space="preserve">cuvintele </w:t>
            </w:r>
            <w:r>
              <w:rPr>
                <w:i/>
                <w:iCs/>
              </w:rPr>
              <w:t>„Conducătorii autorităților administrației publice centrale și președinții Comisiilor regionale și teritoriale de management al situațiilor de criză”</w:t>
            </w:r>
            <w:r>
              <w:t>;</w:t>
            </w:r>
          </w:p>
        </w:tc>
        <w:tc>
          <w:tcPr>
            <w:tcW w:w="3402" w:type="dxa"/>
          </w:tcPr>
          <w:p w:rsidR="005E5E23" w:rsidRDefault="00000000">
            <w:r>
              <w:lastRenderedPageBreak/>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bookmarkStart w:id="3" w:name="bookmark=id.261kk8xup1x8" w:colFirst="0" w:colLast="0"/>
            <w:bookmarkEnd w:id="3"/>
            <w:r>
              <w:t>1.2.8. la punctul 67 cuvintele „</w:t>
            </w:r>
            <w:r>
              <w:rPr>
                <w:i/>
                <w:iCs/>
              </w:rPr>
              <w:t>Comisiei pentru Situații Excepționale a Republicii Moldova</w:t>
            </w:r>
            <w:r>
              <w:t>” se substituie cu cuvintele „</w:t>
            </w:r>
            <w:r>
              <w:rPr>
                <w:i/>
                <w:iCs/>
              </w:rPr>
              <w:t>Comisiei Naționale de Management al Crizelor</w:t>
            </w:r>
            <w:r>
              <w:t>”.</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rPr>
                <w:color w:val="000000"/>
              </w:rPr>
            </w:pPr>
          </w:p>
        </w:tc>
        <w:tc>
          <w:tcPr>
            <w:tcW w:w="7088" w:type="dxa"/>
          </w:tcPr>
          <w:p w:rsidR="005E5E23" w:rsidRDefault="00000000">
            <w:pPr>
              <w:rPr>
                <w:color w:val="000000"/>
              </w:rPr>
            </w:pPr>
            <w:r>
              <w:rPr>
                <w:color w:val="000000"/>
              </w:rPr>
              <w:t>Corelativ, se consideră necesară revizuirea Notei de fundamentare, în special a compartimentului 4.2 „Impactul financiar și argumentarea costurilor estimative”, pentru a reflecta corespunzător implicațiile organizatorice, logistice și financiare ale proiectului și pentru a asigura concordanța dintre conținutul proiectului și fundamentarea acestuia. În măsura în care proiectul urmează a fi completat cu prevederi privind dotarea minimă și asigurarea financiară a comisiilor regionale, teritoriale și locale de management al situațiilor de criză și, după caz, a centrelor operaționale de coordonare aferente. Nota de fundamentare urmează să reflecte expres impactul acestor măsuri, inclusiv sub aspectul spațiilor de lucru, echipamentelor, mijloacelor de comunicații, altor necesități logistice și surselor de acoperire a cheltuielilor respective. Totodată, este necesar să fie precizat clar dacă aceste măsuri se vor realiza în limitele resurselor financiare, materiale și umane existente ale autorităților și instituțiilor implicate sau dacă presupun identificarea unor resurse suplimentare.</w:t>
            </w:r>
          </w:p>
        </w:tc>
        <w:tc>
          <w:tcPr>
            <w:tcW w:w="3402" w:type="dxa"/>
          </w:tcPr>
          <w:p w:rsidR="005E5E23" w:rsidRDefault="00000000">
            <w:pPr>
              <w:rPr>
                <w:color w:val="000000"/>
              </w:rPr>
            </w:pPr>
            <w:r>
              <w:rPr>
                <w:color w:val="000000"/>
              </w:rPr>
              <w:t>Se acceptă, nu este impact financiar inițial. Operaționalizare COC va fi realizată utilizând resursele deja alocate pentru punctele și centrele de dirijare pentru situații excepționale create conform prevederilor HG 803/2018. Ulterior acestea vor fi dezvoltate în timp.</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rPr>
                <w:color w:val="000000"/>
              </w:rPr>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La fel, în tot textul proiectului, expresia „agenții economici”, urmează a fi substituită cu „operatorii economici, în condițiile cerinței de uniformizare a terminologiei utilizate la elaborarea actelor normative, conform art. 54 alin. (1) lit. c) din Legea nr. 100/2017. Noțiunea „operator economic” se regăsește în art. 1 din Legea nr. 131/2015, „</w:t>
            </w:r>
            <w:r>
              <w:rPr>
                <w:i/>
                <w:iCs/>
              </w:rPr>
              <w:t xml:space="preserve">operator economic </w:t>
            </w:r>
            <w:r>
              <w:t>– orice persoană fizică sau juridică, orice entitate publică sau asociație a acestor persoane şi/sau entități care furnizează bunuri, execută lucrări şi/sau prestează servicii pe piață”.</w:t>
            </w:r>
          </w:p>
        </w:tc>
        <w:tc>
          <w:tcPr>
            <w:tcW w:w="3402" w:type="dxa"/>
          </w:tcPr>
          <w:p w:rsidR="005E5E23" w:rsidRDefault="00000000">
            <w:r>
              <w:t>Se acceptă, integrat în textul proiectului.</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 xml:space="preserve">Sub aspect juridic, se impune o delimitare expresă între regimul de normalitate (stare de pace) și regimurile excepționale (stare de urgență, de alertă). Astfel, în condiții de normalitate, activitatea de </w:t>
            </w:r>
            <w:r>
              <w:rPr>
                <w:i/>
                <w:iCs/>
              </w:rPr>
              <w:lastRenderedPageBreak/>
              <w:t>„concretizare”</w:t>
            </w:r>
            <w:r>
              <w:t xml:space="preserve"> trebuie să aibă caracter preponderent de evidență și planificare (inventariere, baze de date, capacități disponibile), fără a implica prerogative operative imediate sau dreptul de dispoziție asupra resurselor. </w:t>
            </w:r>
            <w:r>
              <w:rPr>
                <w:i/>
                <w:iCs/>
              </w:rPr>
              <w:t>Mutatis mutandis</w:t>
            </w:r>
            <w:r>
              <w:t>, în regimuri excepționale, această activitate trebuie să dobândească un caracter operațional, fiind corelată cu competența instituției principale de a dispune utilizarea efectivă a forțelor și mijloacelor, inclusiv prin emiterea de ordine executorii.</w:t>
            </w:r>
          </w:p>
        </w:tc>
        <w:tc>
          <w:tcPr>
            <w:tcW w:w="3402" w:type="dxa"/>
          </w:tcPr>
          <w:p w:rsidR="005E5E23" w:rsidRDefault="00000000">
            <w:r>
              <w:lastRenderedPageBreak/>
              <w:t xml:space="preserve">Nu se acceptă, la capitolul responsabilități este stabilit </w:t>
            </w:r>
            <w:r>
              <w:lastRenderedPageBreak/>
              <w:t xml:space="preserve">modul și acțiunile necesare pentru activitatea Comisiilor. </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Subsidiar, se propune ca schema fluxului informațional, canalele de raportare și interacțiunea ierarhică între structurile de management al crizelor să fie expuse în anexa nr. 1 la Regulament, care va fi parte integrantă din acesta.</w:t>
            </w:r>
          </w:p>
        </w:tc>
        <w:tc>
          <w:tcPr>
            <w:tcW w:w="3402" w:type="dxa"/>
          </w:tcPr>
          <w:p w:rsidR="005E5E23" w:rsidRDefault="00000000">
            <w:r>
              <w:t>Se acceptă, integrat în textul proiectului.</w:t>
            </w:r>
          </w:p>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În final, se recomandă revizuirea proiectului din punct de vedere gramatical. Utilizarea unei punctuații corecte și a unei terminologii juridice consacrate este esențială pentru a preveni interpretările eronate în procesul de aplicare al actului normativ.</w:t>
            </w:r>
          </w:p>
        </w:tc>
        <w:tc>
          <w:tcPr>
            <w:tcW w:w="3402" w:type="dxa"/>
          </w:tcPr>
          <w:p w:rsidR="005E5E23" w:rsidRDefault="00000000">
            <w:r>
              <w:t>Se acceptă, integrat în textul proiectului.</w:t>
            </w:r>
          </w:p>
          <w:p w:rsidR="005E5E23" w:rsidRDefault="005E5E23"/>
        </w:tc>
      </w:tr>
      <w:tr w:rsidR="005E5E23">
        <w:trPr>
          <w:trHeight w:val="113"/>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3"/>
              </w:numPr>
              <w:pBdr>
                <w:top w:val="nil"/>
                <w:left w:val="nil"/>
                <w:bottom w:val="nil"/>
                <w:right w:val="nil"/>
                <w:between w:val="nil"/>
              </w:pBdr>
            </w:pPr>
          </w:p>
        </w:tc>
        <w:tc>
          <w:tcPr>
            <w:tcW w:w="7088" w:type="dxa"/>
          </w:tcPr>
          <w:p w:rsidR="005E5E23" w:rsidRDefault="00000000">
            <w:r>
              <w:t>Ministerul Afacerilor Interne apreciază importanța consolidării eforturilor comune în domeniul managementului situațiilor de criză, alinierea acestora la standardele europene și vă prezintă în continuare deschiderea pe domeniul menționat, în contextul eventualelor ajustări sau armonizări ale cadrului normativ.</w:t>
            </w:r>
          </w:p>
        </w:tc>
        <w:tc>
          <w:tcPr>
            <w:tcW w:w="3402" w:type="dxa"/>
          </w:tcPr>
          <w:p w:rsidR="005E5E23" w:rsidRDefault="00000000">
            <w:r>
              <w:t>Se acceptă, integrat în textul proiectului.</w:t>
            </w:r>
          </w:p>
          <w:p w:rsidR="005E5E23" w:rsidRDefault="005E5E23"/>
        </w:tc>
      </w:tr>
      <w:tr w:rsidR="005E5E23">
        <w:trPr>
          <w:trHeight w:val="245"/>
        </w:trPr>
        <w:tc>
          <w:tcPr>
            <w:tcW w:w="1838" w:type="dxa"/>
            <w:shd w:val="clear" w:color="auto" w:fill="00B0F0"/>
          </w:tcPr>
          <w:p w:rsidR="005E5E23" w:rsidRDefault="005E5E23"/>
        </w:tc>
        <w:tc>
          <w:tcPr>
            <w:tcW w:w="567" w:type="dxa"/>
            <w:shd w:val="clear" w:color="auto" w:fill="00B0F0"/>
          </w:tcPr>
          <w:p w:rsidR="005E5E23" w:rsidRDefault="005E5E23"/>
        </w:tc>
        <w:tc>
          <w:tcPr>
            <w:tcW w:w="7088" w:type="dxa"/>
            <w:shd w:val="clear" w:color="auto" w:fill="00B0F0"/>
          </w:tcPr>
          <w:p w:rsidR="005E5E23" w:rsidRDefault="005E5E23"/>
        </w:tc>
        <w:tc>
          <w:tcPr>
            <w:tcW w:w="3402" w:type="dxa"/>
            <w:shd w:val="clear" w:color="auto" w:fill="00B0F0"/>
          </w:tcPr>
          <w:p w:rsidR="005E5E23" w:rsidRDefault="005E5E23"/>
        </w:tc>
      </w:tr>
      <w:tr w:rsidR="005E5E23">
        <w:tc>
          <w:tcPr>
            <w:tcW w:w="1838" w:type="dxa"/>
            <w:vMerge w:val="restart"/>
          </w:tcPr>
          <w:p w:rsidR="005E5E23" w:rsidRDefault="00000000">
            <w:r>
              <w:t xml:space="preserve">Ministerul Finanţelor al Republicii Moldova </w:t>
            </w:r>
          </w:p>
          <w:p w:rsidR="005E5E23" w:rsidRDefault="00000000">
            <w:pPr>
              <w:rPr>
                <w:i/>
                <w:iCs/>
              </w:rPr>
            </w:pPr>
            <w:r>
              <w:rPr>
                <w:i/>
                <w:iCs/>
              </w:rPr>
              <w:t>(Nr. 08-03-302/655 din 28.04.2026)</w:t>
            </w: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La proiectul de hotărâre</w:t>
            </w:r>
          </w:p>
        </w:tc>
        <w:tc>
          <w:tcPr>
            <w:tcW w:w="3402" w:type="dxa"/>
          </w:tcPr>
          <w:p w:rsidR="005E5E23" w:rsidRDefault="005E5E23"/>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2, subpunctul 2.2, după cuvântul „comisiilor” de completat cu cuvintele „regionale sau”.</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3, după cuvântul „comisiile” de completat cu cuvintele „regionale sau”.</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Totodată, este de menționat că conform articolului 12 alin.(2) din Legea nr. 248/2025 privind managementul situațiilor de criză, Guvernul stabilește, prin hotărâre, lista autorităților și a instituțiilor publice care au obligația înființării COC cu activitate permanentă, care nu se regăsește în proiectul de hotărâre prezentat.</w:t>
            </w:r>
          </w:p>
        </w:tc>
        <w:tc>
          <w:tcPr>
            <w:tcW w:w="3402" w:type="dxa"/>
          </w:tcPr>
          <w:p w:rsidR="005E5E23" w:rsidRDefault="00000000">
            <w:r>
              <w:t>Precizare. COC-urile din art. 12 alin (2) din legea nr. 248/2025 nu fac obiectul acestui HG.</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 xml:space="preserve">La fel, clauza de contrasemnare necesită a fi revizuită prin excluderea ministrului finanțelor din lista contrasemnatarilor. Potrivit art. 36 alin. </w:t>
            </w:r>
            <w:r>
              <w:lastRenderedPageBreak/>
              <w:t>(2) din Legea nr. 136/2017 cu privire la Guvern, hotărârile se contrasemnează de miniștrii care au obligația punerii în aplicare a acestora și/sau care sunt responsabili de domeniile de activitate care intră parțial sau integral în obiectul de reglementare al actului contrasemnat.</w:t>
            </w:r>
          </w:p>
        </w:tc>
        <w:tc>
          <w:tcPr>
            <w:tcW w:w="3402" w:type="dxa"/>
          </w:tcPr>
          <w:p w:rsidR="005E5E23" w:rsidRDefault="00000000">
            <w:r>
              <w:lastRenderedPageBreak/>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La Anexa nr.1</w:t>
            </w:r>
          </w:p>
          <w:p w:rsidR="005E5E23" w:rsidRDefault="00000000">
            <w:r>
              <w:t>Titlul capitolului III de expus în următoarea redacție „Responsabilitățile și atribuțiile Comisiei”;</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11 de expus în următoarea redacție: „11. Responsabilitățile Comisiei sunt stabilite de articolul 34 din Legea nr.248/2025 privind managementul situațiilor de criză, precum și alte acte normative.”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12 de expus în următoarea redacție: „12. Întru realizarea responsabilităților sale, Comisia are următoarele atribuții:”;</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 subpunctul 12.5 de revăzut și de adus în concordanță cu cadrul normativ în vigoare, deoarece Legea nr.248/2025 privind managementul situațiilor de criză, nu prevede ca atribuție a Comisiei adoptarea deciziilor privind alocarea resurselor financiare indiferent de apartenența acestora. Totodată, conform Legii finanțelor publice și responsabilității bugetar-fiscale nr.181/2014 în cadrul bugetului de stat poate fi creat fondul de intervenție - pentru finanțarea cheltuielilor urgente legate de înlăturarea consecințelor calamităților naturale, în caz de epidemii, precum și în alte situații excepționale.</w:t>
            </w:r>
          </w:p>
        </w:tc>
        <w:tc>
          <w:tcPr>
            <w:tcW w:w="3402" w:type="dxa"/>
          </w:tcPr>
          <w:p w:rsidR="005E5E23" w:rsidRDefault="00000000">
            <w:r>
              <w:rPr>
                <w:highlight w:val="white"/>
              </w:rPr>
              <w:t>Se acceptă parțial. Textul a fost modificat pentru a reflecta faptul că deciziile Comisiei sunt luate cu privire la alocarea fondurilor și nu au efect direct alocarea acestora.</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 subpunctul 12.14 și punctul 13 de adus în corelare cu obiecțiile expuse la proiectul de hotărâre.</w:t>
            </w:r>
          </w:p>
        </w:tc>
        <w:tc>
          <w:tcPr>
            <w:tcW w:w="3402" w:type="dxa"/>
          </w:tcPr>
          <w:p w:rsidR="005E5E23" w:rsidRDefault="00000000">
            <w:r>
              <w:t>Se accepră, integrat în textul proiectului și în acord cu propunerile Ministerului Sănătății.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15 de adus în concordanță cu modificarea propusă de autor la HG nr.820/2024 conform punctului 2 din Anexa nr.3.</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18 de completat cu competențele stabilite prin articolul 45 din Legea nr.248/2025.</w:t>
            </w:r>
          </w:p>
        </w:tc>
        <w:tc>
          <w:tcPr>
            <w:tcW w:w="3402" w:type="dxa"/>
          </w:tcPr>
          <w:p w:rsidR="005E5E23" w:rsidRDefault="00000000">
            <w:r>
              <w:t>Se respinge, dublarea prevederilor din lege nu respectă cerințele de tehnică legislativă</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20.1 de exclus sau de revăzut conform obiecțiilor expuse mai sus la subpunctul 12.5.</w:t>
            </w:r>
          </w:p>
        </w:tc>
        <w:tc>
          <w:tcPr>
            <w:tcW w:w="3402" w:type="dxa"/>
          </w:tcPr>
          <w:p w:rsidR="005E5E23" w:rsidRDefault="00000000">
            <w:r>
              <w:t>Se acceptă parțial, conform celor expuse la punctul anterior</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40.9: - după cuvintele „adresate Comisiei” de completat cu cuvintele „prin intermediul Cancelariei de Stat,”; - textul „solicitarea de acordare a ajutorului financiar sau material” de substituit cu textul „alocarea de bunuri materiale și</w:t>
            </w:r>
            <w:r>
              <w:rPr>
                <w:color w:val="EE0000"/>
              </w:rPr>
              <w:t>/sau mijloacele financiare”; - în final de completat cu cuvintele „desemnate de Cancelaria de Stat”.</w:t>
            </w:r>
          </w:p>
        </w:tc>
        <w:tc>
          <w:tcPr>
            <w:tcW w:w="3402" w:type="dxa"/>
          </w:tcPr>
          <w:p w:rsidR="005E5E23" w:rsidRDefault="00000000">
            <w:pPr>
              <w:rPr>
                <w:color w:val="444746"/>
              </w:rPr>
            </w:pPr>
            <w:r>
              <w:rPr>
                <w:color w:val="444746"/>
              </w:rPr>
              <w:t>Text pus in acord cu propunerea Min Finantelor, cu omiterea propunerii ca cererile de asistenta sa fie transmise prin intermediul Cancelariei de Stat, din moment ce ele ajung deja la CNMC de verificat dacă nu e o obligatie sau drept consfințit al CS</w:t>
            </w:r>
          </w:p>
        </w:tc>
      </w:tr>
      <w:tr w:rsidR="005E5E23">
        <w:tc>
          <w:tcPr>
            <w:tcW w:w="1838" w:type="dxa"/>
            <w:vMerge/>
          </w:tcPr>
          <w:p w:rsidR="005E5E23" w:rsidRDefault="005E5E23">
            <w:pPr>
              <w:widowControl w:val="0"/>
              <w:pBdr>
                <w:top w:val="nil"/>
                <w:left w:val="nil"/>
                <w:bottom w:val="nil"/>
                <w:right w:val="nil"/>
                <w:between w:val="nil"/>
              </w:pBdr>
              <w:spacing w:line="276" w:lineRule="auto"/>
              <w:rPr>
                <w:color w:val="444746"/>
              </w:rPr>
            </w:pPr>
          </w:p>
        </w:tc>
        <w:tc>
          <w:tcPr>
            <w:tcW w:w="567" w:type="dxa"/>
          </w:tcPr>
          <w:p w:rsidR="005E5E23" w:rsidRDefault="005E5E23"/>
        </w:tc>
        <w:tc>
          <w:tcPr>
            <w:tcW w:w="7088" w:type="dxa"/>
          </w:tcPr>
          <w:p w:rsidR="005E5E23" w:rsidRDefault="00000000">
            <w:r>
              <w:t>La Anexa nr.2</w:t>
            </w:r>
          </w:p>
        </w:tc>
        <w:tc>
          <w:tcPr>
            <w:tcW w:w="3402" w:type="dxa"/>
          </w:tcPr>
          <w:p w:rsidR="005E5E23" w:rsidRDefault="005E5E23"/>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Denumirea Regulamentului-cadru după cuvântul ,,regionale” de completat cu cuvântul ,,sau”, iar după cuvântul ,,operaționale” de completat cu cuvintele ,,de coordonare”, și la necesitate de ajustat și textul acestuia.</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9, deși prevede că, funcționarea comisiilor și a centrelor operaționale de coordonare (COC) se va asigura de către autoritățile administrației publice locale competente, în practică constituirea și funcționarea COC ar implica alocarea de resurse umane, logistice și financiare suplimentare, inclusiv asigurarea spațiilor, echipamentelor de comunicații și a suportului operațional și poate genera presiuni suplimentare asupra capacității administrative a autorităților administrației publice locale. Prin urmare, pentru realizarea atribuțiilor suplimentare stabilite în sarcina APL în procesul de prevenire, gestionare și recuperare în situații de criză, nu a fost evaluat impactul real asupra bugetelor locale și poate genera necesitatea identificării sau redistribuirii resurselor bugetare, inclusiv utilizarea fondurilor de rezervă, ceea ce poate influență negativ prioritățile de cheltuieli ale APL.</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Începând cu punctul 10, de corectat numerotarea punctelor.</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Conținutul punctului 13 de corelat cu punctul 3 din proiectul de hotărâre.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18, care este următor după subpunctul 18.21, nu corespunde numerotației, iar textul ,,reprezentanții autorităților prevăzute la pct.8.1 din Anexa nr.1 la prezenta Hotărâre de Guvern,” de exclus, deoarece nu este clar ce se propune.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22, după cuvintele ,,prevăzută la pct.” , de indicat numărul punctului.</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25.1, se consideră că acesta determină o limitare temporară a autonomiei decizionale a autorităților administrației publice locale, justificată de necesitatea gestionării eficiente a situațiilor de criză. Potrivit articolului 5 din Legea nr.435/2006 privind administrația publică locală, subiecții autonomiei locale sunt consiliile locale și raionale, precum și Adunarea Populară - în calitate de autorități deliberative și primarii , președinții de raioane și Bașcanul – în calitate de autorități executive, fapt ce impune respectarea competențelor acestora în procesul decizional.</w:t>
            </w:r>
          </w:p>
        </w:tc>
        <w:tc>
          <w:tcPr>
            <w:tcW w:w="3402" w:type="dxa"/>
          </w:tcPr>
          <w:p w:rsidR="005E5E23" w:rsidRDefault="00000000">
            <w:r>
              <w:t>Se respinge. Gestionarea situațiilor de criză sunt atributul puterii executive, respectiv primarul, președintele de raion și bașcanul, nu celei legislative, respectiv consilii locale, raionale etc. De asemenea, primarul, președintele de raion și bașcanul sunt președinți ai Comisiei, fiind astfel implicați în procesul decizional.</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 xml:space="preserve">Totodată, conform subpunctelor 25.2, 25.3, 25.4, 25.9, comisiile regionale sau teritoriale și locale vor avea dreptul de a propune și a utiliza resursele financiare și materiale disponibile la nivel local, inclusiv de a propune utilizarea fondurilor de rezervă. Acest drept poate genera presiuni asupra execuției bugetare și a disciplinei financiare la nivel local, întrucât autoritățile administrației publice locale vor fi puse în situația de a prioritiza și redirecționa cheltuielile în contextul gestionării situațiilor de criză, la propunerea comisiilor respective, chiar în cazurile în care acestea nu vor avea planificate inițial. Având în vedere baza fiscală limitată a bugetelor locale, nu toate autoritățile publice locale dispun de posibilitatea reală de a constitui fondul de rezervă în condițiile legii, fapt ce poate afecta capacitatea acestora de a răspunde prompt și eficient situațiilor de criză. În același timp, decizia privind constituirea și modul de utilizare a fondului de rezervă la nivel local aparține exclusiv autorității </w:t>
            </w:r>
            <w:r>
              <w:lastRenderedPageBreak/>
              <w:t>reprezentative și deliberative, în conformitate cu prevederile articolului 19 din Legea privind finanțele publice locale nr.397/2003.</w:t>
            </w:r>
          </w:p>
          <w:p w:rsidR="005E5E23" w:rsidRDefault="00000000">
            <w:r>
              <w:t>În acest sens, deși proiectul prevede doar dreptul comisiilor de a formula propuneri, coordonarea acestor prevederi cu caracter obligatoriu al deciziilor adoptate de comisii poate genera interpretări care conduc, în mod indirect, la constrângerea autorităților deliberative de a aproba utilizarea fondurilor de rezervă.</w:t>
            </w:r>
          </w:p>
          <w:p w:rsidR="005E5E23" w:rsidRDefault="00000000">
            <w:r>
              <w:t>O asemenea abordare poate fi calificată drept o imixtiune în exercitarea competențelor exclusive ale autorităților administrației publice locale, contrar principiului autonomiei locale.</w:t>
            </w:r>
          </w:p>
        </w:tc>
        <w:tc>
          <w:tcPr>
            <w:tcW w:w="3402" w:type="dxa"/>
          </w:tcPr>
          <w:p w:rsidR="005E5E23" w:rsidRDefault="00000000">
            <w:r>
              <w:lastRenderedPageBreak/>
              <w:t xml:space="preserve">Se respinge. Proiectul nu conferă Comisiilor regionale, teritoriale sau locale competența de a decide asupra constituirii, alocării sau utilizării fondurilor de rezervă ale autorităților administrației publice locale, ci doar posibilitatea de a formula propuneri și opțiuni de răspuns în contextul gestionării situațiilor de criză. Decizia privind constituirea și utilizarea fondurilor de rezervă rămâne în competența exclusivă a autorităților deliberative competente, în condițiile Legii </w:t>
            </w:r>
            <w:r>
              <w:lastRenderedPageBreak/>
              <w:t>nr. 397/2003 privind finanțele publice locale. Totodată, atribuțiile Comisiilor urmăresc asigurarea coordonării interinstituționale și fundamentarea procesului decizional în domeniul managementului situațiilor de criză, fără a afecta autonomia locală sau competențele legale ale autorităților administrației publice locale. Propunerile formulate de Comisii nu au caracter obligatoriu și nu pot genera obligații financiare în lipsa unei decizii adoptate potrivit cadrului legal aplicabil.</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La subpunctele 25.6-25.8, drepturile comisiilor de monitorizare și control, prin care verifică modul de executare a deciziilor adoptate și solicită informațiile necesare, instituie o formă suplimentară de control asupra autorităților administrației publice locale.</w:t>
            </w:r>
          </w:p>
        </w:tc>
        <w:tc>
          <w:tcPr>
            <w:tcW w:w="3402" w:type="dxa"/>
          </w:tcPr>
          <w:p w:rsidR="005E5E23" w:rsidRDefault="00000000">
            <w:r>
              <w:t xml:space="preserve">Se respinge. Atribuțiile prevăzute la subpunctele 25.6–25.8 au caracter de coordonare și monitorizare în domeniul managementului situațiilor de criză și nu instituie forme suplimentare de control administrativ asupra autorităților administrației publice locale. Aceste atribuții urmăresc asigurarea schimbului de informații, monitorizarea implementării măsurilor stabilite în contextul gestionării situațiilor de criză și evaluarea eficienței răspunsului </w:t>
            </w:r>
            <w:r>
              <w:lastRenderedPageBreak/>
              <w:t>interinstituțional. Totodată, activitatea Comisiilor se desfășoară cu respectarea principiilor autonomiei locale, subsidiarității și cooperării interinstituționale, în conformitate cu Legea nr. 248/2025 privind managementul situațiilor de criză.</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Astfel, se propune la subpunctul 25.2, de exclus cuvintele ,,financiare și”, iar subpunctul 25.9 de exclus sau de revăzut și de completat expres cu situații pentru care vor fi propuse pentru utilizare mijloacele fondurilor de rezervă ale autorităților publice locale.</w:t>
            </w:r>
          </w:p>
        </w:tc>
        <w:tc>
          <w:tcPr>
            <w:tcW w:w="3402" w:type="dxa"/>
          </w:tcPr>
          <w:p w:rsidR="005E5E23" w:rsidRDefault="00000000">
            <w:r>
              <w:t xml:space="preserve">Se respinge. Atribuțiile Comisiilor prevăzute la subpunctele 25.2 și 25.9 vizează formularea unor propuneri și opțiuni de răspuns necesare gestionării situațiilor de criză și nu conferă competențe de dispunere asupra resurselor financiare ale autorităților administrației publice locale. Decizia privind utilizarea fondurilor de rezervă rămâne în competența exclusivă a autorităților deliberative competente, în conformitate cu Legea nr. 397/2003 privind finanțele publice locale. Totodată, menținerea posibilității de a propune utilizarea resurselor disponibile este necesară pentru asigurarea unui proces integrat de coordonare și răspuns în situații de criză, fără a afecta autonomia </w:t>
            </w:r>
            <w:r>
              <w:lastRenderedPageBreak/>
              <w:t>locală sau competențele legale ale autorităților administrației publice locale.</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La subpunctul 53.6 cuvântul ,,cmonitorizează” de substituit cu cuvântul ,,monitorizează”.</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La subpunctul 53.15, cuvântul „și financiare” de exclus și urmează de ajustat reieșind din responsabilitățile atribuite.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La Anexa nr.3</w:t>
            </w:r>
          </w:p>
        </w:tc>
        <w:tc>
          <w:tcPr>
            <w:tcW w:w="3402" w:type="dxa"/>
          </w:tcPr>
          <w:p w:rsidR="005E5E23" w:rsidRDefault="005E5E23"/>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 – referitor la modificarea Regulamentului privind gestionarea fondurilor de urgență a Guvernului aprobat prin Hotărârea Guvernului nr.862/2015:</w:t>
            </w:r>
          </w:p>
          <w:p w:rsidR="005E5E23" w:rsidRDefault="00000000">
            <w:r>
              <w:t>Modificările propuse la subpunctul 1.1 și subpunctul 1.5.1.3 – în partea ce ține de substituirea cuvintelor ,,situației excepționale” cu cuvintele ,,crizei sau crizei majore”, precum și cele de la subpunctul 1.2 – referitor la punctul 6, contravin prevederilor Legii finanțelor publice și responsabilității bugetar-fiscale nr.181/2014. Astfel, în condițiile actuale aceste prevederi nu pot fi susținute. Mai mult, Regulamentul privind gestionarea fondurilor de urgență ale Guvernului a fost aprobat în vederea realizării prevederilor articolului 36 alineatul (2) din Legea finanțelor publice și responsabilității bugetar-fiscale nr.181/2014.</w:t>
            </w:r>
          </w:p>
          <w:p w:rsidR="005E5E23" w:rsidRDefault="00000000">
            <w:r>
              <w:t>Subsidiar informăm, că în cadrul proiectului ,,Consolidarea Managementului Riscurilor de Dezastre și Reziliență”, finanțat din împrumutul acordat de Banca Internațională pentru Reconstrucție și Dezvoltare, Ministerul Finanțelor va beneficia de asistență pentru îmbunătățirea mecanismelor și cadrului normativ de gestionare a fondurilor de urgență ale Guvernului. Respectiv, propunerile de modificare a cadrului normativ aferent (Legea nr.181/2014 și Hotărârea Guvernului nr.862/2015) vor fi prezentate după finalizarea exercițiului respectiv.</w:t>
            </w:r>
          </w:p>
        </w:tc>
        <w:tc>
          <w:tcPr>
            <w:tcW w:w="3402" w:type="dxa"/>
          </w:tcPr>
          <w:p w:rsidR="005E5E23" w:rsidRDefault="00000000">
            <w:r>
              <w:t xml:space="preserve">Se respinge. Modificările propuse nu urmăresc extinderea destinației fondurilor de urgență ale Guvernului dincolo de limitele stabilite de Legea nr. 181/2014, ci corelarea terminologiei utilizate în Hotărârea Guvernului nr. 862/2015 cu noțiunile și mecanismele instituite prin Legea nr. 248/2025 privind managementul situațiilor de criză. Utilizarea noțiunilor de „criză” și „criză majoră” are caracter operațional și de armonizare terminologică și nu modifică natura cheltuielilor care pot fi finanțate din fondurile de urgență ale Guvernului, acestea urmând a fi utilizate exclusiv în condițiile și limitele prevăzute de Legea nr. 181/2014 privind finanțele publice și responsabilitatea bugetar-fiscală. Totodată, proiectul nu instituie </w:t>
            </w:r>
            <w:r>
              <w:lastRenderedPageBreak/>
              <w:t>noi categorii de cheltuieli și nu afectează competențele Ministerului Finanțelor în domeniul administrării fondurilor respective..</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1.3 – referitor la punctul 8 litera b). În textul care substituie norma în vigoare, cuvintele „autoritățile administrației publice centrale” de substituit cu cuvintele „Comisia Națională de Management al Crizelor în baza solicitărilor autorităților administrației publice centrale”;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1.4 – referitor la punctul 9</w:t>
            </w:r>
            <w:r>
              <w:rPr>
                <w:vertAlign w:val="superscript"/>
              </w:rPr>
              <w:t>1</w:t>
            </w:r>
            <w:r>
              <w:t>, alineatul doi, de expus în următoarea redacție: ,, la punctul 9</w:t>
            </w:r>
            <w:r>
              <w:rPr>
                <w:vertAlign w:val="superscript"/>
              </w:rPr>
              <w:t>1</w:t>
            </w:r>
            <w:r>
              <w:t>, alineatul doi, după cuvintele ,,care vor” se va completa cu cuvintele ,,generaliza și”.</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1.5.2.1, de completat cu o modificare suplimentară referitor la substituirea textului ,,Comisiei pentru situații excepționale a autorității administrației publice locale” cu denumirea nouă a Comisiei.</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Subpunctul 1.5.2.2 – referitor la abrogarea subpunctului 7), menționăm că, în Regulamentul cu privire la clasificarea situațiilor excepționale și la modul de acumulare și prezentare a informațiilor în domeniul protecției populației și teritoriului în caz de situații excepționale, aprobat prin Hotărârea Guvernului nr.1076/2010, se stipulează că, Raportul despre situațiile excepționale se prezintă Inspectoratului General pentru Situații de Urgență al Ministerului Afacerilor Interne, prin intermediul serviciului operativ de dispecerat, despre declanșarea situațiilor excepționale – verbal (prin telefon) imediat, cu confirmarea ulterioară în scris (prin fax), conform formelor stabilite prin ordinul vicepreședintelui Comisiei pentru Situații Excepționale a Republicii Moldova – șef al Inspectoratului General pentru Situații de Urgență al Ministerului Afacerilor Interne.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 xml:space="preserve">Subpunctul 1.5.3 – referitor la modificarea punctului 2, în tot parcursul textului acestuia, de asemenea de completat cu o modificare suplimentară referitor la substituirea textului ,,Comisiei pentru situații </w:t>
            </w:r>
            <w:r>
              <w:lastRenderedPageBreak/>
              <w:t>excepționale a autorității administrației publice locale” cu denumirea nouă a Comisiei.</w:t>
            </w:r>
          </w:p>
        </w:tc>
        <w:tc>
          <w:tcPr>
            <w:tcW w:w="3402" w:type="dxa"/>
          </w:tcPr>
          <w:p w:rsidR="005E5E23" w:rsidRDefault="00000000">
            <w:r>
              <w:lastRenderedPageBreak/>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2 – referitor la modificarea Hotărârii Guvernului nr.820/2024, de completat cu un subpunct nou prin care se propune modificarea subpunctului 8.3 din regulamentul privind situațiile excepționale în sectorul electroenergetic, luând în considerare abrogarea HG nr.1340/2001 conform subpunctului 4.1 din Anexa nr.3. Se atenționează, că Hotărârea Guvernului nr.820/2024 a fost elaborată în temeiul prevederilor Legii nr.107/2016 cu privire la energia electrică, care este abrogată la intrarea în vigoare a Legii nr.164/2025 cu privire la energia electrică (Articolul 149. Dispoziții finale).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3 – referitor la modificarea Hotărârii Guvernului nr.728/2024 de completat cu un subpunct nou prin care se propune modificarea punctului 3 din hotărâre, punctului 7, subpunctului 7.15, punctelor 8-9 din Regulamentul privind situațiile excepționale în sectorul gazelor naturale, precum și punctului 68 din anexa nr.1 și punctului 8 din anexa nr. 2 la Hotărârea Guvernului nr. 728/2024, luând în considerare abrogarea Hotărârii Guvernului nr.1340/2001 conform subpunctului 4.1 din Anexa nr.3.</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Punctul 1.2 – referitor la modificarea Hotărârii Guvernului nr.803/2018, de corectat numărul de ordine, și de indicat în nota informativă care va fi impactul financiar, ca urmare a aprobării acesteia, întrucât conform prevederilor punctului 6 din hotărârea dată, finanțarea activității Centrului de dirijare în situații excepționale al Comisiei pentru Situații Excepționale a Republicii Moldova, se asigură din contul alocațiilor bugetare aprobate Inspectoratului General pentru Situații de Urgență al Ministerului Afacerilor Interne.</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Suplimentar se relevă că, nu este clar unde și cum se vor încadra prevederile articolului 37 alin. (6) din Legea nr.248/2025, care stipulează că ,, Înființarea și asigurarea funcționării centrelor operaționale de coordonare (COC) care vor sprijini activitatea comisiilor regionale sau teritoriale de management al situațiilor de criză cad în sarcina Ministerului Afacerilor Interne.</w:t>
            </w:r>
          </w:p>
        </w:tc>
        <w:tc>
          <w:tcPr>
            <w:tcW w:w="3402" w:type="dxa"/>
          </w:tcPr>
          <w:p w:rsidR="005E5E23" w:rsidRDefault="00000000">
            <w:r>
              <w:t>MAI este coautor la aceasta HG</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4"/>
              </w:numPr>
              <w:pBdr>
                <w:top w:val="nil"/>
                <w:left w:val="nil"/>
                <w:bottom w:val="nil"/>
                <w:right w:val="nil"/>
                <w:between w:val="nil"/>
              </w:pBdr>
            </w:pPr>
          </w:p>
        </w:tc>
        <w:tc>
          <w:tcPr>
            <w:tcW w:w="7088" w:type="dxa"/>
          </w:tcPr>
          <w:p w:rsidR="005E5E23" w:rsidRDefault="00000000">
            <w:r>
              <w:t>În contextul celor menționate, proiectul necesită a fi ajustat conform propunerilor expuse supra.</w:t>
            </w:r>
          </w:p>
        </w:tc>
        <w:tc>
          <w:tcPr>
            <w:tcW w:w="3402" w:type="dxa"/>
          </w:tcPr>
          <w:p w:rsidR="005E5E23" w:rsidRDefault="005E5E23"/>
        </w:tc>
      </w:tr>
      <w:tr w:rsidR="005E5E23">
        <w:trPr>
          <w:trHeight w:val="245"/>
        </w:trPr>
        <w:tc>
          <w:tcPr>
            <w:tcW w:w="1838" w:type="dxa"/>
            <w:shd w:val="clear" w:color="auto" w:fill="00B0F0"/>
          </w:tcPr>
          <w:p w:rsidR="005E5E23" w:rsidRDefault="005E5E23"/>
        </w:tc>
        <w:tc>
          <w:tcPr>
            <w:tcW w:w="567" w:type="dxa"/>
            <w:shd w:val="clear" w:color="auto" w:fill="00B0F0"/>
          </w:tcPr>
          <w:p w:rsidR="005E5E23" w:rsidRDefault="005E5E23"/>
        </w:tc>
        <w:tc>
          <w:tcPr>
            <w:tcW w:w="7088" w:type="dxa"/>
            <w:shd w:val="clear" w:color="auto" w:fill="00B0F0"/>
          </w:tcPr>
          <w:p w:rsidR="005E5E23" w:rsidRDefault="005E5E23"/>
        </w:tc>
        <w:tc>
          <w:tcPr>
            <w:tcW w:w="3402" w:type="dxa"/>
            <w:shd w:val="clear" w:color="auto" w:fill="00B0F0"/>
          </w:tcPr>
          <w:p w:rsidR="005E5E23" w:rsidRDefault="005E5E23"/>
        </w:tc>
      </w:tr>
      <w:tr w:rsidR="005E5E23">
        <w:tc>
          <w:tcPr>
            <w:tcW w:w="1838" w:type="dxa"/>
            <w:vMerge w:val="restart"/>
          </w:tcPr>
          <w:p w:rsidR="005E5E23" w:rsidRDefault="00000000">
            <w:r>
              <w:t xml:space="preserve">Ministerul Dezvoltării Economice și Digitalizării al Republicii Moldova </w:t>
            </w:r>
          </w:p>
          <w:p w:rsidR="005E5E23" w:rsidRDefault="00000000">
            <w:pPr>
              <w:rPr>
                <w:i/>
                <w:iCs/>
              </w:rPr>
            </w:pPr>
            <w:r>
              <w:rPr>
                <w:i/>
                <w:iCs/>
              </w:rPr>
              <w:t>(Nr. 17-1409 din 27.04.2026 semnat la 28.04.2026)</w:t>
            </w:r>
          </w:p>
        </w:tc>
        <w:tc>
          <w:tcPr>
            <w:tcW w:w="567" w:type="dxa"/>
          </w:tcPr>
          <w:p w:rsidR="005E5E23" w:rsidRDefault="005E5E23">
            <w:pPr>
              <w:numPr>
                <w:ilvl w:val="0"/>
                <w:numId w:val="5"/>
              </w:numPr>
              <w:pBdr>
                <w:top w:val="nil"/>
                <w:left w:val="nil"/>
                <w:bottom w:val="nil"/>
                <w:right w:val="nil"/>
                <w:between w:val="nil"/>
              </w:pBdr>
            </w:pPr>
          </w:p>
        </w:tc>
        <w:tc>
          <w:tcPr>
            <w:tcW w:w="7088" w:type="dxa"/>
          </w:tcPr>
          <w:p w:rsidR="005E5E23" w:rsidRDefault="00000000">
            <w:r>
              <w:t>La Anexa nr.1 din proiect:</w:t>
            </w:r>
          </w:p>
          <w:p w:rsidR="005E5E23" w:rsidRDefault="00000000">
            <w:r>
              <w:t>Potrivit pct.12.2 din proiect, Comisia Națională de Management al Crizelor emite decizii obligatorii pentru autoritățile și instituțiile publice, precum și pentru agenți comerciali, organizații necomerciale și cetățeni, în vederea asigurării răspunsului la crize, în condițiile legii, inclusiv la declararea stării de alertă sau de urgență.</w:t>
            </w:r>
          </w:p>
          <w:p w:rsidR="005E5E23" w:rsidRDefault="005E5E23"/>
          <w:p w:rsidR="005E5E23" w:rsidRDefault="00000000">
            <w:r>
              <w:t>În acest context, având în vedere că Legea nr.248/2025 privind managementul situațiilor de criză utilizează sintagma „operatori economici”, în scopul asigurării coerenței terminologice și al aplicării uniforme a cadrului normativ, se impune substituirea sintagmei „agenți comerciali” cu „operatori economici”, în conformitate cu prevederile actului normativ primar.</w:t>
            </w:r>
          </w:p>
        </w:tc>
        <w:tc>
          <w:tcPr>
            <w:tcW w:w="3402" w:type="dxa"/>
          </w:tcPr>
          <w:p w:rsidR="005E5E23" w:rsidRDefault="00000000">
            <w:r>
              <w:t>Se accepră, integrat în textul proiectului</w:t>
            </w:r>
          </w:p>
        </w:tc>
      </w:tr>
      <w:tr w:rsidR="005E5E23">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5"/>
              </w:numPr>
              <w:pBdr>
                <w:top w:val="nil"/>
                <w:left w:val="nil"/>
                <w:bottom w:val="nil"/>
                <w:right w:val="nil"/>
                <w:between w:val="nil"/>
              </w:pBdr>
            </w:pPr>
          </w:p>
        </w:tc>
        <w:tc>
          <w:tcPr>
            <w:tcW w:w="7088" w:type="dxa"/>
          </w:tcPr>
          <w:p w:rsidR="005E5E23" w:rsidRDefault="00000000">
            <w:r>
              <w:t>Totodată, potrivit art.34 lit.b) din Legea nr.248/2025, precum și pct.2 din proiect, Comisia Națională de Management al Crizelor este definită ca organ colegial care reprezintă nivelul strategic de decizie în cadrul mecanismului național de management al situațiilor de criză.</w:t>
            </w:r>
          </w:p>
          <w:p w:rsidR="005E5E23" w:rsidRDefault="005E5E23"/>
          <w:p w:rsidR="005E5E23" w:rsidRDefault="00000000">
            <w:r>
              <w:t>În acest sens, se relevă că prevederile pct.35–37 din proiect fac referire la emiterea unor dispoziții ale Comisiei. Având în vedere natura juridică și rolul acesteia, se consideră necesară revizuirea normelor respective, în vederea asigurării coerenței cu cadrul legal aplicabil și a clarității reglementării actelor adoptate de Comisie.</w:t>
            </w:r>
          </w:p>
        </w:tc>
        <w:tc>
          <w:tcPr>
            <w:tcW w:w="3402" w:type="dxa"/>
          </w:tcPr>
          <w:p w:rsidR="005E5E23" w:rsidRDefault="00000000">
            <w:r>
              <w:t>Se acceptă, integrat în textul proiectului.</w:t>
            </w:r>
          </w:p>
        </w:tc>
      </w:tr>
      <w:tr w:rsidR="005E5E23">
        <w:tc>
          <w:tcPr>
            <w:tcW w:w="1838" w:type="dxa"/>
            <w:shd w:val="clear" w:color="auto" w:fill="00B0F0"/>
          </w:tcPr>
          <w:p w:rsidR="005E5E23" w:rsidRDefault="005E5E23"/>
        </w:tc>
        <w:tc>
          <w:tcPr>
            <w:tcW w:w="567" w:type="dxa"/>
            <w:shd w:val="clear" w:color="auto" w:fill="00B0F0"/>
          </w:tcPr>
          <w:p w:rsidR="005E5E23" w:rsidRDefault="005E5E23"/>
        </w:tc>
        <w:tc>
          <w:tcPr>
            <w:tcW w:w="7088" w:type="dxa"/>
            <w:shd w:val="clear" w:color="auto" w:fill="00B0F0"/>
          </w:tcPr>
          <w:p w:rsidR="005E5E23" w:rsidRDefault="005E5E23"/>
        </w:tc>
        <w:tc>
          <w:tcPr>
            <w:tcW w:w="3402" w:type="dxa"/>
            <w:shd w:val="clear" w:color="auto" w:fill="00B0F0"/>
          </w:tcPr>
          <w:p w:rsidR="005E5E23" w:rsidRDefault="005E5E23"/>
        </w:tc>
      </w:tr>
      <w:tr w:rsidR="005E5E23">
        <w:trPr>
          <w:trHeight w:val="515"/>
        </w:trPr>
        <w:tc>
          <w:tcPr>
            <w:tcW w:w="1838" w:type="dxa"/>
            <w:vMerge w:val="restart"/>
          </w:tcPr>
          <w:p w:rsidR="005E5E23" w:rsidRDefault="00000000">
            <w:r>
              <w:t xml:space="preserve">Ministerul Energiei al Republicii Moldova </w:t>
            </w:r>
          </w:p>
          <w:p w:rsidR="005E5E23" w:rsidRDefault="00000000">
            <w:pPr>
              <w:rPr>
                <w:i/>
                <w:iCs/>
              </w:rPr>
            </w:pPr>
            <w:r>
              <w:rPr>
                <w:i/>
                <w:iCs/>
              </w:rPr>
              <w:t>(Nr. 05-1095 din 30 aprilie 2026)</w:t>
            </w:r>
          </w:p>
        </w:tc>
        <w:tc>
          <w:tcPr>
            <w:tcW w:w="567" w:type="dxa"/>
          </w:tcPr>
          <w:p w:rsidR="005E5E23" w:rsidRDefault="005E5E23">
            <w:pPr>
              <w:numPr>
                <w:ilvl w:val="0"/>
                <w:numId w:val="6"/>
              </w:numPr>
              <w:pBdr>
                <w:top w:val="nil"/>
                <w:left w:val="nil"/>
                <w:bottom w:val="nil"/>
                <w:right w:val="nil"/>
                <w:between w:val="nil"/>
              </w:pBdr>
            </w:pPr>
          </w:p>
        </w:tc>
        <w:tc>
          <w:tcPr>
            <w:tcW w:w="7088" w:type="dxa"/>
          </w:tcPr>
          <w:p w:rsidR="005E5E23" w:rsidRDefault="00000000">
            <w:r>
              <w:t>La Anexa nr. 3 , pct. 2 se propune a fi completat cu sbpct. 2.1 - 2.4 cu următorul cuprins:</w:t>
            </w:r>
          </w:p>
          <w:p w:rsidR="005E5E23" w:rsidRDefault="00000000">
            <w:r>
              <w:t>„2.1. pe tot parcursul textului Regulamentului, sintagma „Inspectoratului General pentru Situații de Urgență” se substituie cu sintagma „Centrul Național de Management al Crizelor”, la forma gramaticală corespunzătoare.</w:t>
            </w:r>
          </w:p>
        </w:tc>
        <w:tc>
          <w:tcPr>
            <w:tcW w:w="3402" w:type="dxa"/>
          </w:tcPr>
          <w:p w:rsidR="005E5E23" w:rsidRDefault="00000000">
            <w:r>
              <w:t>Se accepră, integrat în textul proiectului.</w:t>
            </w:r>
          </w:p>
        </w:tc>
      </w:tr>
      <w:tr w:rsidR="005E5E23">
        <w:trPr>
          <w:trHeight w:val="107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6"/>
              </w:numPr>
              <w:pBdr>
                <w:top w:val="nil"/>
                <w:left w:val="nil"/>
                <w:bottom w:val="nil"/>
                <w:right w:val="nil"/>
                <w:between w:val="nil"/>
              </w:pBdr>
            </w:pPr>
          </w:p>
        </w:tc>
        <w:tc>
          <w:tcPr>
            <w:tcW w:w="7088" w:type="dxa"/>
          </w:tcPr>
          <w:p w:rsidR="005E5E23" w:rsidRDefault="00000000">
            <w:r>
              <w:t>2.2. La pct. 36 lit. c), pct. 38 lit. o), pct. 47, 53 și 108 din Planul de acțiuni sintagma „Inspectoratului General pentru Situații de Urgență” se substituie cu sintagma „Centrul Național de Management al Crizelor”, la forma gramaticală corespunzătoare.</w:t>
            </w:r>
          </w:p>
        </w:tc>
        <w:tc>
          <w:tcPr>
            <w:tcW w:w="3402" w:type="dxa"/>
          </w:tcPr>
          <w:p w:rsidR="005E5E23" w:rsidRDefault="00000000">
            <w:r>
              <w:t>Se accepră, integrat în textul proiectului.</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6"/>
              </w:numPr>
              <w:pBdr>
                <w:top w:val="nil"/>
                <w:left w:val="nil"/>
                <w:bottom w:val="nil"/>
                <w:right w:val="nil"/>
                <w:between w:val="nil"/>
              </w:pBdr>
            </w:pPr>
          </w:p>
        </w:tc>
        <w:tc>
          <w:tcPr>
            <w:tcW w:w="7088" w:type="dxa"/>
          </w:tcPr>
          <w:p w:rsidR="005E5E23" w:rsidRDefault="00000000">
            <w:r>
              <w:t>2.3. La compartimentul „Date de contact:” din Planul de acțiuni se completează cu textul: „Centrul Național de Management al Crizelor: MD-2012 mun. Chişinău, Piaţa Marii Adunări Naţionale, 1, E-mail: secretariat@cnmc.gov.md ”.</w:t>
            </w:r>
          </w:p>
        </w:tc>
        <w:tc>
          <w:tcPr>
            <w:tcW w:w="3402" w:type="dxa"/>
          </w:tcPr>
          <w:p w:rsidR="005E5E23" w:rsidRDefault="00000000">
            <w:r>
              <w:t>Se accepră, integrat în textul proiectului.</w:t>
            </w:r>
          </w:p>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6"/>
              </w:numPr>
              <w:pBdr>
                <w:top w:val="nil"/>
                <w:left w:val="nil"/>
                <w:bottom w:val="nil"/>
                <w:right w:val="nil"/>
                <w:between w:val="nil"/>
              </w:pBdr>
            </w:pPr>
          </w:p>
        </w:tc>
        <w:tc>
          <w:tcPr>
            <w:tcW w:w="7088" w:type="dxa"/>
          </w:tcPr>
          <w:p w:rsidR="005E5E23" w:rsidRDefault="00000000">
            <w:r>
              <w:t>2.4. În Planul de acțiuni sintagma „grădinițele de copii” se substituie cu sintagma „azilurile de bătrâni”. ”</w:t>
            </w:r>
          </w:p>
          <w:p w:rsidR="005E5E23" w:rsidRDefault="00000000">
            <w:r>
              <w:t>În ceea ce se referă la sbpct. 2.4. propus suplimentar, menționăm că substituirea sintagmei „grădinițele de copii” cu „azilurile de bătrâni” este justificată de faptul că instituțiile de îngrijire a persoanelor vârstnice găzduiesc beneficiari cu grad sporit de vulnerabilitate, dependenți de asistență permanentă și, în unele cazuri, de echipamente medicale alimentate cu energie electrică, iar întreruperea furnizării energiei poate genera riscuri imediate pentru viața și sănătatea acestora, în condițiile în care evacuarea este dificilă, iar serviciile sunt prestate în regim continuu (24/7) spre deosebire de grădinițele de copii, care funcționează, de regulă, în intervale limitate de timp (aproximativ 8–10 ore/zi) și nu implică același nivel de dependență critică de energie electrică</w:t>
            </w:r>
          </w:p>
        </w:tc>
        <w:tc>
          <w:tcPr>
            <w:tcW w:w="3402" w:type="dxa"/>
          </w:tcPr>
          <w:p w:rsidR="005E5E23" w:rsidRDefault="00000000">
            <w:r>
              <w:t>Se accepră, integrat în textul proiectului.</w:t>
            </w:r>
          </w:p>
        </w:tc>
      </w:tr>
      <w:tr w:rsidR="005E5E23">
        <w:trPr>
          <w:trHeight w:val="245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6"/>
              </w:numPr>
              <w:pBdr>
                <w:top w:val="nil"/>
                <w:left w:val="nil"/>
                <w:bottom w:val="nil"/>
                <w:right w:val="nil"/>
                <w:between w:val="nil"/>
              </w:pBdr>
            </w:pPr>
          </w:p>
        </w:tc>
        <w:tc>
          <w:tcPr>
            <w:tcW w:w="7088" w:type="dxa"/>
          </w:tcPr>
          <w:p w:rsidR="005E5E23" w:rsidRDefault="00000000">
            <w:r>
              <w:t>Totodată, se propune ca, pe tot parcursul Hotărârii Guvernului nr. 728/2024 privind aprobarea Regulamentului privind situațiile excepționale în sectorul gazelor naturale și a Planului de acțiuni privind situațiile excepționale în sectorul gazelor naturale, sintagma „Inspectoratul General pentru Situații de Urgență” și/sau „Inspectoratul General pentru Situații de Urgență din subordinea Ministerului Afacerilor Interne” să fie substituită cu sintagma „Centrul Național de Management al Crizelor”, la forma gramaticală corespunzătoare, în toate prevederile în care aceasta este utilizată cu referire la exercitarea funcției de secretariat al Comisiei.</w:t>
            </w:r>
          </w:p>
        </w:tc>
        <w:tc>
          <w:tcPr>
            <w:tcW w:w="3402" w:type="dxa"/>
          </w:tcPr>
          <w:p w:rsidR="005E5E23" w:rsidRDefault="00000000">
            <w:r>
              <w:t>Se accepră, integrat în textul proiectului.</w:t>
            </w:r>
          </w:p>
        </w:tc>
      </w:tr>
      <w:tr w:rsidR="005E5E23">
        <w:trPr>
          <w:trHeight w:val="515"/>
        </w:trPr>
        <w:tc>
          <w:tcPr>
            <w:tcW w:w="1838" w:type="dxa"/>
            <w:shd w:val="clear" w:color="auto" w:fill="00B0F0"/>
          </w:tcPr>
          <w:p w:rsidR="005E5E23" w:rsidRDefault="005E5E23"/>
        </w:tc>
        <w:tc>
          <w:tcPr>
            <w:tcW w:w="567" w:type="dxa"/>
            <w:shd w:val="clear" w:color="auto" w:fill="00B0F0"/>
          </w:tcPr>
          <w:p w:rsidR="005E5E23" w:rsidRDefault="005E5E23"/>
        </w:tc>
        <w:tc>
          <w:tcPr>
            <w:tcW w:w="7088" w:type="dxa"/>
            <w:shd w:val="clear" w:color="auto" w:fill="00B0F0"/>
          </w:tcPr>
          <w:p w:rsidR="005E5E23" w:rsidRDefault="005E5E23"/>
        </w:tc>
        <w:tc>
          <w:tcPr>
            <w:tcW w:w="3402" w:type="dxa"/>
            <w:shd w:val="clear" w:color="auto" w:fill="00B0F0"/>
          </w:tcPr>
          <w:p w:rsidR="005E5E23" w:rsidRDefault="005E5E23"/>
        </w:tc>
      </w:tr>
      <w:tr w:rsidR="005E5E23">
        <w:trPr>
          <w:trHeight w:val="515"/>
        </w:trPr>
        <w:tc>
          <w:tcPr>
            <w:tcW w:w="1838" w:type="dxa"/>
            <w:vMerge w:val="restart"/>
          </w:tcPr>
          <w:p w:rsidR="005E5E23" w:rsidRDefault="00000000">
            <w:r>
              <w:t xml:space="preserve">Ministerul Sănătății al Republicii Moldova </w:t>
            </w:r>
          </w:p>
          <w:p w:rsidR="005E5E23" w:rsidRDefault="00000000">
            <w:r>
              <w:rPr>
                <w:i/>
                <w:iCs/>
              </w:rPr>
              <w:t>(Nr. 10/1539 din 30.04.2026)</w:t>
            </w:r>
          </w:p>
          <w:p w:rsidR="005E5E23" w:rsidRDefault="00000000">
            <w:r>
              <w:t xml:space="preserve">     </w:t>
            </w: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I. La proiectul hotărârii de Guvern</w:t>
            </w:r>
          </w:p>
          <w:p w:rsidR="005E5E23" w:rsidRDefault="00000000">
            <w:r>
              <w:t>La punctul 2 se propune completarea cu un subpunct nou, 2.4, cu următorul cuprins:</w:t>
            </w:r>
          </w:p>
          <w:p w:rsidR="005E5E23" w:rsidRDefault="00000000">
            <w:r>
              <w:t>„2.4. În vederea aplicării prevederilor art. 12 alin. (2) din Legea nr. 248/2025, se aprobă lista autorităților administrației publice centrale și locale de nivelul al doilea (raioane și municipii) care instituie Centre operaționale de coordonare (COC), conform anexei nr. 4.”</w:t>
            </w:r>
          </w:p>
        </w:tc>
        <w:tc>
          <w:tcPr>
            <w:tcW w:w="3402" w:type="dxa"/>
          </w:tcPr>
          <w:p w:rsidR="005E5E23" w:rsidRDefault="00000000">
            <w:r>
              <w:t>Se respinge, Legea 248/2025 prevede aprobarea COC ale APC, nu ale APL. Elaborarea unei liste a COC-urilor nu este necesară, prevederile fiind destul de clare cu privire la autoritățile care trebuie să înființeze COC-uri.</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1.2. La punctul 3:</w:t>
            </w:r>
          </w:p>
        </w:tc>
        <w:tc>
          <w:tcPr>
            <w:tcW w:w="3402" w:type="dxa"/>
          </w:tcPr>
          <w:p w:rsidR="005E5E23" w:rsidRDefault="005E5E23"/>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1.2.1. cuvintele „autoritățile administrației publice locale” se substituie cu textul „autoritățile administrației publice locale de nivelurile I și II”;</w:t>
            </w:r>
          </w:p>
        </w:tc>
        <w:tc>
          <w:tcPr>
            <w:tcW w:w="3402" w:type="dxa"/>
          </w:tcPr>
          <w:p w:rsidR="005E5E23" w:rsidRDefault="00000000">
            <w:r>
              <w:t>Se acceptă, integrat în textul proiectului.</w:t>
            </w:r>
          </w:p>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1.2.2. termenul „în termen de 30 de zile” se substituie cu „în termen de 60 de zile de la data intrării în vigoare a prezentei hotărâri”;</w:t>
            </w:r>
          </w:p>
        </w:tc>
        <w:tc>
          <w:tcPr>
            <w:tcW w:w="3402" w:type="dxa"/>
          </w:tcPr>
          <w:p w:rsidR="005E5E23" w:rsidRDefault="00000000">
            <w:r>
              <w:t>Se acceptă, integrat în textul proiectului.</w:t>
            </w:r>
          </w:p>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1.2.3. pe tot parcursul textului se va utiliza uniform textul „comisii regionale, teritoriale și locale de management al crizelor”.</w:t>
            </w:r>
          </w:p>
        </w:tc>
        <w:tc>
          <w:tcPr>
            <w:tcW w:w="3402" w:type="dxa"/>
          </w:tcPr>
          <w:p w:rsidR="005E5E23" w:rsidRDefault="00000000">
            <w:r>
              <w:t>Se acceptă, integrat în textul proiectului.</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1.3. Se propune completarea cu un punct nou, cu următorul cuprins:</w:t>
            </w:r>
          </w:p>
          <w:p w:rsidR="005E5E23" w:rsidRDefault="00000000">
            <w:r>
              <w:t>„4. Instruirea membrilor comisiilor regionale, teritoriale și locale de management al crizelor, precum și a centrelor operaționale de coordonare ale acestora, se realizează de către Centrul Național de Management al Crizelor. ”</w:t>
            </w:r>
          </w:p>
        </w:tc>
        <w:tc>
          <w:tcPr>
            <w:tcW w:w="3402" w:type="dxa"/>
          </w:tcPr>
          <w:p w:rsidR="005E5E23" w:rsidRDefault="00000000">
            <w:r>
              <w:t xml:space="preserve">Se acceptă, integrat în textul proiectului. </w:t>
            </w:r>
            <w:r>
              <w:rPr>
                <w:color w:val="333333"/>
                <w:highlight w:val="white"/>
              </w:rPr>
              <w:t>n) organizează, independent sau în cooperare cu alte autorități și instituții publice, module de pregătire standardizate în domeniul managementului crizelor, asigurând instruirea continuă a persoanelor implicate în prevenirea, managementul și răspunsul la situații de crize;</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II. Recomandări și completări la Anexa nr. 1</w:t>
            </w:r>
          </w:p>
        </w:tc>
        <w:tc>
          <w:tcPr>
            <w:tcW w:w="3402" w:type="dxa"/>
          </w:tcPr>
          <w:p w:rsidR="005E5E23" w:rsidRDefault="005E5E23"/>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2. La Capitolul I</w:t>
            </w:r>
          </w:p>
        </w:tc>
        <w:tc>
          <w:tcPr>
            <w:tcW w:w="3402" w:type="dxa"/>
          </w:tcPr>
          <w:p w:rsidR="005E5E23" w:rsidRDefault="005E5E23"/>
        </w:tc>
      </w:tr>
      <w:tr w:rsidR="005E5E23">
        <w:trPr>
          <w:trHeight w:val="107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2.1. La punctul 1, cuvintele „răspunsului la criză și a recuperării după criză” se substituie cu cuvintele „răspunsului la situațiile de criză și a recuperării după situațiile de criză”, în vederea alinierii la terminologia utilizată în Legea nr. 248/2025.</w:t>
            </w:r>
          </w:p>
        </w:tc>
        <w:tc>
          <w:tcPr>
            <w:tcW w:w="3402" w:type="dxa"/>
          </w:tcPr>
          <w:p w:rsidR="005E5E23" w:rsidRDefault="00000000">
            <w:r>
              <w:t>Se acceptă, integrat în textul proiectului.</w:t>
            </w:r>
          </w:p>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2.2. La punctul 2, cuvintele „organ colegial” se substituie cu cuvintele „organ coordonator”.</w:t>
            </w:r>
          </w:p>
        </w:tc>
        <w:tc>
          <w:tcPr>
            <w:tcW w:w="3402" w:type="dxa"/>
          </w:tcPr>
          <w:p w:rsidR="005E5E23" w:rsidRDefault="00000000">
            <w:r>
              <w:t>Nu se acceptă. În dreptul administrativ și în tehnica normativă, „colegial” înseamnă că:</w:t>
            </w:r>
          </w:p>
          <w:p w:rsidR="005E5E23" w:rsidRDefault="00000000">
            <w:r>
              <w:t>- deciziile se iau colectiv;</w:t>
            </w:r>
          </w:p>
          <w:p w:rsidR="005E5E23" w:rsidRDefault="00000000">
            <w:r>
              <w:t>există mai mulți membri cu drept de participare și deliberare;</w:t>
            </w:r>
          </w:p>
          <w:p w:rsidR="005E5E23" w:rsidRDefault="00000000">
            <w:r>
              <w:t>nu este o structură unipersonală.</w:t>
            </w:r>
          </w:p>
          <w:p w:rsidR="005E5E23" w:rsidRDefault="00000000">
            <w:r>
              <w:t>Pentru Comisia Națională de Management al Crizelor termenul este foarte potrivit deoarece:</w:t>
            </w:r>
          </w:p>
          <w:p w:rsidR="005E5E23" w:rsidRDefault="00000000">
            <w:r>
              <w:t>este compusă din mai mulți membri ai Guvernului și conducători de autorități;</w:t>
            </w:r>
          </w:p>
          <w:p w:rsidR="005E5E23" w:rsidRDefault="00000000">
            <w:r>
              <w:t>adoptă decizii în ședințe;</w:t>
            </w:r>
          </w:p>
          <w:p w:rsidR="005E5E23" w:rsidRDefault="00000000">
            <w:r>
              <w:t>funcționează prin deliberare și coordonare interinstituțională.</w:t>
            </w:r>
          </w:p>
          <w:p w:rsidR="005E5E23" w:rsidRDefault="00000000">
            <w:r>
              <w:t>Formulări corecte și uzuale juridic care se acceptă:</w:t>
            </w:r>
          </w:p>
          <w:p w:rsidR="005E5E23" w:rsidRDefault="00000000">
            <w:r>
              <w:t>„organ colegial cu rol strategic”;</w:t>
            </w:r>
          </w:p>
          <w:p w:rsidR="005E5E23" w:rsidRDefault="00000000">
            <w:r>
              <w:t>„structură colegială de coordonare strategică”;</w:t>
            </w:r>
          </w:p>
          <w:p w:rsidR="005E5E23" w:rsidRDefault="00000000">
            <w:r>
              <w:t>„autoritate colegială de coordonare”;</w:t>
            </w:r>
          </w:p>
          <w:p w:rsidR="005E5E23" w:rsidRDefault="00000000">
            <w:r>
              <w:t>„mecanism colegial interinstituțional”.</w:t>
            </w:r>
          </w:p>
          <w:p w:rsidR="005E5E23" w:rsidRDefault="00000000">
            <w:r>
              <w:lastRenderedPageBreak/>
              <w:t>Cea mai tehnic-juridică formulare ar fi probabil:</w:t>
            </w:r>
          </w:p>
          <w:p w:rsidR="005E5E23" w:rsidRDefault="00000000">
            <w:pPr>
              <w:ind w:right="600"/>
              <w:rPr>
                <w:i/>
                <w:iCs/>
              </w:rPr>
            </w:pPr>
            <w:r>
              <w:rPr>
                <w:i/>
                <w:iCs/>
              </w:rPr>
              <w:t>„Comisia Națională de Management al Crizelor este un organ colegial de coordonare și decizie strategică în domeniul managementului crizelor.”</w:t>
            </w:r>
          </w:p>
        </w:tc>
      </w:tr>
      <w:tr w:rsidR="005E5E23">
        <w:trPr>
          <w:trHeight w:val="908"/>
        </w:trPr>
        <w:tc>
          <w:tcPr>
            <w:tcW w:w="1838" w:type="dxa"/>
            <w:vMerge/>
          </w:tcPr>
          <w:p w:rsidR="005E5E23" w:rsidRDefault="005E5E23">
            <w:pPr>
              <w:widowControl w:val="0"/>
              <w:pBdr>
                <w:top w:val="nil"/>
                <w:left w:val="nil"/>
                <w:bottom w:val="nil"/>
                <w:right w:val="nil"/>
                <w:between w:val="nil"/>
              </w:pBdr>
              <w:spacing w:line="276" w:lineRule="auto"/>
              <w:rPr>
                <w:i/>
                <w:iCs/>
              </w:rPr>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2.3. La punctul 6, după cuvintele „atribuțiilor Comisiei”, se completează cu cuvântul: „secretariatul,”, în conformitate cu pct. 8 subpct. 10 din Hotărârea Guvernului nr. 579/2025.</w:t>
            </w:r>
          </w:p>
        </w:tc>
        <w:tc>
          <w:tcPr>
            <w:tcW w:w="3402" w:type="dxa"/>
          </w:tcPr>
          <w:p w:rsidR="005E5E23" w:rsidRDefault="00000000">
            <w:r>
              <w:rPr>
                <w:color w:val="444746"/>
                <w:highlight w:val="white"/>
              </w:rPr>
              <w:t>Nu se acceptă. Au fost operate modificările conform pct. 10 al proiectului</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2.4. Se propune completarea cu un punct nou, cu următorul cuprins:</w:t>
            </w:r>
          </w:p>
        </w:tc>
        <w:tc>
          <w:tcPr>
            <w:tcW w:w="3402" w:type="dxa"/>
          </w:tcPr>
          <w:p w:rsidR="005E5E23" w:rsidRDefault="005E5E23"/>
        </w:tc>
      </w:tr>
      <w:tr w:rsidR="005E5E23">
        <w:trPr>
          <w:trHeight w:val="868"/>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„7. În toate situațiile de criză cu impact asupra sănătății publice, măsurile adoptate respectă legislația națională și internațională în domeniul sănătății, inclusiv Regulamentul Sanitar Internațional.”</w:t>
            </w:r>
          </w:p>
        </w:tc>
        <w:tc>
          <w:tcPr>
            <w:tcW w:w="3402" w:type="dxa"/>
          </w:tcPr>
          <w:p w:rsidR="005E5E23" w:rsidRDefault="00000000">
            <w:r>
              <w:t>Se respinge, conform propunerii MJ astfel de norme sunt lipsite densitate normativă, fiecare domeniu va fi gestionat conform actelor normative speciale.</w:t>
            </w:r>
          </w:p>
        </w:tc>
      </w:tr>
      <w:tr w:rsidR="005E5E23">
        <w:trPr>
          <w:trHeight w:val="359"/>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3. La Capitolul II</w:t>
            </w:r>
          </w:p>
        </w:tc>
        <w:tc>
          <w:tcPr>
            <w:tcW w:w="3402" w:type="dxa"/>
          </w:tcPr>
          <w:p w:rsidR="005E5E23" w:rsidRDefault="005E5E23"/>
        </w:tc>
      </w:tr>
      <w:tr w:rsidR="005E5E23">
        <w:trPr>
          <w:trHeight w:val="107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3.1. La punctul 8, se constată lipsa unor autorități publice centrale relevante în componența membrilor permanenți ai Comisiei cu drept de vot (Ministerul Mediului, Ministerul Educației și Cercetării, Ministerul Muncii și Protecției Sociale).</w:t>
            </w:r>
          </w:p>
        </w:tc>
        <w:tc>
          <w:tcPr>
            <w:tcW w:w="3402" w:type="dxa"/>
          </w:tcPr>
          <w:p w:rsidR="005E5E23" w:rsidRDefault="00000000">
            <w:pPr>
              <w:rPr>
                <w:i/>
                <w:iCs/>
              </w:rPr>
            </w:pPr>
            <w:r>
              <w:t xml:space="preserve">Nu se acceptă, conform pct. 8.  </w:t>
            </w:r>
            <w:r>
              <w:rPr>
                <w:i/>
                <w:iCs/>
              </w:rPr>
              <w:t>„În funcție de natura, amploarea și domeniul de manifestare al crizei, la ședințele Comisiei pot fi invitați membri cu drept de vot, de către președintele acesteia:</w:t>
            </w:r>
          </w:p>
          <w:p w:rsidR="005E5E23" w:rsidRDefault="00000000">
            <w:pPr>
              <w:tabs>
                <w:tab w:val="right" w:pos="1440"/>
                <w:tab w:val="left" w:pos="901"/>
                <w:tab w:val="center" w:pos="810"/>
                <w:tab w:val="left" w:pos="720"/>
                <w:tab w:val="left" w:pos="709"/>
                <w:tab w:val="left" w:pos="855"/>
                <w:tab w:val="left" w:pos="993"/>
                <w:tab w:val="left" w:pos="1701"/>
              </w:tabs>
              <w:ind w:firstLine="709"/>
            </w:pPr>
            <w:r>
              <w:rPr>
                <w:i/>
                <w:iCs/>
              </w:rPr>
              <w:t>8.1 alți membri ai Guvernului;”</w:t>
            </w:r>
          </w:p>
        </w:tc>
      </w:tr>
      <w:tr w:rsidR="005E5E23">
        <w:trPr>
          <w:trHeight w:val="841"/>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Se recomandă includerea acestora, având în vedere rolul lor esențial în gestionarea riscurilor cu impact intersectorial, precum și experiența acumulată în gestionarea crizelor majore.</w:t>
            </w:r>
          </w:p>
        </w:tc>
        <w:tc>
          <w:tcPr>
            <w:tcW w:w="3402" w:type="dxa"/>
          </w:tcPr>
          <w:p w:rsidR="005E5E23" w:rsidRDefault="005E5E23"/>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3.2. La punctul 9 se propune completarea cu precizarea expresă a statutului membrilor invitați, inclusiv dacă aceștia dispun de drept de vot.</w:t>
            </w:r>
          </w:p>
        </w:tc>
        <w:tc>
          <w:tcPr>
            <w:tcW w:w="3402" w:type="dxa"/>
          </w:tcPr>
          <w:p w:rsidR="005E5E23" w:rsidRDefault="00000000">
            <w:r>
              <w:t>Sugestia a fost integrată la pct. 6.</w:t>
            </w:r>
          </w:p>
        </w:tc>
      </w:tr>
      <w:tr w:rsidR="005E5E23">
        <w:trPr>
          <w:trHeight w:val="2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4. La Capitolul III</w:t>
            </w:r>
          </w:p>
        </w:tc>
        <w:tc>
          <w:tcPr>
            <w:tcW w:w="3402" w:type="dxa"/>
          </w:tcPr>
          <w:p w:rsidR="005E5E23" w:rsidRDefault="005E5E23"/>
        </w:tc>
      </w:tr>
      <w:tr w:rsidR="005E5E23">
        <w:trPr>
          <w:trHeight w:val="33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4.1. În punctul 12:</w:t>
            </w:r>
          </w:p>
        </w:tc>
        <w:tc>
          <w:tcPr>
            <w:tcW w:w="3402" w:type="dxa"/>
          </w:tcPr>
          <w:p w:rsidR="005E5E23" w:rsidRDefault="005E5E23"/>
        </w:tc>
      </w:tr>
      <w:tr w:rsidR="005E5E23">
        <w:trPr>
          <w:trHeight w:val="189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4.1.1. La subpunctul 12.3., în sensul precizării că, în conformitate cu art. 7 din Legea nr. 248/2025 și prevederile Legii nr. 100/2017, planurile naționale se aprobă prin hotărâre de Guvern, iar Comisia poate aproba planuri de urgență și alte măsuri operative în situații de criză în lipsa unor planuri naționale aprobate sau în cazul imposibilității aplicării acestora, după cuvintele „alertă sau urgență” se completează cu textul „în lipsa unor planuri naționale aprobate sau în cazul imposibilității aplicării acestora.”</w:t>
            </w:r>
          </w:p>
        </w:tc>
        <w:tc>
          <w:tcPr>
            <w:tcW w:w="3402" w:type="dxa"/>
          </w:tcPr>
          <w:p w:rsidR="005E5E23" w:rsidRDefault="00000000">
            <w:r>
              <w:t>Integrat în redacția nouă a subpunctului 12.3.</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4.1.2. Subpunctul 12.10. va avea următorul cuprins:</w:t>
            </w:r>
          </w:p>
          <w:p w:rsidR="005E5E23" w:rsidRDefault="00000000">
            <w:r>
              <w:t>„12.10. Asigură coordonarea unitară, coerentă și operativă a comunicării publice la nivel național în situații de criză, precum și stabilirea cadrului general pentru mobilizarea comunitară.”</w:t>
            </w:r>
          </w:p>
        </w:tc>
        <w:tc>
          <w:tcPr>
            <w:tcW w:w="3402" w:type="dxa"/>
          </w:tcPr>
          <w:p w:rsidR="005E5E23" w:rsidRDefault="00000000">
            <w:r>
              <w:t>Se acceptă, integrat în textul proiectului.</w:t>
            </w:r>
          </w:p>
        </w:tc>
      </w:tr>
      <w:tr w:rsidR="005E5E23">
        <w:trPr>
          <w:trHeight w:val="78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4.1.3. După subpunctul 12.10. se completează cu subpunctul 12.10¹, cu următorul cuprins:</w:t>
            </w:r>
          </w:p>
          <w:p w:rsidR="005E5E23" w:rsidRDefault="00000000">
            <w:r>
              <w:t>„12.10¹ În situații de criză, comunicarea publică se realizează exclusiv în conformitate cu cerințele stabilite de Comisie. Se interzice difuzarea de informații publice necoordonate, contradictorii sau neautorizate.”</w:t>
            </w:r>
          </w:p>
        </w:tc>
        <w:tc>
          <w:tcPr>
            <w:tcW w:w="3402" w:type="dxa"/>
          </w:tcPr>
          <w:p w:rsidR="005E5E23" w:rsidRDefault="00000000">
            <w:r>
              <w:t>Nu se acceptă. Propunerea este bună, însă considerăm că aceasta trebuie inclusă în protocoalele sau regulamentele privind comunicarea de criză. Rolul Comisiei de a coordona comunicarea de criză este deja prevăzut.</w:t>
            </w:r>
          </w:p>
        </w:tc>
      </w:tr>
      <w:tr w:rsidR="005E5E23">
        <w:trPr>
          <w:trHeight w:val="107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4.1.4. La subpunctul 12.12. se recomandă revizuirea atribuției, întrucât aceasta corespunde competențelor Centrului Național de Management al Crizelor, potrivit art. 5 din Legea nr. 248/2025, urmând ca rezultatele evaluării să fie prezentate Comisiei.</w:t>
            </w:r>
          </w:p>
        </w:tc>
        <w:tc>
          <w:tcPr>
            <w:tcW w:w="3402" w:type="dxa"/>
          </w:tcPr>
          <w:p w:rsidR="005E5E23" w:rsidRDefault="00000000">
            <w:r>
              <w:t>Nu se acceptă, formularea ”analizează” presupune inclusiv că analizează rezultatele unei evaluări prezentate de Centru</w:t>
            </w:r>
          </w:p>
        </w:tc>
      </w:tr>
      <w:tr w:rsidR="005E5E23">
        <w:trPr>
          <w:trHeight w:val="515"/>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r>
              <w:t>4.1.5. Subpunctul 12.14. va avea următorul cuprins:</w:t>
            </w:r>
          </w:p>
        </w:tc>
        <w:tc>
          <w:tcPr>
            <w:tcW w:w="3402" w:type="dxa"/>
          </w:tcPr>
          <w:p w:rsidR="005E5E23" w:rsidRDefault="005E5E23"/>
        </w:tc>
      </w:tr>
      <w:tr w:rsidR="005E5E23">
        <w:trPr>
          <w:trHeight w:val="107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„12.14. Comisia, prin intermediul Centrului Național de Management al Crizelor, monitorizează activitatea comisiilor teritoriale și locale de management al crizelor și dispune, după caz, măsuri de ajustare.”</w:t>
            </w:r>
          </w:p>
        </w:tc>
        <w:tc>
          <w:tcPr>
            <w:tcW w:w="3402" w:type="dxa"/>
          </w:tcPr>
          <w:p w:rsidR="005E5E23" w:rsidRDefault="00000000">
            <w:r>
              <w:t>Se acceptă, integrat în textul proiectului</w:t>
            </w:r>
          </w:p>
        </w:tc>
      </w:tr>
      <w:tr w:rsidR="005E5E23">
        <w:trPr>
          <w:trHeight w:val="1070"/>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7"/>
              </w:numPr>
              <w:pBdr>
                <w:top w:val="nil"/>
                <w:left w:val="nil"/>
                <w:bottom w:val="nil"/>
                <w:right w:val="nil"/>
                <w:between w:val="nil"/>
              </w:pBdr>
            </w:pPr>
          </w:p>
        </w:tc>
        <w:tc>
          <w:tcPr>
            <w:tcW w:w="7088" w:type="dxa"/>
          </w:tcPr>
          <w:p w:rsidR="005E5E23" w:rsidRDefault="00000000">
            <w:r>
              <w:t>4.1.6. La subpunctul 12.15. se recomandă clarificarea corelării cu atribuțiile autorităților competente și ale punctelor focale naționale desemnate în temeiul tratatelor internaționale.</w:t>
            </w:r>
          </w:p>
        </w:tc>
        <w:tc>
          <w:tcPr>
            <w:tcW w:w="3402" w:type="dxa"/>
          </w:tcPr>
          <w:p w:rsidR="005E5E23" w:rsidRDefault="00000000">
            <w:r>
              <w:t>Se respinge. CNMC asigură notificarea, nu notifică</w:t>
            </w:r>
          </w:p>
        </w:tc>
      </w:tr>
      <w:tr w:rsidR="005E5E23">
        <w:trPr>
          <w:trHeight w:val="515"/>
        </w:trPr>
        <w:tc>
          <w:tcPr>
            <w:tcW w:w="1838" w:type="dxa"/>
            <w:shd w:val="clear" w:color="auto" w:fill="00B0F0"/>
          </w:tcPr>
          <w:p w:rsidR="005E5E23" w:rsidRDefault="005E5E23"/>
        </w:tc>
        <w:tc>
          <w:tcPr>
            <w:tcW w:w="567" w:type="dxa"/>
            <w:shd w:val="clear" w:color="auto" w:fill="00B0F0"/>
          </w:tcPr>
          <w:p w:rsidR="005E5E23" w:rsidRDefault="005E5E23"/>
        </w:tc>
        <w:tc>
          <w:tcPr>
            <w:tcW w:w="7088" w:type="dxa"/>
            <w:shd w:val="clear" w:color="auto" w:fill="00B0F0"/>
          </w:tcPr>
          <w:p w:rsidR="005E5E23" w:rsidRDefault="005E5E23"/>
        </w:tc>
        <w:tc>
          <w:tcPr>
            <w:tcW w:w="3402" w:type="dxa"/>
            <w:shd w:val="clear" w:color="auto" w:fill="00B0F0"/>
          </w:tcPr>
          <w:p w:rsidR="005E5E23" w:rsidRDefault="005E5E23"/>
        </w:tc>
      </w:tr>
      <w:tr w:rsidR="005E5E23">
        <w:trPr>
          <w:trHeight w:val="2180"/>
        </w:trPr>
        <w:tc>
          <w:tcPr>
            <w:tcW w:w="1838" w:type="dxa"/>
          </w:tcPr>
          <w:p w:rsidR="005E5E23" w:rsidRDefault="00000000">
            <w:r>
              <w:t xml:space="preserve">Plenul Consiliului Concurenţei </w:t>
            </w:r>
            <w:r>
              <w:rPr>
                <w:i/>
                <w:iCs/>
              </w:rPr>
              <w:t>(Nr. DJ-06/333-688 din 28 aprilie 2026)</w:t>
            </w:r>
          </w:p>
        </w:tc>
        <w:tc>
          <w:tcPr>
            <w:tcW w:w="567" w:type="dxa"/>
          </w:tcPr>
          <w:p w:rsidR="005E5E23" w:rsidRDefault="00000000">
            <w:r>
              <w:t>1.</w:t>
            </w:r>
          </w:p>
        </w:tc>
        <w:tc>
          <w:tcPr>
            <w:tcW w:w="7088" w:type="dxa"/>
          </w:tcPr>
          <w:p w:rsidR="005E5E23" w:rsidRDefault="00000000">
            <w:r>
              <w:t>În vederea corelării cu prevederile art. 3 alin. (4) și (5) din Legea concurenței nr. 183/2012, se propune completarea proiectului Regulamentului de organizare și funcționare a Comisiei Naționale de Management al Crizelor, după pct. 12 cu un punct suplimentar, care să stabilească expres obligația notificării Consiliului Concurenței după emiterea deciziilor, în vederea evaluării impactului acestora asupra mediului concurențial și a asigurării unui echilibru corespunzător între necesitatea intervenției publice și respectarea regulilor de concurență.</w:t>
            </w:r>
          </w:p>
        </w:tc>
        <w:tc>
          <w:tcPr>
            <w:tcW w:w="3402" w:type="dxa"/>
          </w:tcPr>
          <w:p w:rsidR="005E5E23" w:rsidRDefault="00000000">
            <w:r>
              <w:t>Se acceptă, totodată se reiterează că Deciziile Comisiei Naționale de Management a Crizelor se publică pe pagina web oficială.</w:t>
            </w:r>
          </w:p>
        </w:tc>
      </w:tr>
      <w:tr w:rsidR="005E5E23">
        <w:trPr>
          <w:trHeight w:val="385"/>
        </w:trPr>
        <w:tc>
          <w:tcPr>
            <w:tcW w:w="1838" w:type="dxa"/>
            <w:shd w:val="clear" w:color="auto" w:fill="00B0F0"/>
          </w:tcPr>
          <w:p w:rsidR="005E5E23" w:rsidRDefault="005E5E23"/>
        </w:tc>
        <w:tc>
          <w:tcPr>
            <w:tcW w:w="567" w:type="dxa"/>
            <w:shd w:val="clear" w:color="auto" w:fill="00B0F0"/>
          </w:tcPr>
          <w:p w:rsidR="005E5E23" w:rsidRDefault="005E5E23"/>
        </w:tc>
        <w:tc>
          <w:tcPr>
            <w:tcW w:w="7088" w:type="dxa"/>
            <w:shd w:val="clear" w:color="auto" w:fill="00B0F0"/>
          </w:tcPr>
          <w:p w:rsidR="005E5E23" w:rsidRDefault="005E5E23"/>
        </w:tc>
        <w:tc>
          <w:tcPr>
            <w:tcW w:w="3402" w:type="dxa"/>
            <w:shd w:val="clear" w:color="auto" w:fill="00B0F0"/>
          </w:tcPr>
          <w:p w:rsidR="005E5E23" w:rsidRDefault="005E5E23"/>
        </w:tc>
      </w:tr>
      <w:tr w:rsidR="005E5E23">
        <w:trPr>
          <w:trHeight w:val="558"/>
        </w:trPr>
        <w:tc>
          <w:tcPr>
            <w:tcW w:w="1838" w:type="dxa"/>
            <w:vMerge w:val="restart"/>
          </w:tcPr>
          <w:p w:rsidR="005E5E23" w:rsidRDefault="00000000">
            <w:r>
              <w:t>Congresul Autorităților Locale din Moldova</w:t>
            </w:r>
          </w:p>
          <w:p w:rsidR="005E5E23" w:rsidRDefault="00000000">
            <w:pPr>
              <w:rPr>
                <w:i/>
                <w:iCs/>
              </w:rPr>
            </w:pPr>
            <w:r>
              <w:rPr>
                <w:i/>
                <w:iCs/>
              </w:rPr>
              <w:t>(Nr.156 din 08 mai 2026)</w:t>
            </w:r>
          </w:p>
          <w:p w:rsidR="005E5E23" w:rsidRDefault="005E5E23"/>
        </w:tc>
        <w:tc>
          <w:tcPr>
            <w:tcW w:w="567" w:type="dxa"/>
          </w:tcPr>
          <w:p w:rsidR="005E5E23" w:rsidRDefault="005E5E23">
            <w:pPr>
              <w:numPr>
                <w:ilvl w:val="0"/>
                <w:numId w:val="8"/>
              </w:numPr>
              <w:pBdr>
                <w:top w:val="nil"/>
                <w:left w:val="nil"/>
                <w:bottom w:val="nil"/>
                <w:right w:val="nil"/>
                <w:between w:val="nil"/>
              </w:pBdr>
            </w:pPr>
          </w:p>
        </w:tc>
        <w:tc>
          <w:tcPr>
            <w:tcW w:w="7088" w:type="dxa"/>
          </w:tcPr>
          <w:p w:rsidR="005E5E23" w:rsidRDefault="00000000">
            <w:r>
              <w:t xml:space="preserve">În aspect conceptual, denumirea Proiectului este mai îngustă decât conținutul, deoarece reglementează nu doar organizarea și funcționarea Comisiei Naționale de Management al Crizelor, dar și aspecte privind organizarea și funcționarea Comisiilor regionale, teritoriale și locale de management al situațiilor de criză, precum și a Centrelor operaționale ale acestora (a sevedea de exemplu Anexa nr. 2 la Proiect). De asemenea nu este 1clar statutul domeniului managementul situațiilor de criză conform pct. 7-9 din Proiect: din sensul legislației în vigoare reiese că este un domeniu de importanță statală, iar acționarea comisiilor regionale, teritoriale și locale „sub coordonarea Comisiei Naționale de Management al Crizelor” și încă „cu respectarea principiului subsidiarității și autonomiei locale” (a se vedea pct. 7 din Proiect) sunt incompatibile. Efectiv este vorba de un domeniu general statal, unele atribuții fiind delegate APL . Respectiv se impune un </w:t>
            </w:r>
            <w:r>
              <w:lastRenderedPageBreak/>
              <w:t>mecanism de alocarea a resurselor financiare de la bugetul de stat, similar altor domenii delegate de stat.</w:t>
            </w:r>
          </w:p>
        </w:tc>
        <w:tc>
          <w:tcPr>
            <w:tcW w:w="3402" w:type="dxa"/>
          </w:tcPr>
          <w:p w:rsidR="005E5E23" w:rsidRDefault="00000000">
            <w:r>
              <w:lastRenderedPageBreak/>
              <w:t>Textul a fost completat cu referire la principiul autonomiei locale și subsidiarității.</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8"/>
              </w:numPr>
              <w:pBdr>
                <w:top w:val="nil"/>
                <w:left w:val="nil"/>
                <w:bottom w:val="nil"/>
                <w:right w:val="nil"/>
                <w:between w:val="nil"/>
              </w:pBdr>
            </w:pPr>
          </w:p>
        </w:tc>
        <w:tc>
          <w:tcPr>
            <w:tcW w:w="7088" w:type="dxa"/>
          </w:tcPr>
          <w:p w:rsidR="005E5E23" w:rsidRDefault="00000000">
            <w:r>
              <w:t>2. În contextul celor menționate la punctul precedent, pct. 9 din Proiect („9. Autoritățile administrației publice locale competente, conform nivelului, asigură funcționarea comisiilor și a centrelor operaționale de coordonare în limitele resurselor disponibile.”.) se propune în următoarea redacție:</w:t>
            </w:r>
          </w:p>
          <w:p w:rsidR="005E5E23" w:rsidRDefault="00000000">
            <w:r>
              <w:t>„9. Funcționarea comisiilor și a centrelor operaționale de coordonare sunt asigurate din bugetul de stat, inclusiv prin transferuri cu destinație specială de la bugetul de stat. Autoritățile administrației publice locale competente, conform nivelului, pot contribui la funcționarea acestora în limitele resurselor disponibile.”.</w:t>
            </w:r>
          </w:p>
        </w:tc>
        <w:tc>
          <w:tcPr>
            <w:tcW w:w="3402" w:type="dxa"/>
          </w:tcPr>
          <w:p w:rsidR="005E5E23" w:rsidRDefault="00000000">
            <w:r>
              <w:t>Asigurarea suportului logistic derivă din competențele autorităților administrației publice locale stabilite de legislația privind managementul situațiilor de criză.</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8"/>
              </w:numPr>
              <w:pBdr>
                <w:top w:val="nil"/>
                <w:left w:val="nil"/>
                <w:bottom w:val="nil"/>
                <w:right w:val="nil"/>
                <w:between w:val="nil"/>
              </w:pBdr>
            </w:pPr>
          </w:p>
        </w:tc>
        <w:tc>
          <w:tcPr>
            <w:tcW w:w="7088" w:type="dxa"/>
          </w:tcPr>
          <w:p w:rsidR="005E5E23" w:rsidRDefault="00000000">
            <w:r>
              <w:t>3. Punctele 18 și 19 din Proiect nu țin cont de domeniile de competență dintre nivelul central, raional și local, inclusiv domeniile cedate domeniului privat. Astfel, între timp, unele domenii au fost recentralizate, regionalizate (cum ar fi sănătate, asistență socială, etc.). Într-o anumită măsură am putea afirma că președinte al Comisiilor regionale și teritoriale ar putea fi reprezentantul Guvernului în teritoriu (în locul președintelui raionului/primarul municipiului).</w:t>
            </w:r>
          </w:p>
        </w:tc>
        <w:tc>
          <w:tcPr>
            <w:tcW w:w="3402" w:type="dxa"/>
          </w:tcPr>
          <w:p w:rsidR="005E5E23" w:rsidRDefault="00000000">
            <w:r>
              <w:t xml:space="preserve">Nu se acceptă, Legea nr. 248/2025, art. 37 alin (5) indică expres că </w:t>
            </w:r>
            <w:r>
              <w:rPr>
                <w:i/>
                <w:iCs/>
              </w:rPr>
              <w:t>„(5) La nivel regional, conducerea comisiilor regionale sau teritoriale de management al situațiilor de criză va fi asigurată de către președinții de raion, care vor fi asistați de subdiviziunile teritoriale ale instituției principale.”</w:t>
            </w:r>
          </w:p>
        </w:tc>
      </w:tr>
      <w:tr w:rsidR="005E5E23">
        <w:trPr>
          <w:trHeight w:val="634"/>
        </w:trPr>
        <w:tc>
          <w:tcPr>
            <w:tcW w:w="1838" w:type="dxa"/>
            <w:shd w:val="clear" w:color="auto" w:fill="00B0F0"/>
          </w:tcPr>
          <w:p w:rsidR="005E5E23" w:rsidRDefault="005E5E23"/>
        </w:tc>
        <w:tc>
          <w:tcPr>
            <w:tcW w:w="567" w:type="dxa"/>
            <w:shd w:val="clear" w:color="auto" w:fill="00B0F0"/>
          </w:tcPr>
          <w:p w:rsidR="005E5E23" w:rsidRDefault="005E5E23">
            <w:pPr>
              <w:pBdr>
                <w:top w:val="nil"/>
                <w:left w:val="nil"/>
                <w:bottom w:val="nil"/>
                <w:right w:val="nil"/>
                <w:between w:val="nil"/>
              </w:pBdr>
              <w:ind w:left="720"/>
              <w:rPr>
                <w:color w:val="000000"/>
              </w:rPr>
            </w:pPr>
          </w:p>
        </w:tc>
        <w:tc>
          <w:tcPr>
            <w:tcW w:w="7088" w:type="dxa"/>
            <w:shd w:val="clear" w:color="auto" w:fill="00B0F0"/>
          </w:tcPr>
          <w:p w:rsidR="005E5E23" w:rsidRDefault="005E5E23"/>
        </w:tc>
        <w:tc>
          <w:tcPr>
            <w:tcW w:w="3402" w:type="dxa"/>
            <w:shd w:val="clear" w:color="auto" w:fill="00B0F0"/>
          </w:tcPr>
          <w:p w:rsidR="005E5E23" w:rsidRDefault="005E5E23"/>
        </w:tc>
      </w:tr>
      <w:tr w:rsidR="005E5E23">
        <w:trPr>
          <w:trHeight w:val="634"/>
        </w:trPr>
        <w:tc>
          <w:tcPr>
            <w:tcW w:w="1838" w:type="dxa"/>
            <w:vMerge w:val="restart"/>
          </w:tcPr>
          <w:p w:rsidR="005E5E23" w:rsidRDefault="00000000">
            <w:r>
              <w:t>Serviciul de Informații și Securitate</w:t>
            </w:r>
          </w:p>
          <w:p w:rsidR="005E5E23" w:rsidRDefault="00000000">
            <w:pPr>
              <w:rPr>
                <w:i/>
                <w:iCs/>
              </w:rPr>
            </w:pPr>
            <w:r>
              <w:rPr>
                <w:i/>
                <w:iCs/>
              </w:rPr>
              <w:t>(Nr. IE/4631 din 11.05.2026)</w:t>
            </w: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pPr>
              <w:pBdr>
                <w:top w:val="nil"/>
                <w:left w:val="nil"/>
                <w:bottom w:val="nil"/>
                <w:right w:val="nil"/>
                <w:between w:val="nil"/>
              </w:pBdr>
              <w:rPr>
                <w:color w:val="000000"/>
              </w:rPr>
            </w:pPr>
            <w:r>
              <w:rPr>
                <w:b/>
                <w:bCs/>
                <w:color w:val="000000"/>
              </w:rPr>
              <w:t>I. Cu referire la proiectul Regulamentului privind organizarea și funcționarea Comisiei Naționale de Management al Crizelor (Anexa nr. 1):</w:t>
            </w:r>
          </w:p>
        </w:tc>
        <w:tc>
          <w:tcPr>
            <w:tcW w:w="3402" w:type="dxa"/>
          </w:tcPr>
          <w:p w:rsidR="005E5E23" w:rsidRDefault="005E5E23"/>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2 este prevăzut că „Comisia Națională de Management al Crizelor este organ colegial, constituit în vederea asigurării coordonării strategice a prevenirii, pregătirii, răspunsului și recuperării în situațiile de criză, precum și a definirii efectelor strategice urmărite”. Totuși, considerăm că această normă nu corespunde cu art. 33 din Legea nr. 248/2025 privind managementul situațiilor de criză, care prevede că </w:t>
            </w:r>
            <w:r>
              <w:rPr>
                <w:color w:val="000000"/>
              </w:rPr>
              <w:lastRenderedPageBreak/>
              <w:t>Comisia Națională a Situațiilor de Criză are „... rolul de definire a efectelor strategice ce se doresc a fi obținute ca urmare a răspunsului și a recuperării după criză, de asigurare a deciziei la nivel strategic a autorităților și instituțiilor publice responsabile de răspunsul la criză și de recuperare după criză, precum și de adoptare a deciziilor cu caracter excepțional necesare pentru a răspunde la crize”.  Prin urmare, Comisia este implicată la etapele de răspuns și recuperare, nu la etapele de prevenire și pregătire. Propunem revizuirea normei și ajustarea acesteia la normele ierarhic superioare. Obiecție valabilă pentru pct. 12.1, 12.3, 12.8, 12.10, 13 și 44 unde se regăsesc cuvintele „prevenire și pregătire”.</w:t>
            </w:r>
          </w:p>
        </w:tc>
        <w:tc>
          <w:tcPr>
            <w:tcW w:w="3402" w:type="dxa"/>
          </w:tcPr>
          <w:p w:rsidR="005E5E23" w:rsidRDefault="00000000">
            <w:r>
              <w:lastRenderedPageBreak/>
              <w:t xml:space="preserve">Se respinge. Legea 248/2025 prevede la art. 33 atribuții în faza de pregătire. </w:t>
            </w:r>
          </w:p>
        </w:tc>
      </w:tr>
      <w:tr w:rsidR="005E5E23" w:rsidTr="009063F1">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5, considerăm că norma „În situațiile prevăzute de lege, în care criza este generată sau amplificată de amenințări la adresa securității naționale, Comisia își exercită atribuțiile în condițiile stabilite de legislația în domeniul securității naționale” este una vagă deoarece nu au putut fi identificate situațiile prevăzute de lege când criza este generată sau amplificată de amenințări la adresa securității naționale și nici atribuțiile Comisiei stabilite de legislația în domeniul securității naționale. Propunem revizuirea acesteia. </w:t>
            </w:r>
          </w:p>
        </w:tc>
        <w:tc>
          <w:tcPr>
            <w:tcW w:w="3402" w:type="dxa"/>
          </w:tcPr>
          <w:p w:rsidR="005E5E23" w:rsidRDefault="00000000">
            <w:r>
              <w:t>Se acceptă. Punctul 5 a fost eliminat ca urmare a lipsei de densitate normativă.</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12.16 propunem completarea acestuia după cuvintele „... lucrărilor de salvare, deblocare sau” cu textul „alte măsuri de prevenire și/sau” deoarece antrenarea populației în anumite acțiuni poate fi realizată și până la emergența unei crize, de exemplu consolidarea digurilor în caz de creștere bruscă a debitului de apă a unui bazin de apă. </w:t>
            </w:r>
          </w:p>
        </w:tc>
        <w:tc>
          <w:tcPr>
            <w:tcW w:w="3402" w:type="dxa"/>
          </w:tcPr>
          <w:p w:rsidR="005E5E23" w:rsidRDefault="00000000">
            <w:r>
              <w:t>Se acceptă, integrat în textul proiectului.</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Pct. 20.1 prevede că Comisia se convoacă de regulă la propunerea Centrului Național de Management al Crizelor, deși art. 35 alin. (2) din Legea nr. 248/2025, prevede că Comisia se convoacă de către Prim-ministru la propunerea oricărui membru al Comisiei. Prin urmare, nu doar directorul Centrului Național de Management al Crizelor poate convoca Comisia. Propunem revizuirea normei și ajustarea la prevederile articolului menționat. </w:t>
            </w:r>
          </w:p>
        </w:tc>
        <w:tc>
          <w:tcPr>
            <w:tcW w:w="3402" w:type="dxa"/>
          </w:tcPr>
          <w:p w:rsidR="005E5E23" w:rsidRDefault="00000000">
            <w:r>
              <w:t>Se acceptă, integrat în textul proiectului.</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31, se operează cu noțiunea de „membrii în funcție a Comisiei” iar la pct. 7 se utilizează sintagma „membrii permanenți”, respectiv recomandăm utilizarea unui limbaj unic. </w:t>
            </w:r>
          </w:p>
        </w:tc>
        <w:tc>
          <w:tcPr>
            <w:tcW w:w="3402" w:type="dxa"/>
          </w:tcPr>
          <w:p w:rsidR="005E5E23" w:rsidRDefault="00000000">
            <w:r>
              <w:t>Se acceptă, integrat în textul proiectului</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39 nu este clar cine asigură într-un final Secretariatul Comisiei, or, acesta prevede doar că „Secretariatul Comisiei acordă sprijin logistic și operațional pentru Comisie”. Considerăm necesară revizuirea normei și ajustarea acesteia la prevederile art. 35 alin. (4) din Legea nr. 248/2025. </w:t>
            </w:r>
          </w:p>
        </w:tc>
        <w:tc>
          <w:tcPr>
            <w:tcW w:w="3402" w:type="dxa"/>
          </w:tcPr>
          <w:p w:rsidR="005E5E23" w:rsidRDefault="00000000">
            <w:r>
              <w:t>Se acceptă, integrat în textul proiectului, Secretariatul Comisiei se va asigura de Centrul Național de Management al Crizelor.</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Considerăm necesară excluderea pct. 45 și 46 deoarece acestea se referă nemijlocit la rolul pe care îl are Centrul Național de Management al Crizelor și nu al Comisiei. Or, rolul Centrului este bine definit în Legea nr. 248/2025 și nu este cazul repetării funcției acestuia în cadrul actului normativ care reglementează activitatea Comisiei. Normele respective urmează să se regăsească în Regulamentul Centrului și nu al Comisiei. </w:t>
            </w:r>
          </w:p>
        </w:tc>
        <w:tc>
          <w:tcPr>
            <w:tcW w:w="3402" w:type="dxa"/>
          </w:tcPr>
          <w:p w:rsidR="005E5E23" w:rsidRDefault="00000000">
            <w:r>
              <w:t xml:space="preserve">Se acceptă parțial. S-a reformulat articolul pentru a menține Comisia ca obiect de reglementare al HG. S-au menținut responsabilitățile Centrului, acestea fiind doar cele dedicate exclusiv modalității de funcționare a Comisiei, care nu se regăsesc în detaliu în celelalte acte normative. </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pPr>
              <w:pBdr>
                <w:top w:val="nil"/>
                <w:left w:val="nil"/>
                <w:bottom w:val="nil"/>
                <w:right w:val="nil"/>
                <w:between w:val="nil"/>
              </w:pBdr>
              <w:rPr>
                <w:color w:val="000000"/>
              </w:rPr>
            </w:pPr>
            <w:r>
              <w:rPr>
                <w:b/>
                <w:bCs/>
                <w:color w:val="000000"/>
              </w:rPr>
              <w:t>II. Cu referire la proiectul de Regulament privind organizarea și funcționarea Comisiilor regionale, teritoriale și locale de management al situațiilor de criză, precum și a Centrelor operaționale ale acestora (Anexa nr. 2):</w:t>
            </w:r>
          </w:p>
        </w:tc>
        <w:tc>
          <w:tcPr>
            <w:tcW w:w="3402" w:type="dxa"/>
          </w:tcPr>
          <w:p w:rsidR="005E5E23" w:rsidRDefault="005E5E23"/>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18 se menționează că „Membrii permanenți ai Comisiilor sunt președintele Comisiei și reprezentanții autorităților prevăzute la pct. 8.1 din Anexa nr. 1 la prezenta Hotărâre de Guvern, ceilalți pot fi membri invitați, în funcție de tipul crizei, iar secretariatul este asigurat de reprezentantul Centrului operațional de coordonare al autorității administrației publice.” </w:t>
            </w:r>
          </w:p>
          <w:p w:rsidR="005E5E23" w:rsidRDefault="00000000">
            <w:pPr>
              <w:pBdr>
                <w:top w:val="nil"/>
                <w:left w:val="nil"/>
                <w:bottom w:val="nil"/>
                <w:right w:val="nil"/>
                <w:between w:val="nil"/>
              </w:pBdr>
              <w:rPr>
                <w:color w:val="000000"/>
              </w:rPr>
            </w:pPr>
            <w:r>
              <w:rPr>
                <w:color w:val="000000"/>
              </w:rPr>
              <w:t xml:space="preserve">Astfel, trimiterea în conținutul normei la pct. 8.1, nu se referă la reprezentanții autorităților ci doar la „Prim ministru” ca președinte al Comisiei Naționale de Management al Crizelor, respectiv trimiterea trebuie să vizeze pct. 8 care înglobează toți membrii permanenți ai Comisiei, inclusiv directorul Serviciului de Informații și Securitate. </w:t>
            </w:r>
          </w:p>
          <w:p w:rsidR="005E5E23" w:rsidRDefault="00000000">
            <w:pPr>
              <w:pBdr>
                <w:top w:val="nil"/>
                <w:left w:val="nil"/>
                <w:bottom w:val="nil"/>
                <w:right w:val="nil"/>
                <w:between w:val="nil"/>
              </w:pBdr>
              <w:rPr>
                <w:color w:val="000000"/>
              </w:rPr>
            </w:pPr>
            <w:r>
              <w:rPr>
                <w:color w:val="000000"/>
              </w:rPr>
              <w:lastRenderedPageBreak/>
              <w:t xml:space="preserve">Totuși, considerăm că prima parte a normei urmează a fi expusă într-o manieră lipsită de echivoc, astfel propunem ca textul „și reprezentanții autorităților prevăzute la pct. 8.1” să fie substituit cu textul „și reprezentanții desemnați de conducătorii autorităților prevăzute la pct. 8”. Așadar, se exclude interpretarea că membri ai Comisiilor regionale, teritoriale și locale ar fi însăși Primul-ministru sau conducătorii de ministere, instituții. </w:t>
            </w:r>
          </w:p>
        </w:tc>
        <w:tc>
          <w:tcPr>
            <w:tcW w:w="3402" w:type="dxa"/>
          </w:tcPr>
          <w:p w:rsidR="005E5E23" w:rsidRDefault="00000000">
            <w:r>
              <w:lastRenderedPageBreak/>
              <w:t>Se acceptă, integrat în textul proiectului</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La pct. 40 și 42 activitatea centrelor operaționale de coordonare este reglementată ca având un caracter temporar, periodic fapt ce contravine art. 12 alin. (2) din Legea nr. 248/2025, care prevede caracterul permanent al activității acestor centre. </w:t>
            </w:r>
          </w:p>
        </w:tc>
        <w:tc>
          <w:tcPr>
            <w:tcW w:w="3402" w:type="dxa"/>
          </w:tcPr>
          <w:p w:rsidR="005E5E23" w:rsidRDefault="00000000">
            <w:r>
              <w:t>Se acceptă parțial. S-a clarificat în text că acestea nu sunt COC uri permanente, conform art 12 din Legea nr 248/2025. De asemenea, s-a clarificat că atribuțiile COC de prevenire și pregătire constau în activarea în cazul unei situații de criză iminentă, în vederea prevenirii acesteia, precum și în caz de antrenamente și exerciții, în vederea pregătirii pentru situații de criză.</w:t>
            </w:r>
          </w:p>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pBdr>
                <w:top w:val="nil"/>
                <w:left w:val="nil"/>
                <w:bottom w:val="nil"/>
                <w:right w:val="nil"/>
                <w:between w:val="nil"/>
              </w:pBdr>
              <w:ind w:left="720"/>
              <w:rPr>
                <w:color w:val="000000"/>
              </w:rPr>
            </w:pPr>
          </w:p>
        </w:tc>
        <w:tc>
          <w:tcPr>
            <w:tcW w:w="7088" w:type="dxa"/>
          </w:tcPr>
          <w:p w:rsidR="005E5E23" w:rsidRDefault="00000000">
            <w:pPr>
              <w:pBdr>
                <w:top w:val="nil"/>
                <w:left w:val="nil"/>
                <w:bottom w:val="nil"/>
                <w:right w:val="nil"/>
                <w:between w:val="nil"/>
              </w:pBdr>
              <w:rPr>
                <w:color w:val="000000"/>
              </w:rPr>
            </w:pPr>
            <w:r>
              <w:rPr>
                <w:b/>
                <w:bCs/>
                <w:color w:val="000000"/>
              </w:rPr>
              <w:t>III. Cu referire Modificările ce se operează în unele hotărâri ale Guvernului, (Anexa nr. 3):</w:t>
            </w:r>
          </w:p>
        </w:tc>
        <w:tc>
          <w:tcPr>
            <w:tcW w:w="3402" w:type="dxa"/>
          </w:tcPr>
          <w:p w:rsidR="005E5E23" w:rsidRDefault="005E5E23"/>
        </w:tc>
      </w:tr>
      <w:tr w:rsidR="005E5E23">
        <w:trPr>
          <w:trHeight w:val="634"/>
        </w:trPr>
        <w:tc>
          <w:tcPr>
            <w:tcW w:w="1838" w:type="dxa"/>
            <w:vMerge/>
          </w:tcPr>
          <w:p w:rsidR="005E5E23" w:rsidRDefault="005E5E23">
            <w:pPr>
              <w:widowControl w:val="0"/>
              <w:pBdr>
                <w:top w:val="nil"/>
                <w:left w:val="nil"/>
                <w:bottom w:val="nil"/>
                <w:right w:val="nil"/>
                <w:between w:val="nil"/>
              </w:pBdr>
              <w:spacing w:line="276" w:lineRule="auto"/>
            </w:pPr>
          </w:p>
        </w:tc>
        <w:tc>
          <w:tcPr>
            <w:tcW w:w="567" w:type="dxa"/>
          </w:tcPr>
          <w:p w:rsidR="005E5E23" w:rsidRDefault="005E5E23">
            <w:pPr>
              <w:numPr>
                <w:ilvl w:val="0"/>
                <w:numId w:val="9"/>
              </w:numPr>
              <w:pBdr>
                <w:top w:val="nil"/>
                <w:left w:val="nil"/>
                <w:bottom w:val="nil"/>
                <w:right w:val="nil"/>
                <w:between w:val="nil"/>
              </w:pBdr>
            </w:pPr>
          </w:p>
        </w:tc>
        <w:tc>
          <w:tcPr>
            <w:tcW w:w="7088" w:type="dxa"/>
          </w:tcPr>
          <w:p w:rsidR="005E5E23" w:rsidRDefault="00000000">
            <w:pPr>
              <w:pBdr>
                <w:top w:val="nil"/>
                <w:left w:val="nil"/>
                <w:bottom w:val="nil"/>
                <w:right w:val="nil"/>
                <w:between w:val="nil"/>
              </w:pBdr>
              <w:rPr>
                <w:color w:val="000000"/>
              </w:rPr>
            </w:pPr>
            <w:r>
              <w:rPr>
                <w:color w:val="000000"/>
              </w:rPr>
              <w:t xml:space="preserve">Considerăm necesară includerea spre modificare a Regulamentului cu privire la organizarea și funcționarea Consiliului Teritorial Antiterorist aprobat prin Hotărârea Guvernului nr. 451/2024. </w:t>
            </w:r>
          </w:p>
          <w:p w:rsidR="005E5E23" w:rsidRDefault="00000000">
            <w:pPr>
              <w:pBdr>
                <w:top w:val="nil"/>
                <w:left w:val="nil"/>
                <w:bottom w:val="nil"/>
                <w:right w:val="nil"/>
                <w:between w:val="nil"/>
              </w:pBdr>
              <w:rPr>
                <w:color w:val="000000"/>
              </w:rPr>
            </w:pPr>
            <w:r>
              <w:rPr>
                <w:color w:val="000000"/>
              </w:rPr>
              <w:t xml:space="preserve">Așadar, pct. 22 subpct. 9) din Regulament, în redacția actuală prevede că „Președintele CTA are următoarele atribuții: coordonează acțiunile CTA cu măsurile realizate de către Comisia pentru Situații Excepționale din unitatea administrativ-teritorială respectivă”. Având în vedere că Comisia pentru Situații Excepționale urmează a fi substituită cu „Comisia Națională de Management al Crizelor” sau după caz, cu „Comisia regională sau teritorială de management al situațiilor de criză”, propunem spre substituire textul „Comisia pentru </w:t>
            </w:r>
            <w:r>
              <w:rPr>
                <w:color w:val="000000"/>
              </w:rPr>
              <w:lastRenderedPageBreak/>
              <w:t xml:space="preserve">Situații Excepționale” cu textul „Comisia regională, teritorială sau locală de management al situațiilor de criză”. </w:t>
            </w:r>
          </w:p>
        </w:tc>
        <w:tc>
          <w:tcPr>
            <w:tcW w:w="3402" w:type="dxa"/>
          </w:tcPr>
          <w:p w:rsidR="005E5E23" w:rsidRDefault="00000000">
            <w:r>
              <w:lastRenderedPageBreak/>
              <w:t>Se acceptă, integrat în textul proiectului</w:t>
            </w:r>
          </w:p>
        </w:tc>
      </w:tr>
    </w:tbl>
    <w:p w:rsidR="005E5E23" w:rsidRDefault="005E5E23"/>
    <w:sectPr w:rsidR="005E5E23">
      <w:pgSz w:w="15840" w:h="12240"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ACBDC30-2423-0F4A-AB47-70512343DB29}"/>
    <w:embedBold r:id="rId2" w:fontKey="{4993ACB3-7B67-3242-8853-FF22C94B80A5}"/>
    <w:embedItalic r:id="rId3" w:fontKey="{033750D3-5ECC-D54A-8CDD-73A5D48C14EA}"/>
  </w:font>
  <w:font w:name="Calibri">
    <w:panose1 w:val="020F0502020204030204"/>
    <w:charset w:val="00"/>
    <w:family w:val="swiss"/>
    <w:pitch w:val="variable"/>
    <w:sig w:usb0="E0002AFF" w:usb1="C000247B" w:usb2="00000009" w:usb3="00000000" w:csb0="000001FF" w:csb1="00000000"/>
    <w:embedRegular r:id="rId4" w:fontKey="{C3A2227A-4260-AA4C-996B-135ABCCDDD79}"/>
  </w:font>
  <w:font w:name="Cambria">
    <w:panose1 w:val="02040503050406030204"/>
    <w:charset w:val="00"/>
    <w:family w:val="roman"/>
    <w:pitch w:val="variable"/>
    <w:sig w:usb0="E00002FF" w:usb1="400004FF" w:usb2="00000000" w:usb3="00000000" w:csb0="0000019F" w:csb1="00000000"/>
    <w:embedRegular r:id="rId5" w:fontKey="{CD4F7999-D2CD-EE4F-9F08-DCCA1AE94F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D71"/>
    <w:multiLevelType w:val="multilevel"/>
    <w:tmpl w:val="4D201D52"/>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D1214"/>
    <w:multiLevelType w:val="multilevel"/>
    <w:tmpl w:val="70DAF62A"/>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56210"/>
    <w:multiLevelType w:val="multilevel"/>
    <w:tmpl w:val="96001ADA"/>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8253F9"/>
    <w:multiLevelType w:val="multilevel"/>
    <w:tmpl w:val="6FA0AB5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F00584"/>
    <w:multiLevelType w:val="multilevel"/>
    <w:tmpl w:val="A3FED9A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DC0C30"/>
    <w:multiLevelType w:val="multilevel"/>
    <w:tmpl w:val="692A119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623110"/>
    <w:multiLevelType w:val="multilevel"/>
    <w:tmpl w:val="D592E408"/>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0C1165"/>
    <w:multiLevelType w:val="multilevel"/>
    <w:tmpl w:val="F35838DC"/>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8F6629"/>
    <w:multiLevelType w:val="multilevel"/>
    <w:tmpl w:val="F8A0D5E4"/>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334DCA"/>
    <w:multiLevelType w:val="multilevel"/>
    <w:tmpl w:val="F37ED11E"/>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4C1A30"/>
    <w:multiLevelType w:val="multilevel"/>
    <w:tmpl w:val="B00E86A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1240D5"/>
    <w:multiLevelType w:val="multilevel"/>
    <w:tmpl w:val="D9DC45C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55713E9"/>
    <w:multiLevelType w:val="multilevel"/>
    <w:tmpl w:val="291C610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6946332">
    <w:abstractNumId w:val="2"/>
  </w:num>
  <w:num w:numId="2" w16cid:durableId="418798613">
    <w:abstractNumId w:val="10"/>
  </w:num>
  <w:num w:numId="3" w16cid:durableId="1746030167">
    <w:abstractNumId w:val="5"/>
  </w:num>
  <w:num w:numId="4" w16cid:durableId="720712963">
    <w:abstractNumId w:val="3"/>
  </w:num>
  <w:num w:numId="5" w16cid:durableId="1151873061">
    <w:abstractNumId w:val="9"/>
  </w:num>
  <w:num w:numId="6" w16cid:durableId="1715495705">
    <w:abstractNumId w:val="12"/>
  </w:num>
  <w:num w:numId="7" w16cid:durableId="1077365591">
    <w:abstractNumId w:val="8"/>
  </w:num>
  <w:num w:numId="8" w16cid:durableId="1592004745">
    <w:abstractNumId w:val="7"/>
  </w:num>
  <w:num w:numId="9" w16cid:durableId="1223560123">
    <w:abstractNumId w:val="1"/>
  </w:num>
  <w:num w:numId="10" w16cid:durableId="833491619">
    <w:abstractNumId w:val="6"/>
  </w:num>
  <w:num w:numId="11" w16cid:durableId="486744595">
    <w:abstractNumId w:val="4"/>
  </w:num>
  <w:num w:numId="12" w16cid:durableId="877815544">
    <w:abstractNumId w:val="0"/>
  </w:num>
  <w:num w:numId="13" w16cid:durableId="5733150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23"/>
    <w:rsid w:val="00292D97"/>
    <w:rsid w:val="003D6655"/>
    <w:rsid w:val="005E5E23"/>
    <w:rsid w:val="009063F1"/>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405F0F56"/>
  <w15:docId w15:val="{3AA68D98-8BAA-F24C-A369-4D585E01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fggTkgF31GgT3OWR6c5/HI2/Q==">CgMxLjAyD2lkLmp6bGVraGg4MDJnbjIPaWQud2k5Z2hwcnNtcm83Mg9pZC41cHd1d253YzR0ZDIyD2lkLjI2MWtrOHh1cDF4ODgAaiQKFHN1Z2dlc3QuOHhtY3ZpNHk1OGRpEgxTZXJnaXUgSnVuZWFqJAoUc3VnZ2VzdC5ldzIxcDA1bzVtNWYSDFNlcmdpdSBKdW5lYWokChRzdWdnZXN0LmowbXZqdjVla3pjMRIMU2VyZ2l1IEp1bmVhaiQKFHN1Z2dlc3QucWNseTY4N3B3c2h2EgxTZXJnaXUgSnVuZWFyITFoYXhXN2p3LVBHN3RiTFhxVTRheDBxWDZ4WWMxR3FT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16309</Words>
  <Characters>92965</Characters>
  <Application>Microsoft Office Word</Application>
  <DocSecurity>0</DocSecurity>
  <Lines>774</Lines>
  <Paragraphs>218</Paragraphs>
  <ScaleCrop>false</ScaleCrop>
  <Company/>
  <LinksUpToDate>false</LinksUpToDate>
  <CharactersWithSpaces>109056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Valuta Vera</cp:lastModifiedBy>
  <cp:revision>3</cp:revision>
  <dcterms:created xsi:type="dcterms:W3CDTF">2026-05-25T13:39:00Z</dcterms:created>
  <dcterms:modified xsi:type="dcterms:W3CDTF">2026-05-25T13:43:00Z</dcterms:modified>
</cp:coreProperties>
</file>