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1E8DCE" w14:textId="77777777" w:rsidR="00F42DE6" w:rsidRPr="00F42DE6" w:rsidRDefault="00F42DE6" w:rsidP="007536D5">
      <w:pPr>
        <w:pStyle w:val="cn"/>
        <w:shd w:val="clear" w:color="auto" w:fill="FFFFFF"/>
        <w:spacing w:before="0" w:beforeAutospacing="0" w:after="0" w:afterAutospacing="0"/>
        <w:ind w:left="284"/>
        <w:jc w:val="center"/>
        <w:rPr>
          <w:b/>
          <w:bCs/>
          <w:color w:val="000000"/>
          <w:lang w:val="ro-MD"/>
        </w:rPr>
      </w:pPr>
      <w:r w:rsidRPr="00F42DE6">
        <w:rPr>
          <w:b/>
          <w:bCs/>
          <w:color w:val="000000"/>
          <w:lang w:val="ro-MD"/>
        </w:rPr>
        <w:t>NOTA DE FUNDAMENTARE</w:t>
      </w:r>
    </w:p>
    <w:p w14:paraId="7832F139" w14:textId="779F5417" w:rsidR="002877E5" w:rsidRPr="004269EF" w:rsidRDefault="00F42DE6" w:rsidP="007536D5">
      <w:pPr>
        <w:pStyle w:val="cn"/>
        <w:shd w:val="clear" w:color="auto" w:fill="FFFFFF"/>
        <w:spacing w:after="0"/>
        <w:ind w:left="-142"/>
        <w:jc w:val="center"/>
        <w:rPr>
          <w:b/>
          <w:bCs/>
          <w:color w:val="000000"/>
          <w:lang w:val="ro-MD"/>
        </w:rPr>
      </w:pPr>
      <w:r w:rsidRPr="00F42DE6">
        <w:rPr>
          <w:b/>
          <w:bCs/>
          <w:color w:val="000000"/>
          <w:lang w:val="ro-MD"/>
        </w:rPr>
        <w:t xml:space="preserve">la proiectul de </w:t>
      </w:r>
      <w:r w:rsidR="00E26809">
        <w:rPr>
          <w:b/>
          <w:bCs/>
          <w:color w:val="000000"/>
          <w:lang w:val="ro-MD"/>
        </w:rPr>
        <w:t>lege pentru modificarea Legii horticulturii nr.62/2025</w:t>
      </w:r>
    </w:p>
    <w:p w14:paraId="555D0C4B" w14:textId="77777777" w:rsidR="00746F55" w:rsidRDefault="00746F55" w:rsidP="002877E5">
      <w:pPr>
        <w:pStyle w:val="cn"/>
        <w:shd w:val="clear" w:color="auto" w:fill="FFFFFF"/>
        <w:spacing w:before="0" w:beforeAutospacing="0" w:after="0" w:afterAutospacing="0"/>
        <w:ind w:left="-426"/>
        <w:jc w:val="center"/>
        <w:rPr>
          <w:lang w:val="ro-MD"/>
        </w:rPr>
      </w:pPr>
    </w:p>
    <w:tbl>
      <w:tblPr>
        <w:tblW w:w="5573" w:type="pct"/>
        <w:tblInd w:w="-442" w:type="dxa"/>
        <w:shd w:val="clear" w:color="auto" w:fill="FFFFFF"/>
        <w:tblCellMar>
          <w:left w:w="0" w:type="dxa"/>
          <w:right w:w="0" w:type="dxa"/>
        </w:tblCellMar>
        <w:tblLook w:val="04A0" w:firstRow="1" w:lastRow="0" w:firstColumn="1" w:lastColumn="0" w:noHBand="0" w:noVBand="1"/>
      </w:tblPr>
      <w:tblGrid>
        <w:gridCol w:w="10156"/>
      </w:tblGrid>
      <w:tr w:rsidR="00645815" w:rsidRPr="007F23AE" w14:paraId="35C83AC3"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6DAD8B5C" w14:textId="77777777" w:rsidR="00645815" w:rsidRPr="00CD1F05" w:rsidRDefault="00645815" w:rsidP="001231D8">
            <w:pPr>
              <w:spacing w:after="0" w:line="240" w:lineRule="auto"/>
              <w:ind w:left="27"/>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1. Denumirea sau numele autorului şi, după caz, a/al participanţilor la elaborarea proiectului actului normativ</w:t>
            </w:r>
          </w:p>
        </w:tc>
      </w:tr>
      <w:tr w:rsidR="00645815" w:rsidRPr="007F23AE" w14:paraId="0C36EC79"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5D832BDF" w14:textId="739C67D7" w:rsidR="00645815" w:rsidRPr="00CD1F05" w:rsidRDefault="00CF5C96" w:rsidP="00E74109">
            <w:pPr>
              <w:spacing w:after="0" w:line="240" w:lineRule="auto"/>
              <w:ind w:firstLine="452"/>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Ministerul Agriculturii și Industriei Alimentare.</w:t>
            </w:r>
          </w:p>
        </w:tc>
      </w:tr>
      <w:tr w:rsidR="00645815" w:rsidRPr="007F23AE" w14:paraId="3E6CF677"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321A84FF"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2. Condiţiile ce au impus elaborarea proiectului actului normativ</w:t>
            </w:r>
          </w:p>
        </w:tc>
      </w:tr>
      <w:tr w:rsidR="00BA77A0" w:rsidRPr="007F23AE" w14:paraId="548760B7" w14:textId="77777777" w:rsidTr="00496F91">
        <w:trPr>
          <w:trHeight w:val="2086"/>
        </w:trPr>
        <w:tc>
          <w:tcPr>
            <w:tcW w:w="5000" w:type="pct"/>
            <w:tcBorders>
              <w:top w:val="single" w:sz="6" w:space="0" w:color="000000"/>
              <w:left w:val="single" w:sz="6" w:space="0" w:color="000000"/>
              <w:right w:val="single" w:sz="6" w:space="0" w:color="000000"/>
            </w:tcBorders>
            <w:shd w:val="clear" w:color="auto" w:fill="FFFFFF"/>
            <w:tcMar>
              <w:top w:w="24" w:type="dxa"/>
              <w:left w:w="48" w:type="dxa"/>
              <w:bottom w:w="24" w:type="dxa"/>
              <w:right w:w="48" w:type="dxa"/>
            </w:tcMar>
            <w:hideMark/>
          </w:tcPr>
          <w:p w14:paraId="2BCD6DA1" w14:textId="02F39162" w:rsidR="0090074A" w:rsidRPr="00CD1F05" w:rsidRDefault="00BA77A0" w:rsidP="0090074A">
            <w:pPr>
              <w:spacing w:after="0" w:line="240" w:lineRule="auto"/>
              <w:ind w:firstLine="452"/>
              <w:jc w:val="both"/>
              <w:rPr>
                <w:rFonts w:ascii="Times New Roman" w:eastAsia="Times New Roman" w:hAnsi="Times New Roman" w:cs="Times New Roman"/>
                <w:b/>
                <w:color w:val="000000"/>
                <w:sz w:val="24"/>
                <w:szCs w:val="24"/>
                <w:lang w:val="ro-MD" w:eastAsia="ru-RU"/>
              </w:rPr>
            </w:pPr>
            <w:r w:rsidRPr="00CD1F05">
              <w:rPr>
                <w:rFonts w:ascii="Times New Roman" w:eastAsia="Times New Roman" w:hAnsi="Times New Roman" w:cs="Times New Roman"/>
                <w:b/>
                <w:color w:val="000000"/>
                <w:sz w:val="24"/>
                <w:szCs w:val="24"/>
                <w:lang w:val="ro-MD" w:eastAsia="ru-RU"/>
              </w:rPr>
              <w:t>2.1. Temeiul legal sau, după caz, sursa proiectului actului normativ</w:t>
            </w:r>
          </w:p>
          <w:p w14:paraId="399D0C37" w14:textId="77777777" w:rsidR="00BA77A0" w:rsidRPr="00CD1F05" w:rsidRDefault="00BA77A0" w:rsidP="0029798C">
            <w:pPr>
              <w:spacing w:after="0" w:line="240" w:lineRule="auto"/>
              <w:ind w:firstLine="452"/>
              <w:jc w:val="both"/>
              <w:rPr>
                <w:rFonts w:ascii="Times New Roman" w:eastAsia="Times New Roman" w:hAnsi="Times New Roman" w:cs="Times New Roman"/>
                <w:b/>
                <w:color w:val="000000"/>
                <w:sz w:val="24"/>
                <w:szCs w:val="24"/>
                <w:lang w:val="ro-MD" w:eastAsia="ru-RU"/>
              </w:rPr>
            </w:pPr>
            <w:r w:rsidRPr="00CD1F05">
              <w:rPr>
                <w:rFonts w:ascii="Times New Roman" w:eastAsia="Times New Roman" w:hAnsi="Times New Roman" w:cs="Times New Roman"/>
                <w:b/>
                <w:color w:val="000000"/>
                <w:sz w:val="24"/>
                <w:szCs w:val="24"/>
                <w:lang w:val="ro-MD" w:eastAsia="ru-RU"/>
              </w:rPr>
              <w:t>2.2. Descrierea situaţiei actuale şi a problemelor care impun intervenţia, inclusiv a cadrului normativ aplicabil şi a deficienţelor/lacunelor normative</w:t>
            </w:r>
          </w:p>
          <w:p w14:paraId="6781360E" w14:textId="77777777" w:rsidR="00A60519" w:rsidRPr="00CD1F05" w:rsidRDefault="00A60519" w:rsidP="00A60519">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ultimii ani, au fost implementate multiple inițiative funcționale orientate spre facilitarea accesului producătorilor la piețe externe, creșterea competitivității produselor horticole și adoptarea tehnologiilor moderne. Aceste mecanisme, deja operaționale, riscă să fie marginalizate sau duplicate în mod ineficient prin crearea unei noi structuri.</w:t>
            </w:r>
          </w:p>
          <w:p w14:paraId="79BBAA85" w14:textId="77777777" w:rsidR="00ED0679" w:rsidRPr="00CD1F05" w:rsidRDefault="00177E4F" w:rsidP="00E202A7">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cadrul procesului de consultare a proiectului (Hotărârea Guvernului „Cu privire la înființarea Instituției Publice Oficiul Horticol”), au fost organizate ședințe de lucru și consultări cu reprezentanții asociațiilor sectoriale și ai mediului privat, inclusiv pe 8 aprilie 2026, în cadrul Ministerul Agriculturii și Industriei Alimentare. În urma acestor consultări, poziția exprimată de reprezentanții sectorului horticol a fost una constantă și unanimă de nesusținere a instituirii Oficiului Horticol.</w:t>
            </w:r>
          </w:p>
          <w:p w14:paraId="361AAE15" w14:textId="77777777" w:rsidR="00177E4F" w:rsidRPr="00CD1F05" w:rsidRDefault="00177E4F" w:rsidP="00E202A7">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Asociațiile de profil au comunicat în mod expres refuzul de a participa la constituirea noii entități și de a dobândi calitatea de membri ai acesteia. Totodată, participanții la procesul de consultare, cu excepția autorității inițiatoare, și-au exprimat dezacordul privind instituirea mecanismului de finanțare prin contribuții obligatorii din partea producătorilor și exportatorilor, considerând că o asemenea soluție ar genera sarcini financiare suplimentare nejustificate și nu oferă garanții suficiente privind beneficiile directe și proporționale pentru fiecare subsector.</w:t>
            </w:r>
          </w:p>
          <w:p w14:paraId="7F85AF1B" w14:textId="77777777" w:rsidR="00177E4F" w:rsidRPr="00CD1F05" w:rsidRDefault="00177E4F" w:rsidP="00E202A7">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cadrul consultărilor, reprezentanții sectorului au menționat că, deși instituirea Oficiului Horticol a fost susținută conceptual de o parte dintre asociații în anul 2025, în condițiile actuale inițiativa este apreciată drept depășită și neadaptată realităților sectorului. Potrivit poziției exprimate, în forma propusă, Oficiul Horticol este perceput ca un factor de diminuare a rolului asociațiilor profesionale, prin preluarea unor funcții similare celor deja exercitate de acestea, inclusiv în domeniul promovării, facilitării accesului la piețe și reprezentării intereselor producătorilor.</w:t>
            </w:r>
          </w:p>
          <w:p w14:paraId="47B89DD2" w14:textId="66D06059"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De asemenea, asociațiile au relevat că sectorul horticol este unul complex și diversificat din punct de vedere agroecologic, cu subsectori distincti (pomicultură, viticultură, legumicultură, bacifere și alte culturi specializate), fiecare având particularități tehnologice și economice specifice. În opinia acestora, integrarea tuturor subsectoarelor într-o singură structură instituțională nu ar permite reprezentarea echitabilă a intereselor fiecăruia și ar crea riscul unei competiții disproporționate între ramuri cu niveluri diferite de dezvoltare asociativă și capacitate economică.</w:t>
            </w:r>
          </w:p>
          <w:p w14:paraId="4B034BE1" w14:textId="33DFEEB0"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Totodată, reprezentanții sectorului au subliniat lipsa certitudinii că subsectorii care ar contribui în măsură mai mare la formarea bugetului Oficiului ar beneficia proporțional de servicii și suport, precum și dificultatea practică de asigurare a colectării contribuțiilor de la totalitatea producătorilor horticoli. În acest context, s-a apreciat că mecanismul propus prezintă riscuri de aplicabilitate și sustenabilitate financiară.</w:t>
            </w:r>
          </w:p>
          <w:p w14:paraId="630D1E1B" w14:textId="77777777"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cadrul consultărilor, asociațiile au recomandat ca resursele financiare prevăzute pentru constituirea și funcționarea Oficiului să fie redirecționate către consolidarea instrumentelor existente de sprijin, în special către politicile de subvenționare și măsurile de susținere directă a producătorilor. De asemenea, a fost subliniat că problemele structurale ale sectorului nu rezultă din lipsa unei entități instituționale distincte, ci din accesul limitat la resurse financiare, insuficiența proiectelor investiționale și necesitatea consolidării mecanismelor deja existente.</w:t>
            </w:r>
          </w:p>
          <w:p w14:paraId="6F0C8A63" w14:textId="2418FF54"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lastRenderedPageBreak/>
              <w:t>Suplimentar, participanții au evidențiat că o parte dintre atribuțiile preconizate pentru Oficiul Horticol se suprapun cu competențele unor instituții și structuri deja funcționale, precum Agenția Națională pentru Siguranța Alimentelor, Universitatea Tehnică a Moldovei, instituțiile de cercetare agricolă și rețeaua existentă de asociații profesionale. În opinia acestora, instituirea unei noi entități ar genera paralelisme instituționale, fragmentarea competențelor și riscuri de utilizare ineficientă a resurselor publice și private.</w:t>
            </w:r>
          </w:p>
          <w:p w14:paraId="7392745F" w14:textId="4F25DCF8"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concluzie, în baza consultărilor desfășurate și a avizelor prezentate de asociațiile de profil, s-a constatat lipsa consensului sectorului privind operaționalizarea Oficiului Horticol, precum și opoziția fermă față de instituirea unei structuri publice finanțate inclusiv din contribuții obligatorii ale mediului privat, ceea ce a determinat reconsiderarea oportunității menținerii cadrului normativ aferent acestei entități.</w:t>
            </w:r>
          </w:p>
        </w:tc>
      </w:tr>
      <w:tr w:rsidR="00645815" w:rsidRPr="007F23AE" w14:paraId="6212776D"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68961E3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lastRenderedPageBreak/>
              <w:t>3. Obiectivele urmărite şi soluţiile propuse</w:t>
            </w:r>
          </w:p>
        </w:tc>
      </w:tr>
      <w:tr w:rsidR="00645815" w:rsidRPr="007F23AE" w14:paraId="46E2C4DF"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797C8110" w14:textId="77777777" w:rsidR="00645815" w:rsidRPr="00CD1F05" w:rsidRDefault="00645815" w:rsidP="006A298B">
            <w:pPr>
              <w:spacing w:after="0" w:line="240" w:lineRule="auto"/>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3.1. Principalele prevederi ale proiectului şi evidenţierea elementelor noi</w:t>
            </w:r>
          </w:p>
          <w:p w14:paraId="1636BB12" w14:textId="77777777" w:rsidR="009E5114" w:rsidRPr="00CD1F05" w:rsidRDefault="00417036" w:rsidP="00417036">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Principalele prevederi ale proiectului constau în abrogarea articolelor 6–8 din Legea horticulturii nr. 62/2025, care reglementează cadrul juridic privind instituirea, organizarea, funcționarea și finanțarea Oficiului Horticol.</w:t>
            </w:r>
          </w:p>
          <w:p w14:paraId="2B9F2B7C" w14:textId="66540929"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acest sens, proiectul prevede excluderea dispozițiilor referitoare la statutul Oficiului Horticol în calitate de instituție publică în care Ministerul Agriculturii și Industriei Alimentare exercită funcția de fondator, precum și a normelor ce reglementează atribuțiile acesteia în domeniul promovării produselor horticole, efectuării analizelor sectoriale și cercetărilor de piață, monitorizării potențialului de producere, implementării proiectelor și programelor de dezvoltare, administrării registrului horticol și evidenței contribuțiilor obligatorii ale producătorilor și exportatorilor de produse horticole.</w:t>
            </w:r>
          </w:p>
          <w:p w14:paraId="75C8649A" w14:textId="0A577B3C"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Totodată, proiectul exclude normele ce reglementează structura de conducere a Oficiului Horticol, inclusiv competențele Consiliului de coordonare și ale directorului, modul de constituire și funcționare a organelor de conducere, precum și aspectele aferente administrării activității executive a instituției.</w:t>
            </w:r>
          </w:p>
          <w:p w14:paraId="5947D773" w14:textId="1105EFCE"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De asemenea, se propune abrogarea integrală a mecanismului de finanțare a Oficiului Horticol, inclusiv a prevederilor privind stabilirea și perceperea contribuțiilor obligatorii ale producătorilor și exportatorilor de produse horticole, administrarea acestora de către Serviciul Fiscal de Stat, aplicarea penalităților pentru neachitare, precum și utilizarea mijloacelor financiare acumulate.</w:t>
            </w:r>
          </w:p>
          <w:p w14:paraId="49137C23" w14:textId="77777777"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Elementul de noutate al proiectului rezidă în excluderea cadrului normativ aferent constituirii unei entități publice distincte în sectorul horticol și în menținerea realizării politicilor publice sectoriale prin intermediul autorităților și instituțiilor publice competente existente, în vederea evitării suprapunerii atribuțiilor administrative și a instituirii unor obligații financiare suplimentare în sarcina producătorilor și exportatorilor de produse horticole.</w:t>
            </w:r>
          </w:p>
          <w:p w14:paraId="6F5B6AFF" w14:textId="77777777" w:rsidR="00BE746A" w:rsidRPr="00CD1F05" w:rsidRDefault="00BE746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Ca element nou al proiectului, se propune completarea actului normativ cu un articol distinct privind punerea pe rod și recepționarea plantațiilor horticole, care reglementează expres criteriile de stabilire a termenului intrării pe rod a plantațiilor, în funcție de sistemul de cultură, gradul de creștere al portaltoiului și al soiului, precum și tipul materialului săditor utilizat. Totodată, articolul stabilește că punerea pe rod și recepționarea plantațiilor horticole în primul an de vegetație se va realiza în conformitate cu regulamentele aprobate de Guvern.</w:t>
            </w:r>
          </w:p>
          <w:p w14:paraId="7CBE54A5" w14:textId="063C6E1D" w:rsidR="003D773F" w:rsidRPr="00CD1F05" w:rsidRDefault="003D773F" w:rsidP="003D773F">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Introducerea articolului privind punerea pe rod și recepționarea plantațiilor horticole are drept scop ajustarea cadrului normativ la condițiile actuale de producere și sprijinirea producătorilor agricoli în valorificarea eficientă a investițiilor realizate în sectorul horticol.</w:t>
            </w:r>
          </w:p>
          <w:p w14:paraId="32F6F35B" w14:textId="2CC24989" w:rsidR="00356117" w:rsidRPr="00CD1F05" w:rsidRDefault="003D773F" w:rsidP="003D773F">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Această modificare va contribui la asigurarea unei evidențe contabile corecte a producției obținute, va facilita comercializarea legală a fructelor recoltate înainte de atingerea intrării depline pe rod și va oferi fermierilor posibilitatea de a genera venituri într-o etapă mai timpurie, favorizând recuperarea investițiilor și creșterea sustenabilității economice a exploatațiilor horticole.</w:t>
            </w:r>
          </w:p>
        </w:tc>
      </w:tr>
      <w:tr w:rsidR="00645815" w:rsidRPr="007F23AE" w14:paraId="3EAD9EB8"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04A77E8D" w14:textId="77777777" w:rsidR="00F16D65" w:rsidRPr="00CD1F05" w:rsidRDefault="00645815" w:rsidP="00403A9E">
            <w:pPr>
              <w:spacing w:after="0" w:line="240" w:lineRule="auto"/>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3.2. Opţiunile alternative analizate şi motivele pentru care acestea nu au fost luate în considerare</w:t>
            </w:r>
          </w:p>
          <w:p w14:paraId="580EE037" w14:textId="40F008D5"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 xml:space="preserve">În procesul de elaborare a proiectului au fost analizate opțiuni alternative, inclusiv menținerea prevederilor legale privind instituirea și funcționarea Oficiul Horticol, precum și ajustarea modelului </w:t>
            </w:r>
            <w:r w:rsidRPr="00CD1F05">
              <w:rPr>
                <w:rFonts w:ascii="Times New Roman" w:eastAsia="Times New Roman" w:hAnsi="Times New Roman" w:cs="Times New Roman"/>
                <w:color w:val="000000"/>
                <w:sz w:val="24"/>
                <w:szCs w:val="24"/>
                <w:lang w:val="ro-MD" w:eastAsia="ru-RU"/>
              </w:rPr>
              <w:lastRenderedPageBreak/>
              <w:t>instituțional propus prin redefinirea atribuțiilor, structurii organizatorice și mecanismului de finanțare al acestei entități.</w:t>
            </w:r>
          </w:p>
          <w:p w14:paraId="526A43AB" w14:textId="4B7EDD4C"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Totodată, a fost examinată opțiunea operaționalizării Oficiului Horticol într-o formulă reorganizată, cu limitarea competențelor și revizuirea mecanismului de colectare a contribuțiilor obligatorii din partea producătorilor și exportatorilor de produse horticole.</w:t>
            </w:r>
          </w:p>
          <w:p w14:paraId="1232B745" w14:textId="51B2CDAA" w:rsidR="00403A9E"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Aceste opțiuni nu au fost reținute, întrucât ar menține instituirea unei structuri administrative distincte, cu atribuții care se suprapun parțial peste competențele autorităților publice și instituțiilor deja existente, generând riscuri de dublare a funcțiilor administrative și de utilizare ineficientă a resurselor publice. De asemenea, menținerea cadrului normativ aferent Oficiului Horticol ar presupune păstrarea obligațiilor financiare suplimentare pentru agenții economici din sector, fără a fi demonstrată necesitatea obiectivă a unei astfel de entități în contextul actual de organizare a sectorului horticol.</w:t>
            </w:r>
          </w:p>
        </w:tc>
      </w:tr>
      <w:tr w:rsidR="00645815" w:rsidRPr="00645815" w14:paraId="3DCA0146"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25AECBB7"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lastRenderedPageBreak/>
              <w:t>4. Analiza impactului de reglementare</w:t>
            </w:r>
          </w:p>
        </w:tc>
      </w:tr>
      <w:tr w:rsidR="00645815" w:rsidRPr="007F23AE" w14:paraId="1774FCF9"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099FB373" w14:textId="77777777" w:rsidR="00FF7FEA" w:rsidRPr="00CD1F05" w:rsidRDefault="00645815" w:rsidP="00FF7FEA">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4.1. Impactul asupra sectorului public</w:t>
            </w:r>
          </w:p>
          <w:p w14:paraId="05FD6D22" w14:textId="65F393D1"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Proiectul nu implică instituirea unor noi autorități administrative și nu presupune extinderea competențelor funcționale ale autorităților publice existente. Prin excluderea cadrului normativ aferent Oficiul Horticol, se elimină necesitatea constituirii și finanțării unei instituții publice distincte, precum și a structurilor de conducere și administrare aferente acesteia.</w:t>
            </w:r>
          </w:p>
          <w:p w14:paraId="4C7AA652" w14:textId="77777777" w:rsidR="001941ED"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Impactul asupra sectorului public constă în evitarea alocării resurselor bugetare pentru organizarea și funcționarea unei noi entități instituționale, inclusiv pentru cheltuieli administrative, salarizare, infrastructură și activități operaționale. Totodată, se previne instituirea unor mecanisme suplimentare de administrare și control în sarcina autorităților publice implicate, inclusiv a Serviciul Fiscal de Stat, în ceea ce privește evidența și administrarea contribuțiilor obligatorii.</w:t>
            </w:r>
          </w:p>
          <w:p w14:paraId="77B936B7" w14:textId="6900BD61"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Prin urmare, proiectul nu are un impact asupra sectorului public, menținându-se cadrul instituțional existent și evitarea creării unor structuri suplimentare care ar genera cheltuieli și sarcini administrative adiționale.</w:t>
            </w:r>
          </w:p>
        </w:tc>
      </w:tr>
      <w:tr w:rsidR="00645815" w:rsidRPr="007F23AE" w14:paraId="55F45CEB"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7E19A4E9"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4.2. Impactul financiar şi argumentarea costurilor estimative</w:t>
            </w:r>
          </w:p>
          <w:p w14:paraId="7DFBFE77" w14:textId="0461470F"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Proiectul nu generează impact financiar asupra bugetului public național, întrucât are ca obiect abrogarea prevederilor legale referitoare la Oficiul Horticol și, implicit, excluderea cadrului normativ necesar instituirii și funcționării acestei entități.</w:t>
            </w:r>
          </w:p>
          <w:p w14:paraId="7FD68880" w14:textId="65FD623E"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Prin neimplementarea mecanismului instituțional prevăzut de articolele abrogate, se evită alocarea mijloacelor financiare de la bugetul de stat destinate finanțării activității Oficiului Horticol, inclusiv cheltuielile aferente organizării administrative, remunerării personalului, întreținerii infrastructurii și realizării atribuțiilor funcționale.</w:t>
            </w:r>
          </w:p>
          <w:p w14:paraId="74B0BE24" w14:textId="4F459BB2" w:rsidR="00743138" w:rsidRPr="00CD1F05" w:rsidRDefault="00743138" w:rsidP="00B654C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Totodată, proiectul exclude aplicarea mecanismului de cofinanțare din bugetul de stat, prevăzut în cuantum egal cu contribuțiile obligatorii ale producătorilor și exportatorilor de produse horticole, ceea ce elimină eventualele obligații financiare suplimentare pentru sectorul public.</w:t>
            </w:r>
          </w:p>
          <w:p w14:paraId="369A3BC9" w14:textId="3B7B5806" w:rsidR="00FF7FEA"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Prin urmare, adoptarea proiectului nu implică cheltuieli bugetare suplimentare, iar efectul financiar estimat constă în evitarea angajării resurselor publice pentru crearea și funcționarea unei instituții publice distincte.</w:t>
            </w:r>
          </w:p>
        </w:tc>
      </w:tr>
      <w:tr w:rsidR="00645815" w:rsidRPr="007F23AE" w14:paraId="7DE5654A" w14:textId="77777777" w:rsidTr="00496F91">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1A9D877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4.3. Impactul asupra sectorului privat</w:t>
            </w:r>
          </w:p>
          <w:p w14:paraId="4B0F4C5D" w14:textId="40AF10AC"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Proiectul are un impact favorabil asupra sectorului privat, prin eliminarea cadrului normativ care prevedea instituirea Oficiul Horticol și aplicarea contribuțiilor obligatorii în sarcina producătorilor și exportatorilor de produse horticole.</w:t>
            </w:r>
          </w:p>
          <w:p w14:paraId="5DD9E584" w14:textId="2D8F2188"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Prin abrogarea dispozițiilor respective, se exclude instituirea unor obligații financiare suplimentare pentru operatorii economici din sectorul horticol, inclusiv obligația de calculare, declarare și achitare a contribuțiilor obligatorii, precum și riscul aplicării penalităților pentru neachitarea acestora.</w:t>
            </w:r>
          </w:p>
          <w:p w14:paraId="3AD19C39" w14:textId="7183BEC4"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Totodată, proiectul contribuie la reducerea sarcinilor administrative asupra mediului de afaceri, prin eliminarea obligațiilor de raportare și conformare asociate mecanismului de administrare a contribuțiilor și interacțiunii cu autoritățile responsabile de colectarea acestora.</w:t>
            </w:r>
          </w:p>
          <w:p w14:paraId="28632093" w14:textId="166314BF" w:rsidR="009F5BA3"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lastRenderedPageBreak/>
              <w:t>Astfel, proiectul susține menținerea unui cadru de reglementare mai puțin împovărător pentru sectorul privat, evitând instituirea unor costuri suplimentare și a unor obligații administrative care ar fi afectat activitatea producătorilor și exportatorilor de produse horticole.</w:t>
            </w:r>
          </w:p>
        </w:tc>
      </w:tr>
      <w:tr w:rsidR="00645815" w:rsidRPr="007F23AE" w14:paraId="78353814" w14:textId="77777777" w:rsidTr="00496F91">
        <w:trPr>
          <w:trHeight w:val="72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646BC96F"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lastRenderedPageBreak/>
              <w:t>4.4. Impactul social</w:t>
            </w:r>
          </w:p>
          <w:p w14:paraId="161B836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4.4.1. Impactul asupra datelor cu caracter personal</w:t>
            </w:r>
          </w:p>
          <w:p w14:paraId="1C5F6193" w14:textId="77777777" w:rsidR="00CC63E1" w:rsidRPr="00CD1F05" w:rsidRDefault="00CC63E1" w:rsidP="00645B29">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Toate procesele de colectare și prelucrare a datelor vor fi conformate cu legislația națională</w:t>
            </w:r>
          </w:p>
          <w:p w14:paraId="122EF782" w14:textId="77777777" w:rsidR="00645815" w:rsidRPr="00CD1F05" w:rsidRDefault="00645815" w:rsidP="00645B29">
            <w:pPr>
              <w:spacing w:after="0" w:line="240" w:lineRule="auto"/>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4.4.2. Impactul asupra echităţii şi egalităţii de gen</w:t>
            </w:r>
          </w:p>
          <w:p w14:paraId="2ED9E50F" w14:textId="77777777" w:rsidR="00F91EB9" w:rsidRPr="00CD1F05" w:rsidRDefault="00746F55" w:rsidP="00645B29">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62D23DA4"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2CB549FB"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4.5. Impactul asupra mediului</w:t>
            </w:r>
          </w:p>
          <w:p w14:paraId="41E3FF9F" w14:textId="77777777" w:rsidR="00F91EB9" w:rsidRPr="00CD1F05" w:rsidRDefault="00746F55" w:rsidP="00645B29">
            <w:pPr>
              <w:spacing w:after="0" w:line="240" w:lineRule="auto"/>
              <w:ind w:firstLine="452"/>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77C3DB4E"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3693B656"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4.6. Alte impacturi şi informaţi</w:t>
            </w:r>
            <w:r w:rsidR="00F91EB9" w:rsidRPr="00CD1F05">
              <w:rPr>
                <w:rFonts w:ascii="Times New Roman" w:eastAsia="Times New Roman" w:hAnsi="Times New Roman" w:cs="Times New Roman"/>
                <w:color w:val="000000"/>
                <w:sz w:val="24"/>
                <w:szCs w:val="24"/>
                <w:lang w:val="ro-MD" w:eastAsia="ru-RU"/>
              </w:rPr>
              <w:t>e</w:t>
            </w:r>
            <w:r w:rsidRPr="00CD1F05">
              <w:rPr>
                <w:rFonts w:ascii="Times New Roman" w:eastAsia="Times New Roman" w:hAnsi="Times New Roman" w:cs="Times New Roman"/>
                <w:color w:val="000000"/>
                <w:sz w:val="24"/>
                <w:szCs w:val="24"/>
                <w:lang w:val="ro-MD" w:eastAsia="ru-RU"/>
              </w:rPr>
              <w:t>i relevante</w:t>
            </w:r>
          </w:p>
          <w:p w14:paraId="5BC6E173" w14:textId="5D5F49B2" w:rsidR="00F91EB9" w:rsidRPr="00CD1F05" w:rsidRDefault="004A54F9" w:rsidP="002854BD">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22DD8C66" w14:textId="77777777" w:rsidTr="00496F91">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2FC13A12"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5. Compatibilitatea proiectului actului normativ cu legislaţia UE</w:t>
            </w:r>
          </w:p>
        </w:tc>
      </w:tr>
      <w:tr w:rsidR="00645815" w:rsidRPr="007F23AE" w14:paraId="26A4EAD5" w14:textId="77777777" w:rsidTr="00496F91">
        <w:trPr>
          <w:trHeight w:val="475"/>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285FDFF3"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5.1. Măsuri normative necesare pentru transpunerea actelor juridice ale UE în legislaţia naţională</w:t>
            </w:r>
          </w:p>
          <w:p w14:paraId="011F3E47" w14:textId="77777777" w:rsidR="0039360E" w:rsidRPr="00CD1F05" w:rsidRDefault="00746F5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56D066CC"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1FD1BA55"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5.2. Măsuri normative care urmăresc crearea cadrului juridic intern necesar pentru implementarea legislaţiei UE</w:t>
            </w:r>
          </w:p>
          <w:p w14:paraId="4BE622C3" w14:textId="77777777" w:rsidR="00221596" w:rsidRPr="00CD1F05" w:rsidRDefault="00746F5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0AF24F03" w14:textId="77777777" w:rsidTr="00496F91">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14047B13"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6. Avizarea şi consultarea publică a proiectului actului normativ</w:t>
            </w:r>
          </w:p>
        </w:tc>
      </w:tr>
      <w:tr w:rsidR="00645815" w:rsidRPr="007F23AE" w14:paraId="03373A92"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3FC5566A" w14:textId="77777777" w:rsidR="008A677B" w:rsidRDefault="008A677B" w:rsidP="00BC44BE">
            <w:pPr>
              <w:spacing w:after="0" w:line="240" w:lineRule="auto"/>
              <w:ind w:firstLine="452"/>
              <w:rPr>
                <w:rFonts w:ascii="Times New Roman" w:hAnsi="Times New Roman" w:cs="Times New Roman"/>
                <w:sz w:val="24"/>
                <w:szCs w:val="24"/>
              </w:rPr>
            </w:pPr>
            <w:r w:rsidRPr="008A677B">
              <w:rPr>
                <w:rFonts w:ascii="Times New Roman" w:hAnsi="Times New Roman" w:cs="Times New Roman"/>
                <w:sz w:val="24"/>
                <w:szCs w:val="24"/>
              </w:rPr>
              <w:t>Întru asigurarea transparenței procesului decizional, conform prevederilor art.10 și art.11 din Legea nr.239/2008 privind transparența în procesul decizional, Proiectul și Nota de Fundamentare au fost plasate pentru consultări publice pe pagina web particip.gov.md:</w:t>
            </w:r>
          </w:p>
          <w:p w14:paraId="2859419F" w14:textId="1090E79E" w:rsidR="00645815" w:rsidRPr="00CD1F05" w:rsidRDefault="00974EB5" w:rsidP="00BC44BE">
            <w:pPr>
              <w:spacing w:after="0" w:line="240" w:lineRule="auto"/>
              <w:ind w:firstLine="452"/>
              <w:rPr>
                <w:rFonts w:ascii="Times New Roman" w:hAnsi="Times New Roman" w:cs="Times New Roman"/>
                <w:sz w:val="24"/>
                <w:szCs w:val="24"/>
              </w:rPr>
            </w:pPr>
            <w:r w:rsidRPr="00CD1F05">
              <w:rPr>
                <w:rFonts w:ascii="Times New Roman" w:hAnsi="Times New Roman" w:cs="Times New Roman"/>
                <w:sz w:val="24"/>
                <w:szCs w:val="24"/>
              </w:rPr>
              <w:t>https://particip.g</w:t>
            </w:r>
            <w:bookmarkStart w:id="0" w:name="_GoBack"/>
            <w:bookmarkEnd w:id="0"/>
            <w:r w:rsidRPr="00CD1F05">
              <w:rPr>
                <w:rFonts w:ascii="Times New Roman" w:hAnsi="Times New Roman" w:cs="Times New Roman"/>
                <w:sz w:val="24"/>
                <w:szCs w:val="24"/>
              </w:rPr>
              <w:t>ov.md/ro/document/stages/*/16669</w:t>
            </w:r>
          </w:p>
        </w:tc>
      </w:tr>
      <w:tr w:rsidR="00645815" w:rsidRPr="00645815" w14:paraId="2A5B4D31"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78CEA34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7. Concluziile expertizelor</w:t>
            </w:r>
          </w:p>
        </w:tc>
      </w:tr>
      <w:tr w:rsidR="00645815" w:rsidRPr="00645815" w14:paraId="08BA9BC3"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0BAD0C39" w14:textId="7B5ECD2B" w:rsidR="007A5767" w:rsidRPr="00CD1F05" w:rsidRDefault="006B31E2" w:rsidP="007A5767">
            <w:pPr>
              <w:spacing w:after="0"/>
              <w:ind w:firstLine="528"/>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În temeiul art.36 și 37 din Legea nr.100/2017 cu privire la actele normative, proiectul urmează să fie supus expertizei anticorupție efectuată de către Centrul Național Anticorupție și expertizei juridice efectuată de către Ministerul Justiției.</w:t>
            </w:r>
          </w:p>
        </w:tc>
      </w:tr>
      <w:tr w:rsidR="00645815" w:rsidRPr="007F23AE" w14:paraId="7403FE7A"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79F62C07"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8. Modul de încorporare a actului în cadrul normativ existent</w:t>
            </w:r>
          </w:p>
        </w:tc>
      </w:tr>
      <w:tr w:rsidR="00645815" w:rsidRPr="007F23AE" w14:paraId="254C82A3"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58468AED" w14:textId="3D9E88A6" w:rsidR="00BE746A" w:rsidRPr="00CD1F05" w:rsidRDefault="00E74109" w:rsidP="00F56DE5">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 xml:space="preserve">Proiectul se încorporează în cadrul normativ existent, iar </w:t>
            </w:r>
            <w:r w:rsidR="00F56DE5">
              <w:rPr>
                <w:rFonts w:ascii="Times New Roman" w:eastAsia="Times New Roman" w:hAnsi="Times New Roman" w:cs="Times New Roman"/>
                <w:color w:val="000000"/>
                <w:sz w:val="24"/>
                <w:szCs w:val="24"/>
                <w:lang w:eastAsia="ru-RU"/>
              </w:rPr>
              <w:t>aprobare</w:t>
            </w:r>
            <w:r w:rsidRPr="00CD1F05">
              <w:rPr>
                <w:rFonts w:ascii="Times New Roman" w:eastAsia="Times New Roman" w:hAnsi="Times New Roman" w:cs="Times New Roman"/>
                <w:color w:val="000000"/>
                <w:sz w:val="24"/>
                <w:szCs w:val="24"/>
                <w:lang w:eastAsia="ru-RU"/>
              </w:rPr>
              <w:t>a acestuia nu va implica modificarea sau abrogarea unor acte normative.</w:t>
            </w:r>
          </w:p>
        </w:tc>
      </w:tr>
      <w:tr w:rsidR="00645815" w:rsidRPr="007F23AE" w14:paraId="3F501460"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033C6735"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b/>
                <w:bCs/>
                <w:color w:val="000000"/>
                <w:sz w:val="24"/>
                <w:szCs w:val="24"/>
                <w:lang w:eastAsia="ru-RU"/>
              </w:rPr>
              <w:t>9. Măsurile necesare pentru implementarea prevederilor proiectului actului normativ</w:t>
            </w:r>
          </w:p>
        </w:tc>
      </w:tr>
      <w:tr w:rsidR="00645815" w:rsidRPr="007F23AE" w14:paraId="2A168746"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7E2A8296" w14:textId="77777777" w:rsidR="00C361E2" w:rsidRPr="00CD1F05" w:rsidRDefault="00C361E2" w:rsidP="00E74109">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Implementarea proiectului va fi asigurată de Agenția de Intervenție și Plăți pentru Agricultură.</w:t>
            </w:r>
          </w:p>
          <w:p w14:paraId="3FE0B1EC" w14:textId="77777777" w:rsidR="00AE0809" w:rsidRPr="00CD1F05" w:rsidRDefault="00C361E2" w:rsidP="00C361E2">
            <w:pPr>
              <w:spacing w:after="0" w:line="240" w:lineRule="auto"/>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val="ro-MD" w:eastAsia="ru-RU"/>
              </w:rPr>
              <w:t>Intervenția propusă nu necesită schimbări instituționale, precum și modificarea cadrului normativ existent</w:t>
            </w:r>
            <w:r w:rsidRPr="00CD1F05">
              <w:rPr>
                <w:rFonts w:ascii="Times New Roman" w:eastAsia="Times New Roman" w:hAnsi="Times New Roman" w:cs="Times New Roman"/>
                <w:color w:val="000000"/>
                <w:sz w:val="24"/>
                <w:szCs w:val="24"/>
                <w:lang w:eastAsia="ru-RU"/>
              </w:rPr>
              <w:t>.</w:t>
            </w:r>
          </w:p>
        </w:tc>
      </w:tr>
    </w:tbl>
    <w:p w14:paraId="1E8BF8FF" w14:textId="77777777" w:rsidR="00746F55" w:rsidRDefault="00840CFE" w:rsidP="00840CFE">
      <w:pPr>
        <w:tabs>
          <w:tab w:val="left" w:pos="3780"/>
        </w:tabs>
        <w:rPr>
          <w:rFonts w:ascii="Times New Roman" w:hAnsi="Times New Roman" w:cs="Times New Roman"/>
          <w:sz w:val="24"/>
          <w:szCs w:val="24"/>
          <w:lang w:val="en-US"/>
        </w:rPr>
      </w:pPr>
      <w:r>
        <w:rPr>
          <w:rFonts w:ascii="Times New Roman" w:hAnsi="Times New Roman" w:cs="Times New Roman"/>
          <w:sz w:val="24"/>
          <w:szCs w:val="24"/>
          <w:lang w:val="en-US"/>
        </w:rPr>
        <w:tab/>
      </w:r>
    </w:p>
    <w:p w14:paraId="3678CDDB" w14:textId="77777777" w:rsidR="00CD1F05" w:rsidRDefault="00CD1F05" w:rsidP="00CD1F05">
      <w:pPr>
        <w:ind w:hanging="142"/>
        <w:rPr>
          <w:rFonts w:ascii="Times New Roman" w:hAnsi="Times New Roman" w:cs="Times New Roman"/>
          <w:b/>
          <w:sz w:val="28"/>
          <w:szCs w:val="28"/>
        </w:rPr>
      </w:pPr>
    </w:p>
    <w:p w14:paraId="7ADC0DB9" w14:textId="7A9A5B57" w:rsidR="00746F55" w:rsidRPr="00831E4E" w:rsidRDefault="001548E8" w:rsidP="001548E8">
      <w:pPr>
        <w:rPr>
          <w:rFonts w:ascii="Times New Roman" w:hAnsi="Times New Roman" w:cs="Times New Roman"/>
          <w:sz w:val="28"/>
          <w:szCs w:val="28"/>
          <w:lang w:val="en-US"/>
        </w:rPr>
      </w:pPr>
      <w:r w:rsidRPr="001548E8">
        <w:rPr>
          <w:rFonts w:ascii="Times New Roman" w:hAnsi="Times New Roman" w:cs="Times New Roman"/>
          <w:b/>
          <w:sz w:val="28"/>
          <w:szCs w:val="28"/>
        </w:rPr>
        <w:t>Secretar de stat</w:t>
      </w:r>
      <w:r w:rsidR="00831E4E">
        <w:rPr>
          <w:rFonts w:ascii="Times New Roman" w:hAnsi="Times New Roman" w:cs="Times New Roman"/>
          <w:b/>
          <w:sz w:val="28"/>
          <w:szCs w:val="28"/>
        </w:rPr>
        <w:tab/>
      </w:r>
      <w:r w:rsidR="00831E4E">
        <w:rPr>
          <w:rFonts w:ascii="Times New Roman" w:hAnsi="Times New Roman" w:cs="Times New Roman"/>
          <w:b/>
          <w:sz w:val="28"/>
          <w:szCs w:val="28"/>
        </w:rPr>
        <w:tab/>
      </w:r>
      <w:r w:rsidR="00831E4E">
        <w:rPr>
          <w:rFonts w:ascii="Times New Roman" w:hAnsi="Times New Roman" w:cs="Times New Roman"/>
          <w:b/>
          <w:sz w:val="28"/>
          <w:szCs w:val="28"/>
        </w:rPr>
        <w:tab/>
      </w:r>
      <w:r w:rsidR="00BC44BE">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CD1F05">
        <w:rPr>
          <w:rFonts w:ascii="Times New Roman" w:hAnsi="Times New Roman" w:cs="Times New Roman"/>
          <w:b/>
          <w:sz w:val="28"/>
          <w:szCs w:val="28"/>
        </w:rPr>
        <w:t xml:space="preserve">     </w:t>
      </w:r>
      <w:r w:rsidRPr="001548E8">
        <w:rPr>
          <w:rFonts w:ascii="Times New Roman" w:hAnsi="Times New Roman" w:cs="Times New Roman"/>
          <w:b/>
          <w:sz w:val="28"/>
          <w:szCs w:val="28"/>
        </w:rPr>
        <w:t xml:space="preserve">Vasile ȘARBAN </w:t>
      </w:r>
    </w:p>
    <w:p w14:paraId="3EFD3253" w14:textId="77777777" w:rsidR="007204D3" w:rsidRPr="00831E4E" w:rsidRDefault="007204D3">
      <w:pPr>
        <w:tabs>
          <w:tab w:val="left" w:pos="3780"/>
        </w:tabs>
        <w:rPr>
          <w:rFonts w:ascii="Times New Roman" w:hAnsi="Times New Roman" w:cs="Times New Roman"/>
          <w:sz w:val="28"/>
          <w:szCs w:val="28"/>
          <w:lang w:val="en-US"/>
        </w:rPr>
      </w:pPr>
    </w:p>
    <w:sectPr w:rsidR="007204D3" w:rsidRPr="00831E4E" w:rsidSect="001231D8">
      <w:pgSz w:w="11906" w:h="16838"/>
      <w:pgMar w:top="1134" w:right="964" w:bottom="1134" w:left="181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023E5" w14:textId="77777777" w:rsidR="000D5F5C" w:rsidRDefault="000D5F5C" w:rsidP="00D80DCA">
      <w:pPr>
        <w:spacing w:after="0" w:line="240" w:lineRule="auto"/>
      </w:pPr>
      <w:r>
        <w:separator/>
      </w:r>
    </w:p>
  </w:endnote>
  <w:endnote w:type="continuationSeparator" w:id="0">
    <w:p w14:paraId="23D4B715" w14:textId="77777777" w:rsidR="000D5F5C" w:rsidRDefault="000D5F5C" w:rsidP="00D8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74EEF" w14:textId="77777777" w:rsidR="000D5F5C" w:rsidRDefault="000D5F5C" w:rsidP="00D80DCA">
      <w:pPr>
        <w:spacing w:after="0" w:line="240" w:lineRule="auto"/>
      </w:pPr>
      <w:r>
        <w:separator/>
      </w:r>
    </w:p>
  </w:footnote>
  <w:footnote w:type="continuationSeparator" w:id="0">
    <w:p w14:paraId="2A7ABB48" w14:textId="77777777" w:rsidR="000D5F5C" w:rsidRDefault="000D5F5C" w:rsidP="00D80D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F032A"/>
    <w:multiLevelType w:val="hybridMultilevel"/>
    <w:tmpl w:val="FE2C66D2"/>
    <w:lvl w:ilvl="0" w:tplc="3600FBE6">
      <w:start w:val="3"/>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nsid w:val="1F460636"/>
    <w:multiLevelType w:val="multilevel"/>
    <w:tmpl w:val="FC88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C403CB"/>
    <w:multiLevelType w:val="hybridMultilevel"/>
    <w:tmpl w:val="D430DBD6"/>
    <w:lvl w:ilvl="0" w:tplc="463CFC3E">
      <w:start w:val="3"/>
      <w:numFmt w:val="bullet"/>
      <w:lvlText w:val="-"/>
      <w:lvlJc w:val="left"/>
      <w:pPr>
        <w:ind w:left="1114" w:hanging="360"/>
      </w:pPr>
      <w:rPr>
        <w:rFonts w:ascii="Times New Roman" w:eastAsia="Times New Roman" w:hAnsi="Times New Roman" w:cs="Times New Roman" w:hint="default"/>
      </w:rPr>
    </w:lvl>
    <w:lvl w:ilvl="1" w:tplc="04180003" w:tentative="1">
      <w:start w:val="1"/>
      <w:numFmt w:val="bullet"/>
      <w:lvlText w:val="o"/>
      <w:lvlJc w:val="left"/>
      <w:pPr>
        <w:ind w:left="1834" w:hanging="360"/>
      </w:pPr>
      <w:rPr>
        <w:rFonts w:ascii="Courier New" w:hAnsi="Courier New" w:cs="Courier New" w:hint="default"/>
      </w:rPr>
    </w:lvl>
    <w:lvl w:ilvl="2" w:tplc="04180005" w:tentative="1">
      <w:start w:val="1"/>
      <w:numFmt w:val="bullet"/>
      <w:lvlText w:val=""/>
      <w:lvlJc w:val="left"/>
      <w:pPr>
        <w:ind w:left="2554" w:hanging="360"/>
      </w:pPr>
      <w:rPr>
        <w:rFonts w:ascii="Wingdings" w:hAnsi="Wingdings" w:hint="default"/>
      </w:rPr>
    </w:lvl>
    <w:lvl w:ilvl="3" w:tplc="04180001" w:tentative="1">
      <w:start w:val="1"/>
      <w:numFmt w:val="bullet"/>
      <w:lvlText w:val=""/>
      <w:lvlJc w:val="left"/>
      <w:pPr>
        <w:ind w:left="3274" w:hanging="360"/>
      </w:pPr>
      <w:rPr>
        <w:rFonts w:ascii="Symbol" w:hAnsi="Symbol" w:hint="default"/>
      </w:rPr>
    </w:lvl>
    <w:lvl w:ilvl="4" w:tplc="04180003" w:tentative="1">
      <w:start w:val="1"/>
      <w:numFmt w:val="bullet"/>
      <w:lvlText w:val="o"/>
      <w:lvlJc w:val="left"/>
      <w:pPr>
        <w:ind w:left="3994" w:hanging="360"/>
      </w:pPr>
      <w:rPr>
        <w:rFonts w:ascii="Courier New" w:hAnsi="Courier New" w:cs="Courier New" w:hint="default"/>
      </w:rPr>
    </w:lvl>
    <w:lvl w:ilvl="5" w:tplc="04180005" w:tentative="1">
      <w:start w:val="1"/>
      <w:numFmt w:val="bullet"/>
      <w:lvlText w:val=""/>
      <w:lvlJc w:val="left"/>
      <w:pPr>
        <w:ind w:left="4714" w:hanging="360"/>
      </w:pPr>
      <w:rPr>
        <w:rFonts w:ascii="Wingdings" w:hAnsi="Wingdings" w:hint="default"/>
      </w:rPr>
    </w:lvl>
    <w:lvl w:ilvl="6" w:tplc="04180001" w:tentative="1">
      <w:start w:val="1"/>
      <w:numFmt w:val="bullet"/>
      <w:lvlText w:val=""/>
      <w:lvlJc w:val="left"/>
      <w:pPr>
        <w:ind w:left="5434" w:hanging="360"/>
      </w:pPr>
      <w:rPr>
        <w:rFonts w:ascii="Symbol" w:hAnsi="Symbol" w:hint="default"/>
      </w:rPr>
    </w:lvl>
    <w:lvl w:ilvl="7" w:tplc="04180003" w:tentative="1">
      <w:start w:val="1"/>
      <w:numFmt w:val="bullet"/>
      <w:lvlText w:val="o"/>
      <w:lvlJc w:val="left"/>
      <w:pPr>
        <w:ind w:left="6154" w:hanging="360"/>
      </w:pPr>
      <w:rPr>
        <w:rFonts w:ascii="Courier New" w:hAnsi="Courier New" w:cs="Courier New" w:hint="default"/>
      </w:rPr>
    </w:lvl>
    <w:lvl w:ilvl="8" w:tplc="04180005" w:tentative="1">
      <w:start w:val="1"/>
      <w:numFmt w:val="bullet"/>
      <w:lvlText w:val=""/>
      <w:lvlJc w:val="left"/>
      <w:pPr>
        <w:ind w:left="6874" w:hanging="360"/>
      </w:pPr>
      <w:rPr>
        <w:rFonts w:ascii="Wingdings" w:hAnsi="Wingdings" w:hint="default"/>
      </w:rPr>
    </w:lvl>
  </w:abstractNum>
  <w:abstractNum w:abstractNumId="3">
    <w:nsid w:val="55222EC7"/>
    <w:multiLevelType w:val="hybridMultilevel"/>
    <w:tmpl w:val="4D60B6F4"/>
    <w:lvl w:ilvl="0" w:tplc="3600FBE6">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0BA02C9"/>
    <w:multiLevelType w:val="hybridMultilevel"/>
    <w:tmpl w:val="20024338"/>
    <w:lvl w:ilvl="0" w:tplc="57445B58">
      <w:start w:val="1"/>
      <w:numFmt w:val="bullet"/>
      <w:lvlText w:val=""/>
      <w:lvlJc w:val="left"/>
      <w:pPr>
        <w:ind w:left="1248" w:hanging="360"/>
      </w:pPr>
      <w:rPr>
        <w:rFonts w:ascii="Symbol" w:hAnsi="Symbol" w:hint="default"/>
      </w:rPr>
    </w:lvl>
    <w:lvl w:ilvl="1" w:tplc="04180003" w:tentative="1">
      <w:start w:val="1"/>
      <w:numFmt w:val="bullet"/>
      <w:lvlText w:val="o"/>
      <w:lvlJc w:val="left"/>
      <w:pPr>
        <w:ind w:left="1968" w:hanging="360"/>
      </w:pPr>
      <w:rPr>
        <w:rFonts w:ascii="Courier New" w:hAnsi="Courier New" w:cs="Courier New" w:hint="default"/>
      </w:rPr>
    </w:lvl>
    <w:lvl w:ilvl="2" w:tplc="04180005" w:tentative="1">
      <w:start w:val="1"/>
      <w:numFmt w:val="bullet"/>
      <w:lvlText w:val=""/>
      <w:lvlJc w:val="left"/>
      <w:pPr>
        <w:ind w:left="2688" w:hanging="360"/>
      </w:pPr>
      <w:rPr>
        <w:rFonts w:ascii="Wingdings" w:hAnsi="Wingdings" w:hint="default"/>
      </w:rPr>
    </w:lvl>
    <w:lvl w:ilvl="3" w:tplc="04180001" w:tentative="1">
      <w:start w:val="1"/>
      <w:numFmt w:val="bullet"/>
      <w:lvlText w:val=""/>
      <w:lvlJc w:val="left"/>
      <w:pPr>
        <w:ind w:left="3408" w:hanging="360"/>
      </w:pPr>
      <w:rPr>
        <w:rFonts w:ascii="Symbol" w:hAnsi="Symbol" w:hint="default"/>
      </w:rPr>
    </w:lvl>
    <w:lvl w:ilvl="4" w:tplc="04180003" w:tentative="1">
      <w:start w:val="1"/>
      <w:numFmt w:val="bullet"/>
      <w:lvlText w:val="o"/>
      <w:lvlJc w:val="left"/>
      <w:pPr>
        <w:ind w:left="4128" w:hanging="360"/>
      </w:pPr>
      <w:rPr>
        <w:rFonts w:ascii="Courier New" w:hAnsi="Courier New" w:cs="Courier New" w:hint="default"/>
      </w:rPr>
    </w:lvl>
    <w:lvl w:ilvl="5" w:tplc="04180005" w:tentative="1">
      <w:start w:val="1"/>
      <w:numFmt w:val="bullet"/>
      <w:lvlText w:val=""/>
      <w:lvlJc w:val="left"/>
      <w:pPr>
        <w:ind w:left="4848" w:hanging="360"/>
      </w:pPr>
      <w:rPr>
        <w:rFonts w:ascii="Wingdings" w:hAnsi="Wingdings" w:hint="default"/>
      </w:rPr>
    </w:lvl>
    <w:lvl w:ilvl="6" w:tplc="04180001" w:tentative="1">
      <w:start w:val="1"/>
      <w:numFmt w:val="bullet"/>
      <w:lvlText w:val=""/>
      <w:lvlJc w:val="left"/>
      <w:pPr>
        <w:ind w:left="5568" w:hanging="360"/>
      </w:pPr>
      <w:rPr>
        <w:rFonts w:ascii="Symbol" w:hAnsi="Symbol" w:hint="default"/>
      </w:rPr>
    </w:lvl>
    <w:lvl w:ilvl="7" w:tplc="04180003" w:tentative="1">
      <w:start w:val="1"/>
      <w:numFmt w:val="bullet"/>
      <w:lvlText w:val="o"/>
      <w:lvlJc w:val="left"/>
      <w:pPr>
        <w:ind w:left="6288" w:hanging="360"/>
      </w:pPr>
      <w:rPr>
        <w:rFonts w:ascii="Courier New" w:hAnsi="Courier New" w:cs="Courier New" w:hint="default"/>
      </w:rPr>
    </w:lvl>
    <w:lvl w:ilvl="8" w:tplc="04180005" w:tentative="1">
      <w:start w:val="1"/>
      <w:numFmt w:val="bullet"/>
      <w:lvlText w:val=""/>
      <w:lvlJc w:val="left"/>
      <w:pPr>
        <w:ind w:left="7008"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815"/>
    <w:rsid w:val="00012899"/>
    <w:rsid w:val="0002380D"/>
    <w:rsid w:val="00037221"/>
    <w:rsid w:val="00047A30"/>
    <w:rsid w:val="00051575"/>
    <w:rsid w:val="000567B9"/>
    <w:rsid w:val="00066A44"/>
    <w:rsid w:val="00075A0E"/>
    <w:rsid w:val="00077835"/>
    <w:rsid w:val="000D5F5C"/>
    <w:rsid w:val="000F1049"/>
    <w:rsid w:val="00107A3F"/>
    <w:rsid w:val="00110E91"/>
    <w:rsid w:val="0012190F"/>
    <w:rsid w:val="001231D8"/>
    <w:rsid w:val="00125516"/>
    <w:rsid w:val="00135297"/>
    <w:rsid w:val="00136C7F"/>
    <w:rsid w:val="001548E8"/>
    <w:rsid w:val="0016076C"/>
    <w:rsid w:val="001732CA"/>
    <w:rsid w:val="00177E4F"/>
    <w:rsid w:val="00182F70"/>
    <w:rsid w:val="001915C2"/>
    <w:rsid w:val="001941ED"/>
    <w:rsid w:val="001A5441"/>
    <w:rsid w:val="001C44A1"/>
    <w:rsid w:val="00215F1A"/>
    <w:rsid w:val="00221596"/>
    <w:rsid w:val="00231927"/>
    <w:rsid w:val="002435D4"/>
    <w:rsid w:val="00246632"/>
    <w:rsid w:val="00250D3F"/>
    <w:rsid w:val="002529CF"/>
    <w:rsid w:val="002854BD"/>
    <w:rsid w:val="00285714"/>
    <w:rsid w:val="00285DEB"/>
    <w:rsid w:val="002877E5"/>
    <w:rsid w:val="00292353"/>
    <w:rsid w:val="0029798C"/>
    <w:rsid w:val="002A134A"/>
    <w:rsid w:val="002A1D36"/>
    <w:rsid w:val="002B0449"/>
    <w:rsid w:val="002B7CD0"/>
    <w:rsid w:val="002C1AF5"/>
    <w:rsid w:val="002D55AE"/>
    <w:rsid w:val="002D6A25"/>
    <w:rsid w:val="002F395A"/>
    <w:rsid w:val="003017D1"/>
    <w:rsid w:val="00311DBE"/>
    <w:rsid w:val="003417D9"/>
    <w:rsid w:val="00343957"/>
    <w:rsid w:val="00356117"/>
    <w:rsid w:val="00367456"/>
    <w:rsid w:val="00372B2E"/>
    <w:rsid w:val="00382E8C"/>
    <w:rsid w:val="0039360E"/>
    <w:rsid w:val="003B2C9B"/>
    <w:rsid w:val="003B4C12"/>
    <w:rsid w:val="003C25C3"/>
    <w:rsid w:val="003D773F"/>
    <w:rsid w:val="003F63D7"/>
    <w:rsid w:val="00403A9E"/>
    <w:rsid w:val="0040692C"/>
    <w:rsid w:val="00417036"/>
    <w:rsid w:val="00422FCF"/>
    <w:rsid w:val="00425423"/>
    <w:rsid w:val="004269EF"/>
    <w:rsid w:val="0044395F"/>
    <w:rsid w:val="00467FF0"/>
    <w:rsid w:val="004857A1"/>
    <w:rsid w:val="00493876"/>
    <w:rsid w:val="00496F91"/>
    <w:rsid w:val="004A16BC"/>
    <w:rsid w:val="004A54F9"/>
    <w:rsid w:val="004B1F2E"/>
    <w:rsid w:val="004B77EB"/>
    <w:rsid w:val="004C729F"/>
    <w:rsid w:val="00522B88"/>
    <w:rsid w:val="005426BE"/>
    <w:rsid w:val="00562E38"/>
    <w:rsid w:val="00563F88"/>
    <w:rsid w:val="00567813"/>
    <w:rsid w:val="00597818"/>
    <w:rsid w:val="005B4C3C"/>
    <w:rsid w:val="005B77E6"/>
    <w:rsid w:val="005D6397"/>
    <w:rsid w:val="005D72F5"/>
    <w:rsid w:val="005F2880"/>
    <w:rsid w:val="006136F9"/>
    <w:rsid w:val="0061576F"/>
    <w:rsid w:val="00631F1B"/>
    <w:rsid w:val="00645815"/>
    <w:rsid w:val="00645B29"/>
    <w:rsid w:val="0066302A"/>
    <w:rsid w:val="006632E3"/>
    <w:rsid w:val="006665A2"/>
    <w:rsid w:val="00671FE7"/>
    <w:rsid w:val="00676611"/>
    <w:rsid w:val="00684EB6"/>
    <w:rsid w:val="006A298B"/>
    <w:rsid w:val="006B16CA"/>
    <w:rsid w:val="006B31E2"/>
    <w:rsid w:val="006E07F2"/>
    <w:rsid w:val="006F3067"/>
    <w:rsid w:val="007002B9"/>
    <w:rsid w:val="007136CE"/>
    <w:rsid w:val="007204D3"/>
    <w:rsid w:val="00743138"/>
    <w:rsid w:val="00746F55"/>
    <w:rsid w:val="007536D5"/>
    <w:rsid w:val="00755E64"/>
    <w:rsid w:val="007816FB"/>
    <w:rsid w:val="007A5767"/>
    <w:rsid w:val="007B0950"/>
    <w:rsid w:val="007D7FF3"/>
    <w:rsid w:val="007F23AE"/>
    <w:rsid w:val="007F32F2"/>
    <w:rsid w:val="0082102A"/>
    <w:rsid w:val="00821C81"/>
    <w:rsid w:val="00821DA0"/>
    <w:rsid w:val="00827DF7"/>
    <w:rsid w:val="00831E4E"/>
    <w:rsid w:val="00840CFE"/>
    <w:rsid w:val="008547DA"/>
    <w:rsid w:val="00857A3F"/>
    <w:rsid w:val="00861CBA"/>
    <w:rsid w:val="00894FC9"/>
    <w:rsid w:val="008A677B"/>
    <w:rsid w:val="008B51BB"/>
    <w:rsid w:val="008C015D"/>
    <w:rsid w:val="008E0F67"/>
    <w:rsid w:val="008F60A5"/>
    <w:rsid w:val="0090074A"/>
    <w:rsid w:val="0090410D"/>
    <w:rsid w:val="00912B7B"/>
    <w:rsid w:val="00920138"/>
    <w:rsid w:val="00940DEA"/>
    <w:rsid w:val="009578C3"/>
    <w:rsid w:val="00965CE4"/>
    <w:rsid w:val="00974EB5"/>
    <w:rsid w:val="009776A3"/>
    <w:rsid w:val="00993B1F"/>
    <w:rsid w:val="009B4D14"/>
    <w:rsid w:val="009B7416"/>
    <w:rsid w:val="009D31B4"/>
    <w:rsid w:val="009E5114"/>
    <w:rsid w:val="009E7988"/>
    <w:rsid w:val="009F59D2"/>
    <w:rsid w:val="009F5BA3"/>
    <w:rsid w:val="00A60519"/>
    <w:rsid w:val="00A60CED"/>
    <w:rsid w:val="00A87540"/>
    <w:rsid w:val="00A9513A"/>
    <w:rsid w:val="00AB32F4"/>
    <w:rsid w:val="00AD195C"/>
    <w:rsid w:val="00AE0809"/>
    <w:rsid w:val="00AE1D9D"/>
    <w:rsid w:val="00B129B9"/>
    <w:rsid w:val="00B4447F"/>
    <w:rsid w:val="00B631A6"/>
    <w:rsid w:val="00B654CF"/>
    <w:rsid w:val="00B745ED"/>
    <w:rsid w:val="00B877C8"/>
    <w:rsid w:val="00BA77A0"/>
    <w:rsid w:val="00BB60FC"/>
    <w:rsid w:val="00BC44BE"/>
    <w:rsid w:val="00BE37A5"/>
    <w:rsid w:val="00BE746A"/>
    <w:rsid w:val="00BF1B2F"/>
    <w:rsid w:val="00C026B0"/>
    <w:rsid w:val="00C27769"/>
    <w:rsid w:val="00C361E2"/>
    <w:rsid w:val="00C51EC3"/>
    <w:rsid w:val="00C5660D"/>
    <w:rsid w:val="00C7212F"/>
    <w:rsid w:val="00C86F11"/>
    <w:rsid w:val="00C91663"/>
    <w:rsid w:val="00C92DDE"/>
    <w:rsid w:val="00CA23F9"/>
    <w:rsid w:val="00CC63E1"/>
    <w:rsid w:val="00CD1F05"/>
    <w:rsid w:val="00CE7576"/>
    <w:rsid w:val="00CE7985"/>
    <w:rsid w:val="00CF5C96"/>
    <w:rsid w:val="00D3194B"/>
    <w:rsid w:val="00D65147"/>
    <w:rsid w:val="00D80DCA"/>
    <w:rsid w:val="00D834E9"/>
    <w:rsid w:val="00D90004"/>
    <w:rsid w:val="00DA103B"/>
    <w:rsid w:val="00DA30DF"/>
    <w:rsid w:val="00DB4203"/>
    <w:rsid w:val="00DC3262"/>
    <w:rsid w:val="00DD26F9"/>
    <w:rsid w:val="00DD39E3"/>
    <w:rsid w:val="00DF71CE"/>
    <w:rsid w:val="00E02592"/>
    <w:rsid w:val="00E10CC0"/>
    <w:rsid w:val="00E11DEF"/>
    <w:rsid w:val="00E202A7"/>
    <w:rsid w:val="00E26809"/>
    <w:rsid w:val="00E407E0"/>
    <w:rsid w:val="00E44C90"/>
    <w:rsid w:val="00E51156"/>
    <w:rsid w:val="00E71F30"/>
    <w:rsid w:val="00E7304C"/>
    <w:rsid w:val="00E74109"/>
    <w:rsid w:val="00E85B48"/>
    <w:rsid w:val="00E8685D"/>
    <w:rsid w:val="00E934B6"/>
    <w:rsid w:val="00ED0679"/>
    <w:rsid w:val="00F13367"/>
    <w:rsid w:val="00F16D65"/>
    <w:rsid w:val="00F42DE6"/>
    <w:rsid w:val="00F55E10"/>
    <w:rsid w:val="00F56DE5"/>
    <w:rsid w:val="00F7717B"/>
    <w:rsid w:val="00F91EB9"/>
    <w:rsid w:val="00F95A14"/>
    <w:rsid w:val="00FC6119"/>
    <w:rsid w:val="00FC71E1"/>
    <w:rsid w:val="00FD377B"/>
    <w:rsid w:val="00FF7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ECC4"/>
  <w15:chartTrackingRefBased/>
  <w15:docId w15:val="{113B5572-514D-4B1D-976F-D359C033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CED"/>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n">
    <w:name w:val="cn"/>
    <w:basedOn w:val="Normal"/>
    <w:rsid w:val="006458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f">
    <w:name w:val="lf"/>
    <w:basedOn w:val="Normal"/>
    <w:rsid w:val="006458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TextnBalon">
    <w:name w:val="Balloon Text"/>
    <w:basedOn w:val="Normal"/>
    <w:link w:val="TextnBalonCaracter"/>
    <w:uiPriority w:val="99"/>
    <w:semiHidden/>
    <w:unhideWhenUsed/>
    <w:rsid w:val="00E730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7304C"/>
    <w:rPr>
      <w:rFonts w:ascii="Segoe UI" w:hAnsi="Segoe UI" w:cs="Segoe UI"/>
      <w:sz w:val="18"/>
      <w:szCs w:val="18"/>
    </w:rPr>
  </w:style>
  <w:style w:type="paragraph" w:styleId="Listparagraf">
    <w:name w:val="List Paragraph"/>
    <w:basedOn w:val="Normal"/>
    <w:uiPriority w:val="34"/>
    <w:qFormat/>
    <w:rsid w:val="006A298B"/>
    <w:pPr>
      <w:ind w:left="720"/>
      <w:contextualSpacing/>
    </w:pPr>
  </w:style>
  <w:style w:type="character" w:styleId="Hyperlink">
    <w:name w:val="Hyperlink"/>
    <w:basedOn w:val="Fontdeparagrafimplicit"/>
    <w:uiPriority w:val="99"/>
    <w:unhideWhenUsed/>
    <w:rsid w:val="004B1F2E"/>
    <w:rPr>
      <w:color w:val="0563C1" w:themeColor="hyperlink"/>
      <w:u w:val="single"/>
    </w:rPr>
  </w:style>
  <w:style w:type="paragraph" w:styleId="Antet">
    <w:name w:val="header"/>
    <w:basedOn w:val="Normal"/>
    <w:link w:val="AntetCaracter"/>
    <w:uiPriority w:val="99"/>
    <w:unhideWhenUsed/>
    <w:rsid w:val="00D80DCA"/>
    <w:pPr>
      <w:tabs>
        <w:tab w:val="center" w:pos="4677"/>
        <w:tab w:val="right" w:pos="9355"/>
      </w:tabs>
      <w:spacing w:after="0" w:line="240" w:lineRule="auto"/>
    </w:pPr>
  </w:style>
  <w:style w:type="character" w:customStyle="1" w:styleId="AntetCaracter">
    <w:name w:val="Antet Caracter"/>
    <w:basedOn w:val="Fontdeparagrafimplicit"/>
    <w:link w:val="Antet"/>
    <w:uiPriority w:val="99"/>
    <w:rsid w:val="00D80DCA"/>
    <w:rPr>
      <w:lang w:val="ro-RO"/>
    </w:rPr>
  </w:style>
  <w:style w:type="paragraph" w:styleId="Subsol">
    <w:name w:val="footer"/>
    <w:basedOn w:val="Normal"/>
    <w:link w:val="SubsolCaracter"/>
    <w:uiPriority w:val="99"/>
    <w:unhideWhenUsed/>
    <w:rsid w:val="00D80DCA"/>
    <w:pPr>
      <w:tabs>
        <w:tab w:val="center" w:pos="4677"/>
        <w:tab w:val="right" w:pos="9355"/>
      </w:tabs>
      <w:spacing w:after="0" w:line="240" w:lineRule="auto"/>
    </w:pPr>
  </w:style>
  <w:style w:type="character" w:customStyle="1" w:styleId="SubsolCaracter">
    <w:name w:val="Subsol Caracter"/>
    <w:basedOn w:val="Fontdeparagrafimplicit"/>
    <w:link w:val="Subsol"/>
    <w:uiPriority w:val="99"/>
    <w:rsid w:val="00D80DCA"/>
    <w:rPr>
      <w:lang w:val="ro-RO"/>
    </w:rPr>
  </w:style>
  <w:style w:type="paragraph" w:styleId="NormalWeb">
    <w:name w:val="Normal (Web)"/>
    <w:basedOn w:val="Normal"/>
    <w:uiPriority w:val="99"/>
    <w:semiHidden/>
    <w:unhideWhenUsed/>
    <w:rsid w:val="005D63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2585">
      <w:bodyDiv w:val="1"/>
      <w:marLeft w:val="0"/>
      <w:marRight w:val="0"/>
      <w:marTop w:val="0"/>
      <w:marBottom w:val="0"/>
      <w:divBdr>
        <w:top w:val="none" w:sz="0" w:space="0" w:color="auto"/>
        <w:left w:val="none" w:sz="0" w:space="0" w:color="auto"/>
        <w:bottom w:val="none" w:sz="0" w:space="0" w:color="auto"/>
        <w:right w:val="none" w:sz="0" w:space="0" w:color="auto"/>
      </w:divBdr>
      <w:divsChild>
        <w:div w:id="468018366">
          <w:marLeft w:val="0"/>
          <w:marRight w:val="0"/>
          <w:marTop w:val="0"/>
          <w:marBottom w:val="0"/>
          <w:divBdr>
            <w:top w:val="none" w:sz="0" w:space="0" w:color="auto"/>
            <w:left w:val="none" w:sz="0" w:space="0" w:color="auto"/>
            <w:bottom w:val="none" w:sz="0" w:space="0" w:color="auto"/>
            <w:right w:val="none" w:sz="0" w:space="0" w:color="auto"/>
          </w:divBdr>
          <w:divsChild>
            <w:div w:id="427581204">
              <w:marLeft w:val="0"/>
              <w:marRight w:val="0"/>
              <w:marTop w:val="0"/>
              <w:marBottom w:val="0"/>
              <w:divBdr>
                <w:top w:val="none" w:sz="0" w:space="0" w:color="auto"/>
                <w:left w:val="none" w:sz="0" w:space="0" w:color="auto"/>
                <w:bottom w:val="none" w:sz="0" w:space="0" w:color="auto"/>
                <w:right w:val="none" w:sz="0" w:space="0" w:color="auto"/>
              </w:divBdr>
              <w:divsChild>
                <w:div w:id="1743599040">
                  <w:marLeft w:val="0"/>
                  <w:marRight w:val="0"/>
                  <w:marTop w:val="0"/>
                  <w:marBottom w:val="0"/>
                  <w:divBdr>
                    <w:top w:val="none" w:sz="0" w:space="0" w:color="auto"/>
                    <w:left w:val="none" w:sz="0" w:space="0" w:color="auto"/>
                    <w:bottom w:val="none" w:sz="0" w:space="0" w:color="auto"/>
                    <w:right w:val="none" w:sz="0" w:space="0" w:color="auto"/>
                  </w:divBdr>
                  <w:divsChild>
                    <w:div w:id="1472208107">
                      <w:marLeft w:val="0"/>
                      <w:marRight w:val="0"/>
                      <w:marTop w:val="0"/>
                      <w:marBottom w:val="0"/>
                      <w:divBdr>
                        <w:top w:val="none" w:sz="0" w:space="0" w:color="auto"/>
                        <w:left w:val="none" w:sz="0" w:space="0" w:color="auto"/>
                        <w:bottom w:val="none" w:sz="0" w:space="0" w:color="auto"/>
                        <w:right w:val="none" w:sz="0" w:space="0" w:color="auto"/>
                      </w:divBdr>
                      <w:divsChild>
                        <w:div w:id="1783957904">
                          <w:marLeft w:val="0"/>
                          <w:marRight w:val="0"/>
                          <w:marTop w:val="0"/>
                          <w:marBottom w:val="0"/>
                          <w:divBdr>
                            <w:top w:val="none" w:sz="0" w:space="0" w:color="auto"/>
                            <w:left w:val="none" w:sz="0" w:space="0" w:color="auto"/>
                            <w:bottom w:val="none" w:sz="0" w:space="0" w:color="auto"/>
                            <w:right w:val="none" w:sz="0" w:space="0" w:color="auto"/>
                          </w:divBdr>
                          <w:divsChild>
                            <w:div w:id="132011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2328">
      <w:bodyDiv w:val="1"/>
      <w:marLeft w:val="0"/>
      <w:marRight w:val="0"/>
      <w:marTop w:val="0"/>
      <w:marBottom w:val="0"/>
      <w:divBdr>
        <w:top w:val="none" w:sz="0" w:space="0" w:color="auto"/>
        <w:left w:val="none" w:sz="0" w:space="0" w:color="auto"/>
        <w:bottom w:val="none" w:sz="0" w:space="0" w:color="auto"/>
        <w:right w:val="none" w:sz="0" w:space="0" w:color="auto"/>
      </w:divBdr>
    </w:div>
    <w:div w:id="86968098">
      <w:bodyDiv w:val="1"/>
      <w:marLeft w:val="0"/>
      <w:marRight w:val="0"/>
      <w:marTop w:val="0"/>
      <w:marBottom w:val="0"/>
      <w:divBdr>
        <w:top w:val="none" w:sz="0" w:space="0" w:color="auto"/>
        <w:left w:val="none" w:sz="0" w:space="0" w:color="auto"/>
        <w:bottom w:val="none" w:sz="0" w:space="0" w:color="auto"/>
        <w:right w:val="none" w:sz="0" w:space="0" w:color="auto"/>
      </w:divBdr>
      <w:divsChild>
        <w:div w:id="430467546">
          <w:marLeft w:val="0"/>
          <w:marRight w:val="0"/>
          <w:marTop w:val="0"/>
          <w:marBottom w:val="0"/>
          <w:divBdr>
            <w:top w:val="none" w:sz="0" w:space="0" w:color="auto"/>
            <w:left w:val="none" w:sz="0" w:space="0" w:color="auto"/>
            <w:bottom w:val="none" w:sz="0" w:space="0" w:color="auto"/>
            <w:right w:val="none" w:sz="0" w:space="0" w:color="auto"/>
          </w:divBdr>
          <w:divsChild>
            <w:div w:id="1099524281">
              <w:marLeft w:val="0"/>
              <w:marRight w:val="0"/>
              <w:marTop w:val="0"/>
              <w:marBottom w:val="0"/>
              <w:divBdr>
                <w:top w:val="none" w:sz="0" w:space="0" w:color="auto"/>
                <w:left w:val="none" w:sz="0" w:space="0" w:color="auto"/>
                <w:bottom w:val="none" w:sz="0" w:space="0" w:color="auto"/>
                <w:right w:val="none" w:sz="0" w:space="0" w:color="auto"/>
              </w:divBdr>
              <w:divsChild>
                <w:div w:id="1586067106">
                  <w:marLeft w:val="0"/>
                  <w:marRight w:val="0"/>
                  <w:marTop w:val="0"/>
                  <w:marBottom w:val="0"/>
                  <w:divBdr>
                    <w:top w:val="none" w:sz="0" w:space="0" w:color="auto"/>
                    <w:left w:val="none" w:sz="0" w:space="0" w:color="auto"/>
                    <w:bottom w:val="none" w:sz="0" w:space="0" w:color="auto"/>
                    <w:right w:val="none" w:sz="0" w:space="0" w:color="auto"/>
                  </w:divBdr>
                  <w:divsChild>
                    <w:div w:id="157236788">
                      <w:marLeft w:val="0"/>
                      <w:marRight w:val="0"/>
                      <w:marTop w:val="0"/>
                      <w:marBottom w:val="0"/>
                      <w:divBdr>
                        <w:top w:val="none" w:sz="0" w:space="0" w:color="auto"/>
                        <w:left w:val="none" w:sz="0" w:space="0" w:color="auto"/>
                        <w:bottom w:val="none" w:sz="0" w:space="0" w:color="auto"/>
                        <w:right w:val="none" w:sz="0" w:space="0" w:color="auto"/>
                      </w:divBdr>
                      <w:divsChild>
                        <w:div w:id="315960046">
                          <w:marLeft w:val="0"/>
                          <w:marRight w:val="0"/>
                          <w:marTop w:val="0"/>
                          <w:marBottom w:val="0"/>
                          <w:divBdr>
                            <w:top w:val="none" w:sz="0" w:space="0" w:color="auto"/>
                            <w:left w:val="none" w:sz="0" w:space="0" w:color="auto"/>
                            <w:bottom w:val="none" w:sz="0" w:space="0" w:color="auto"/>
                            <w:right w:val="none" w:sz="0" w:space="0" w:color="auto"/>
                          </w:divBdr>
                          <w:divsChild>
                            <w:div w:id="6290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7244">
      <w:bodyDiv w:val="1"/>
      <w:marLeft w:val="0"/>
      <w:marRight w:val="0"/>
      <w:marTop w:val="0"/>
      <w:marBottom w:val="0"/>
      <w:divBdr>
        <w:top w:val="none" w:sz="0" w:space="0" w:color="auto"/>
        <w:left w:val="none" w:sz="0" w:space="0" w:color="auto"/>
        <w:bottom w:val="none" w:sz="0" w:space="0" w:color="auto"/>
        <w:right w:val="none" w:sz="0" w:space="0" w:color="auto"/>
      </w:divBdr>
    </w:div>
    <w:div w:id="126093804">
      <w:bodyDiv w:val="1"/>
      <w:marLeft w:val="0"/>
      <w:marRight w:val="0"/>
      <w:marTop w:val="0"/>
      <w:marBottom w:val="0"/>
      <w:divBdr>
        <w:top w:val="none" w:sz="0" w:space="0" w:color="auto"/>
        <w:left w:val="none" w:sz="0" w:space="0" w:color="auto"/>
        <w:bottom w:val="none" w:sz="0" w:space="0" w:color="auto"/>
        <w:right w:val="none" w:sz="0" w:space="0" w:color="auto"/>
      </w:divBdr>
    </w:div>
    <w:div w:id="187764633">
      <w:bodyDiv w:val="1"/>
      <w:marLeft w:val="0"/>
      <w:marRight w:val="0"/>
      <w:marTop w:val="0"/>
      <w:marBottom w:val="0"/>
      <w:divBdr>
        <w:top w:val="none" w:sz="0" w:space="0" w:color="auto"/>
        <w:left w:val="none" w:sz="0" w:space="0" w:color="auto"/>
        <w:bottom w:val="none" w:sz="0" w:space="0" w:color="auto"/>
        <w:right w:val="none" w:sz="0" w:space="0" w:color="auto"/>
      </w:divBdr>
    </w:div>
    <w:div w:id="231426705">
      <w:bodyDiv w:val="1"/>
      <w:marLeft w:val="0"/>
      <w:marRight w:val="0"/>
      <w:marTop w:val="0"/>
      <w:marBottom w:val="0"/>
      <w:divBdr>
        <w:top w:val="none" w:sz="0" w:space="0" w:color="auto"/>
        <w:left w:val="none" w:sz="0" w:space="0" w:color="auto"/>
        <w:bottom w:val="none" w:sz="0" w:space="0" w:color="auto"/>
        <w:right w:val="none" w:sz="0" w:space="0" w:color="auto"/>
      </w:divBdr>
    </w:div>
    <w:div w:id="247545673">
      <w:bodyDiv w:val="1"/>
      <w:marLeft w:val="0"/>
      <w:marRight w:val="0"/>
      <w:marTop w:val="0"/>
      <w:marBottom w:val="0"/>
      <w:divBdr>
        <w:top w:val="none" w:sz="0" w:space="0" w:color="auto"/>
        <w:left w:val="none" w:sz="0" w:space="0" w:color="auto"/>
        <w:bottom w:val="none" w:sz="0" w:space="0" w:color="auto"/>
        <w:right w:val="none" w:sz="0" w:space="0" w:color="auto"/>
      </w:divBdr>
    </w:div>
    <w:div w:id="274756305">
      <w:bodyDiv w:val="1"/>
      <w:marLeft w:val="0"/>
      <w:marRight w:val="0"/>
      <w:marTop w:val="0"/>
      <w:marBottom w:val="0"/>
      <w:divBdr>
        <w:top w:val="none" w:sz="0" w:space="0" w:color="auto"/>
        <w:left w:val="none" w:sz="0" w:space="0" w:color="auto"/>
        <w:bottom w:val="none" w:sz="0" w:space="0" w:color="auto"/>
        <w:right w:val="none" w:sz="0" w:space="0" w:color="auto"/>
      </w:divBdr>
    </w:div>
    <w:div w:id="280382325">
      <w:bodyDiv w:val="1"/>
      <w:marLeft w:val="0"/>
      <w:marRight w:val="0"/>
      <w:marTop w:val="0"/>
      <w:marBottom w:val="0"/>
      <w:divBdr>
        <w:top w:val="none" w:sz="0" w:space="0" w:color="auto"/>
        <w:left w:val="none" w:sz="0" w:space="0" w:color="auto"/>
        <w:bottom w:val="none" w:sz="0" w:space="0" w:color="auto"/>
        <w:right w:val="none" w:sz="0" w:space="0" w:color="auto"/>
      </w:divBdr>
    </w:div>
    <w:div w:id="328028029">
      <w:bodyDiv w:val="1"/>
      <w:marLeft w:val="0"/>
      <w:marRight w:val="0"/>
      <w:marTop w:val="0"/>
      <w:marBottom w:val="0"/>
      <w:divBdr>
        <w:top w:val="none" w:sz="0" w:space="0" w:color="auto"/>
        <w:left w:val="none" w:sz="0" w:space="0" w:color="auto"/>
        <w:bottom w:val="none" w:sz="0" w:space="0" w:color="auto"/>
        <w:right w:val="none" w:sz="0" w:space="0" w:color="auto"/>
      </w:divBdr>
      <w:divsChild>
        <w:div w:id="1072653553">
          <w:marLeft w:val="0"/>
          <w:marRight w:val="0"/>
          <w:marTop w:val="0"/>
          <w:marBottom w:val="0"/>
          <w:divBdr>
            <w:top w:val="none" w:sz="0" w:space="0" w:color="auto"/>
            <w:left w:val="none" w:sz="0" w:space="0" w:color="auto"/>
            <w:bottom w:val="none" w:sz="0" w:space="0" w:color="auto"/>
            <w:right w:val="none" w:sz="0" w:space="0" w:color="auto"/>
          </w:divBdr>
        </w:div>
      </w:divsChild>
    </w:div>
    <w:div w:id="366298985">
      <w:bodyDiv w:val="1"/>
      <w:marLeft w:val="0"/>
      <w:marRight w:val="0"/>
      <w:marTop w:val="0"/>
      <w:marBottom w:val="0"/>
      <w:divBdr>
        <w:top w:val="none" w:sz="0" w:space="0" w:color="auto"/>
        <w:left w:val="none" w:sz="0" w:space="0" w:color="auto"/>
        <w:bottom w:val="none" w:sz="0" w:space="0" w:color="auto"/>
        <w:right w:val="none" w:sz="0" w:space="0" w:color="auto"/>
      </w:divBdr>
    </w:div>
    <w:div w:id="379987585">
      <w:bodyDiv w:val="1"/>
      <w:marLeft w:val="0"/>
      <w:marRight w:val="0"/>
      <w:marTop w:val="0"/>
      <w:marBottom w:val="0"/>
      <w:divBdr>
        <w:top w:val="none" w:sz="0" w:space="0" w:color="auto"/>
        <w:left w:val="none" w:sz="0" w:space="0" w:color="auto"/>
        <w:bottom w:val="none" w:sz="0" w:space="0" w:color="auto"/>
        <w:right w:val="none" w:sz="0" w:space="0" w:color="auto"/>
      </w:divBdr>
    </w:div>
    <w:div w:id="412166648">
      <w:bodyDiv w:val="1"/>
      <w:marLeft w:val="0"/>
      <w:marRight w:val="0"/>
      <w:marTop w:val="0"/>
      <w:marBottom w:val="0"/>
      <w:divBdr>
        <w:top w:val="none" w:sz="0" w:space="0" w:color="auto"/>
        <w:left w:val="none" w:sz="0" w:space="0" w:color="auto"/>
        <w:bottom w:val="none" w:sz="0" w:space="0" w:color="auto"/>
        <w:right w:val="none" w:sz="0" w:space="0" w:color="auto"/>
      </w:divBdr>
    </w:div>
    <w:div w:id="498738262">
      <w:bodyDiv w:val="1"/>
      <w:marLeft w:val="0"/>
      <w:marRight w:val="0"/>
      <w:marTop w:val="0"/>
      <w:marBottom w:val="0"/>
      <w:divBdr>
        <w:top w:val="none" w:sz="0" w:space="0" w:color="auto"/>
        <w:left w:val="none" w:sz="0" w:space="0" w:color="auto"/>
        <w:bottom w:val="none" w:sz="0" w:space="0" w:color="auto"/>
        <w:right w:val="none" w:sz="0" w:space="0" w:color="auto"/>
      </w:divBdr>
    </w:div>
    <w:div w:id="498740969">
      <w:bodyDiv w:val="1"/>
      <w:marLeft w:val="0"/>
      <w:marRight w:val="0"/>
      <w:marTop w:val="0"/>
      <w:marBottom w:val="0"/>
      <w:divBdr>
        <w:top w:val="none" w:sz="0" w:space="0" w:color="auto"/>
        <w:left w:val="none" w:sz="0" w:space="0" w:color="auto"/>
        <w:bottom w:val="none" w:sz="0" w:space="0" w:color="auto"/>
        <w:right w:val="none" w:sz="0" w:space="0" w:color="auto"/>
      </w:divBdr>
    </w:div>
    <w:div w:id="584807563">
      <w:bodyDiv w:val="1"/>
      <w:marLeft w:val="0"/>
      <w:marRight w:val="0"/>
      <w:marTop w:val="0"/>
      <w:marBottom w:val="0"/>
      <w:divBdr>
        <w:top w:val="none" w:sz="0" w:space="0" w:color="auto"/>
        <w:left w:val="none" w:sz="0" w:space="0" w:color="auto"/>
        <w:bottom w:val="none" w:sz="0" w:space="0" w:color="auto"/>
        <w:right w:val="none" w:sz="0" w:space="0" w:color="auto"/>
      </w:divBdr>
    </w:div>
    <w:div w:id="625701302">
      <w:bodyDiv w:val="1"/>
      <w:marLeft w:val="0"/>
      <w:marRight w:val="0"/>
      <w:marTop w:val="0"/>
      <w:marBottom w:val="0"/>
      <w:divBdr>
        <w:top w:val="none" w:sz="0" w:space="0" w:color="auto"/>
        <w:left w:val="none" w:sz="0" w:space="0" w:color="auto"/>
        <w:bottom w:val="none" w:sz="0" w:space="0" w:color="auto"/>
        <w:right w:val="none" w:sz="0" w:space="0" w:color="auto"/>
      </w:divBdr>
    </w:div>
    <w:div w:id="630551936">
      <w:bodyDiv w:val="1"/>
      <w:marLeft w:val="0"/>
      <w:marRight w:val="0"/>
      <w:marTop w:val="0"/>
      <w:marBottom w:val="0"/>
      <w:divBdr>
        <w:top w:val="none" w:sz="0" w:space="0" w:color="auto"/>
        <w:left w:val="none" w:sz="0" w:space="0" w:color="auto"/>
        <w:bottom w:val="none" w:sz="0" w:space="0" w:color="auto"/>
        <w:right w:val="none" w:sz="0" w:space="0" w:color="auto"/>
      </w:divBdr>
    </w:div>
    <w:div w:id="654721356">
      <w:bodyDiv w:val="1"/>
      <w:marLeft w:val="0"/>
      <w:marRight w:val="0"/>
      <w:marTop w:val="0"/>
      <w:marBottom w:val="0"/>
      <w:divBdr>
        <w:top w:val="none" w:sz="0" w:space="0" w:color="auto"/>
        <w:left w:val="none" w:sz="0" w:space="0" w:color="auto"/>
        <w:bottom w:val="none" w:sz="0" w:space="0" w:color="auto"/>
        <w:right w:val="none" w:sz="0" w:space="0" w:color="auto"/>
      </w:divBdr>
    </w:div>
    <w:div w:id="741416778">
      <w:bodyDiv w:val="1"/>
      <w:marLeft w:val="0"/>
      <w:marRight w:val="0"/>
      <w:marTop w:val="0"/>
      <w:marBottom w:val="0"/>
      <w:divBdr>
        <w:top w:val="none" w:sz="0" w:space="0" w:color="auto"/>
        <w:left w:val="none" w:sz="0" w:space="0" w:color="auto"/>
        <w:bottom w:val="none" w:sz="0" w:space="0" w:color="auto"/>
        <w:right w:val="none" w:sz="0" w:space="0" w:color="auto"/>
      </w:divBdr>
    </w:div>
    <w:div w:id="758066578">
      <w:bodyDiv w:val="1"/>
      <w:marLeft w:val="0"/>
      <w:marRight w:val="0"/>
      <w:marTop w:val="0"/>
      <w:marBottom w:val="0"/>
      <w:divBdr>
        <w:top w:val="none" w:sz="0" w:space="0" w:color="auto"/>
        <w:left w:val="none" w:sz="0" w:space="0" w:color="auto"/>
        <w:bottom w:val="none" w:sz="0" w:space="0" w:color="auto"/>
        <w:right w:val="none" w:sz="0" w:space="0" w:color="auto"/>
      </w:divBdr>
    </w:div>
    <w:div w:id="866217334">
      <w:bodyDiv w:val="1"/>
      <w:marLeft w:val="0"/>
      <w:marRight w:val="0"/>
      <w:marTop w:val="0"/>
      <w:marBottom w:val="0"/>
      <w:divBdr>
        <w:top w:val="none" w:sz="0" w:space="0" w:color="auto"/>
        <w:left w:val="none" w:sz="0" w:space="0" w:color="auto"/>
        <w:bottom w:val="none" w:sz="0" w:space="0" w:color="auto"/>
        <w:right w:val="none" w:sz="0" w:space="0" w:color="auto"/>
      </w:divBdr>
    </w:div>
    <w:div w:id="934705407">
      <w:bodyDiv w:val="1"/>
      <w:marLeft w:val="0"/>
      <w:marRight w:val="0"/>
      <w:marTop w:val="0"/>
      <w:marBottom w:val="0"/>
      <w:divBdr>
        <w:top w:val="none" w:sz="0" w:space="0" w:color="auto"/>
        <w:left w:val="none" w:sz="0" w:space="0" w:color="auto"/>
        <w:bottom w:val="none" w:sz="0" w:space="0" w:color="auto"/>
        <w:right w:val="none" w:sz="0" w:space="0" w:color="auto"/>
      </w:divBdr>
    </w:div>
    <w:div w:id="948974860">
      <w:bodyDiv w:val="1"/>
      <w:marLeft w:val="0"/>
      <w:marRight w:val="0"/>
      <w:marTop w:val="0"/>
      <w:marBottom w:val="0"/>
      <w:divBdr>
        <w:top w:val="none" w:sz="0" w:space="0" w:color="auto"/>
        <w:left w:val="none" w:sz="0" w:space="0" w:color="auto"/>
        <w:bottom w:val="none" w:sz="0" w:space="0" w:color="auto"/>
        <w:right w:val="none" w:sz="0" w:space="0" w:color="auto"/>
      </w:divBdr>
      <w:divsChild>
        <w:div w:id="1473331813">
          <w:marLeft w:val="0"/>
          <w:marRight w:val="0"/>
          <w:marTop w:val="0"/>
          <w:marBottom w:val="0"/>
          <w:divBdr>
            <w:top w:val="none" w:sz="0" w:space="0" w:color="auto"/>
            <w:left w:val="none" w:sz="0" w:space="0" w:color="auto"/>
            <w:bottom w:val="none" w:sz="0" w:space="0" w:color="auto"/>
            <w:right w:val="none" w:sz="0" w:space="0" w:color="auto"/>
          </w:divBdr>
        </w:div>
      </w:divsChild>
    </w:div>
    <w:div w:id="961417826">
      <w:bodyDiv w:val="1"/>
      <w:marLeft w:val="0"/>
      <w:marRight w:val="0"/>
      <w:marTop w:val="0"/>
      <w:marBottom w:val="0"/>
      <w:divBdr>
        <w:top w:val="none" w:sz="0" w:space="0" w:color="auto"/>
        <w:left w:val="none" w:sz="0" w:space="0" w:color="auto"/>
        <w:bottom w:val="none" w:sz="0" w:space="0" w:color="auto"/>
        <w:right w:val="none" w:sz="0" w:space="0" w:color="auto"/>
      </w:divBdr>
    </w:div>
    <w:div w:id="1023824999">
      <w:bodyDiv w:val="1"/>
      <w:marLeft w:val="0"/>
      <w:marRight w:val="0"/>
      <w:marTop w:val="0"/>
      <w:marBottom w:val="0"/>
      <w:divBdr>
        <w:top w:val="none" w:sz="0" w:space="0" w:color="auto"/>
        <w:left w:val="none" w:sz="0" w:space="0" w:color="auto"/>
        <w:bottom w:val="none" w:sz="0" w:space="0" w:color="auto"/>
        <w:right w:val="none" w:sz="0" w:space="0" w:color="auto"/>
      </w:divBdr>
      <w:divsChild>
        <w:div w:id="334918782">
          <w:marLeft w:val="0"/>
          <w:marRight w:val="0"/>
          <w:marTop w:val="0"/>
          <w:marBottom w:val="0"/>
          <w:divBdr>
            <w:top w:val="none" w:sz="0" w:space="0" w:color="auto"/>
            <w:left w:val="none" w:sz="0" w:space="0" w:color="auto"/>
            <w:bottom w:val="none" w:sz="0" w:space="0" w:color="auto"/>
            <w:right w:val="none" w:sz="0" w:space="0" w:color="auto"/>
          </w:divBdr>
        </w:div>
      </w:divsChild>
    </w:div>
    <w:div w:id="1092357688">
      <w:bodyDiv w:val="1"/>
      <w:marLeft w:val="0"/>
      <w:marRight w:val="0"/>
      <w:marTop w:val="0"/>
      <w:marBottom w:val="0"/>
      <w:divBdr>
        <w:top w:val="none" w:sz="0" w:space="0" w:color="auto"/>
        <w:left w:val="none" w:sz="0" w:space="0" w:color="auto"/>
        <w:bottom w:val="none" w:sz="0" w:space="0" w:color="auto"/>
        <w:right w:val="none" w:sz="0" w:space="0" w:color="auto"/>
      </w:divBdr>
    </w:div>
    <w:div w:id="1137069021">
      <w:bodyDiv w:val="1"/>
      <w:marLeft w:val="0"/>
      <w:marRight w:val="0"/>
      <w:marTop w:val="0"/>
      <w:marBottom w:val="0"/>
      <w:divBdr>
        <w:top w:val="none" w:sz="0" w:space="0" w:color="auto"/>
        <w:left w:val="none" w:sz="0" w:space="0" w:color="auto"/>
        <w:bottom w:val="none" w:sz="0" w:space="0" w:color="auto"/>
        <w:right w:val="none" w:sz="0" w:space="0" w:color="auto"/>
      </w:divBdr>
    </w:div>
    <w:div w:id="1143230489">
      <w:bodyDiv w:val="1"/>
      <w:marLeft w:val="0"/>
      <w:marRight w:val="0"/>
      <w:marTop w:val="0"/>
      <w:marBottom w:val="0"/>
      <w:divBdr>
        <w:top w:val="none" w:sz="0" w:space="0" w:color="auto"/>
        <w:left w:val="none" w:sz="0" w:space="0" w:color="auto"/>
        <w:bottom w:val="none" w:sz="0" w:space="0" w:color="auto"/>
        <w:right w:val="none" w:sz="0" w:space="0" w:color="auto"/>
      </w:divBdr>
    </w:div>
    <w:div w:id="1205869120">
      <w:bodyDiv w:val="1"/>
      <w:marLeft w:val="0"/>
      <w:marRight w:val="0"/>
      <w:marTop w:val="0"/>
      <w:marBottom w:val="0"/>
      <w:divBdr>
        <w:top w:val="none" w:sz="0" w:space="0" w:color="auto"/>
        <w:left w:val="none" w:sz="0" w:space="0" w:color="auto"/>
        <w:bottom w:val="none" w:sz="0" w:space="0" w:color="auto"/>
        <w:right w:val="none" w:sz="0" w:space="0" w:color="auto"/>
      </w:divBdr>
    </w:div>
    <w:div w:id="1212227595">
      <w:bodyDiv w:val="1"/>
      <w:marLeft w:val="0"/>
      <w:marRight w:val="0"/>
      <w:marTop w:val="0"/>
      <w:marBottom w:val="0"/>
      <w:divBdr>
        <w:top w:val="none" w:sz="0" w:space="0" w:color="auto"/>
        <w:left w:val="none" w:sz="0" w:space="0" w:color="auto"/>
        <w:bottom w:val="none" w:sz="0" w:space="0" w:color="auto"/>
        <w:right w:val="none" w:sz="0" w:space="0" w:color="auto"/>
      </w:divBdr>
    </w:div>
    <w:div w:id="1267542424">
      <w:bodyDiv w:val="1"/>
      <w:marLeft w:val="0"/>
      <w:marRight w:val="0"/>
      <w:marTop w:val="0"/>
      <w:marBottom w:val="0"/>
      <w:divBdr>
        <w:top w:val="none" w:sz="0" w:space="0" w:color="auto"/>
        <w:left w:val="none" w:sz="0" w:space="0" w:color="auto"/>
        <w:bottom w:val="none" w:sz="0" w:space="0" w:color="auto"/>
        <w:right w:val="none" w:sz="0" w:space="0" w:color="auto"/>
      </w:divBdr>
    </w:div>
    <w:div w:id="1279066371">
      <w:bodyDiv w:val="1"/>
      <w:marLeft w:val="0"/>
      <w:marRight w:val="0"/>
      <w:marTop w:val="0"/>
      <w:marBottom w:val="0"/>
      <w:divBdr>
        <w:top w:val="none" w:sz="0" w:space="0" w:color="auto"/>
        <w:left w:val="none" w:sz="0" w:space="0" w:color="auto"/>
        <w:bottom w:val="none" w:sz="0" w:space="0" w:color="auto"/>
        <w:right w:val="none" w:sz="0" w:space="0" w:color="auto"/>
      </w:divBdr>
    </w:div>
    <w:div w:id="1343121349">
      <w:bodyDiv w:val="1"/>
      <w:marLeft w:val="0"/>
      <w:marRight w:val="0"/>
      <w:marTop w:val="0"/>
      <w:marBottom w:val="0"/>
      <w:divBdr>
        <w:top w:val="none" w:sz="0" w:space="0" w:color="auto"/>
        <w:left w:val="none" w:sz="0" w:space="0" w:color="auto"/>
        <w:bottom w:val="none" w:sz="0" w:space="0" w:color="auto"/>
        <w:right w:val="none" w:sz="0" w:space="0" w:color="auto"/>
      </w:divBdr>
    </w:div>
    <w:div w:id="1361197884">
      <w:bodyDiv w:val="1"/>
      <w:marLeft w:val="0"/>
      <w:marRight w:val="0"/>
      <w:marTop w:val="0"/>
      <w:marBottom w:val="0"/>
      <w:divBdr>
        <w:top w:val="none" w:sz="0" w:space="0" w:color="auto"/>
        <w:left w:val="none" w:sz="0" w:space="0" w:color="auto"/>
        <w:bottom w:val="none" w:sz="0" w:space="0" w:color="auto"/>
        <w:right w:val="none" w:sz="0" w:space="0" w:color="auto"/>
      </w:divBdr>
    </w:div>
    <w:div w:id="1387996166">
      <w:bodyDiv w:val="1"/>
      <w:marLeft w:val="0"/>
      <w:marRight w:val="0"/>
      <w:marTop w:val="0"/>
      <w:marBottom w:val="0"/>
      <w:divBdr>
        <w:top w:val="none" w:sz="0" w:space="0" w:color="auto"/>
        <w:left w:val="none" w:sz="0" w:space="0" w:color="auto"/>
        <w:bottom w:val="none" w:sz="0" w:space="0" w:color="auto"/>
        <w:right w:val="none" w:sz="0" w:space="0" w:color="auto"/>
      </w:divBdr>
    </w:div>
    <w:div w:id="1420131070">
      <w:bodyDiv w:val="1"/>
      <w:marLeft w:val="0"/>
      <w:marRight w:val="0"/>
      <w:marTop w:val="0"/>
      <w:marBottom w:val="0"/>
      <w:divBdr>
        <w:top w:val="none" w:sz="0" w:space="0" w:color="auto"/>
        <w:left w:val="none" w:sz="0" w:space="0" w:color="auto"/>
        <w:bottom w:val="none" w:sz="0" w:space="0" w:color="auto"/>
        <w:right w:val="none" w:sz="0" w:space="0" w:color="auto"/>
      </w:divBdr>
    </w:div>
    <w:div w:id="1483934634">
      <w:bodyDiv w:val="1"/>
      <w:marLeft w:val="0"/>
      <w:marRight w:val="0"/>
      <w:marTop w:val="0"/>
      <w:marBottom w:val="0"/>
      <w:divBdr>
        <w:top w:val="none" w:sz="0" w:space="0" w:color="auto"/>
        <w:left w:val="none" w:sz="0" w:space="0" w:color="auto"/>
        <w:bottom w:val="none" w:sz="0" w:space="0" w:color="auto"/>
        <w:right w:val="none" w:sz="0" w:space="0" w:color="auto"/>
      </w:divBdr>
    </w:div>
    <w:div w:id="1524707403">
      <w:bodyDiv w:val="1"/>
      <w:marLeft w:val="0"/>
      <w:marRight w:val="0"/>
      <w:marTop w:val="0"/>
      <w:marBottom w:val="0"/>
      <w:divBdr>
        <w:top w:val="none" w:sz="0" w:space="0" w:color="auto"/>
        <w:left w:val="none" w:sz="0" w:space="0" w:color="auto"/>
        <w:bottom w:val="none" w:sz="0" w:space="0" w:color="auto"/>
        <w:right w:val="none" w:sz="0" w:space="0" w:color="auto"/>
      </w:divBdr>
    </w:div>
    <w:div w:id="1613395281">
      <w:bodyDiv w:val="1"/>
      <w:marLeft w:val="0"/>
      <w:marRight w:val="0"/>
      <w:marTop w:val="0"/>
      <w:marBottom w:val="0"/>
      <w:divBdr>
        <w:top w:val="none" w:sz="0" w:space="0" w:color="auto"/>
        <w:left w:val="none" w:sz="0" w:space="0" w:color="auto"/>
        <w:bottom w:val="none" w:sz="0" w:space="0" w:color="auto"/>
        <w:right w:val="none" w:sz="0" w:space="0" w:color="auto"/>
      </w:divBdr>
    </w:div>
    <w:div w:id="1650282851">
      <w:bodyDiv w:val="1"/>
      <w:marLeft w:val="0"/>
      <w:marRight w:val="0"/>
      <w:marTop w:val="0"/>
      <w:marBottom w:val="0"/>
      <w:divBdr>
        <w:top w:val="none" w:sz="0" w:space="0" w:color="auto"/>
        <w:left w:val="none" w:sz="0" w:space="0" w:color="auto"/>
        <w:bottom w:val="none" w:sz="0" w:space="0" w:color="auto"/>
        <w:right w:val="none" w:sz="0" w:space="0" w:color="auto"/>
      </w:divBdr>
    </w:div>
    <w:div w:id="1656178963">
      <w:bodyDiv w:val="1"/>
      <w:marLeft w:val="0"/>
      <w:marRight w:val="0"/>
      <w:marTop w:val="0"/>
      <w:marBottom w:val="0"/>
      <w:divBdr>
        <w:top w:val="none" w:sz="0" w:space="0" w:color="auto"/>
        <w:left w:val="none" w:sz="0" w:space="0" w:color="auto"/>
        <w:bottom w:val="none" w:sz="0" w:space="0" w:color="auto"/>
        <w:right w:val="none" w:sz="0" w:space="0" w:color="auto"/>
      </w:divBdr>
    </w:div>
    <w:div w:id="1663122945">
      <w:bodyDiv w:val="1"/>
      <w:marLeft w:val="0"/>
      <w:marRight w:val="0"/>
      <w:marTop w:val="0"/>
      <w:marBottom w:val="0"/>
      <w:divBdr>
        <w:top w:val="none" w:sz="0" w:space="0" w:color="auto"/>
        <w:left w:val="none" w:sz="0" w:space="0" w:color="auto"/>
        <w:bottom w:val="none" w:sz="0" w:space="0" w:color="auto"/>
        <w:right w:val="none" w:sz="0" w:space="0" w:color="auto"/>
      </w:divBdr>
    </w:div>
    <w:div w:id="1690764009">
      <w:bodyDiv w:val="1"/>
      <w:marLeft w:val="0"/>
      <w:marRight w:val="0"/>
      <w:marTop w:val="0"/>
      <w:marBottom w:val="0"/>
      <w:divBdr>
        <w:top w:val="none" w:sz="0" w:space="0" w:color="auto"/>
        <w:left w:val="none" w:sz="0" w:space="0" w:color="auto"/>
        <w:bottom w:val="none" w:sz="0" w:space="0" w:color="auto"/>
        <w:right w:val="none" w:sz="0" w:space="0" w:color="auto"/>
      </w:divBdr>
    </w:div>
    <w:div w:id="1711413205">
      <w:bodyDiv w:val="1"/>
      <w:marLeft w:val="0"/>
      <w:marRight w:val="0"/>
      <w:marTop w:val="0"/>
      <w:marBottom w:val="0"/>
      <w:divBdr>
        <w:top w:val="none" w:sz="0" w:space="0" w:color="auto"/>
        <w:left w:val="none" w:sz="0" w:space="0" w:color="auto"/>
        <w:bottom w:val="none" w:sz="0" w:space="0" w:color="auto"/>
        <w:right w:val="none" w:sz="0" w:space="0" w:color="auto"/>
      </w:divBdr>
      <w:divsChild>
        <w:div w:id="199322671">
          <w:marLeft w:val="0"/>
          <w:marRight w:val="0"/>
          <w:marTop w:val="0"/>
          <w:marBottom w:val="0"/>
          <w:divBdr>
            <w:top w:val="none" w:sz="0" w:space="0" w:color="auto"/>
            <w:left w:val="none" w:sz="0" w:space="0" w:color="auto"/>
            <w:bottom w:val="none" w:sz="0" w:space="0" w:color="auto"/>
            <w:right w:val="none" w:sz="0" w:space="0" w:color="auto"/>
          </w:divBdr>
        </w:div>
      </w:divsChild>
    </w:div>
    <w:div w:id="1729112413">
      <w:bodyDiv w:val="1"/>
      <w:marLeft w:val="0"/>
      <w:marRight w:val="0"/>
      <w:marTop w:val="0"/>
      <w:marBottom w:val="0"/>
      <w:divBdr>
        <w:top w:val="none" w:sz="0" w:space="0" w:color="auto"/>
        <w:left w:val="none" w:sz="0" w:space="0" w:color="auto"/>
        <w:bottom w:val="none" w:sz="0" w:space="0" w:color="auto"/>
        <w:right w:val="none" w:sz="0" w:space="0" w:color="auto"/>
      </w:divBdr>
    </w:div>
    <w:div w:id="1966043281">
      <w:bodyDiv w:val="1"/>
      <w:marLeft w:val="0"/>
      <w:marRight w:val="0"/>
      <w:marTop w:val="0"/>
      <w:marBottom w:val="0"/>
      <w:divBdr>
        <w:top w:val="none" w:sz="0" w:space="0" w:color="auto"/>
        <w:left w:val="none" w:sz="0" w:space="0" w:color="auto"/>
        <w:bottom w:val="none" w:sz="0" w:space="0" w:color="auto"/>
        <w:right w:val="none" w:sz="0" w:space="0" w:color="auto"/>
      </w:divBdr>
    </w:div>
    <w:div w:id="2005477296">
      <w:bodyDiv w:val="1"/>
      <w:marLeft w:val="0"/>
      <w:marRight w:val="0"/>
      <w:marTop w:val="0"/>
      <w:marBottom w:val="0"/>
      <w:divBdr>
        <w:top w:val="none" w:sz="0" w:space="0" w:color="auto"/>
        <w:left w:val="none" w:sz="0" w:space="0" w:color="auto"/>
        <w:bottom w:val="none" w:sz="0" w:space="0" w:color="auto"/>
        <w:right w:val="none" w:sz="0" w:space="0" w:color="auto"/>
      </w:divBdr>
    </w:div>
    <w:div w:id="2009674678">
      <w:bodyDiv w:val="1"/>
      <w:marLeft w:val="0"/>
      <w:marRight w:val="0"/>
      <w:marTop w:val="0"/>
      <w:marBottom w:val="0"/>
      <w:divBdr>
        <w:top w:val="none" w:sz="0" w:space="0" w:color="auto"/>
        <w:left w:val="none" w:sz="0" w:space="0" w:color="auto"/>
        <w:bottom w:val="none" w:sz="0" w:space="0" w:color="auto"/>
        <w:right w:val="none" w:sz="0" w:space="0" w:color="auto"/>
      </w:divBdr>
    </w:div>
    <w:div w:id="2095124945">
      <w:bodyDiv w:val="1"/>
      <w:marLeft w:val="0"/>
      <w:marRight w:val="0"/>
      <w:marTop w:val="0"/>
      <w:marBottom w:val="0"/>
      <w:divBdr>
        <w:top w:val="none" w:sz="0" w:space="0" w:color="auto"/>
        <w:left w:val="none" w:sz="0" w:space="0" w:color="auto"/>
        <w:bottom w:val="none" w:sz="0" w:space="0" w:color="auto"/>
        <w:right w:val="none" w:sz="0" w:space="0" w:color="auto"/>
      </w:divBdr>
      <w:divsChild>
        <w:div w:id="1935047391">
          <w:marLeft w:val="0"/>
          <w:marRight w:val="0"/>
          <w:marTop w:val="0"/>
          <w:marBottom w:val="0"/>
          <w:divBdr>
            <w:top w:val="none" w:sz="0" w:space="0" w:color="auto"/>
            <w:left w:val="none" w:sz="0" w:space="0" w:color="auto"/>
            <w:bottom w:val="none" w:sz="0" w:space="0" w:color="auto"/>
            <w:right w:val="none" w:sz="0" w:space="0" w:color="auto"/>
          </w:divBdr>
          <w:divsChild>
            <w:div w:id="2041783762">
              <w:marLeft w:val="0"/>
              <w:marRight w:val="0"/>
              <w:marTop w:val="0"/>
              <w:marBottom w:val="0"/>
              <w:divBdr>
                <w:top w:val="none" w:sz="0" w:space="0" w:color="auto"/>
                <w:left w:val="none" w:sz="0" w:space="0" w:color="auto"/>
                <w:bottom w:val="none" w:sz="0" w:space="0" w:color="auto"/>
                <w:right w:val="none" w:sz="0" w:space="0" w:color="auto"/>
              </w:divBdr>
              <w:divsChild>
                <w:div w:id="112141781">
                  <w:marLeft w:val="0"/>
                  <w:marRight w:val="0"/>
                  <w:marTop w:val="0"/>
                  <w:marBottom w:val="0"/>
                  <w:divBdr>
                    <w:top w:val="none" w:sz="0" w:space="0" w:color="auto"/>
                    <w:left w:val="none" w:sz="0" w:space="0" w:color="auto"/>
                    <w:bottom w:val="none" w:sz="0" w:space="0" w:color="auto"/>
                    <w:right w:val="none" w:sz="0" w:space="0" w:color="auto"/>
                  </w:divBdr>
                  <w:divsChild>
                    <w:div w:id="1902522421">
                      <w:marLeft w:val="0"/>
                      <w:marRight w:val="0"/>
                      <w:marTop w:val="0"/>
                      <w:marBottom w:val="0"/>
                      <w:divBdr>
                        <w:top w:val="none" w:sz="0" w:space="0" w:color="auto"/>
                        <w:left w:val="none" w:sz="0" w:space="0" w:color="auto"/>
                        <w:bottom w:val="none" w:sz="0" w:space="0" w:color="auto"/>
                        <w:right w:val="none" w:sz="0" w:space="0" w:color="auto"/>
                      </w:divBdr>
                      <w:divsChild>
                        <w:div w:id="1739864104">
                          <w:marLeft w:val="0"/>
                          <w:marRight w:val="0"/>
                          <w:marTop w:val="0"/>
                          <w:marBottom w:val="0"/>
                          <w:divBdr>
                            <w:top w:val="none" w:sz="0" w:space="0" w:color="auto"/>
                            <w:left w:val="none" w:sz="0" w:space="0" w:color="auto"/>
                            <w:bottom w:val="none" w:sz="0" w:space="0" w:color="auto"/>
                            <w:right w:val="none" w:sz="0" w:space="0" w:color="auto"/>
                          </w:divBdr>
                          <w:divsChild>
                            <w:div w:id="96110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58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D924D-E26B-454D-98E2-B65E0E65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3931</TotalTime>
  <Pages>4</Pages>
  <Words>2237</Words>
  <Characters>12981</Characters>
  <Application>Microsoft Office Word</Application>
  <DocSecurity>0</DocSecurity>
  <Lines>108</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tudor.sclifos@maia.gov.md</dc:creator>
  <cp:keywords/>
  <dc:description/>
  <cp:lastModifiedBy>Cont Microsoft</cp:lastModifiedBy>
  <cp:revision>26</cp:revision>
  <cp:lastPrinted>2026-05-20T06:44:00Z</cp:lastPrinted>
  <dcterms:created xsi:type="dcterms:W3CDTF">2026-04-15T13:37:00Z</dcterms:created>
  <dcterms:modified xsi:type="dcterms:W3CDTF">2026-06-12T12:27:00Z</dcterms:modified>
</cp:coreProperties>
</file>