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66F35" w14:textId="77777777" w:rsidR="00767989" w:rsidRDefault="00000000">
      <w:pPr>
        <w:spacing w:line="276" w:lineRule="auto"/>
        <w:ind w:firstLine="5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SINTEZA</w:t>
      </w:r>
    </w:p>
    <w:p w14:paraId="01F4F988" w14:textId="77777777" w:rsidR="00767989" w:rsidRDefault="00000000">
      <w:pPr>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la proiectul de lege pentru modificarea unor acte normative </w:t>
      </w:r>
    </w:p>
    <w:p w14:paraId="2E158F81" w14:textId="77777777" w:rsidR="00767989" w:rsidRDefault="00000000">
      <w:pPr>
        <w:spacing w:line="276"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bCs/>
          <w:i/>
          <w:iCs/>
          <w:sz w:val="24"/>
          <w:szCs w:val="24"/>
        </w:rPr>
        <w:t>alinierea legislației la prevederile Convenției Organizației Internaționale a Muncii nr. 156/1981)</w:t>
      </w:r>
    </w:p>
    <w:p w14:paraId="0C2F0B14" w14:textId="77777777" w:rsidR="00767989" w:rsidRDefault="00000000">
      <w:pPr>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 </w:t>
      </w:r>
    </w:p>
    <w:tbl>
      <w:tblPr>
        <w:tblStyle w:val="a"/>
        <w:tblW w:w="15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15"/>
        <w:gridCol w:w="2760"/>
        <w:gridCol w:w="5640"/>
        <w:gridCol w:w="6360"/>
      </w:tblGrid>
      <w:tr w:rsidR="00767989" w14:paraId="6855B12E" w14:textId="77777777">
        <w:trPr>
          <w:trHeight w:val="615"/>
        </w:trPr>
        <w:tc>
          <w:tcPr>
            <w:tcW w:w="915" w:type="dxa"/>
            <w:tcBorders>
              <w:top w:val="single" w:sz="6" w:space="0" w:color="999999"/>
              <w:left w:val="single" w:sz="6" w:space="0" w:color="999999"/>
              <w:bottom w:val="single" w:sz="6" w:space="0" w:color="999999"/>
              <w:right w:val="single" w:sz="6" w:space="0" w:color="999999"/>
            </w:tcBorders>
            <w:tcMar>
              <w:top w:w="0" w:type="dxa"/>
              <w:left w:w="100" w:type="dxa"/>
              <w:bottom w:w="0" w:type="dxa"/>
              <w:right w:w="100" w:type="dxa"/>
            </w:tcMar>
          </w:tcPr>
          <w:p w14:paraId="03C8C620" w14:textId="77777777" w:rsidR="00767989" w:rsidRDefault="00000000">
            <w:pPr>
              <w:spacing w:line="276" w:lineRule="auto"/>
              <w:ind w:left="140"/>
              <w:rPr>
                <w:rFonts w:ascii="Times New Roman" w:eastAsia="Times New Roman" w:hAnsi="Times New Roman" w:cs="Times New Roman"/>
                <w:sz w:val="24"/>
                <w:szCs w:val="24"/>
              </w:rPr>
            </w:pPr>
            <w:r>
              <w:rPr>
                <w:rFonts w:ascii="Times New Roman" w:eastAsia="Times New Roman" w:hAnsi="Times New Roman" w:cs="Times New Roman"/>
                <w:sz w:val="24"/>
                <w:szCs w:val="24"/>
              </w:rPr>
              <w:t>Nr. d/o</w:t>
            </w:r>
          </w:p>
        </w:tc>
        <w:tc>
          <w:tcPr>
            <w:tcW w:w="2760" w:type="dxa"/>
            <w:tcBorders>
              <w:top w:val="single" w:sz="6" w:space="0" w:color="999999"/>
              <w:left w:val="nil"/>
              <w:bottom w:val="single" w:sz="6" w:space="0" w:color="999999"/>
              <w:right w:val="single" w:sz="6" w:space="0" w:color="999999"/>
            </w:tcBorders>
            <w:tcMar>
              <w:top w:w="0" w:type="dxa"/>
              <w:left w:w="100" w:type="dxa"/>
              <w:bottom w:w="0" w:type="dxa"/>
              <w:right w:w="100" w:type="dxa"/>
            </w:tcMar>
          </w:tcPr>
          <w:p w14:paraId="48657485" w14:textId="77777777" w:rsidR="00767989"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Autorul propunerilor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obiecţiilor</w:t>
            </w:r>
            <w:proofErr w:type="spellEnd"/>
          </w:p>
        </w:tc>
        <w:tc>
          <w:tcPr>
            <w:tcW w:w="5640" w:type="dxa"/>
            <w:tcBorders>
              <w:top w:val="single" w:sz="6" w:space="0" w:color="999999"/>
              <w:left w:val="nil"/>
              <w:bottom w:val="single" w:sz="6" w:space="0" w:color="999999"/>
              <w:right w:val="single" w:sz="6" w:space="0" w:color="999999"/>
            </w:tcBorders>
            <w:tcMar>
              <w:top w:w="0" w:type="dxa"/>
              <w:left w:w="100" w:type="dxa"/>
              <w:bottom w:w="0" w:type="dxa"/>
              <w:right w:w="100" w:type="dxa"/>
            </w:tcMar>
          </w:tcPr>
          <w:p w14:paraId="7733E350" w14:textId="77777777" w:rsidR="00767989" w:rsidRDefault="00000000">
            <w:pPr>
              <w:spacing w:line="276" w:lineRule="auto"/>
              <w:ind w:left="140" w:firstLine="5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Conținutul propunerilor, obiecțiilor</w:t>
            </w:r>
          </w:p>
        </w:tc>
        <w:tc>
          <w:tcPr>
            <w:tcW w:w="6360" w:type="dxa"/>
            <w:tcBorders>
              <w:top w:val="single" w:sz="6" w:space="0" w:color="999999"/>
              <w:left w:val="nil"/>
              <w:bottom w:val="single" w:sz="6" w:space="0" w:color="999999"/>
              <w:right w:val="single" w:sz="6" w:space="0" w:color="999999"/>
            </w:tcBorders>
            <w:tcMar>
              <w:top w:w="0" w:type="dxa"/>
              <w:left w:w="100" w:type="dxa"/>
              <w:bottom w:w="0" w:type="dxa"/>
              <w:right w:w="100" w:type="dxa"/>
            </w:tcMar>
          </w:tcPr>
          <w:p w14:paraId="1CA45B77" w14:textId="77777777" w:rsidR="00767989" w:rsidRDefault="00000000">
            <w:pPr>
              <w:spacing w:line="276" w:lineRule="auto"/>
              <w:ind w:left="140" w:firstLine="5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Argumentare</w:t>
            </w:r>
          </w:p>
        </w:tc>
      </w:tr>
      <w:tr w:rsidR="00767989" w14:paraId="09D92FC4" w14:textId="77777777">
        <w:trPr>
          <w:trHeight w:val="270"/>
        </w:trPr>
        <w:tc>
          <w:tcPr>
            <w:tcW w:w="915" w:type="dxa"/>
            <w:tcBorders>
              <w:top w:val="nil"/>
              <w:left w:val="single" w:sz="6" w:space="0" w:color="999999"/>
              <w:bottom w:val="single" w:sz="6" w:space="0" w:color="999999"/>
              <w:right w:val="single" w:sz="6" w:space="0" w:color="999999"/>
            </w:tcBorders>
            <w:tcMar>
              <w:top w:w="0" w:type="dxa"/>
              <w:left w:w="100" w:type="dxa"/>
              <w:bottom w:w="0" w:type="dxa"/>
              <w:right w:w="100" w:type="dxa"/>
            </w:tcMar>
          </w:tcPr>
          <w:p w14:paraId="3A7B2075" w14:textId="77777777" w:rsidR="00767989" w:rsidRDefault="00000000">
            <w:pPr>
              <w:spacing w:line="276" w:lineRule="auto"/>
              <w:ind w:left="14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1</w:t>
            </w:r>
          </w:p>
        </w:tc>
        <w:tc>
          <w:tcPr>
            <w:tcW w:w="2760" w:type="dxa"/>
            <w:tcBorders>
              <w:top w:val="nil"/>
              <w:left w:val="nil"/>
              <w:bottom w:val="single" w:sz="6" w:space="0" w:color="999999"/>
              <w:right w:val="single" w:sz="6" w:space="0" w:color="999999"/>
            </w:tcBorders>
            <w:tcMar>
              <w:top w:w="0" w:type="dxa"/>
              <w:left w:w="100" w:type="dxa"/>
              <w:bottom w:w="0" w:type="dxa"/>
              <w:right w:w="100" w:type="dxa"/>
            </w:tcMar>
          </w:tcPr>
          <w:p w14:paraId="2098EDD1" w14:textId="77777777" w:rsidR="00767989" w:rsidRDefault="00000000">
            <w:pPr>
              <w:spacing w:line="276" w:lineRule="auto"/>
              <w:ind w:left="140" w:firstLine="560"/>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w:t>
            </w:r>
          </w:p>
        </w:tc>
        <w:tc>
          <w:tcPr>
            <w:tcW w:w="5640" w:type="dxa"/>
            <w:tcBorders>
              <w:top w:val="nil"/>
              <w:left w:val="nil"/>
              <w:bottom w:val="single" w:sz="6" w:space="0" w:color="999999"/>
              <w:right w:val="single" w:sz="6" w:space="0" w:color="999999"/>
            </w:tcBorders>
            <w:tcMar>
              <w:top w:w="0" w:type="dxa"/>
              <w:left w:w="100" w:type="dxa"/>
              <w:bottom w:w="0" w:type="dxa"/>
              <w:right w:w="100" w:type="dxa"/>
            </w:tcMar>
          </w:tcPr>
          <w:p w14:paraId="25E81F14" w14:textId="77777777" w:rsidR="00767989" w:rsidRDefault="00000000">
            <w:pPr>
              <w:spacing w:line="276" w:lineRule="auto"/>
              <w:ind w:left="140" w:firstLine="560"/>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3</w:t>
            </w:r>
          </w:p>
        </w:tc>
        <w:tc>
          <w:tcPr>
            <w:tcW w:w="6360" w:type="dxa"/>
            <w:tcBorders>
              <w:top w:val="nil"/>
              <w:left w:val="nil"/>
              <w:bottom w:val="single" w:sz="6" w:space="0" w:color="999999"/>
              <w:right w:val="single" w:sz="6" w:space="0" w:color="999999"/>
            </w:tcBorders>
            <w:tcMar>
              <w:top w:w="0" w:type="dxa"/>
              <w:left w:w="100" w:type="dxa"/>
              <w:bottom w:w="0" w:type="dxa"/>
              <w:right w:w="100" w:type="dxa"/>
            </w:tcMar>
          </w:tcPr>
          <w:p w14:paraId="54FD05ED" w14:textId="77777777" w:rsidR="00767989" w:rsidRDefault="00000000">
            <w:pPr>
              <w:spacing w:line="276" w:lineRule="auto"/>
              <w:ind w:left="140" w:firstLine="560"/>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w:t>
            </w:r>
          </w:p>
        </w:tc>
      </w:tr>
      <w:tr w:rsidR="00767989" w14:paraId="5B18241B" w14:textId="77777777">
        <w:trPr>
          <w:trHeight w:val="270"/>
        </w:trPr>
        <w:tc>
          <w:tcPr>
            <w:tcW w:w="15675" w:type="dxa"/>
            <w:gridSpan w:val="4"/>
            <w:tcBorders>
              <w:top w:val="nil"/>
              <w:left w:val="single" w:sz="6" w:space="0" w:color="999999"/>
              <w:bottom w:val="single" w:sz="6" w:space="0" w:color="999999"/>
              <w:right w:val="single" w:sz="6" w:space="0" w:color="999999"/>
            </w:tcBorders>
            <w:tcMar>
              <w:top w:w="0" w:type="dxa"/>
              <w:left w:w="100" w:type="dxa"/>
              <w:bottom w:w="0" w:type="dxa"/>
              <w:right w:w="100" w:type="dxa"/>
            </w:tcMar>
          </w:tcPr>
          <w:p w14:paraId="6C0A1D6F" w14:textId="77777777" w:rsidR="00767989" w:rsidRDefault="00000000">
            <w:pPr>
              <w:spacing w:line="276" w:lineRule="auto"/>
              <w:ind w:left="140" w:firstLine="56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Procedura de avizare</w:t>
            </w:r>
          </w:p>
        </w:tc>
      </w:tr>
      <w:tr w:rsidR="00767989" w14:paraId="5B2ADE99" w14:textId="77777777">
        <w:trPr>
          <w:trHeight w:val="3263"/>
        </w:trPr>
        <w:tc>
          <w:tcPr>
            <w:tcW w:w="915" w:type="dxa"/>
            <w:tcBorders>
              <w:top w:val="single" w:sz="6" w:space="0" w:color="999999"/>
              <w:left w:val="single" w:sz="6" w:space="0" w:color="999999"/>
              <w:bottom w:val="single" w:sz="6" w:space="0" w:color="999999"/>
              <w:right w:val="single" w:sz="6" w:space="0" w:color="999999"/>
            </w:tcBorders>
            <w:tcMar>
              <w:top w:w="0" w:type="dxa"/>
              <w:bottom w:w="0" w:type="dxa"/>
            </w:tcMar>
          </w:tcPr>
          <w:p w14:paraId="482E1885" w14:textId="77777777" w:rsidR="00767989" w:rsidRDefault="00000000">
            <w:pPr>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       </w:t>
            </w:r>
          </w:p>
          <w:p w14:paraId="2B6F71B2" w14:textId="77777777" w:rsidR="00767989" w:rsidRDefault="00000000">
            <w:pPr>
              <w:spacing w:line="276" w:lineRule="auto"/>
              <w:ind w:left="480" w:hanging="3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c>
        <w:tc>
          <w:tcPr>
            <w:tcW w:w="2760" w:type="dxa"/>
            <w:tcBorders>
              <w:top w:val="single" w:sz="6" w:space="0" w:color="999999"/>
              <w:left w:val="single" w:sz="6" w:space="0" w:color="999999"/>
              <w:bottom w:val="single" w:sz="6" w:space="0" w:color="999999"/>
              <w:right w:val="single" w:sz="6" w:space="0" w:color="999999"/>
            </w:tcBorders>
            <w:tcMar>
              <w:top w:w="0" w:type="dxa"/>
              <w:bottom w:w="0" w:type="dxa"/>
            </w:tcMar>
          </w:tcPr>
          <w:p w14:paraId="6D698929" w14:textId="77777777" w:rsidR="00767989"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Ministerul Finanțelor</w:t>
            </w:r>
          </w:p>
          <w:p w14:paraId="04BFDF63" w14:textId="77777777" w:rsidR="00767989"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 04-06/398  din 18.05.2026</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4FE9853F"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Luând în considerație faptul că implementarea modificărilor propuse la Legea nr. 156/1998 privind sistemul public de pensii va necesita mijloace financiare suplimentare estimate la 54,0 mii lei în anul 2027, 62,3 mii lei în anul 2028 </w:t>
            </w:r>
            <w:proofErr w:type="spellStart"/>
            <w:r>
              <w:rPr>
                <w:rFonts w:ascii="Times New Roman" w:eastAsia="Times New Roman" w:hAnsi="Times New Roman" w:cs="Times New Roman"/>
                <w:sz w:val="24"/>
                <w:szCs w:val="24"/>
                <w:highlight w:val="white"/>
              </w:rPr>
              <w:t>şi</w:t>
            </w:r>
            <w:proofErr w:type="spellEnd"/>
            <w:r>
              <w:rPr>
                <w:rFonts w:ascii="Times New Roman" w:eastAsia="Times New Roman" w:hAnsi="Times New Roman" w:cs="Times New Roman"/>
                <w:sz w:val="24"/>
                <w:szCs w:val="24"/>
                <w:highlight w:val="white"/>
              </w:rPr>
              <w:t xml:space="preserve"> 71,1 mii lei în anul 2029, precum </w:t>
            </w:r>
            <w:proofErr w:type="spellStart"/>
            <w:r>
              <w:rPr>
                <w:rFonts w:ascii="Times New Roman" w:eastAsia="Times New Roman" w:hAnsi="Times New Roman" w:cs="Times New Roman"/>
                <w:sz w:val="24"/>
                <w:szCs w:val="24"/>
                <w:highlight w:val="white"/>
              </w:rPr>
              <w:t>şi</w:t>
            </w:r>
            <w:proofErr w:type="spellEnd"/>
            <w:r>
              <w:rPr>
                <w:rFonts w:ascii="Times New Roman" w:eastAsia="Times New Roman" w:hAnsi="Times New Roman" w:cs="Times New Roman"/>
                <w:sz w:val="24"/>
                <w:szCs w:val="24"/>
                <w:highlight w:val="white"/>
              </w:rPr>
              <w:t xml:space="preserve"> cheltuieli de circa 65,0 mii lei pentru ajustarea sistemului informațional al Casei Naționale de Asigurări Sociale, considerăm necesar ca autorul să identifice </w:t>
            </w:r>
            <w:proofErr w:type="spellStart"/>
            <w:r>
              <w:rPr>
                <w:rFonts w:ascii="Times New Roman" w:eastAsia="Times New Roman" w:hAnsi="Times New Roman" w:cs="Times New Roman"/>
                <w:sz w:val="24"/>
                <w:szCs w:val="24"/>
                <w:highlight w:val="white"/>
              </w:rPr>
              <w:t>şi</w:t>
            </w:r>
            <w:proofErr w:type="spellEnd"/>
            <w:r>
              <w:rPr>
                <w:rFonts w:ascii="Times New Roman" w:eastAsia="Times New Roman" w:hAnsi="Times New Roman" w:cs="Times New Roman"/>
                <w:sz w:val="24"/>
                <w:szCs w:val="24"/>
                <w:highlight w:val="white"/>
              </w:rPr>
              <w:t xml:space="preserve"> să menționeze, în Nota de fundamentare, sursa de acoperire a cheltuielilor respective. </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4CA9A923" w14:textId="77777777" w:rsidR="00767989"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acceptă.</w:t>
            </w:r>
          </w:p>
          <w:p w14:paraId="23CA8918" w14:textId="77777777" w:rsidR="00767989"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Sursa de acoperire - Bugetul Asigurărilor Sociale de Stat,</w:t>
            </w:r>
          </w:p>
          <w:p w14:paraId="2BFA2E58" w14:textId="77777777" w:rsidR="00767989"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nota de fundamentare a fost completată corespunzător. </w:t>
            </w:r>
          </w:p>
          <w:p w14:paraId="37D0AA87" w14:textId="77777777" w:rsidR="00767989" w:rsidRDefault="00767989">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highlight w:val="white"/>
              </w:rPr>
            </w:pPr>
          </w:p>
        </w:tc>
      </w:tr>
      <w:tr w:rsidR="00767989" w14:paraId="49910632" w14:textId="77777777">
        <w:trPr>
          <w:trHeight w:val="1391"/>
        </w:trPr>
        <w:tc>
          <w:tcPr>
            <w:tcW w:w="915" w:type="dxa"/>
            <w:tcBorders>
              <w:top w:val="nil"/>
              <w:left w:val="single" w:sz="6" w:space="0" w:color="999999"/>
              <w:bottom w:val="single" w:sz="6" w:space="0" w:color="999999"/>
              <w:right w:val="single" w:sz="6" w:space="0" w:color="999999"/>
            </w:tcBorders>
            <w:shd w:val="clear" w:color="auto" w:fill="auto"/>
            <w:tcMar>
              <w:top w:w="100" w:type="dxa"/>
              <w:left w:w="100" w:type="dxa"/>
              <w:bottom w:w="100" w:type="dxa"/>
              <w:right w:w="100" w:type="dxa"/>
            </w:tcMar>
          </w:tcPr>
          <w:p w14:paraId="16AA8075" w14:textId="77777777" w:rsidR="00767989" w:rsidRDefault="00000000">
            <w:pPr>
              <w:spacing w:line="276" w:lineRule="auto"/>
              <w:ind w:left="1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2760" w:type="dxa"/>
            <w:tcBorders>
              <w:top w:val="nil"/>
              <w:left w:val="nil"/>
              <w:bottom w:val="single" w:sz="6" w:space="0" w:color="999999"/>
              <w:right w:val="single" w:sz="6" w:space="0" w:color="999999"/>
            </w:tcBorders>
            <w:shd w:val="clear" w:color="auto" w:fill="auto"/>
            <w:tcMar>
              <w:top w:w="100" w:type="dxa"/>
              <w:left w:w="100" w:type="dxa"/>
              <w:bottom w:w="100" w:type="dxa"/>
              <w:right w:w="100" w:type="dxa"/>
            </w:tcMar>
          </w:tcPr>
          <w:p w14:paraId="260EB90F" w14:textId="77777777" w:rsidR="00767989"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Ministerul Dezvoltării Economice și Digitalizării</w:t>
            </w:r>
          </w:p>
          <w:p w14:paraId="1DDE42E7" w14:textId="77777777" w:rsidR="00767989"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 03-1717</w:t>
            </w:r>
          </w:p>
          <w:p w14:paraId="72B95236" w14:textId="77777777" w:rsidR="00767989"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 20.05.2026</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4A93C798"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Nota de fundamentare, la comp.4, referitor la impactul asupra sectorului privat, considerăm oportun completarea analizei impactului cu estimarea și cuantificarea expresă a costurilor în raport cu potențialele beneficii.</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25CF44D" w14:textId="77777777" w:rsidR="00767989"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acceptă.</w:t>
            </w:r>
          </w:p>
          <w:p w14:paraId="6314FEE5" w14:textId="77777777" w:rsidR="00767989"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Compartimentul 4.3 Impactul asupra sectorului privat din Nota de fundamentare a fost completat.</w:t>
            </w:r>
          </w:p>
          <w:p w14:paraId="378377A0" w14:textId="77777777" w:rsidR="00767989" w:rsidRDefault="00767989">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sz w:val="24"/>
                <w:szCs w:val="24"/>
                <w:highlight w:val="white"/>
              </w:rPr>
            </w:pPr>
          </w:p>
        </w:tc>
      </w:tr>
      <w:tr w:rsidR="00767989" w14:paraId="10FD67CD" w14:textId="77777777">
        <w:trPr>
          <w:trHeight w:val="870"/>
        </w:trPr>
        <w:tc>
          <w:tcPr>
            <w:tcW w:w="91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BA79A88" w14:textId="77777777" w:rsidR="00767989" w:rsidRDefault="00000000">
            <w:pPr>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3.       </w:t>
            </w:r>
          </w:p>
        </w:tc>
        <w:tc>
          <w:tcPr>
            <w:tcW w:w="276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7E0429A" w14:textId="77777777" w:rsidR="00767989"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Casa Națională de Asigurări Sociale</w:t>
            </w:r>
          </w:p>
          <w:p w14:paraId="0167D6B4" w14:textId="77777777" w:rsidR="00767989"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Nr. 7221 din 15.05.2026</w:t>
            </w:r>
          </w:p>
        </w:tc>
        <w:tc>
          <w:tcPr>
            <w:tcW w:w="56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A4792E"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Lipsă de propuneri și obiecții.</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4BC99F9F" w14:textId="77777777" w:rsidR="00767989"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white"/>
              </w:rPr>
              <w:t xml:space="preserve"> Se ia act.</w:t>
            </w:r>
          </w:p>
        </w:tc>
      </w:tr>
      <w:tr w:rsidR="00767989" w14:paraId="55D8D3D5" w14:textId="77777777">
        <w:trPr>
          <w:trHeight w:val="1151"/>
        </w:trPr>
        <w:tc>
          <w:tcPr>
            <w:tcW w:w="91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483D4C6" w14:textId="77777777" w:rsidR="00767989" w:rsidRDefault="00000000">
            <w:pPr>
              <w:spacing w:line="276" w:lineRule="auto"/>
              <w:ind w:left="14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4.</w:t>
            </w:r>
          </w:p>
        </w:tc>
        <w:tc>
          <w:tcPr>
            <w:tcW w:w="276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869DB3" w14:textId="77777777" w:rsidR="00767989" w:rsidRDefault="00000000">
            <w:pPr>
              <w:spacing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Confederația Națională a Sindicatelor din Republica Moldova</w:t>
            </w:r>
          </w:p>
          <w:p w14:paraId="375CB9D7" w14:textId="77777777" w:rsidR="00767989"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Nr. 04-17/313 din 15.05.2026</w:t>
            </w:r>
          </w:p>
        </w:tc>
        <w:tc>
          <w:tcPr>
            <w:tcW w:w="56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B523076"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Lipsă de propuneri și obiecții.</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1B1A2A63" w14:textId="77777777" w:rsidR="00767989"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ia act.</w:t>
            </w:r>
          </w:p>
        </w:tc>
      </w:tr>
      <w:tr w:rsidR="00767989" w14:paraId="4D6017C8" w14:textId="77777777">
        <w:trPr>
          <w:trHeight w:val="1455"/>
        </w:trPr>
        <w:tc>
          <w:tcPr>
            <w:tcW w:w="91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A43713C" w14:textId="77777777" w:rsidR="00767989"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5</w:t>
            </w:r>
            <w:r>
              <w:rPr>
                <w:rFonts w:ascii="Times New Roman" w:eastAsia="Times New Roman" w:hAnsi="Times New Roman" w:cs="Times New Roman"/>
                <w:sz w:val="24"/>
                <w:szCs w:val="24"/>
                <w:highlight w:val="white"/>
              </w:rPr>
              <w:t>.</w:t>
            </w:r>
          </w:p>
        </w:tc>
        <w:tc>
          <w:tcPr>
            <w:tcW w:w="276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85C095B" w14:textId="77777777" w:rsidR="00767989"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Confederația Națională a Patronatului din Republica Moldova</w:t>
            </w:r>
          </w:p>
          <w:p w14:paraId="4DDF9397" w14:textId="77777777" w:rsidR="00767989"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Nr.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05/1-40 din 15.05.2026</w:t>
            </w:r>
          </w:p>
        </w:tc>
        <w:tc>
          <w:tcPr>
            <w:tcW w:w="56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2DF627"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Lipsă de propuneri și obiecții.</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1F48F808" w14:textId="77777777" w:rsidR="00767989"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ia act.</w:t>
            </w:r>
          </w:p>
        </w:tc>
      </w:tr>
      <w:tr w:rsidR="00767989" w14:paraId="779F1A28" w14:textId="77777777">
        <w:trPr>
          <w:trHeight w:val="1440"/>
        </w:trPr>
        <w:tc>
          <w:tcPr>
            <w:tcW w:w="915" w:type="dxa"/>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7A7D3B6E" w14:textId="77777777" w:rsidR="00767989" w:rsidRDefault="00000000">
            <w:pPr>
              <w:spacing w:line="276" w:lineRule="auto"/>
              <w:ind w:left="14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6. </w:t>
            </w:r>
          </w:p>
        </w:tc>
        <w:tc>
          <w:tcPr>
            <w:tcW w:w="2760" w:type="dxa"/>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315DDAC1" w14:textId="77777777" w:rsidR="00767989"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Centrul Național pentru Protecția Datelor cu Caracter Personal</w:t>
            </w:r>
          </w:p>
          <w:p w14:paraId="789DF840" w14:textId="77777777" w:rsidR="00767989"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Nr. 04-01/ 1707 din 15.05.2026</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F499CCB"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Lipsă de propuneri și obiecții.</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611072B" w14:textId="77777777" w:rsidR="00767989"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ia act.</w:t>
            </w:r>
          </w:p>
          <w:p w14:paraId="764CB3EA" w14:textId="77777777" w:rsidR="00767989" w:rsidRDefault="00767989">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highlight w:val="white"/>
              </w:rPr>
            </w:pPr>
          </w:p>
        </w:tc>
      </w:tr>
      <w:tr w:rsidR="00767989" w14:paraId="7AF1D8FF" w14:textId="77777777">
        <w:trPr>
          <w:trHeight w:val="1185"/>
        </w:trPr>
        <w:tc>
          <w:tcPr>
            <w:tcW w:w="915" w:type="dxa"/>
            <w:vMerge w:val="restart"/>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2DBB5E01" w14:textId="77777777" w:rsidR="00767989" w:rsidRDefault="00000000">
            <w:pPr>
              <w:spacing w:line="276" w:lineRule="auto"/>
              <w:ind w:left="14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7.</w:t>
            </w:r>
          </w:p>
        </w:tc>
        <w:tc>
          <w:tcPr>
            <w:tcW w:w="2760" w:type="dxa"/>
            <w:vMerge w:val="restart"/>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08120E61" w14:textId="77777777" w:rsidR="00767989"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Centrul de Armonizare a Legislației </w:t>
            </w:r>
          </w:p>
          <w:p w14:paraId="37BE53B0" w14:textId="77777777" w:rsidR="00767989"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Nr.31/02-69-5542 din 15.05.2026</w:t>
            </w:r>
          </w:p>
        </w:tc>
        <w:tc>
          <w:tcPr>
            <w:tcW w:w="5640" w:type="dxa"/>
            <w:vMerge w:val="restart"/>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1B9D6679" w14:textId="77777777" w:rsidR="00767989" w:rsidRDefault="00000000">
            <w:pPr>
              <w:keepNext/>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Cu referire la pct. 1 al Art. I din proiectul de modificare, care introduce noțiunea de „salariat cu responsabilități familiale”, se constată că definiția propusă este, în linii generale, compatibilă cu prevederile Convenției Organizației Internaționale a Muncii nr. 156/1981 privind lucrătorii cu responsabilități familiale.</w:t>
            </w:r>
          </w:p>
          <w:p w14:paraId="0070FA24" w14:textId="77777777" w:rsidR="00767989" w:rsidRDefault="00000000">
            <w:pPr>
              <w:keepNext/>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Totodată, prin raportare la Directiva (UE) 2019/1158, constatăm că actul UE </w:t>
            </w:r>
            <w:r>
              <w:rPr>
                <w:rFonts w:ascii="Times New Roman" w:eastAsia="Times New Roman" w:hAnsi="Times New Roman" w:cs="Times New Roman"/>
                <w:b/>
                <w:bCs/>
                <w:sz w:val="24"/>
                <w:szCs w:val="24"/>
                <w:highlight w:val="white"/>
              </w:rPr>
              <w:t>distinge 2 definiții separate: lucrătorii-părinți și îngrijitori</w:t>
            </w:r>
            <w:r>
              <w:rPr>
                <w:rFonts w:ascii="Times New Roman" w:eastAsia="Times New Roman" w:hAnsi="Times New Roman" w:cs="Times New Roman"/>
                <w:sz w:val="24"/>
                <w:szCs w:val="24"/>
                <w:highlight w:val="white"/>
              </w:rPr>
              <w:t xml:space="preserve">, în timp ce proiectul le reunește într-o singură categorie generică, atribuind acesteia un tratament unitar. </w:t>
            </w:r>
          </w:p>
          <w:p w14:paraId="0938E3D0"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De asemenea, condiționarea, prin norma națională, a existenței cumulative a unor responsabilități „legale și financiare” și includerea doar a persoanelor aflate în îngrijire pot conduce la excluderea unor situații acoperite de art. 3 lit. d) din directivă, care are un caracter mai larg și vizează acordarea de îngrijire sau sprijin personal unei rude ori unei persoane care locuiește în aceeași gospodărie și care necesită îngrijire din motive medicale </w:t>
            </w:r>
            <w:r>
              <w:rPr>
                <w:rFonts w:ascii="Times New Roman" w:eastAsia="Times New Roman" w:hAnsi="Times New Roman" w:cs="Times New Roman"/>
                <w:sz w:val="24"/>
                <w:szCs w:val="24"/>
                <w:highlight w:val="white"/>
              </w:rPr>
              <w:lastRenderedPageBreak/>
              <w:t xml:space="preserve">grave. Astfel, proiectul național este mai restrictiv ca actul UE și necesită reconsiderare conceptuală. </w:t>
            </w:r>
          </w:p>
        </w:tc>
        <w:tc>
          <w:tcPr>
            <w:tcW w:w="6360" w:type="dxa"/>
            <w:vMerge w:val="restart"/>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68866E5" w14:textId="77777777" w:rsidR="00767989"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lastRenderedPageBreak/>
              <w:t>Se ia act.</w:t>
            </w:r>
          </w:p>
          <w:p w14:paraId="19E05DB6" w14:textId="77777777" w:rsidR="00767989" w:rsidRDefault="00767989">
            <w:pPr>
              <w:shd w:val="clear" w:color="auto" w:fill="FFFFFF"/>
              <w:spacing w:line="276" w:lineRule="auto"/>
              <w:jc w:val="both"/>
              <w:rPr>
                <w:rFonts w:ascii="Times New Roman" w:eastAsia="Times New Roman" w:hAnsi="Times New Roman" w:cs="Times New Roman"/>
                <w:sz w:val="24"/>
                <w:szCs w:val="24"/>
                <w:highlight w:val="white"/>
              </w:rPr>
            </w:pPr>
          </w:p>
          <w:p w14:paraId="4F77CA4F" w14:textId="77777777" w:rsidR="00767989" w:rsidRDefault="00767989">
            <w:pPr>
              <w:shd w:val="clear" w:color="auto" w:fill="FFFFFF"/>
              <w:spacing w:line="276" w:lineRule="auto"/>
              <w:jc w:val="both"/>
              <w:rPr>
                <w:rFonts w:ascii="Times New Roman" w:eastAsia="Times New Roman" w:hAnsi="Times New Roman" w:cs="Times New Roman"/>
                <w:sz w:val="24"/>
                <w:szCs w:val="24"/>
                <w:highlight w:val="white"/>
              </w:rPr>
            </w:pPr>
          </w:p>
          <w:p w14:paraId="41992592" w14:textId="77777777" w:rsidR="00767989" w:rsidRDefault="00767989">
            <w:pPr>
              <w:shd w:val="clear" w:color="auto" w:fill="FFFFFF"/>
              <w:spacing w:line="276" w:lineRule="auto"/>
              <w:jc w:val="both"/>
              <w:rPr>
                <w:rFonts w:ascii="Times New Roman" w:eastAsia="Times New Roman" w:hAnsi="Times New Roman" w:cs="Times New Roman"/>
                <w:sz w:val="24"/>
                <w:szCs w:val="24"/>
                <w:highlight w:val="white"/>
              </w:rPr>
            </w:pPr>
          </w:p>
          <w:p w14:paraId="2B4328F5" w14:textId="77777777" w:rsidR="00767989" w:rsidRDefault="00767989">
            <w:pPr>
              <w:shd w:val="clear" w:color="auto" w:fill="FFFFFF"/>
              <w:spacing w:line="276" w:lineRule="auto"/>
              <w:jc w:val="both"/>
              <w:rPr>
                <w:rFonts w:ascii="Times New Roman" w:eastAsia="Times New Roman" w:hAnsi="Times New Roman" w:cs="Times New Roman"/>
                <w:sz w:val="24"/>
                <w:szCs w:val="24"/>
                <w:highlight w:val="white"/>
              </w:rPr>
            </w:pPr>
          </w:p>
          <w:p w14:paraId="4A870D74" w14:textId="77777777" w:rsidR="00767989" w:rsidRDefault="00767989">
            <w:pPr>
              <w:shd w:val="clear" w:color="auto" w:fill="FFFFFF"/>
              <w:spacing w:line="276" w:lineRule="auto"/>
              <w:jc w:val="both"/>
              <w:rPr>
                <w:rFonts w:ascii="Times New Roman" w:eastAsia="Times New Roman" w:hAnsi="Times New Roman" w:cs="Times New Roman"/>
                <w:sz w:val="24"/>
                <w:szCs w:val="24"/>
                <w:highlight w:val="white"/>
              </w:rPr>
            </w:pPr>
          </w:p>
          <w:p w14:paraId="3A1BFBCC" w14:textId="77777777" w:rsidR="00767989"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Noțiunea propusă are drept obiectiv asigurarea compatibilității cadrului normativ național cu prevederile Convenției Organizației Internaționale a Muncii nr. 156/1981 privind egalitatea de șanse și de tratament pentru lucrătorii cu responsabilități familiale, precum și consolidarea garanțiilor juridice aplicabile salariaților cu responsabilități familiale în cadrul raporturilor de muncă. Conform Articolului 1 din Convenția nr. 156, care definește </w:t>
            </w:r>
            <w:r>
              <w:rPr>
                <w:rFonts w:ascii="Times New Roman" w:eastAsia="Times New Roman" w:hAnsi="Times New Roman" w:cs="Times New Roman"/>
                <w:b/>
                <w:bCs/>
                <w:sz w:val="24"/>
                <w:szCs w:val="24"/>
                <w:highlight w:val="white"/>
              </w:rPr>
              <w:t xml:space="preserve">„lucrătorii cu responsabilități familiale” </w:t>
            </w:r>
            <w:r>
              <w:rPr>
                <w:rFonts w:ascii="Times New Roman" w:eastAsia="Times New Roman" w:hAnsi="Times New Roman" w:cs="Times New Roman"/>
                <w:sz w:val="24"/>
                <w:szCs w:val="24"/>
                <w:highlight w:val="white"/>
              </w:rPr>
              <w:t xml:space="preserve">ca fiind persoanele care au responsabilități în legătură cu copiii aflați la întreținere sau alți membri ai familiei imediate care necesită îngrijire sau sprijin, </w:t>
            </w:r>
            <w:r>
              <w:rPr>
                <w:rFonts w:ascii="Times New Roman" w:eastAsia="Times New Roman" w:hAnsi="Times New Roman" w:cs="Times New Roman"/>
                <w:sz w:val="24"/>
                <w:szCs w:val="24"/>
                <w:highlight w:val="white"/>
              </w:rPr>
              <w:lastRenderedPageBreak/>
              <w:t xml:space="preserve">acolo unde aceste responsabilități le limitează posibilitățile de participare la activități economice. </w:t>
            </w:r>
          </w:p>
          <w:p w14:paraId="5E97A716" w14:textId="77777777" w:rsidR="00767989"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Această definiție este complementată de Recomandarea nr. 165, care extinde înțelesul termenilor „copil aflat la întreținere” și „membru al familiei imediate care necesită îngrijire sau sprijin” prin specificații care permit fiecărui stat să-și adapteze propriile prevederi naționale. Totodată, recomandare precizează că responsabilitățile familiale includ atât îngrijirea copiilor, cât și a altor membri ai familiei, care au nevoie de sprijin din cauza stării lor de sănătate sau a vârstei. Recomandarea sugerează că termenul "membri ai familiei" ar trebui să fie interpretat într-un sens larg pentru a include nu doar rudele apropiate, ci și alte persoane dependente de lucrător.   </w:t>
            </w:r>
          </w:p>
        </w:tc>
      </w:tr>
      <w:tr w:rsidR="00767989" w14:paraId="21338334"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2B1E9EF5" w14:textId="77777777" w:rsidR="00767989" w:rsidRDefault="00767989">
            <w:pPr>
              <w:spacing w:line="276" w:lineRule="auto"/>
              <w:ind w:left="140"/>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50C4DB45" w14:textId="77777777" w:rsidR="00767989" w:rsidRDefault="00767989">
            <w:pPr>
              <w:spacing w:line="276" w:lineRule="auto"/>
              <w:ind w:left="140"/>
              <w:jc w:val="center"/>
              <w:rPr>
                <w:rFonts w:ascii="Times New Roman" w:eastAsia="Times New Roman" w:hAnsi="Times New Roman" w:cs="Times New Roman"/>
                <w:sz w:val="24"/>
                <w:szCs w:val="24"/>
                <w:highlight w:val="white"/>
              </w:rPr>
            </w:pPr>
          </w:p>
        </w:tc>
        <w:tc>
          <w:tcPr>
            <w:tcW w:w="564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B1CBDBC" w14:textId="77777777" w:rsidR="00767989" w:rsidRDefault="00767989">
            <w:pPr>
              <w:jc w:val="both"/>
              <w:rPr>
                <w:rFonts w:ascii="Times New Roman" w:eastAsia="Times New Roman" w:hAnsi="Times New Roman" w:cs="Times New Roman"/>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8A79CB5" w14:textId="77777777" w:rsidR="00767989" w:rsidRDefault="00767989">
            <w:pPr>
              <w:pBdr>
                <w:top w:val="nil"/>
                <w:left w:val="nil"/>
                <w:bottom w:val="nil"/>
                <w:right w:val="nil"/>
                <w:between w:val="nil"/>
              </w:pBdr>
              <w:shd w:val="clear" w:color="auto" w:fill="FFFFFF"/>
              <w:jc w:val="both"/>
              <w:rPr>
                <w:rFonts w:ascii="Times New Roman" w:eastAsia="Times New Roman" w:hAnsi="Times New Roman" w:cs="Times New Roman"/>
                <w:b/>
                <w:bCs/>
                <w:sz w:val="24"/>
                <w:szCs w:val="24"/>
                <w:highlight w:val="white"/>
              </w:rPr>
            </w:pPr>
          </w:p>
        </w:tc>
      </w:tr>
      <w:tr w:rsidR="00767989" w14:paraId="5A2D2D31"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503D2540"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54CAED67" w14:textId="77777777" w:rsidR="00767989" w:rsidRDefault="00767989">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8026A81"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Art. I pct. 2 din proiectul de modificare, prin care la art. 47 alin. (2) din Codul muncii al Republicii Moldova nr. 154/2003 se introduce sintagma „responsabilități familiale” în lista criteriilor protejate, este, în principiu, compatibil cu art. 11 din Directiva (UE) 2019/1158, contribuind la consolidarea cadrului de protecție </w:t>
            </w:r>
            <w:proofErr w:type="spellStart"/>
            <w:r>
              <w:rPr>
                <w:rFonts w:ascii="Times New Roman" w:eastAsia="Times New Roman" w:hAnsi="Times New Roman" w:cs="Times New Roman"/>
                <w:sz w:val="24"/>
                <w:szCs w:val="24"/>
                <w:highlight w:val="white"/>
              </w:rPr>
              <w:t>antidiscriminare</w:t>
            </w:r>
            <w:proofErr w:type="spellEnd"/>
            <w:r>
              <w:rPr>
                <w:rFonts w:ascii="Times New Roman" w:eastAsia="Times New Roman" w:hAnsi="Times New Roman" w:cs="Times New Roman"/>
                <w:sz w:val="24"/>
                <w:szCs w:val="24"/>
                <w:highlight w:val="white"/>
              </w:rPr>
              <w:t xml:space="preserve"> în domeniul raporturilor de muncă. </w:t>
            </w:r>
          </w:p>
          <w:p w14:paraId="5FBC816C" w14:textId="77777777" w:rsidR="00767989" w:rsidRDefault="00767989">
            <w:pPr>
              <w:spacing w:line="276" w:lineRule="auto"/>
              <w:jc w:val="both"/>
              <w:rPr>
                <w:rFonts w:ascii="Times New Roman" w:eastAsia="Times New Roman" w:hAnsi="Times New Roman" w:cs="Times New Roman"/>
                <w:sz w:val="24"/>
                <w:szCs w:val="24"/>
                <w:highlight w:val="white"/>
              </w:rPr>
            </w:pP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DBDECAA" w14:textId="77777777" w:rsidR="00767989"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ia act.</w:t>
            </w:r>
          </w:p>
        </w:tc>
      </w:tr>
      <w:tr w:rsidR="00767989" w14:paraId="35D89BFE"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122B9F2C"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2E8623D1" w14:textId="77777777" w:rsidR="00767989" w:rsidRDefault="00767989">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B18D1AE"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Art. I pct. 3 din proiectul de modificare introduce alin. (8) la art. 103 din Codul muncii al Republicii Moldova nr. 154/2003, potrivit căruia părinții singuri nu pot fi obligați să presteze muncă de noapte decât în baza unei cereri scrise. În acest sens, se recomandă reformularea sintagmei „nu pot fi obligați…decât în baza unei cereri scrise”, întrucât aceasta prezintă un grad de ambiguitate și poate fi interpretată ca limitând posibilitatea prestării muncii de noapte exclusiv la inițiativa salariatului nu și a angajatorului. Astfel, se impune stabilirea atragerii </w:t>
            </w:r>
            <w:r>
              <w:rPr>
                <w:rFonts w:ascii="Times New Roman" w:eastAsia="Times New Roman" w:hAnsi="Times New Roman" w:cs="Times New Roman"/>
                <w:sz w:val="24"/>
                <w:szCs w:val="24"/>
                <w:highlight w:val="white"/>
              </w:rPr>
              <w:lastRenderedPageBreak/>
              <w:t xml:space="preserve">acestora la muncă de noapte doar cu acordul acestora indiferent dacă intenția este a angajatului sau angajatorului. </w:t>
            </w:r>
          </w:p>
          <w:p w14:paraId="3230E85D"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De asemenea, se constată că măsura are un caracter mai restrictiv din perspectiva sferei de protecție a actului UE, întrucât Directiva (UE) 2019/1158 prevede drepturi privind formule flexibile de muncă pentru toți părinții și îngrijitorii, nu exclusiv pentru părinții singuri. </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194EFDD9" w14:textId="77777777" w:rsidR="00767989"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lastRenderedPageBreak/>
              <w:t>Se acceptă.</w:t>
            </w:r>
          </w:p>
          <w:p w14:paraId="066D1AF1" w14:textId="77777777" w:rsidR="00767989" w:rsidRDefault="00767989">
            <w:pPr>
              <w:shd w:val="clear" w:color="auto" w:fill="FFFFFF"/>
              <w:spacing w:line="276" w:lineRule="auto"/>
              <w:jc w:val="both"/>
              <w:rPr>
                <w:rFonts w:ascii="Times New Roman" w:eastAsia="Times New Roman" w:hAnsi="Times New Roman" w:cs="Times New Roman"/>
                <w:sz w:val="24"/>
                <w:szCs w:val="24"/>
              </w:rPr>
            </w:pPr>
          </w:p>
          <w:p w14:paraId="22AF505E" w14:textId="77777777" w:rsidR="00767989" w:rsidRDefault="00000000">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Redacția din proiect a articolului 103 alineatul (8) a fost revăzută după cum urmează:</w:t>
            </w:r>
          </w:p>
          <w:p w14:paraId="3AAADE32" w14:textId="77777777" w:rsidR="00767989" w:rsidRDefault="00000000">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„(8) Părinții singuri pot fi atrași la munca de noapte numai cu acordul lor scris. Angajatorul este obligat să informeze în scris salariatul despre dreptul acestuia de a refuza prestarea muncii de noapte.”</w:t>
            </w:r>
          </w:p>
          <w:p w14:paraId="481AF8E8" w14:textId="77777777" w:rsidR="00767989" w:rsidRDefault="00767989">
            <w:pPr>
              <w:shd w:val="clear" w:color="auto" w:fill="FFFFFF"/>
              <w:spacing w:line="276" w:lineRule="auto"/>
              <w:jc w:val="both"/>
              <w:rPr>
                <w:rFonts w:ascii="Times New Roman" w:eastAsia="Times New Roman" w:hAnsi="Times New Roman" w:cs="Times New Roman"/>
                <w:sz w:val="24"/>
                <w:szCs w:val="24"/>
                <w:highlight w:val="white"/>
              </w:rPr>
            </w:pPr>
          </w:p>
          <w:p w14:paraId="4DCBC6D4" w14:textId="77777777" w:rsidR="00767989" w:rsidRDefault="00767989">
            <w:pPr>
              <w:shd w:val="clear" w:color="auto" w:fill="FFFFFF"/>
              <w:spacing w:line="276" w:lineRule="auto"/>
              <w:jc w:val="both"/>
              <w:rPr>
                <w:rFonts w:ascii="Times New Roman" w:eastAsia="Times New Roman" w:hAnsi="Times New Roman" w:cs="Times New Roman"/>
                <w:sz w:val="24"/>
                <w:szCs w:val="24"/>
                <w:highlight w:val="white"/>
              </w:rPr>
            </w:pPr>
          </w:p>
          <w:p w14:paraId="1D979819" w14:textId="77777777" w:rsidR="00767989" w:rsidRDefault="00767989">
            <w:pPr>
              <w:shd w:val="clear" w:color="auto" w:fill="FFFFFF"/>
              <w:spacing w:line="276" w:lineRule="auto"/>
              <w:jc w:val="both"/>
              <w:rPr>
                <w:rFonts w:ascii="Times New Roman" w:eastAsia="Times New Roman" w:hAnsi="Times New Roman" w:cs="Times New Roman"/>
                <w:sz w:val="24"/>
                <w:szCs w:val="24"/>
                <w:highlight w:val="white"/>
              </w:rPr>
            </w:pPr>
          </w:p>
          <w:p w14:paraId="5BB2ABD5" w14:textId="77777777" w:rsidR="00767989" w:rsidRDefault="00767989">
            <w:pPr>
              <w:shd w:val="clear" w:color="auto" w:fill="FFFFFF"/>
              <w:spacing w:line="276" w:lineRule="auto"/>
              <w:jc w:val="both"/>
              <w:rPr>
                <w:rFonts w:ascii="Times New Roman" w:eastAsia="Times New Roman" w:hAnsi="Times New Roman" w:cs="Times New Roman"/>
                <w:sz w:val="24"/>
                <w:szCs w:val="24"/>
                <w:highlight w:val="white"/>
              </w:rPr>
            </w:pPr>
          </w:p>
          <w:p w14:paraId="7076DF6B" w14:textId="77777777" w:rsidR="00767989" w:rsidRDefault="00767989">
            <w:pPr>
              <w:shd w:val="clear" w:color="auto" w:fill="FFFFFF"/>
              <w:spacing w:line="276" w:lineRule="auto"/>
              <w:jc w:val="both"/>
              <w:rPr>
                <w:rFonts w:ascii="Times New Roman" w:eastAsia="Times New Roman" w:hAnsi="Times New Roman" w:cs="Times New Roman"/>
                <w:sz w:val="24"/>
                <w:szCs w:val="24"/>
                <w:highlight w:val="white"/>
              </w:rPr>
            </w:pPr>
          </w:p>
          <w:p w14:paraId="1B66124C" w14:textId="77777777" w:rsidR="00767989"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Or, Directiva (UE) 2019/1158 stabilește standarde minime de protecție și nu exclude posibilitatea adoptării de către statele membre a unor măsuri mai favorabile sau a unor mecanisme suplimentare de protecție pentru categorii vulnerabile de salariați. În acest context, soluția legislativă propusă urmărește consolidarea protecției sociale a părinților singuri, având în vedere particularitățile responsabilităților familiale exercitate exclusiv de aceștia.</w:t>
            </w:r>
          </w:p>
        </w:tc>
      </w:tr>
      <w:tr w:rsidR="00767989" w14:paraId="77C798E3"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51E52375"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5E8E2495" w14:textId="77777777" w:rsidR="00767989" w:rsidRDefault="00767989">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E1E433F"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În concluzie, proiectul național examinat nu constituie un exercițiu de transpunere directă a acquis-ului Uniunii Europene în materia echilibrului dintre viața profesională și cea privată a părinților și îngrijitorilor, însă se înscrie în procesul de ajustare și consolidare progresivă a cadrului normativ național în vederea alinierii la standardele relevante ale Uniunii Europene, inclusiv, la prevederile Directivei (UE) 2019/1158 privind echilibrul dintre viața profesională și cea privată a părinților și îngrijitorilor, precum și la standardele Convenției Organizația Internațională a Muncii nr. 156/1981 privind lucrătorii cu responsabilități familiale. </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3A067691" w14:textId="77777777" w:rsidR="00767989"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acceptă.</w:t>
            </w:r>
          </w:p>
          <w:p w14:paraId="24FF78BC" w14:textId="77777777" w:rsidR="00767989"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Nota de fundamentare a fost completată corespunzător.</w:t>
            </w:r>
          </w:p>
        </w:tc>
      </w:tr>
      <w:tr w:rsidR="00767989" w14:paraId="452B9902" w14:textId="77777777">
        <w:trPr>
          <w:trHeight w:val="435"/>
        </w:trPr>
        <w:tc>
          <w:tcPr>
            <w:tcW w:w="15675" w:type="dxa"/>
            <w:gridSpan w:val="4"/>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3F413F71" w14:textId="77777777" w:rsidR="00767989" w:rsidRDefault="00000000">
            <w:pPr>
              <w:jc w:val="center"/>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Procedura de expertizare</w:t>
            </w:r>
          </w:p>
        </w:tc>
      </w:tr>
      <w:tr w:rsidR="00767989" w14:paraId="1BF1A3BB" w14:textId="77777777">
        <w:trPr>
          <w:trHeight w:val="1185"/>
        </w:trPr>
        <w:tc>
          <w:tcPr>
            <w:tcW w:w="915" w:type="dxa"/>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3499BC17" w14:textId="77777777" w:rsidR="00767989" w:rsidRDefault="00000000">
            <w:pPr>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8. </w:t>
            </w:r>
          </w:p>
        </w:tc>
        <w:tc>
          <w:tcPr>
            <w:tcW w:w="2760" w:type="dxa"/>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08D19A72" w14:textId="77777777" w:rsidR="00767989"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Centrul Național Anticorupție al Republicii Moldova  </w:t>
            </w:r>
          </w:p>
          <w:p w14:paraId="6C1EC3F4" w14:textId="77777777" w:rsidR="00767989" w:rsidRDefault="00000000">
            <w:pPr>
              <w:spacing w:line="276" w:lineRule="auto"/>
              <w:ind w:left="1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Nr. ELO26/11516 din 27.05.2026 </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3505ED9"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Proiectul a fost elaborat de Ministerul Muncii și Protecției Sociale și are drept scop asigurarea compatibilității cadrului normativ național cu prevederile Convenției Organizației Internaționale a Muncii nr. 156/1981 privind egalitatea de șanse și de tratament pentru lucrătorii cu responsabilități familiale, precum și consolidarea garanțiilor juridice aplicabile salariaților cu </w:t>
            </w:r>
            <w:r>
              <w:rPr>
                <w:rFonts w:ascii="Times New Roman" w:eastAsia="Times New Roman" w:hAnsi="Times New Roman" w:cs="Times New Roman"/>
                <w:sz w:val="24"/>
                <w:szCs w:val="24"/>
                <w:highlight w:val="white"/>
              </w:rPr>
              <w:lastRenderedPageBreak/>
              <w:t xml:space="preserve">responsabilități familiale în cadrul raporturilor de muncă și al sistemului de asigurări sociale. Analizând normele elaborate, s-a constatat că, prin proiect, se propune modificarea Codului muncii nr. 154/2003 și a Legii nr. 156/1998 privind sistemul public de pensii. </w:t>
            </w:r>
          </w:p>
          <w:p w14:paraId="6D53AABB"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Autorul a prezentat sinteza avizelor parvenite în cadrul procesului de consultare publică a proiectului de către autoritățile responsabile de implementarea prevederilor </w:t>
            </w:r>
            <w:proofErr w:type="spellStart"/>
            <w:r>
              <w:rPr>
                <w:rFonts w:ascii="Times New Roman" w:eastAsia="Times New Roman" w:hAnsi="Times New Roman" w:cs="Times New Roman"/>
                <w:sz w:val="24"/>
                <w:szCs w:val="24"/>
                <w:highlight w:val="white"/>
              </w:rPr>
              <w:t>conţinute</w:t>
            </w:r>
            <w:proofErr w:type="spellEnd"/>
            <w:r>
              <w:rPr>
                <w:rFonts w:ascii="Times New Roman" w:eastAsia="Times New Roman" w:hAnsi="Times New Roman" w:cs="Times New Roman"/>
                <w:sz w:val="24"/>
                <w:szCs w:val="24"/>
                <w:highlight w:val="white"/>
              </w:rPr>
              <w:t xml:space="preserve"> în proiect/</w:t>
            </w:r>
            <w:proofErr w:type="spellStart"/>
            <w:r>
              <w:rPr>
                <w:rFonts w:ascii="Times New Roman" w:eastAsia="Times New Roman" w:hAnsi="Times New Roman" w:cs="Times New Roman"/>
                <w:sz w:val="24"/>
                <w:szCs w:val="24"/>
                <w:highlight w:val="white"/>
              </w:rPr>
              <w:t>instituţiilor</w:t>
            </w:r>
            <w:proofErr w:type="spellEnd"/>
            <w:r>
              <w:rPr>
                <w:rFonts w:ascii="Times New Roman" w:eastAsia="Times New Roman" w:hAnsi="Times New Roman" w:cs="Times New Roman"/>
                <w:sz w:val="24"/>
                <w:szCs w:val="24"/>
                <w:highlight w:val="white"/>
              </w:rPr>
              <w:t xml:space="preserve"> interesate, fapt ce denotă caracterul definitivat al acestuia și întrunirea condițiilor stabilite de prevederile art.28 din Legea integrității nr.82/2017. </w:t>
            </w:r>
          </w:p>
          <w:p w14:paraId="3DC9CA89"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În procesul de promovare a proiectului, au fost respectate rigorile de asigurare a </w:t>
            </w:r>
            <w:proofErr w:type="spellStart"/>
            <w:r>
              <w:rPr>
                <w:rFonts w:ascii="Times New Roman" w:eastAsia="Times New Roman" w:hAnsi="Times New Roman" w:cs="Times New Roman"/>
                <w:sz w:val="24"/>
                <w:szCs w:val="24"/>
                <w:highlight w:val="white"/>
              </w:rPr>
              <w:t>transparenţei</w:t>
            </w:r>
            <w:proofErr w:type="spellEnd"/>
            <w:r>
              <w:rPr>
                <w:rFonts w:ascii="Times New Roman" w:eastAsia="Times New Roman" w:hAnsi="Times New Roman" w:cs="Times New Roman"/>
                <w:sz w:val="24"/>
                <w:szCs w:val="24"/>
                <w:highlight w:val="white"/>
              </w:rPr>
              <w:t xml:space="preserve"> decizionale statuate de prevederile art.8 </w:t>
            </w:r>
            <w:proofErr w:type="spellStart"/>
            <w:r>
              <w:rPr>
                <w:rFonts w:ascii="Times New Roman" w:eastAsia="Times New Roman" w:hAnsi="Times New Roman" w:cs="Times New Roman"/>
                <w:sz w:val="24"/>
                <w:szCs w:val="24"/>
                <w:highlight w:val="white"/>
              </w:rPr>
              <w:t>lit.a</w:t>
            </w:r>
            <w:proofErr w:type="spellEnd"/>
            <w:r>
              <w:rPr>
                <w:rFonts w:ascii="Times New Roman" w:eastAsia="Times New Roman" w:hAnsi="Times New Roman" w:cs="Times New Roman"/>
                <w:sz w:val="24"/>
                <w:szCs w:val="24"/>
                <w:highlight w:val="white"/>
              </w:rPr>
              <w:t xml:space="preserve">)-d) din Legea nr. 239/2008 privind </w:t>
            </w:r>
            <w:proofErr w:type="spellStart"/>
            <w:r>
              <w:rPr>
                <w:rFonts w:ascii="Times New Roman" w:eastAsia="Times New Roman" w:hAnsi="Times New Roman" w:cs="Times New Roman"/>
                <w:sz w:val="24"/>
                <w:szCs w:val="24"/>
                <w:highlight w:val="white"/>
              </w:rPr>
              <w:t>transparenţa</w:t>
            </w:r>
            <w:proofErr w:type="spellEnd"/>
            <w:r>
              <w:rPr>
                <w:rFonts w:ascii="Times New Roman" w:eastAsia="Times New Roman" w:hAnsi="Times New Roman" w:cs="Times New Roman"/>
                <w:sz w:val="24"/>
                <w:szCs w:val="24"/>
                <w:highlight w:val="white"/>
              </w:rPr>
              <w:t xml:space="preserve"> în procesul decizional. Nota de fundamentare a proiectului a fost întocmită cu respectarea exigențelor de tehnică legislativă statuate de prevederile art.30 </w:t>
            </w:r>
            <w:proofErr w:type="spellStart"/>
            <w:r>
              <w:rPr>
                <w:rFonts w:ascii="Times New Roman" w:eastAsia="Times New Roman" w:hAnsi="Times New Roman" w:cs="Times New Roman"/>
                <w:sz w:val="24"/>
                <w:szCs w:val="24"/>
                <w:highlight w:val="white"/>
              </w:rPr>
              <w:t>lit.a</w:t>
            </w:r>
            <w:proofErr w:type="spellEnd"/>
            <w:r>
              <w:rPr>
                <w:rFonts w:ascii="Times New Roman" w:eastAsia="Times New Roman" w:hAnsi="Times New Roman" w:cs="Times New Roman"/>
                <w:sz w:val="24"/>
                <w:szCs w:val="24"/>
                <w:highlight w:val="white"/>
              </w:rPr>
              <w:t xml:space="preserve">)-f) din Legea cu privire la actele normative nr. 100/2017. Implementarea prevederilor propuse poate contribui la realizarea interesului public vizat de proiect, fapt care nu este detrimentul interesului public general în sensul prevederilor Legii </w:t>
            </w:r>
            <w:proofErr w:type="spellStart"/>
            <w:r>
              <w:rPr>
                <w:rFonts w:ascii="Times New Roman" w:eastAsia="Times New Roman" w:hAnsi="Times New Roman" w:cs="Times New Roman"/>
                <w:sz w:val="24"/>
                <w:szCs w:val="24"/>
                <w:highlight w:val="white"/>
              </w:rPr>
              <w:t>integrităţii</w:t>
            </w:r>
            <w:proofErr w:type="spellEnd"/>
            <w:r>
              <w:rPr>
                <w:rFonts w:ascii="Times New Roman" w:eastAsia="Times New Roman" w:hAnsi="Times New Roman" w:cs="Times New Roman"/>
                <w:sz w:val="24"/>
                <w:szCs w:val="24"/>
                <w:highlight w:val="white"/>
              </w:rPr>
              <w:t xml:space="preserve"> nr. 82/2017. </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16BB454" w14:textId="77777777" w:rsidR="00767989"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lastRenderedPageBreak/>
              <w:t>Se ia act.</w:t>
            </w:r>
          </w:p>
        </w:tc>
      </w:tr>
      <w:tr w:rsidR="00767989" w14:paraId="7853E17F" w14:textId="77777777">
        <w:trPr>
          <w:trHeight w:val="1185"/>
        </w:trPr>
        <w:tc>
          <w:tcPr>
            <w:tcW w:w="915" w:type="dxa"/>
            <w:vMerge w:val="restart"/>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2022ECAB" w14:textId="77777777" w:rsidR="00767989" w:rsidRDefault="00000000">
            <w:pPr>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9.</w:t>
            </w:r>
          </w:p>
        </w:tc>
        <w:tc>
          <w:tcPr>
            <w:tcW w:w="2760" w:type="dxa"/>
            <w:vMerge w:val="restart"/>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76DE0FC8" w14:textId="77777777" w:rsidR="00767989"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Ministerul Justiției</w:t>
            </w:r>
          </w:p>
          <w:p w14:paraId="401061EE" w14:textId="77777777" w:rsidR="00767989"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Nr. 04/2-5940 din 29.05.2026</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4F89C9D7"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Potrivit notei de fundamentare, proiectul de lege este elaborat în contextul promovării proiectului de ratificare a Convenției Organizației Internaționale a Muncii nr. 156/1981 privind egalitatea de șanse și de tratament pentru lucrătorii cu responsabilități familiale, având drept scop asigurarea concordanței cadrului normativ național cu prevederile acesteia. Se menționează că, intervențiile </w:t>
            </w:r>
            <w:r>
              <w:rPr>
                <w:rFonts w:ascii="Times New Roman" w:eastAsia="Times New Roman" w:hAnsi="Times New Roman" w:cs="Times New Roman"/>
                <w:sz w:val="24"/>
                <w:szCs w:val="24"/>
                <w:highlight w:val="white"/>
              </w:rPr>
              <w:lastRenderedPageBreak/>
              <w:t>propuse urmăresc racordarea legislației naționale la prevederile Convenției, precum și consolidarea progresivă a cadrului normativ național la standardele Directivei (UE) 2019/1158 privind echilibrul dintre viața profesională și cea privată a părinților și îngrijitorilor, prin completarea Codului muncii al Republicii Moldova nr. 154/2003 și a Legii nr. 156/1998 privind sistemul public de pensii, inclusiv prin introducerea noțiunii de „salariat cu responsabilități familiale” și instituirea unor garanții juridice corespunzătoare în domeniul raporturilor de muncă și al protecției sociale.</w:t>
            </w:r>
          </w:p>
          <w:p w14:paraId="741129E6" w14:textId="77777777" w:rsidR="00767989" w:rsidRDefault="00000000">
            <w:pPr>
              <w:spacing w:line="276" w:lineRule="auto"/>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Raţionamentele</w:t>
            </w:r>
            <w:proofErr w:type="spellEnd"/>
            <w:r>
              <w:rPr>
                <w:rFonts w:ascii="Times New Roman" w:eastAsia="Times New Roman" w:hAnsi="Times New Roman" w:cs="Times New Roman"/>
                <w:sz w:val="24"/>
                <w:szCs w:val="24"/>
                <w:highlight w:val="white"/>
              </w:rPr>
              <w:t xml:space="preserve"> expuse de </w:t>
            </w:r>
            <w:proofErr w:type="spellStart"/>
            <w:r>
              <w:rPr>
                <w:rFonts w:ascii="Times New Roman" w:eastAsia="Times New Roman" w:hAnsi="Times New Roman" w:cs="Times New Roman"/>
                <w:sz w:val="24"/>
                <w:szCs w:val="24"/>
                <w:highlight w:val="white"/>
              </w:rPr>
              <w:t>iniţiator</w:t>
            </w:r>
            <w:proofErr w:type="spellEnd"/>
            <w:r>
              <w:rPr>
                <w:rFonts w:ascii="Times New Roman" w:eastAsia="Times New Roman" w:hAnsi="Times New Roman" w:cs="Times New Roman"/>
                <w:sz w:val="24"/>
                <w:szCs w:val="24"/>
                <w:highlight w:val="white"/>
              </w:rPr>
              <w:t xml:space="preserve"> în notă reflectă motivul care a impus </w:t>
            </w:r>
            <w:proofErr w:type="spellStart"/>
            <w:r>
              <w:rPr>
                <w:rFonts w:ascii="Times New Roman" w:eastAsia="Times New Roman" w:hAnsi="Times New Roman" w:cs="Times New Roman"/>
                <w:sz w:val="24"/>
                <w:szCs w:val="24"/>
                <w:highlight w:val="white"/>
              </w:rPr>
              <w:t>intervenţia</w:t>
            </w:r>
            <w:proofErr w:type="spellEnd"/>
            <w:r>
              <w:rPr>
                <w:rFonts w:ascii="Times New Roman" w:eastAsia="Times New Roman" w:hAnsi="Times New Roman" w:cs="Times New Roman"/>
                <w:sz w:val="24"/>
                <w:szCs w:val="24"/>
                <w:highlight w:val="white"/>
              </w:rPr>
              <w:t xml:space="preserve"> normativă .</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18152DE" w14:textId="77777777" w:rsidR="00767989" w:rsidRDefault="00000000">
            <w:pPr>
              <w:shd w:val="clear" w:color="auto" w:fill="FFFFFF"/>
              <w:spacing w:line="276" w:lineRule="auto"/>
              <w:jc w:val="both"/>
              <w:rPr>
                <w:rFonts w:ascii="Times New Roman" w:eastAsia="Times New Roman" w:hAnsi="Times New Roman" w:cs="Times New Roman"/>
                <w:b/>
                <w:bCs/>
                <w:color w:val="980000"/>
                <w:sz w:val="24"/>
                <w:szCs w:val="24"/>
                <w:highlight w:val="white"/>
              </w:rPr>
            </w:pPr>
            <w:r>
              <w:rPr>
                <w:rFonts w:ascii="Times New Roman" w:eastAsia="Times New Roman" w:hAnsi="Times New Roman" w:cs="Times New Roman"/>
                <w:b/>
                <w:bCs/>
                <w:sz w:val="24"/>
                <w:szCs w:val="24"/>
                <w:highlight w:val="white"/>
              </w:rPr>
              <w:lastRenderedPageBreak/>
              <w:t>Se ia act.</w:t>
            </w:r>
          </w:p>
          <w:p w14:paraId="6954E14B" w14:textId="77777777" w:rsidR="00767989" w:rsidRDefault="00767989">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color w:val="980000"/>
                <w:sz w:val="24"/>
                <w:szCs w:val="24"/>
                <w:highlight w:val="white"/>
              </w:rPr>
            </w:pPr>
          </w:p>
        </w:tc>
      </w:tr>
      <w:tr w:rsidR="00767989" w14:paraId="1B6F8EB1"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44FEAA84" w14:textId="77777777" w:rsidR="00767989" w:rsidRDefault="00767989">
            <w:pP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78E05AA6" w14:textId="77777777" w:rsidR="00767989" w:rsidRDefault="00767989">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2028432"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În același timp, autorul proiectului nu a argumentat suficient redacția noțiunii „salariat cu responsabilități familiale”, în ce mod intervenția normativă va înlătura „neajunsurile din legislația muncii care nu recunoaște în mod explicit responsabilitățile familiale ca element relevant în aplicarea anumitor garanții privind organizarea și condițiile de muncă”. </w:t>
            </w:r>
          </w:p>
          <w:p w14:paraId="45964F9A"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fel, nota de fundamentare nu conține argumente în susținerea ipotezei că, soluțiile normative preconizate vor asigura o aplicare unitară și coerentă a garanțiilor juridice instituite.</w:t>
            </w:r>
          </w:p>
          <w:p w14:paraId="32788DD4"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Prin urmare, recomandăm revizuirea notei de fundamentare în sensul soluțiilor normative propuse la Codul muncii.</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5E5D169" w14:textId="77777777" w:rsidR="00767989"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bCs/>
                <w:color w:val="980000"/>
                <w:sz w:val="24"/>
                <w:szCs w:val="24"/>
                <w:highlight w:val="white"/>
              </w:rPr>
            </w:pPr>
            <w:r>
              <w:rPr>
                <w:rFonts w:ascii="Times New Roman" w:eastAsia="Times New Roman" w:hAnsi="Times New Roman" w:cs="Times New Roman"/>
                <w:b/>
                <w:bCs/>
                <w:sz w:val="24"/>
                <w:szCs w:val="24"/>
                <w:highlight w:val="white"/>
              </w:rPr>
              <w:t>Se acceptă.</w:t>
            </w:r>
          </w:p>
          <w:p w14:paraId="6C9F895A" w14:textId="77777777" w:rsidR="00767989"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Nota de fundamentare a fost completată cu argumente suplimentare privind necesitatea introducerii noțiunii de „salariat cu responsabilități familiale” și impactul soluțiilor normative propuse.</w:t>
            </w:r>
          </w:p>
          <w:p w14:paraId="3F65243A" w14:textId="77777777" w:rsidR="00767989" w:rsidRDefault="00000000">
            <w:pPr>
              <w:shd w:val="clear" w:color="auto" w:fill="FFFFFF"/>
              <w:spacing w:after="16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Intervenția normativă este necesară deoarece cadrul normativ existent reglementează anumite drepturi aferente maternității, paternității sau îngrijirii copilului, însă nu instituie o abordare sistemică privind protecția salariaților cu responsabilități familiale și prevenirea discriminării generate de aceste responsabilități.</w:t>
            </w:r>
          </w:p>
          <w:p w14:paraId="262B9984" w14:textId="77777777" w:rsidR="00767989" w:rsidRDefault="00000000">
            <w:pPr>
              <w:shd w:val="clear" w:color="auto" w:fill="FFFFFF"/>
              <w:spacing w:after="16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Proiectul urmărește consolidarea caracterului coerent și previzibil al garanțiilor juridice aplicabile acestei categorii de salariați.</w:t>
            </w:r>
          </w:p>
          <w:p w14:paraId="71AD2BA0" w14:textId="77777777" w:rsidR="00767989" w:rsidRDefault="00000000">
            <w:pPr>
              <w:shd w:val="clear" w:color="auto" w:fill="FFFFFF"/>
              <w:spacing w:after="16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Modificările normative propuse vor contribui la creșterea participării pe piața muncii și la prevenirea discriminării bazate pe responsabilități familiale.</w:t>
            </w:r>
          </w:p>
        </w:tc>
      </w:tr>
      <w:tr w:rsidR="00767989" w14:paraId="21465294"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21C1CFA1"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2347173A" w14:textId="77777777" w:rsidR="00767989" w:rsidRDefault="00767989">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952C756"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Analizat prin prisma Legii nr. 100/2017 cu privire la actele normative menționăm că, textul normativ al proiectului are un mod deficitar de redactare a soluțiilor normative propuse, nefiind respectate cerințele de calitate ale actului normativ.</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7B62214" w14:textId="77777777" w:rsidR="00767989"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 xml:space="preserve">Se acceptă </w:t>
            </w:r>
            <w:r>
              <w:rPr>
                <w:rFonts w:ascii="Times New Roman" w:eastAsia="Times New Roman" w:hAnsi="Times New Roman" w:cs="Times New Roman"/>
                <w:sz w:val="24"/>
                <w:szCs w:val="24"/>
                <w:highlight w:val="white"/>
              </w:rPr>
              <w:t>(</w:t>
            </w:r>
            <w:r>
              <w:rPr>
                <w:rFonts w:ascii="Times New Roman" w:eastAsia="Times New Roman" w:hAnsi="Times New Roman" w:cs="Times New Roman"/>
                <w:i/>
                <w:iCs/>
                <w:sz w:val="24"/>
                <w:szCs w:val="24"/>
                <w:highlight w:val="white"/>
              </w:rPr>
              <w:t>textul proiectului a fost revăzut</w:t>
            </w:r>
            <w:r>
              <w:rPr>
                <w:rFonts w:ascii="Times New Roman" w:eastAsia="Times New Roman" w:hAnsi="Times New Roman" w:cs="Times New Roman"/>
                <w:sz w:val="24"/>
                <w:szCs w:val="24"/>
                <w:highlight w:val="white"/>
              </w:rPr>
              <w:t xml:space="preserve">). </w:t>
            </w:r>
          </w:p>
        </w:tc>
      </w:tr>
      <w:tr w:rsidR="00767989" w14:paraId="3E12B4F7"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21DAAE3E"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5D5B3605" w14:textId="77777777" w:rsidR="00767989" w:rsidRDefault="00767989">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F34522F"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Art. I (Codul muncii):</w:t>
            </w:r>
          </w:p>
          <w:p w14:paraId="65418BEB"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pct. 1 semnalăm că noțiunea „salariat cu responsabilități familiale” necesită a fi reformulată.</w:t>
            </w:r>
          </w:p>
          <w:p w14:paraId="1EA1B514"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Totodată, recomandăm de a exclude expresia „conform legislației în vigoare” ca fiind inutilă.</w:t>
            </w:r>
          </w:p>
          <w:p w14:paraId="3CAC79A9" w14:textId="77777777" w:rsidR="00767989" w:rsidRDefault="00767989">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ind w:left="-180" w:firstLine="990"/>
              <w:jc w:val="both"/>
              <w:rPr>
                <w:rFonts w:ascii="Times New Roman" w:eastAsia="Times New Roman" w:hAnsi="Times New Roman" w:cs="Times New Roman"/>
                <w:sz w:val="24"/>
                <w:szCs w:val="24"/>
                <w:highlight w:val="white"/>
              </w:rPr>
            </w:pP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3FC4277B" w14:textId="77777777" w:rsidR="00767989"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 xml:space="preserve">Se acceptă. </w:t>
            </w:r>
          </w:p>
          <w:p w14:paraId="632B606A" w14:textId="77777777" w:rsidR="00767989"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Noțiunea a fost reformulată, după cum urmează:</w:t>
            </w:r>
          </w:p>
          <w:p w14:paraId="121EAE55" w14:textId="77777777" w:rsidR="00767989"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„Salariat cu responsabilități familiale - salariatul care are responsabilități de întreținere, îngrijire, asistență sau sprijin financiar față de unul ori mai mulți membri ai familiei, inclusiv ascendenți, descendenți  soț/soție, persoane cu dizabilități aflate în întreținere (părinți, copii), precum și rude de gradul doi în linie colaterală, și ale cărui responsabilități familiale afectează sau pot afecta activitatea profesională.” </w:t>
            </w:r>
          </w:p>
        </w:tc>
      </w:tr>
      <w:tr w:rsidR="00767989" w14:paraId="14E4AC42"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6EB54982"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3BD20201" w14:textId="77777777" w:rsidR="00767989" w:rsidRDefault="00767989">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2A3AAEC"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Adițional, atenționăm că, în Codul muncii la art. 183 alin. (2) lit. a) este utilizată sintagma „persoane cu obligații familiale”. Prin urmare, subliniem că, folosirea în textul codului a ambelor noțiuni poate duce la interpretări neuniforme și la o aplicare limitată a protecției pentru lucrătorii cu responsabilități familiale. Astfel, la definitivarea proiectului, autorul va respecta unitatea terminologică cu scopul de a nu lăsa ambiguități, contradicții sau îndoieli cu privire la semnificația noțiunilor „salariat cu responsabilități familiale” și „persoane cu obligații familiale”.</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BE0C8F2" w14:textId="77777777" w:rsidR="00767989"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Se acceptă parțial. </w:t>
            </w:r>
          </w:p>
          <w:p w14:paraId="5989C202" w14:textId="77777777" w:rsidR="00767989"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În vederea evitării interpretărilor neuniforme, noțiunea „salariat cu responsabilități familiale” a fost revăzută. Concomitent aceasta se distinge de statutul de „salariat cu obligații familiale”, și care </w:t>
            </w:r>
            <w:r>
              <w:rPr>
                <w:rFonts w:ascii="Times New Roman" w:eastAsia="Times New Roman" w:hAnsi="Times New Roman" w:cs="Times New Roman"/>
                <w:sz w:val="26"/>
                <w:szCs w:val="26"/>
                <w:highlight w:val="white"/>
              </w:rPr>
              <w:t xml:space="preserve">nu se limitează la obligațiile legale sau materiale de întreținere, ci include și responsabilitățile efective de îngrijire, supraveghere, asistență și sprijin acordate persoanelor enumerate. În acest sens, regimul juridic al garanțiilor acordate prin Codul muncii sunt diferite. </w:t>
            </w:r>
          </w:p>
        </w:tc>
      </w:tr>
      <w:tr w:rsidR="00767989" w14:paraId="7096B580"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23B1182D"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5BF932AA" w14:textId="77777777" w:rsidR="00767989" w:rsidRDefault="00767989">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2198611"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w:t>
            </w:r>
            <w:r>
              <w:rPr>
                <w:rFonts w:ascii="Times New Roman" w:eastAsia="Times New Roman" w:hAnsi="Times New Roman" w:cs="Times New Roman"/>
                <w:b/>
                <w:bCs/>
                <w:sz w:val="24"/>
                <w:szCs w:val="24"/>
                <w:highlight w:val="white"/>
              </w:rPr>
              <w:t xml:space="preserve">pct. 2 </w:t>
            </w:r>
            <w:r>
              <w:rPr>
                <w:rFonts w:ascii="Times New Roman" w:eastAsia="Times New Roman" w:hAnsi="Times New Roman" w:cs="Times New Roman"/>
                <w:sz w:val="24"/>
                <w:szCs w:val="24"/>
                <w:highlight w:val="white"/>
              </w:rPr>
              <w:t>la redarea intenției de modificare a art. 47 alin. (2) se va utiliza formula „se introduc cuvintele”.</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838F9A4" w14:textId="77777777" w:rsidR="00767989"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 xml:space="preserve">Se acceptă. </w:t>
            </w:r>
          </w:p>
          <w:p w14:paraId="2CCDDCA7" w14:textId="77777777" w:rsidR="00767989"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Formula de modificare a fost ajustată corespunzător. </w:t>
            </w:r>
          </w:p>
        </w:tc>
      </w:tr>
      <w:tr w:rsidR="00767989" w14:paraId="518BDCAC"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60BDF09A"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71C41C95" w14:textId="77777777" w:rsidR="00767989" w:rsidRDefault="00767989">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B897BC4"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pct. 3, pentru precizie normativă, propunem inserarea garanției pentru părinții singuri de a fi atrași la munca de noapte doar cu acordul lor, în conținutul alin. (6) al art. 103. Or, soluția normativă propune aceeași garanție, doar extinde subiecții acestei garanții.</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345DB697" w14:textId="77777777" w:rsidR="00767989"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 xml:space="preserve">Se acceptă. </w:t>
            </w:r>
          </w:p>
          <w:p w14:paraId="0A329507" w14:textId="77777777" w:rsidR="00767989"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Norma a fost revizuită și integrată în alin. (6) al art. 103. </w:t>
            </w:r>
          </w:p>
        </w:tc>
      </w:tr>
      <w:tr w:rsidR="00767989" w14:paraId="4D81D8FA" w14:textId="77777777">
        <w:trPr>
          <w:trHeight w:val="127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7D9D95FC" w14:textId="77777777" w:rsidR="00767989" w:rsidRDefault="00767989">
            <w:pPr>
              <w:jc w:val="center"/>
              <w:rPr>
                <w:rFonts w:ascii="Times New Roman" w:eastAsia="Times New Roman" w:hAnsi="Times New Roman" w:cs="Times New Roman"/>
                <w:b/>
                <w:bCs/>
                <w:sz w:val="24"/>
                <w:szCs w:val="24"/>
                <w:highlight w:val="white"/>
              </w:rPr>
            </w:pPr>
          </w:p>
        </w:tc>
        <w:tc>
          <w:tcPr>
            <w:tcW w:w="2760" w:type="dxa"/>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218FED25" w14:textId="77777777" w:rsidR="00767989" w:rsidRDefault="00767989">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9895D04"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Art. II, unde se preconizează modificarea art. 5 alin. (2) din Legea nr. 156/1998 privind sistemul public de pensii, se va utiliza formula „se introduce textul”.</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15C21B40" w14:textId="77777777" w:rsidR="00767989"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Se acceptă. </w:t>
            </w:r>
          </w:p>
          <w:p w14:paraId="529C33F3" w14:textId="77777777" w:rsidR="00767989"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Formula de modificare a fost ajustată corespunzător. </w:t>
            </w:r>
          </w:p>
        </w:tc>
      </w:tr>
      <w:tr w:rsidR="00767989" w14:paraId="55F6B333" w14:textId="77777777">
        <w:trPr>
          <w:trHeight w:val="375"/>
        </w:trPr>
        <w:tc>
          <w:tcPr>
            <w:tcW w:w="15675" w:type="dxa"/>
            <w:gridSpan w:val="4"/>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096DD7A6" w14:textId="77777777" w:rsidR="00767989" w:rsidRPr="00BD53CD" w:rsidRDefault="00000000">
            <w:pPr>
              <w:jc w:val="center"/>
              <w:rPr>
                <w:rFonts w:ascii="Times New Roman" w:eastAsia="Times New Roman" w:hAnsi="Times New Roman" w:cs="Times New Roman"/>
                <w:b/>
                <w:bCs/>
                <w:sz w:val="26"/>
                <w:szCs w:val="26"/>
                <w:highlight w:val="white"/>
              </w:rPr>
            </w:pPr>
            <w:r w:rsidRPr="00BD53CD">
              <w:rPr>
                <w:rFonts w:ascii="Times New Roman" w:eastAsia="Times New Roman" w:hAnsi="Times New Roman" w:cs="Times New Roman"/>
                <w:b/>
                <w:bCs/>
                <w:sz w:val="26"/>
                <w:szCs w:val="26"/>
                <w:highlight w:val="white"/>
              </w:rPr>
              <w:t>Mențiunile din Legiferare</w:t>
            </w:r>
          </w:p>
        </w:tc>
      </w:tr>
      <w:tr w:rsidR="00767989" w14:paraId="0AA2A2A2" w14:textId="77777777">
        <w:trPr>
          <w:trHeight w:val="1275"/>
        </w:trPr>
        <w:tc>
          <w:tcPr>
            <w:tcW w:w="915" w:type="dxa"/>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744598B2" w14:textId="77777777" w:rsidR="00767989" w:rsidRDefault="00000000">
            <w:pPr>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1.</w:t>
            </w:r>
          </w:p>
        </w:tc>
        <w:tc>
          <w:tcPr>
            <w:tcW w:w="2760" w:type="dxa"/>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2CFFD775" w14:textId="77777777" w:rsidR="00767989"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Centrul de Armonizare a Legislației </w:t>
            </w:r>
          </w:p>
          <w:p w14:paraId="6DF96178" w14:textId="77777777" w:rsidR="00767989"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21.05.2026</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131D1AC1"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CAL validează proiectul național.</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E980FCA" w14:textId="77777777" w:rsidR="00767989"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ia act.</w:t>
            </w:r>
          </w:p>
        </w:tc>
      </w:tr>
      <w:tr w:rsidR="00767989" w14:paraId="7ADF01A3" w14:textId="77777777">
        <w:trPr>
          <w:trHeight w:val="1275"/>
        </w:trPr>
        <w:tc>
          <w:tcPr>
            <w:tcW w:w="915" w:type="dxa"/>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1C45EA0F" w14:textId="77777777" w:rsidR="00767989" w:rsidRDefault="00000000">
            <w:pPr>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2.</w:t>
            </w:r>
          </w:p>
        </w:tc>
        <w:tc>
          <w:tcPr>
            <w:tcW w:w="2760" w:type="dxa"/>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413106AF" w14:textId="77777777" w:rsidR="00767989"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Casa Națională de Asigurări Sociale</w:t>
            </w:r>
          </w:p>
          <w:p w14:paraId="10DA3B1F" w14:textId="77777777" w:rsidR="00767989"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22.05.2026</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1F1ADC0C"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Casa Națională de Asigurări Sociale propuneri suplimentare nu are.</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4786C48" w14:textId="77777777" w:rsidR="00767989"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ia act.</w:t>
            </w:r>
          </w:p>
        </w:tc>
      </w:tr>
      <w:tr w:rsidR="00767989" w14:paraId="3B16F4DE" w14:textId="77777777">
        <w:trPr>
          <w:trHeight w:val="1275"/>
        </w:trPr>
        <w:tc>
          <w:tcPr>
            <w:tcW w:w="915" w:type="dxa"/>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584EB13D" w14:textId="77777777" w:rsidR="00767989" w:rsidRDefault="00000000">
            <w:pPr>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3.</w:t>
            </w:r>
          </w:p>
        </w:tc>
        <w:tc>
          <w:tcPr>
            <w:tcW w:w="2760" w:type="dxa"/>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5DF26812" w14:textId="77777777" w:rsidR="00767989" w:rsidRDefault="00000000">
            <w:pPr>
              <w:jc w:val="center"/>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Confederaţia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Naţională</w:t>
            </w:r>
            <w:proofErr w:type="spellEnd"/>
            <w:r>
              <w:rPr>
                <w:rFonts w:ascii="Times New Roman" w:eastAsia="Times New Roman" w:hAnsi="Times New Roman" w:cs="Times New Roman"/>
                <w:sz w:val="24"/>
                <w:szCs w:val="24"/>
                <w:highlight w:val="white"/>
              </w:rPr>
              <w:t xml:space="preserve"> a Sindicatelor din Moldova</w:t>
            </w:r>
          </w:p>
          <w:p w14:paraId="378F5E7F" w14:textId="77777777" w:rsidR="00767989"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25.05.2026</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1228ED74"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Reiterăm poziția de susținere a CNSM exprimată în avizul anterior.</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472A4146" w14:textId="77777777" w:rsidR="00767989"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ia act.</w:t>
            </w:r>
          </w:p>
        </w:tc>
      </w:tr>
      <w:tr w:rsidR="00767989" w14:paraId="5754447F" w14:textId="77777777">
        <w:trPr>
          <w:trHeight w:val="1275"/>
        </w:trPr>
        <w:tc>
          <w:tcPr>
            <w:tcW w:w="915" w:type="dxa"/>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7ABCCBB3" w14:textId="77777777" w:rsidR="00767989" w:rsidRDefault="00000000">
            <w:pPr>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4.</w:t>
            </w:r>
          </w:p>
        </w:tc>
        <w:tc>
          <w:tcPr>
            <w:tcW w:w="2760" w:type="dxa"/>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37DF972D" w14:textId="77777777" w:rsidR="00767989"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Ministerul Dezvoltării Economice și Digitalizării</w:t>
            </w:r>
          </w:p>
          <w:p w14:paraId="17B76AA6" w14:textId="77777777" w:rsidR="00767989"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25.05.2026</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28318DA"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Cu referire la proiectul definitivat de lege pentru modificarea unor acte normative, MDED comunică lipsa de obiecții și propuneri.</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A5D4607" w14:textId="77777777" w:rsidR="00767989"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ia act.</w:t>
            </w:r>
          </w:p>
        </w:tc>
      </w:tr>
      <w:tr w:rsidR="00767989" w14:paraId="3959C512" w14:textId="77777777">
        <w:trPr>
          <w:trHeight w:val="1275"/>
        </w:trPr>
        <w:tc>
          <w:tcPr>
            <w:tcW w:w="915" w:type="dxa"/>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56D4A0B0" w14:textId="77777777" w:rsidR="00767989" w:rsidRDefault="00000000">
            <w:pPr>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5.</w:t>
            </w:r>
          </w:p>
        </w:tc>
        <w:tc>
          <w:tcPr>
            <w:tcW w:w="2760" w:type="dxa"/>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36257700" w14:textId="77777777" w:rsidR="00767989"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Centrul Național pentru Protecția Datelor cu Caracter Personal</w:t>
            </w:r>
          </w:p>
          <w:p w14:paraId="56530687" w14:textId="77777777" w:rsidR="00767989"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25.05.2026</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4A2E467A"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CNPDCP comunică despre lipsa obiecțiilor și propunerilor.</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C52A390" w14:textId="77777777" w:rsidR="00767989"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ia act.</w:t>
            </w:r>
          </w:p>
        </w:tc>
      </w:tr>
      <w:tr w:rsidR="00767989" w14:paraId="15F4DDD6" w14:textId="77777777">
        <w:trPr>
          <w:trHeight w:val="1275"/>
        </w:trPr>
        <w:tc>
          <w:tcPr>
            <w:tcW w:w="915" w:type="dxa"/>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43EA23D2" w14:textId="77777777" w:rsidR="00767989" w:rsidRDefault="00000000">
            <w:pPr>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lastRenderedPageBreak/>
              <w:t>6.</w:t>
            </w:r>
          </w:p>
        </w:tc>
        <w:tc>
          <w:tcPr>
            <w:tcW w:w="2760" w:type="dxa"/>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086D18CB" w14:textId="77777777" w:rsidR="00767989"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Ministerul Finanțelor</w:t>
            </w:r>
          </w:p>
          <w:p w14:paraId="5C5CCDA1" w14:textId="77777777" w:rsidR="00767989"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27.05.2026</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F4987EE"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Ministerul Finanțelor a examinat repetat proiectul și, în limita competențelor funcționale, comunică lipsă de obiecții.</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2F0AB9F" w14:textId="77777777" w:rsidR="00767989"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ia act.</w:t>
            </w:r>
          </w:p>
        </w:tc>
      </w:tr>
      <w:tr w:rsidR="00767989" w14:paraId="180509B8" w14:textId="77777777">
        <w:trPr>
          <w:trHeight w:val="1275"/>
        </w:trPr>
        <w:tc>
          <w:tcPr>
            <w:tcW w:w="915" w:type="dxa"/>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6DEF23F2" w14:textId="77777777" w:rsidR="00767989" w:rsidRDefault="00000000">
            <w:pPr>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7.</w:t>
            </w:r>
          </w:p>
        </w:tc>
        <w:tc>
          <w:tcPr>
            <w:tcW w:w="2760" w:type="dxa"/>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0A42E684" w14:textId="77777777" w:rsidR="00767989"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Confederația Națională a Patronatului din Republica Moldova</w:t>
            </w:r>
          </w:p>
          <w:p w14:paraId="43920323" w14:textId="77777777" w:rsidR="00767989"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Nr. 05/1-43 din 27.05.2026</w:t>
            </w: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538F1D7F"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Confederația Națională a Patronatului din Republicii Moldova a examinat repetat proiectul de lege pentru modificarea unor acte normative (alinierea legislației la prevederile Convenției Organizației Internaționale a Muncii nr. 156/1981) și comunică lipsă de obiecții pe marginea acestuia.</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346B6B6D" w14:textId="77777777" w:rsidR="00767989"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 ia act.</w:t>
            </w:r>
          </w:p>
        </w:tc>
      </w:tr>
    </w:tbl>
    <w:p w14:paraId="14529883" w14:textId="77777777" w:rsidR="00767989" w:rsidRDefault="00767989">
      <w:pPr>
        <w:spacing w:line="276" w:lineRule="auto"/>
        <w:jc w:val="both"/>
        <w:rPr>
          <w:rFonts w:ascii="Times New Roman" w:eastAsia="Times New Roman" w:hAnsi="Times New Roman" w:cs="Times New Roman"/>
          <w:b/>
          <w:bCs/>
          <w:sz w:val="24"/>
          <w:szCs w:val="24"/>
        </w:rPr>
      </w:pPr>
    </w:p>
    <w:p w14:paraId="3FB183B3" w14:textId="77777777" w:rsidR="00767989" w:rsidRDefault="00767989">
      <w:pPr>
        <w:spacing w:line="276" w:lineRule="auto"/>
        <w:jc w:val="both"/>
        <w:rPr>
          <w:rFonts w:ascii="Times New Roman" w:eastAsia="Times New Roman" w:hAnsi="Times New Roman" w:cs="Times New Roman"/>
          <w:b/>
          <w:bCs/>
          <w:sz w:val="24"/>
          <w:szCs w:val="24"/>
        </w:rPr>
      </w:pPr>
    </w:p>
    <w:p w14:paraId="18164704" w14:textId="77777777" w:rsidR="00767989" w:rsidRDefault="00767989">
      <w:pPr>
        <w:spacing w:line="276" w:lineRule="auto"/>
        <w:ind w:firstLine="560"/>
        <w:jc w:val="center"/>
        <w:rPr>
          <w:rFonts w:ascii="Times New Roman" w:eastAsia="Times New Roman" w:hAnsi="Times New Roman" w:cs="Times New Roman"/>
          <w:b/>
          <w:bCs/>
          <w:sz w:val="24"/>
          <w:szCs w:val="24"/>
        </w:rPr>
      </w:pPr>
    </w:p>
    <w:p w14:paraId="29AF27E4" w14:textId="77777777" w:rsidR="00767989" w:rsidRDefault="00767989">
      <w:pPr>
        <w:spacing w:line="276" w:lineRule="auto"/>
        <w:ind w:firstLine="560"/>
        <w:jc w:val="center"/>
        <w:rPr>
          <w:rFonts w:ascii="Times New Roman" w:eastAsia="Times New Roman" w:hAnsi="Times New Roman" w:cs="Times New Roman"/>
          <w:b/>
          <w:bCs/>
          <w:sz w:val="24"/>
          <w:szCs w:val="24"/>
        </w:rPr>
      </w:pPr>
    </w:p>
    <w:p w14:paraId="3F9A1B96" w14:textId="77777777" w:rsidR="00767989" w:rsidRDefault="00767989">
      <w:pPr>
        <w:spacing w:line="276" w:lineRule="auto"/>
        <w:ind w:firstLine="560"/>
        <w:jc w:val="center"/>
        <w:rPr>
          <w:rFonts w:ascii="Times New Roman" w:eastAsia="Times New Roman" w:hAnsi="Times New Roman" w:cs="Times New Roman"/>
          <w:b/>
          <w:bCs/>
          <w:sz w:val="24"/>
          <w:szCs w:val="24"/>
        </w:rPr>
      </w:pPr>
    </w:p>
    <w:p w14:paraId="16212775" w14:textId="77777777" w:rsidR="00767989" w:rsidRDefault="00767989">
      <w:pPr>
        <w:spacing w:line="276" w:lineRule="auto"/>
        <w:ind w:firstLine="560"/>
        <w:jc w:val="center"/>
        <w:rPr>
          <w:rFonts w:ascii="Times New Roman" w:eastAsia="Times New Roman" w:hAnsi="Times New Roman" w:cs="Times New Roman"/>
          <w:b/>
          <w:bCs/>
          <w:sz w:val="24"/>
          <w:szCs w:val="24"/>
        </w:rPr>
      </w:pPr>
    </w:p>
    <w:p w14:paraId="10F35E71" w14:textId="77777777" w:rsidR="00767989" w:rsidRDefault="00767989">
      <w:pPr>
        <w:spacing w:line="276" w:lineRule="auto"/>
        <w:ind w:firstLine="560"/>
        <w:jc w:val="center"/>
        <w:rPr>
          <w:rFonts w:ascii="Times New Roman" w:eastAsia="Times New Roman" w:hAnsi="Times New Roman" w:cs="Times New Roman"/>
          <w:b/>
          <w:bCs/>
          <w:sz w:val="24"/>
          <w:szCs w:val="24"/>
        </w:rPr>
      </w:pPr>
    </w:p>
    <w:p w14:paraId="637ACB99" w14:textId="77777777" w:rsidR="00767989" w:rsidRDefault="00767989">
      <w:pPr>
        <w:spacing w:line="276" w:lineRule="auto"/>
        <w:ind w:firstLine="560"/>
        <w:jc w:val="center"/>
        <w:rPr>
          <w:rFonts w:ascii="Times New Roman" w:eastAsia="Times New Roman" w:hAnsi="Times New Roman" w:cs="Times New Roman"/>
          <w:b/>
          <w:bCs/>
          <w:sz w:val="24"/>
          <w:szCs w:val="24"/>
        </w:rPr>
      </w:pPr>
    </w:p>
    <w:p w14:paraId="78E18F69" w14:textId="77777777" w:rsidR="00767989" w:rsidRDefault="00767989">
      <w:pPr>
        <w:spacing w:line="276" w:lineRule="auto"/>
        <w:ind w:firstLine="560"/>
        <w:jc w:val="center"/>
        <w:rPr>
          <w:rFonts w:ascii="Times New Roman" w:eastAsia="Times New Roman" w:hAnsi="Times New Roman" w:cs="Times New Roman"/>
          <w:b/>
          <w:bCs/>
          <w:sz w:val="24"/>
          <w:szCs w:val="24"/>
        </w:rPr>
      </w:pPr>
    </w:p>
    <w:p w14:paraId="00479F64" w14:textId="77777777" w:rsidR="00767989" w:rsidRDefault="00767989">
      <w:pPr>
        <w:spacing w:line="276" w:lineRule="auto"/>
        <w:ind w:firstLine="560"/>
        <w:jc w:val="center"/>
        <w:rPr>
          <w:rFonts w:ascii="Times New Roman" w:eastAsia="Times New Roman" w:hAnsi="Times New Roman" w:cs="Times New Roman"/>
          <w:b/>
          <w:bCs/>
          <w:sz w:val="24"/>
          <w:szCs w:val="24"/>
        </w:rPr>
      </w:pPr>
    </w:p>
    <w:p w14:paraId="56BA76B3" w14:textId="77777777" w:rsidR="00767989" w:rsidRDefault="00767989">
      <w:pPr>
        <w:spacing w:line="276" w:lineRule="auto"/>
        <w:ind w:firstLine="560"/>
        <w:jc w:val="center"/>
        <w:rPr>
          <w:rFonts w:ascii="Times New Roman" w:eastAsia="Times New Roman" w:hAnsi="Times New Roman" w:cs="Times New Roman"/>
          <w:b/>
          <w:bCs/>
          <w:sz w:val="24"/>
          <w:szCs w:val="24"/>
        </w:rPr>
      </w:pPr>
    </w:p>
    <w:p w14:paraId="4A6893C9" w14:textId="77777777" w:rsidR="00767989" w:rsidRDefault="00767989">
      <w:pPr>
        <w:spacing w:line="276" w:lineRule="auto"/>
        <w:ind w:firstLine="560"/>
        <w:jc w:val="center"/>
        <w:rPr>
          <w:rFonts w:ascii="Times New Roman" w:eastAsia="Times New Roman" w:hAnsi="Times New Roman" w:cs="Times New Roman"/>
          <w:b/>
          <w:bCs/>
          <w:sz w:val="24"/>
          <w:szCs w:val="24"/>
        </w:rPr>
      </w:pPr>
    </w:p>
    <w:p w14:paraId="28FA5752" w14:textId="77777777" w:rsidR="00767989" w:rsidRDefault="00767989">
      <w:pPr>
        <w:spacing w:line="276" w:lineRule="auto"/>
        <w:ind w:firstLine="560"/>
        <w:jc w:val="center"/>
        <w:rPr>
          <w:rFonts w:ascii="Times New Roman" w:eastAsia="Times New Roman" w:hAnsi="Times New Roman" w:cs="Times New Roman"/>
          <w:b/>
          <w:bCs/>
          <w:sz w:val="24"/>
          <w:szCs w:val="24"/>
        </w:rPr>
      </w:pPr>
    </w:p>
    <w:p w14:paraId="26F49B57" w14:textId="77777777" w:rsidR="00767989" w:rsidRDefault="00767989">
      <w:pPr>
        <w:spacing w:line="276" w:lineRule="auto"/>
        <w:ind w:firstLine="560"/>
        <w:jc w:val="center"/>
        <w:rPr>
          <w:rFonts w:ascii="Times New Roman" w:eastAsia="Times New Roman" w:hAnsi="Times New Roman" w:cs="Times New Roman"/>
          <w:b/>
          <w:bCs/>
          <w:sz w:val="24"/>
          <w:szCs w:val="24"/>
        </w:rPr>
      </w:pPr>
    </w:p>
    <w:p w14:paraId="10F81513" w14:textId="77777777" w:rsidR="00767989" w:rsidRDefault="00767989">
      <w:pPr>
        <w:spacing w:line="276" w:lineRule="auto"/>
        <w:ind w:firstLine="560"/>
        <w:jc w:val="center"/>
        <w:rPr>
          <w:rFonts w:ascii="Times New Roman" w:eastAsia="Times New Roman" w:hAnsi="Times New Roman" w:cs="Times New Roman"/>
          <w:b/>
          <w:bCs/>
          <w:sz w:val="24"/>
          <w:szCs w:val="24"/>
        </w:rPr>
      </w:pPr>
    </w:p>
    <w:p w14:paraId="184D43C9" w14:textId="77777777" w:rsidR="00767989" w:rsidRDefault="00767989">
      <w:pPr>
        <w:spacing w:line="276" w:lineRule="auto"/>
        <w:ind w:firstLine="560"/>
        <w:jc w:val="center"/>
        <w:rPr>
          <w:rFonts w:ascii="Times New Roman" w:eastAsia="Times New Roman" w:hAnsi="Times New Roman" w:cs="Times New Roman"/>
          <w:b/>
          <w:bCs/>
          <w:sz w:val="24"/>
          <w:szCs w:val="24"/>
        </w:rPr>
      </w:pPr>
    </w:p>
    <w:p w14:paraId="672E2D3D" w14:textId="77777777" w:rsidR="00767989" w:rsidRDefault="00767989">
      <w:pPr>
        <w:spacing w:line="276" w:lineRule="auto"/>
        <w:ind w:firstLine="560"/>
        <w:jc w:val="center"/>
        <w:rPr>
          <w:rFonts w:ascii="Times New Roman" w:eastAsia="Times New Roman" w:hAnsi="Times New Roman" w:cs="Times New Roman"/>
          <w:b/>
          <w:bCs/>
          <w:sz w:val="24"/>
          <w:szCs w:val="24"/>
        </w:rPr>
      </w:pPr>
    </w:p>
    <w:p w14:paraId="718A7857" w14:textId="77777777" w:rsidR="00767989" w:rsidRDefault="00767989">
      <w:pPr>
        <w:spacing w:line="276" w:lineRule="auto"/>
        <w:rPr>
          <w:rFonts w:ascii="Times New Roman" w:eastAsia="Times New Roman" w:hAnsi="Times New Roman" w:cs="Times New Roman"/>
          <w:b/>
          <w:bCs/>
          <w:sz w:val="24"/>
          <w:szCs w:val="24"/>
        </w:rPr>
      </w:pPr>
    </w:p>
    <w:p w14:paraId="6837931F" w14:textId="77777777" w:rsidR="00767989" w:rsidRDefault="00767989">
      <w:pPr>
        <w:spacing w:line="276" w:lineRule="auto"/>
        <w:rPr>
          <w:rFonts w:ascii="Times New Roman" w:eastAsia="Times New Roman" w:hAnsi="Times New Roman" w:cs="Times New Roman"/>
          <w:b/>
          <w:bCs/>
          <w:sz w:val="24"/>
          <w:szCs w:val="24"/>
        </w:rPr>
      </w:pPr>
    </w:p>
    <w:p w14:paraId="3713ED4B" w14:textId="77777777" w:rsidR="00767989" w:rsidRDefault="00767989">
      <w:pPr>
        <w:spacing w:line="276" w:lineRule="auto"/>
        <w:rPr>
          <w:rFonts w:ascii="Times New Roman" w:eastAsia="Times New Roman" w:hAnsi="Times New Roman" w:cs="Times New Roman"/>
          <w:b/>
          <w:bCs/>
          <w:sz w:val="24"/>
          <w:szCs w:val="24"/>
        </w:rPr>
      </w:pPr>
    </w:p>
    <w:p w14:paraId="128338B4" w14:textId="77777777" w:rsidR="00767989" w:rsidRDefault="00767989">
      <w:pPr>
        <w:spacing w:line="276" w:lineRule="auto"/>
        <w:rPr>
          <w:rFonts w:ascii="Times New Roman" w:eastAsia="Times New Roman" w:hAnsi="Times New Roman" w:cs="Times New Roman"/>
          <w:b/>
          <w:bCs/>
          <w:sz w:val="24"/>
          <w:szCs w:val="24"/>
        </w:rPr>
      </w:pPr>
    </w:p>
    <w:p w14:paraId="4F231ECA" w14:textId="77777777" w:rsidR="00767989" w:rsidRDefault="00000000">
      <w:pPr>
        <w:spacing w:line="276" w:lineRule="auto"/>
        <w:ind w:firstLine="5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SINTEZA</w:t>
      </w:r>
    </w:p>
    <w:p w14:paraId="11611D94" w14:textId="77777777" w:rsidR="00767989" w:rsidRDefault="00000000">
      <w:pPr>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la proiectul de lege pentru modificarea unor acte normative </w:t>
      </w:r>
    </w:p>
    <w:p w14:paraId="55B86359" w14:textId="77777777" w:rsidR="00767989" w:rsidRDefault="00000000">
      <w:pPr>
        <w:spacing w:line="276"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bCs/>
          <w:i/>
          <w:iCs/>
          <w:sz w:val="24"/>
          <w:szCs w:val="24"/>
        </w:rPr>
        <w:t>alinierea legislației la prevederile Convenției Organizației Internaționale a Muncii nr. 156/1981)</w:t>
      </w:r>
    </w:p>
    <w:p w14:paraId="1DC82A18" w14:textId="77777777" w:rsidR="00767989" w:rsidRDefault="00000000">
      <w:pPr>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 </w:t>
      </w:r>
    </w:p>
    <w:tbl>
      <w:tblPr>
        <w:tblStyle w:val="a0"/>
        <w:tblW w:w="15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15"/>
        <w:gridCol w:w="2760"/>
        <w:gridCol w:w="5640"/>
        <w:gridCol w:w="6360"/>
      </w:tblGrid>
      <w:tr w:rsidR="00767989" w14:paraId="3FE8BA17" w14:textId="77777777">
        <w:trPr>
          <w:trHeight w:val="615"/>
        </w:trPr>
        <w:tc>
          <w:tcPr>
            <w:tcW w:w="915" w:type="dxa"/>
            <w:tcBorders>
              <w:top w:val="single" w:sz="6" w:space="0" w:color="999999"/>
              <w:left w:val="single" w:sz="6" w:space="0" w:color="999999"/>
              <w:bottom w:val="single" w:sz="6" w:space="0" w:color="999999"/>
              <w:right w:val="single" w:sz="6" w:space="0" w:color="999999"/>
            </w:tcBorders>
            <w:tcMar>
              <w:top w:w="0" w:type="dxa"/>
              <w:left w:w="100" w:type="dxa"/>
              <w:bottom w:w="0" w:type="dxa"/>
              <w:right w:w="100" w:type="dxa"/>
            </w:tcMar>
          </w:tcPr>
          <w:p w14:paraId="2303AF9D" w14:textId="77777777" w:rsidR="00767989" w:rsidRDefault="00000000">
            <w:pPr>
              <w:spacing w:line="276" w:lineRule="auto"/>
              <w:ind w:left="140"/>
              <w:rPr>
                <w:rFonts w:ascii="Times New Roman" w:eastAsia="Times New Roman" w:hAnsi="Times New Roman" w:cs="Times New Roman"/>
                <w:sz w:val="24"/>
                <w:szCs w:val="24"/>
              </w:rPr>
            </w:pPr>
            <w:r>
              <w:rPr>
                <w:rFonts w:ascii="Times New Roman" w:eastAsia="Times New Roman" w:hAnsi="Times New Roman" w:cs="Times New Roman"/>
                <w:sz w:val="24"/>
                <w:szCs w:val="24"/>
              </w:rPr>
              <w:t>Nr. d/o</w:t>
            </w:r>
          </w:p>
        </w:tc>
        <w:tc>
          <w:tcPr>
            <w:tcW w:w="2760" w:type="dxa"/>
            <w:tcBorders>
              <w:top w:val="single" w:sz="6" w:space="0" w:color="999999"/>
              <w:left w:val="nil"/>
              <w:bottom w:val="single" w:sz="6" w:space="0" w:color="999999"/>
              <w:right w:val="single" w:sz="6" w:space="0" w:color="999999"/>
            </w:tcBorders>
            <w:tcMar>
              <w:top w:w="0" w:type="dxa"/>
              <w:left w:w="100" w:type="dxa"/>
              <w:bottom w:w="0" w:type="dxa"/>
              <w:right w:w="100" w:type="dxa"/>
            </w:tcMar>
          </w:tcPr>
          <w:p w14:paraId="5F74EC28" w14:textId="77777777" w:rsidR="00767989" w:rsidRDefault="00000000">
            <w:pPr>
              <w:spacing w:line="276"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Autorul propunerilor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obiecţiilor</w:t>
            </w:r>
            <w:proofErr w:type="spellEnd"/>
          </w:p>
        </w:tc>
        <w:tc>
          <w:tcPr>
            <w:tcW w:w="5640" w:type="dxa"/>
            <w:tcBorders>
              <w:top w:val="single" w:sz="6" w:space="0" w:color="999999"/>
              <w:left w:val="nil"/>
              <w:bottom w:val="single" w:sz="6" w:space="0" w:color="999999"/>
              <w:right w:val="single" w:sz="6" w:space="0" w:color="999999"/>
            </w:tcBorders>
            <w:tcMar>
              <w:top w:w="0" w:type="dxa"/>
              <w:left w:w="100" w:type="dxa"/>
              <w:bottom w:w="0" w:type="dxa"/>
              <w:right w:w="100" w:type="dxa"/>
            </w:tcMar>
          </w:tcPr>
          <w:p w14:paraId="2394975F" w14:textId="77777777" w:rsidR="00767989" w:rsidRDefault="00000000">
            <w:pPr>
              <w:spacing w:line="276" w:lineRule="auto"/>
              <w:ind w:left="140" w:firstLine="5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Conținutul propunerilor, obiecțiilor</w:t>
            </w:r>
          </w:p>
        </w:tc>
        <w:tc>
          <w:tcPr>
            <w:tcW w:w="6360" w:type="dxa"/>
            <w:tcBorders>
              <w:top w:val="single" w:sz="6" w:space="0" w:color="999999"/>
              <w:left w:val="nil"/>
              <w:bottom w:val="single" w:sz="6" w:space="0" w:color="999999"/>
              <w:right w:val="single" w:sz="6" w:space="0" w:color="999999"/>
            </w:tcBorders>
            <w:tcMar>
              <w:top w:w="0" w:type="dxa"/>
              <w:left w:w="100" w:type="dxa"/>
              <w:bottom w:w="0" w:type="dxa"/>
              <w:right w:w="100" w:type="dxa"/>
            </w:tcMar>
          </w:tcPr>
          <w:p w14:paraId="167FCD03" w14:textId="77777777" w:rsidR="00767989" w:rsidRDefault="00000000">
            <w:pPr>
              <w:spacing w:line="276" w:lineRule="auto"/>
              <w:ind w:left="140" w:firstLine="5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Argumentare</w:t>
            </w:r>
          </w:p>
        </w:tc>
      </w:tr>
      <w:tr w:rsidR="00767989" w14:paraId="3FDCAF20" w14:textId="77777777">
        <w:trPr>
          <w:trHeight w:val="270"/>
        </w:trPr>
        <w:tc>
          <w:tcPr>
            <w:tcW w:w="915" w:type="dxa"/>
            <w:tcBorders>
              <w:top w:val="nil"/>
              <w:left w:val="single" w:sz="6" w:space="0" w:color="999999"/>
              <w:bottom w:val="single" w:sz="6" w:space="0" w:color="999999"/>
              <w:right w:val="single" w:sz="6" w:space="0" w:color="999999"/>
            </w:tcBorders>
            <w:tcMar>
              <w:top w:w="0" w:type="dxa"/>
              <w:left w:w="100" w:type="dxa"/>
              <w:bottom w:w="0" w:type="dxa"/>
              <w:right w:w="100" w:type="dxa"/>
            </w:tcMar>
          </w:tcPr>
          <w:p w14:paraId="5E37E191" w14:textId="77777777" w:rsidR="00767989" w:rsidRDefault="00000000">
            <w:pPr>
              <w:spacing w:line="276" w:lineRule="auto"/>
              <w:ind w:left="14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1</w:t>
            </w:r>
          </w:p>
        </w:tc>
        <w:tc>
          <w:tcPr>
            <w:tcW w:w="2760" w:type="dxa"/>
            <w:tcBorders>
              <w:top w:val="nil"/>
              <w:left w:val="nil"/>
              <w:bottom w:val="single" w:sz="6" w:space="0" w:color="999999"/>
              <w:right w:val="single" w:sz="6" w:space="0" w:color="999999"/>
            </w:tcBorders>
            <w:tcMar>
              <w:top w:w="0" w:type="dxa"/>
              <w:left w:w="100" w:type="dxa"/>
              <w:bottom w:w="0" w:type="dxa"/>
              <w:right w:w="100" w:type="dxa"/>
            </w:tcMar>
          </w:tcPr>
          <w:p w14:paraId="20D55005" w14:textId="77777777" w:rsidR="00767989" w:rsidRDefault="00000000">
            <w:pPr>
              <w:spacing w:line="276" w:lineRule="auto"/>
              <w:ind w:left="140" w:firstLine="560"/>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w:t>
            </w:r>
          </w:p>
        </w:tc>
        <w:tc>
          <w:tcPr>
            <w:tcW w:w="5640" w:type="dxa"/>
            <w:tcBorders>
              <w:top w:val="nil"/>
              <w:left w:val="nil"/>
              <w:bottom w:val="single" w:sz="6" w:space="0" w:color="999999"/>
              <w:right w:val="single" w:sz="6" w:space="0" w:color="999999"/>
            </w:tcBorders>
            <w:tcMar>
              <w:top w:w="0" w:type="dxa"/>
              <w:left w:w="100" w:type="dxa"/>
              <w:bottom w:w="0" w:type="dxa"/>
              <w:right w:w="100" w:type="dxa"/>
            </w:tcMar>
          </w:tcPr>
          <w:p w14:paraId="326B8936" w14:textId="77777777" w:rsidR="00767989" w:rsidRDefault="00000000">
            <w:pPr>
              <w:spacing w:line="276" w:lineRule="auto"/>
              <w:ind w:left="140" w:firstLine="560"/>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3</w:t>
            </w:r>
          </w:p>
        </w:tc>
        <w:tc>
          <w:tcPr>
            <w:tcW w:w="6360" w:type="dxa"/>
            <w:tcBorders>
              <w:top w:val="nil"/>
              <w:left w:val="nil"/>
              <w:bottom w:val="single" w:sz="6" w:space="0" w:color="999999"/>
              <w:right w:val="single" w:sz="6" w:space="0" w:color="999999"/>
            </w:tcBorders>
            <w:tcMar>
              <w:top w:w="0" w:type="dxa"/>
              <w:left w:w="100" w:type="dxa"/>
              <w:bottom w:w="0" w:type="dxa"/>
              <w:right w:w="100" w:type="dxa"/>
            </w:tcMar>
          </w:tcPr>
          <w:p w14:paraId="627BBBB3" w14:textId="77777777" w:rsidR="00767989" w:rsidRDefault="00000000">
            <w:pPr>
              <w:spacing w:line="276" w:lineRule="auto"/>
              <w:ind w:left="140" w:firstLine="560"/>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w:t>
            </w:r>
          </w:p>
        </w:tc>
      </w:tr>
      <w:tr w:rsidR="00767989" w14:paraId="2E702215" w14:textId="77777777">
        <w:trPr>
          <w:trHeight w:val="270"/>
        </w:trPr>
        <w:tc>
          <w:tcPr>
            <w:tcW w:w="15675" w:type="dxa"/>
            <w:gridSpan w:val="4"/>
            <w:tcBorders>
              <w:top w:val="nil"/>
              <w:left w:val="single" w:sz="6" w:space="0" w:color="999999"/>
              <w:bottom w:val="single" w:sz="6" w:space="0" w:color="999999"/>
              <w:right w:val="single" w:sz="6" w:space="0" w:color="999999"/>
            </w:tcBorders>
            <w:tcMar>
              <w:top w:w="0" w:type="dxa"/>
              <w:left w:w="100" w:type="dxa"/>
              <w:bottom w:w="0" w:type="dxa"/>
              <w:right w:w="100" w:type="dxa"/>
            </w:tcMar>
          </w:tcPr>
          <w:p w14:paraId="10372416" w14:textId="77777777" w:rsidR="00767989" w:rsidRDefault="00000000">
            <w:pPr>
              <w:spacing w:line="276" w:lineRule="auto"/>
              <w:ind w:left="140" w:firstLine="5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Procedura de consultare publică</w:t>
            </w:r>
          </w:p>
        </w:tc>
      </w:tr>
      <w:tr w:rsidR="00767989" w14:paraId="4014EEEC" w14:textId="77777777">
        <w:trPr>
          <w:trHeight w:val="1185"/>
        </w:trPr>
        <w:tc>
          <w:tcPr>
            <w:tcW w:w="915" w:type="dxa"/>
            <w:vMerge w:val="restart"/>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1ED83B0D" w14:textId="77777777" w:rsidR="00767989" w:rsidRDefault="00000000">
            <w:pPr>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1.</w:t>
            </w:r>
          </w:p>
        </w:tc>
        <w:tc>
          <w:tcPr>
            <w:tcW w:w="2760" w:type="dxa"/>
            <w:vMerge w:val="restart"/>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685E16C5" w14:textId="77777777" w:rsidR="00767989"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Consiliul pentru egalitate</w:t>
            </w:r>
          </w:p>
          <w:p w14:paraId="7C9C747B" w14:textId="77777777" w:rsidR="00767989" w:rsidRDefault="00000000">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Nr. 04/867 din 29.05.2026</w:t>
            </w:r>
          </w:p>
        </w:tc>
        <w:tc>
          <w:tcPr>
            <w:tcW w:w="5640" w:type="dxa"/>
            <w:vMerge w:val="restart"/>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192D88A0"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Cu referire la includerea în art. 1 din Codul muncii nr. 154/2003 a noțiunii de „salariat cu responsabilități”, Consiliul menționează următoarele. </w:t>
            </w:r>
          </w:p>
          <w:p w14:paraId="02DF1202"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Noțiunea propusă, deși face referire la membri ai familiei, conține o enumerare a acestora, ceea ce generează suprapuneri terminologice. Includerea persoanelor cu dizabilități urmată de o nouă enumerare a acestora conduce la dublarea aceluiași element conceptual, fără a adăuga claritate sau conținut normativ. </w:t>
            </w:r>
          </w:p>
          <w:p w14:paraId="42C28CD3"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 asemenea, expresiile „întreținere, conform legislației în vigoare” și „responsabilități legale și financiare” tind să se suprapună. În acest sens, Consiliul recomandă reformularea acestei noțiuni cu respectarea regulilor stabilite la art. 54 din Legea nr. 100/2017 cu privire la actele normative, în vederea asigurării clarității, conciziei și coerenței terminologice.</w:t>
            </w:r>
          </w:p>
          <w:p w14:paraId="3CA15A0A"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Suplimentar, Consiliul observă o neconcordanță de fond cu Convenția OIM nr. 156. Definiția propusă ancorează noțiunea pe obligația de întreținere materială, în timp ce art. 1 din Convenție o ancorează pe nevoia de îngrijire sau sprijin și pe impactul acesteia asupra participării la muncă. Această deplasare conceptuală restrânge sfera reală a protecției.</w:t>
            </w:r>
          </w:p>
          <w:p w14:paraId="150804E2"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De asemenea, Consiliul observă că una din premise este dizabilitatea, care este limitată la cea obținută „în urma unei afecțiuni congenitale sau din copilărie”. Această abordare nu corespunde art. 3 lit. c) al Directivei (UE) 2019/1158, potrivit căruia concediul de îngrijitor se acordă pentru o rudă sau o persoană din aceeași gospodărie care are nevoie de îngrijire ori de sprijin semnificativ ca urmare a unei probleme medicale grave. Aceeași sintagmă este utilizată și în noțiunea de „îngrijitor”. Astfel, criteriul corect este problema medicală gravă, dizabilitatea fiind doar una dintre cauzele posibile ale nevoii de îngrijire, iar nu o condiție de sine stătătoare. Formularea proiectului are un dublu efect restrictiv: pe de o parte, condiționează protecția de existența unei dizabilități (excluzând o boală gravă temporară care nu constituie dizabilitate); pe de altă parte, exclude dizabilitățile dobândite ulterior (accidente, boli survenite la maturitate, deficiențe legate de vârstă). </w:t>
            </w:r>
            <w:r>
              <w:rPr>
                <w:rFonts w:ascii="Times New Roman" w:eastAsia="Times New Roman" w:hAnsi="Times New Roman" w:cs="Times New Roman"/>
                <w:b/>
                <w:bCs/>
                <w:sz w:val="24"/>
                <w:szCs w:val="24"/>
                <w:highlight w:val="white"/>
              </w:rPr>
              <w:t>Consiliul recomandă eliminarea acestei clauze și raportarea la nevoia de îngrijire ori de sprijin semnificativ ca urmare a unei probleme medicale grave, indiferent de natura sau de momentul apariției acesteia.</w:t>
            </w:r>
          </w:p>
          <w:p w14:paraId="6FAFFE02"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Totodată, Consiliul observă că definiția propusă circumscrie cercul persoanelor îngrijite exclusiv la rude (ascendenți, descendenți, soțul/soția, rude de gradul doi în linie colaterală), fără a indica în mod expres ipoteza în care salariatul oferă îngrijire sau sprijin personal unei</w:t>
            </w:r>
          </w:p>
          <w:p w14:paraId="4DB07D80" w14:textId="77777777" w:rsidR="00767989" w:rsidRDefault="00000000">
            <w:pPr>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persoane care locuiește în aceeași gospodărie cu acesta. Or, art. 3 lit. c) și d) din Directiva (UE) 2019/1158 prevede îngrijirea acordată unei rude sau unei persoane </w:t>
            </w:r>
            <w:r>
              <w:rPr>
                <w:rFonts w:ascii="Times New Roman" w:eastAsia="Times New Roman" w:hAnsi="Times New Roman" w:cs="Times New Roman"/>
                <w:sz w:val="24"/>
                <w:szCs w:val="24"/>
                <w:highlight w:val="white"/>
              </w:rPr>
              <w:lastRenderedPageBreak/>
              <w:t xml:space="preserve">care locuiește în aceeași gospodărie ca lucrătorul, coabitarea constituind astfel un temei autonom, alternativ legăturii de rudenie. </w:t>
            </w:r>
            <w:r>
              <w:rPr>
                <w:rFonts w:ascii="Times New Roman" w:eastAsia="Times New Roman" w:hAnsi="Times New Roman" w:cs="Times New Roman"/>
                <w:b/>
                <w:bCs/>
                <w:sz w:val="24"/>
                <w:szCs w:val="24"/>
                <w:highlight w:val="white"/>
              </w:rPr>
              <w:t>Consiliul recomandă completarea noțiunii cu ipoteza persoanei care locuiește în aceeași gospodărie cu salariatul, indiferent de existența unei legături de rudenie.</w:t>
            </w:r>
          </w:p>
          <w:p w14:paraId="06CB6B33"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Totodată, cu referire la textul „părinții sau copiii, inclusiv înfietorii și înfiații” din noțiunea de „salariat cu responsabilități familiale”, Consiliul notează că Codul muncii și Legea nr. 99/2010 privind regimul juridic al adopției utilizează următorii termeni: adoptat, copil</w:t>
            </w:r>
          </w:p>
          <w:p w14:paraId="44DC32E2"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adoptat, adoptator și părinte adoptiv. Totodată, potrivit prevederilor art. 42 Drepturile și obligațiile părinților adoptivi și art. 44 Drepturile și obligațiile copilului adoptat din Legea nr. 99/2010, între părintele adoptiv și copilul adoptat există aceleași drepturi și obligații ca și în cazul părintelui biologic și copilului său. În acest context, </w:t>
            </w:r>
            <w:r>
              <w:rPr>
                <w:rFonts w:ascii="Times New Roman" w:eastAsia="Times New Roman" w:hAnsi="Times New Roman" w:cs="Times New Roman"/>
                <w:b/>
                <w:bCs/>
                <w:sz w:val="24"/>
                <w:szCs w:val="24"/>
                <w:highlight w:val="white"/>
              </w:rPr>
              <w:t>Consiliul recomandă excluderea sintagmei „inclusiv înfietorii și înfiații” sau, după caz, substituirea cu terminologia utilizată de legislația în vigoare.</w:t>
            </w:r>
          </w:p>
          <w:p w14:paraId="4E98DA26" w14:textId="77777777" w:rsidR="00767989" w:rsidRDefault="00000000">
            <w:pPr>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În considerarea celor de mai sus, Consiliul propune, următoarea redactare a noțiunii:</w:t>
            </w:r>
          </w:p>
          <w:p w14:paraId="58F5B9AC"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„Salariat cu responsabilități familiale – salariatul ale cărui posibilități de a se pregăti pentru, de a intra, de a participa sau de a avansa în activitatea profesională sunt restrânse de responsabilitățile sale de îngrijire ori de sprijin față de: a) unul sau mai mulți copii aflați în întreținere; sau b) o rudă ori o persoană care locuiește în aceeași gospodărie cu salariatul și care are nevoie de îngrijire ori de sprijin semnificativ ca urmare a unei probleme medicale grave, inclusiv a unei dizabilități;”.</w:t>
            </w:r>
          </w:p>
        </w:tc>
        <w:tc>
          <w:tcPr>
            <w:tcW w:w="6360" w:type="dxa"/>
            <w:vMerge w:val="restart"/>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5E0DB77" w14:textId="77777777" w:rsidR="00767989"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lastRenderedPageBreak/>
              <w:t xml:space="preserve">Se acceptă. </w:t>
            </w:r>
          </w:p>
          <w:p w14:paraId="7E505837" w14:textId="77777777" w:rsidR="00767989"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Noțiunea a fost reformulată, după cum urmează:</w:t>
            </w:r>
          </w:p>
          <w:p w14:paraId="6B553D13" w14:textId="77777777" w:rsidR="00767989" w:rsidRDefault="00000000">
            <w:pPr>
              <w:shd w:val="clear" w:color="auto" w:fill="FFFFFF"/>
              <w:spacing w:line="276" w:lineRule="auto"/>
              <w:jc w:val="both"/>
              <w:rPr>
                <w:rFonts w:ascii="Times New Roman" w:eastAsia="Times New Roman" w:hAnsi="Times New Roman" w:cs="Times New Roman"/>
                <w:b/>
                <w:bCs/>
                <w:sz w:val="24"/>
                <w:szCs w:val="24"/>
                <w:highlight w:val="yellow"/>
              </w:rPr>
            </w:pPr>
            <w:r>
              <w:rPr>
                <w:rFonts w:ascii="Times New Roman" w:eastAsia="Times New Roman" w:hAnsi="Times New Roman" w:cs="Times New Roman"/>
                <w:sz w:val="24"/>
                <w:szCs w:val="24"/>
                <w:highlight w:val="white"/>
              </w:rPr>
              <w:t xml:space="preserve">„Salariat cu responsabilități familiale - salariatul care are responsabilități de întreținere, îngrijire, asistență sau sprijin financiar față de unul ori mai mulți membri ai familiei, inclusiv ascendenți, descendenți  soț/soție, persoane cu dizabilități aflate în întreținere (părinți, copii), precum și rude de gradul doi în linie colaterală, și ale cărui responsabilități familiale afectează sau pot afecta activitatea profesională.” </w:t>
            </w:r>
          </w:p>
        </w:tc>
      </w:tr>
      <w:tr w:rsidR="00767989" w14:paraId="64A25EF9"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7E1EB8A9"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7B9F1EEE" w14:textId="77777777" w:rsidR="00767989" w:rsidRDefault="00767989">
            <w:pPr>
              <w:jc w:val="center"/>
              <w:rPr>
                <w:rFonts w:ascii="Times New Roman" w:eastAsia="Times New Roman" w:hAnsi="Times New Roman" w:cs="Times New Roman"/>
                <w:sz w:val="24"/>
                <w:szCs w:val="24"/>
                <w:highlight w:val="white"/>
              </w:rPr>
            </w:pPr>
          </w:p>
        </w:tc>
        <w:tc>
          <w:tcPr>
            <w:tcW w:w="564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2729443" w14:textId="77777777" w:rsidR="00767989" w:rsidRDefault="00767989">
            <w:pPr>
              <w:jc w:val="both"/>
              <w:rPr>
                <w:rFonts w:ascii="Times New Roman" w:eastAsia="Times New Roman" w:hAnsi="Times New Roman" w:cs="Times New Roman"/>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0AE954D" w14:textId="77777777" w:rsidR="00767989" w:rsidRDefault="00767989">
            <w:pPr>
              <w:shd w:val="clear" w:color="auto" w:fill="FFFFFF"/>
              <w:jc w:val="both"/>
              <w:rPr>
                <w:rFonts w:ascii="Times New Roman" w:eastAsia="Times New Roman" w:hAnsi="Times New Roman" w:cs="Times New Roman"/>
                <w:sz w:val="24"/>
                <w:szCs w:val="24"/>
                <w:highlight w:val="yellow"/>
              </w:rPr>
            </w:pPr>
          </w:p>
        </w:tc>
      </w:tr>
      <w:tr w:rsidR="00767989" w14:paraId="25028DC3" w14:textId="77777777">
        <w:trPr>
          <w:trHeight w:val="115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4422528B"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73C58166" w14:textId="77777777" w:rsidR="00767989" w:rsidRDefault="00767989">
            <w:pPr>
              <w:jc w:val="center"/>
              <w:rPr>
                <w:rFonts w:ascii="Times New Roman" w:eastAsia="Times New Roman" w:hAnsi="Times New Roman" w:cs="Times New Roman"/>
                <w:sz w:val="24"/>
                <w:szCs w:val="24"/>
                <w:highlight w:val="white"/>
              </w:rPr>
            </w:pPr>
          </w:p>
        </w:tc>
        <w:tc>
          <w:tcPr>
            <w:tcW w:w="564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B021D43" w14:textId="77777777" w:rsidR="00767989" w:rsidRDefault="00767989">
            <w:pPr>
              <w:jc w:val="both"/>
              <w:rPr>
                <w:rFonts w:ascii="Times New Roman" w:eastAsia="Times New Roman" w:hAnsi="Times New Roman" w:cs="Times New Roman"/>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1B29933F" w14:textId="77777777" w:rsidR="00767989" w:rsidRDefault="00767989">
            <w:pPr>
              <w:shd w:val="clear" w:color="auto" w:fill="FFFFFF"/>
              <w:jc w:val="both"/>
              <w:rPr>
                <w:rFonts w:ascii="Times New Roman" w:eastAsia="Times New Roman" w:hAnsi="Times New Roman" w:cs="Times New Roman"/>
                <w:sz w:val="24"/>
                <w:szCs w:val="24"/>
                <w:highlight w:val="yellow"/>
              </w:rPr>
            </w:pPr>
          </w:p>
        </w:tc>
      </w:tr>
      <w:tr w:rsidR="00767989" w14:paraId="50540D00"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6E053C51"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59E7DE65" w14:textId="77777777" w:rsidR="00767989" w:rsidRDefault="00767989">
            <w:pPr>
              <w:jc w:val="center"/>
              <w:rPr>
                <w:rFonts w:ascii="Times New Roman" w:eastAsia="Times New Roman" w:hAnsi="Times New Roman" w:cs="Times New Roman"/>
                <w:sz w:val="24"/>
                <w:szCs w:val="24"/>
                <w:highlight w:val="white"/>
              </w:rPr>
            </w:pPr>
          </w:p>
        </w:tc>
        <w:tc>
          <w:tcPr>
            <w:tcW w:w="564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F4BA2FB" w14:textId="77777777" w:rsidR="00767989" w:rsidRDefault="00767989">
            <w:pPr>
              <w:jc w:val="both"/>
              <w:rPr>
                <w:rFonts w:ascii="Times New Roman" w:eastAsia="Times New Roman" w:hAnsi="Times New Roman" w:cs="Times New Roman"/>
                <w:b/>
                <w:bCs/>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3B84C4E" w14:textId="77777777" w:rsidR="00767989" w:rsidRDefault="00767989">
            <w:pPr>
              <w:shd w:val="clear" w:color="auto" w:fill="FFFFFF"/>
              <w:jc w:val="both"/>
              <w:rPr>
                <w:rFonts w:ascii="Times New Roman" w:eastAsia="Times New Roman" w:hAnsi="Times New Roman" w:cs="Times New Roman"/>
                <w:b/>
                <w:bCs/>
                <w:sz w:val="24"/>
                <w:szCs w:val="24"/>
                <w:highlight w:val="yellow"/>
              </w:rPr>
            </w:pPr>
          </w:p>
        </w:tc>
      </w:tr>
      <w:tr w:rsidR="00767989" w14:paraId="60AA8819"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43838979"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283DC3F2" w14:textId="77777777" w:rsidR="00767989" w:rsidRDefault="00767989">
            <w:pPr>
              <w:jc w:val="center"/>
              <w:rPr>
                <w:rFonts w:ascii="Times New Roman" w:eastAsia="Times New Roman" w:hAnsi="Times New Roman" w:cs="Times New Roman"/>
                <w:sz w:val="24"/>
                <w:szCs w:val="24"/>
                <w:highlight w:val="white"/>
              </w:rPr>
            </w:pPr>
          </w:p>
        </w:tc>
        <w:tc>
          <w:tcPr>
            <w:tcW w:w="564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492DE59" w14:textId="77777777" w:rsidR="00767989" w:rsidRDefault="00767989">
            <w:pPr>
              <w:jc w:val="both"/>
              <w:rPr>
                <w:rFonts w:ascii="Times New Roman" w:eastAsia="Times New Roman" w:hAnsi="Times New Roman" w:cs="Times New Roman"/>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168E873" w14:textId="77777777" w:rsidR="00767989" w:rsidRDefault="00767989">
            <w:pPr>
              <w:shd w:val="clear" w:color="auto" w:fill="FFFFFF"/>
              <w:jc w:val="both"/>
              <w:rPr>
                <w:rFonts w:ascii="Times New Roman" w:eastAsia="Times New Roman" w:hAnsi="Times New Roman" w:cs="Times New Roman"/>
                <w:sz w:val="24"/>
                <w:szCs w:val="24"/>
                <w:highlight w:val="yellow"/>
              </w:rPr>
            </w:pPr>
          </w:p>
        </w:tc>
      </w:tr>
      <w:tr w:rsidR="00767989" w14:paraId="1EF886F8"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09341EE5"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2F91FBAD" w14:textId="77777777" w:rsidR="00767989" w:rsidRDefault="00767989">
            <w:pPr>
              <w:jc w:val="center"/>
              <w:rPr>
                <w:rFonts w:ascii="Times New Roman" w:eastAsia="Times New Roman" w:hAnsi="Times New Roman" w:cs="Times New Roman"/>
                <w:sz w:val="24"/>
                <w:szCs w:val="24"/>
                <w:highlight w:val="white"/>
              </w:rPr>
            </w:pPr>
          </w:p>
        </w:tc>
        <w:tc>
          <w:tcPr>
            <w:tcW w:w="564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E70F670" w14:textId="77777777" w:rsidR="00767989" w:rsidRDefault="00767989">
            <w:pPr>
              <w:jc w:val="both"/>
              <w:rPr>
                <w:rFonts w:ascii="Times New Roman" w:eastAsia="Times New Roman" w:hAnsi="Times New Roman" w:cs="Times New Roman"/>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1EAAF152" w14:textId="77777777" w:rsidR="00767989" w:rsidRDefault="00767989">
            <w:pPr>
              <w:shd w:val="clear" w:color="auto" w:fill="FFFFFF"/>
              <w:jc w:val="both"/>
              <w:rPr>
                <w:rFonts w:ascii="Times New Roman" w:eastAsia="Times New Roman" w:hAnsi="Times New Roman" w:cs="Times New Roman"/>
                <w:b/>
                <w:bCs/>
                <w:sz w:val="24"/>
                <w:szCs w:val="24"/>
                <w:highlight w:val="yellow"/>
              </w:rPr>
            </w:pPr>
          </w:p>
        </w:tc>
      </w:tr>
      <w:tr w:rsidR="00767989" w14:paraId="364CC85E"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3F5EAA11"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2DAF1D14" w14:textId="77777777" w:rsidR="00767989" w:rsidRDefault="00767989">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31FB4602" w14:textId="77777777" w:rsidR="00767989" w:rsidRDefault="00000000">
            <w:pPr>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Consiliul reține că proiectul introduce noțiunea fără a-i atașa drepturi corelative, ceea ce afectează previzibilitatea intervenției normative. </w:t>
            </w:r>
            <w:r>
              <w:rPr>
                <w:rFonts w:ascii="Times New Roman" w:eastAsia="Times New Roman" w:hAnsi="Times New Roman" w:cs="Times New Roman"/>
                <w:b/>
                <w:bCs/>
                <w:sz w:val="24"/>
                <w:szCs w:val="24"/>
                <w:highlight w:val="white"/>
              </w:rPr>
              <w:t>Consiliul recomandă configurarea noțiunii ca noțiune-umbrelă, cu trimitere expresă la drepturile și garanțiile deja prevăzute de Cod (art. 78, 86, 100¹, 124, 124¹, 126 și 246) în favoarea salariatului cu responsabilități familiale.</w:t>
            </w:r>
            <w:r>
              <w:rPr>
                <w:rFonts w:ascii="Times New Roman" w:eastAsia="Times New Roman" w:hAnsi="Times New Roman" w:cs="Times New Roman"/>
                <w:sz w:val="24"/>
                <w:szCs w:val="24"/>
                <w:highlight w:val="white"/>
              </w:rPr>
              <w:t xml:space="preserve"> Consiliul reține că Codul muncii nr. 154/2003 conține prevederi aplicabile „salariaților cu obligații familiale” (art. 183 alin. (2) lit. d)) și „persoanelor cu obligații familiale” (art. 246). Astfel, pentru asigurarea coerenței terminologice și evitarea utilizării paralele a unor noțiuni similare, </w:t>
            </w:r>
            <w:r>
              <w:rPr>
                <w:rFonts w:ascii="Times New Roman" w:eastAsia="Times New Roman" w:hAnsi="Times New Roman" w:cs="Times New Roman"/>
                <w:b/>
                <w:bCs/>
                <w:sz w:val="24"/>
                <w:szCs w:val="24"/>
                <w:highlight w:val="white"/>
              </w:rPr>
              <w:t>Consiliul recomandă evaluarea oportunității utilizării sintagmei „responsabilități familiale” în raport cu terminologia deja consacrată de cadrul normativ în vigoare.</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FB987FB" w14:textId="77777777" w:rsidR="00767989" w:rsidRDefault="00000000">
            <w:pPr>
              <w:shd w:val="clear" w:color="auto" w:fill="FFFFFF"/>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Nu se acceptă. </w:t>
            </w:r>
          </w:p>
          <w:p w14:paraId="5BA26613" w14:textId="77777777" w:rsidR="00767989" w:rsidRDefault="00000000">
            <w:pPr>
              <w:shd w:val="clear" w:color="auto" w:fill="FFFFFF"/>
              <w:spacing w:line="276" w:lineRule="auto"/>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Noțiunea de „salariat cu responsabilități familiale” a fost revăzută. Concomitent aceasta se distinge de statutul de „salariat cu obligații familiale”, și care nu se limitează la obligațiile legale sau materiale de întreținere, ci include și responsabilitățile efective de îngrijire, supraveghere, asistență și sprijin acordate persoanelor enumerate. </w:t>
            </w:r>
          </w:p>
          <w:p w14:paraId="0032C218" w14:textId="77777777" w:rsidR="00767989" w:rsidRDefault="00000000">
            <w:pPr>
              <w:shd w:val="clear" w:color="auto" w:fill="FFFFFF"/>
              <w:spacing w:line="276" w:lineRule="auto"/>
              <w:jc w:val="both"/>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highlight w:val="white"/>
              </w:rPr>
              <w:t xml:space="preserve">În acest sens, regimul juridic al garanțiilor acordate prin Codul muncii sunt diferite. </w:t>
            </w:r>
          </w:p>
        </w:tc>
      </w:tr>
      <w:tr w:rsidR="00767989" w14:paraId="1520C519"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3AAF9A16"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7DB72158" w14:textId="77777777" w:rsidR="00767989" w:rsidRDefault="00767989">
            <w:pPr>
              <w:jc w:val="center"/>
              <w:rPr>
                <w:rFonts w:ascii="Times New Roman" w:eastAsia="Times New Roman" w:hAnsi="Times New Roman" w:cs="Times New Roman"/>
                <w:sz w:val="24"/>
                <w:szCs w:val="24"/>
                <w:highlight w:val="white"/>
              </w:rPr>
            </w:pPr>
          </w:p>
        </w:tc>
        <w:tc>
          <w:tcPr>
            <w:tcW w:w="5640" w:type="dxa"/>
            <w:vMerge w:val="restart"/>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58727A0"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În ceea ce privește propunerea de completare a art. 47 alin. (2) din Codul muncii cu sintagma „responsabilități familiale”, Consiliul reține că, în urma acestei modificări, va fi interzisă orice limitare, directă sau indirectă, în drepturi ori stabilirea unor avantaje, directe</w:t>
            </w:r>
          </w:p>
          <w:p w14:paraId="5D080C4D"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sau indirecte, la încheierea contractului individual de muncă în dependență de sex, rasă, etnie, religie, domiciliu, responsabilități familiale, </w:t>
            </w:r>
            <w:proofErr w:type="spellStart"/>
            <w:r>
              <w:rPr>
                <w:rFonts w:ascii="Times New Roman" w:eastAsia="Times New Roman" w:hAnsi="Times New Roman" w:cs="Times New Roman"/>
                <w:sz w:val="24"/>
                <w:szCs w:val="24"/>
                <w:highlight w:val="white"/>
              </w:rPr>
              <w:t>opţiune</w:t>
            </w:r>
            <w:proofErr w:type="spellEnd"/>
            <w:r>
              <w:rPr>
                <w:rFonts w:ascii="Times New Roman" w:eastAsia="Times New Roman" w:hAnsi="Times New Roman" w:cs="Times New Roman"/>
                <w:sz w:val="24"/>
                <w:szCs w:val="24"/>
                <w:highlight w:val="white"/>
              </w:rPr>
              <w:t xml:space="preserve"> politică sau origine socială.</w:t>
            </w:r>
          </w:p>
          <w:p w14:paraId="18CCC476"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De asemenea, Consiliul reține că, potrivit art. 8 din Codul muncii, este interzisă discriminarea în sfera muncii pe următoarele criterii: sex, vârstă, rasă, culoare a pielii, etnie, religie, </w:t>
            </w:r>
            <w:proofErr w:type="spellStart"/>
            <w:r>
              <w:rPr>
                <w:rFonts w:ascii="Times New Roman" w:eastAsia="Times New Roman" w:hAnsi="Times New Roman" w:cs="Times New Roman"/>
                <w:sz w:val="24"/>
                <w:szCs w:val="24"/>
                <w:highlight w:val="white"/>
              </w:rPr>
              <w:t>opţiune</w:t>
            </w:r>
            <w:proofErr w:type="spellEnd"/>
            <w:r>
              <w:rPr>
                <w:rFonts w:ascii="Times New Roman" w:eastAsia="Times New Roman" w:hAnsi="Times New Roman" w:cs="Times New Roman"/>
                <w:sz w:val="24"/>
                <w:szCs w:val="24"/>
                <w:highlight w:val="white"/>
              </w:rPr>
              <w:t xml:space="preserve"> politică, origine socială, domiciliu, dizabilitate, infectare cu HIV/SIDA, apartenentă sau </w:t>
            </w:r>
            <w:r>
              <w:rPr>
                <w:rFonts w:ascii="Times New Roman" w:eastAsia="Times New Roman" w:hAnsi="Times New Roman" w:cs="Times New Roman"/>
                <w:sz w:val="24"/>
                <w:szCs w:val="24"/>
                <w:highlight w:val="white"/>
              </w:rPr>
              <w:lastRenderedPageBreak/>
              <w:t xml:space="preserve">activitate sindicală, precum și pe alte criterii nelegate de calitățile sale profesionale. </w:t>
            </w:r>
          </w:p>
          <w:p w14:paraId="02999838"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Iar art. 128 alin. (2) stabilește că la stabilirea </w:t>
            </w:r>
            <w:proofErr w:type="spellStart"/>
            <w:r>
              <w:rPr>
                <w:rFonts w:ascii="Times New Roman" w:eastAsia="Times New Roman" w:hAnsi="Times New Roman" w:cs="Times New Roman"/>
                <w:sz w:val="24"/>
                <w:szCs w:val="24"/>
                <w:highlight w:val="white"/>
              </w:rPr>
              <w:t>şi</w:t>
            </w:r>
            <w:proofErr w:type="spellEnd"/>
            <w:r>
              <w:rPr>
                <w:rFonts w:ascii="Times New Roman" w:eastAsia="Times New Roman" w:hAnsi="Times New Roman" w:cs="Times New Roman"/>
                <w:sz w:val="24"/>
                <w:szCs w:val="24"/>
                <w:highlight w:val="white"/>
              </w:rPr>
              <w:t xml:space="preserve"> achitarea salariului nu se admite nici o discriminare pe criterii de sex, vârstă, dizabilitate, origine socială, </w:t>
            </w:r>
            <w:proofErr w:type="spellStart"/>
            <w:r>
              <w:rPr>
                <w:rFonts w:ascii="Times New Roman" w:eastAsia="Times New Roman" w:hAnsi="Times New Roman" w:cs="Times New Roman"/>
                <w:sz w:val="24"/>
                <w:szCs w:val="24"/>
                <w:highlight w:val="white"/>
              </w:rPr>
              <w:t>situaţie</w:t>
            </w:r>
            <w:proofErr w:type="spellEnd"/>
            <w:r>
              <w:rPr>
                <w:rFonts w:ascii="Times New Roman" w:eastAsia="Times New Roman" w:hAnsi="Times New Roman" w:cs="Times New Roman"/>
                <w:sz w:val="24"/>
                <w:szCs w:val="24"/>
                <w:highlight w:val="white"/>
              </w:rPr>
              <w:t xml:space="preserve"> familială, </w:t>
            </w:r>
            <w:proofErr w:type="spellStart"/>
            <w:r>
              <w:rPr>
                <w:rFonts w:ascii="Times New Roman" w:eastAsia="Times New Roman" w:hAnsi="Times New Roman" w:cs="Times New Roman"/>
                <w:sz w:val="24"/>
                <w:szCs w:val="24"/>
                <w:highlight w:val="white"/>
              </w:rPr>
              <w:t>apartenenţă</w:t>
            </w:r>
            <w:proofErr w:type="spellEnd"/>
            <w:r>
              <w:rPr>
                <w:rFonts w:ascii="Times New Roman" w:eastAsia="Times New Roman" w:hAnsi="Times New Roman" w:cs="Times New Roman"/>
                <w:sz w:val="24"/>
                <w:szCs w:val="24"/>
                <w:highlight w:val="white"/>
              </w:rPr>
              <w:t xml:space="preserve"> la o etnie, rasă sau </w:t>
            </w:r>
            <w:proofErr w:type="spellStart"/>
            <w:r>
              <w:rPr>
                <w:rFonts w:ascii="Times New Roman" w:eastAsia="Times New Roman" w:hAnsi="Times New Roman" w:cs="Times New Roman"/>
                <w:sz w:val="24"/>
                <w:szCs w:val="24"/>
                <w:highlight w:val="white"/>
              </w:rPr>
              <w:t>naţionalitate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opţiuni</w:t>
            </w:r>
            <w:proofErr w:type="spellEnd"/>
            <w:r>
              <w:rPr>
                <w:rFonts w:ascii="Times New Roman" w:eastAsia="Times New Roman" w:hAnsi="Times New Roman" w:cs="Times New Roman"/>
                <w:sz w:val="24"/>
                <w:szCs w:val="24"/>
                <w:highlight w:val="white"/>
              </w:rPr>
              <w:t xml:space="preserve"> politice sau convingeri religioase, </w:t>
            </w:r>
            <w:proofErr w:type="spellStart"/>
            <w:r>
              <w:rPr>
                <w:rFonts w:ascii="Times New Roman" w:eastAsia="Times New Roman" w:hAnsi="Times New Roman" w:cs="Times New Roman"/>
                <w:sz w:val="24"/>
                <w:szCs w:val="24"/>
                <w:highlight w:val="white"/>
              </w:rPr>
              <w:t>apartenenţă</w:t>
            </w:r>
            <w:proofErr w:type="spellEnd"/>
            <w:r>
              <w:rPr>
                <w:rFonts w:ascii="Times New Roman" w:eastAsia="Times New Roman" w:hAnsi="Times New Roman" w:cs="Times New Roman"/>
                <w:sz w:val="24"/>
                <w:szCs w:val="24"/>
                <w:highlight w:val="white"/>
              </w:rPr>
              <w:t xml:space="preserve"> sau activitate sindicală.</w:t>
            </w:r>
          </w:p>
          <w:p w14:paraId="59715C68"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În acest context, Consiliul notează că potrivit art. 1 alin. (1) al Legii nr. 121/2012 cu privire la asigurarea egalității, prevenirea și combaterea discriminării, precum și asigurarea egalității se realizează fără deosebire de rasă, culoare, origine națională, etnică și socială, statut social, cetățenie, limbă, religie sau convingeri, vârstă, sex, identitate de gen, statut matrimonial, orientare sexuală, dizabilitate, stare de sănătate, statut HIV, opinie, apartenență politică, avere, naștere sau orice alt criteriu. </w:t>
            </w:r>
          </w:p>
          <w:p w14:paraId="6CF2E73C"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De asemenea, art. 7 din Legea nr. 121/2012 conține prevederi privind interzicerea discriminării în câmpul muncii și în exercitarea unei profesii. </w:t>
            </w:r>
          </w:p>
          <w:p w14:paraId="3D9DD764" w14:textId="77777777" w:rsidR="00767989" w:rsidRDefault="00000000">
            <w:pPr>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Consiliul atenționează că lista criteriilor prevăzute de Legea nr. 121/2012 are caracter deschis și ar putea fi extinsă ulterior.</w:t>
            </w:r>
          </w:p>
          <w:p w14:paraId="6B5CF510" w14:textId="77777777" w:rsidR="00767989" w:rsidRDefault="00000000">
            <w:pPr>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 xml:space="preserve">Prin urmare, în vederea asigurării coerenței cadrului normativ și în conformitate cu prevederile art. 55 din Legea nr. 100/2017 cu privire la actele normative, Consiliul propune modificarea art. 8 alin. (2) din Codul muncii, prin excluderea enumerării criteriilor și trimiterea expresă la criteriile prevăzute de Legea nr. 121/2012. Totodată, propunem modificarea art. 47 alin. </w:t>
            </w:r>
            <w:r>
              <w:rPr>
                <w:rFonts w:ascii="Times New Roman" w:eastAsia="Times New Roman" w:hAnsi="Times New Roman" w:cs="Times New Roman"/>
                <w:sz w:val="24"/>
                <w:szCs w:val="24"/>
                <w:highlight w:val="white"/>
              </w:rPr>
              <w:lastRenderedPageBreak/>
              <w:t>(2) și art. 128 alin. (2), în parte ce ține de criterii, prin excluderea enumerării acestora și trimiterea la art. 8.</w:t>
            </w:r>
          </w:p>
        </w:tc>
        <w:tc>
          <w:tcPr>
            <w:tcW w:w="6360" w:type="dxa"/>
            <w:vMerge w:val="restart"/>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8324991" w14:textId="77777777" w:rsidR="00767989"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lastRenderedPageBreak/>
              <w:t>Se ia act.</w:t>
            </w:r>
            <w:r>
              <w:rPr>
                <w:rFonts w:ascii="Times New Roman" w:eastAsia="Times New Roman" w:hAnsi="Times New Roman" w:cs="Times New Roman"/>
                <w:b/>
                <w:bCs/>
                <w:sz w:val="24"/>
                <w:szCs w:val="24"/>
                <w:highlight w:val="white"/>
              </w:rPr>
              <w:br/>
            </w:r>
            <w:r>
              <w:rPr>
                <w:rFonts w:ascii="Times New Roman" w:eastAsia="Times New Roman" w:hAnsi="Times New Roman" w:cs="Times New Roman"/>
                <w:sz w:val="24"/>
                <w:szCs w:val="24"/>
                <w:highlight w:val="white"/>
              </w:rPr>
              <w:t>MMPS informează că la etapa actuală, se află în proces de transpunere a Directivei 2000/43/CE și a Directivei 2000/78/CE prin proiectul de lege cu numărul unic 181/MMPS/2026 privind modificarea unor acte normative în domeniul raporturilor de muncă, securității și sănătății în muncă și egalității de tratament.</w:t>
            </w:r>
          </w:p>
          <w:p w14:paraId="6C3D2919" w14:textId="77777777" w:rsidR="00767989" w:rsidRDefault="00000000">
            <w:pPr>
              <w:shd w:val="clear" w:color="auto" w:fill="FFFFFF"/>
              <w:spacing w:before="240" w:after="24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În cadrul proiectului menționat este propusă revizuirea art. 8 și 47 din Codul muncii nr. 154/2003, prin raportarea expresă la criteriile protejate prevăzute de Legea nr. 121/2012 cu privire la asigurarea egalității, cu menținerea criteriilor specifice raporturilor de muncă. Abordarea respectivă urmărește asigurarea unei reglementări uniforme și coerente a cadrului normativ în domeniul nediscriminării. </w:t>
            </w:r>
          </w:p>
          <w:p w14:paraId="015E93BB" w14:textId="77777777" w:rsidR="00767989" w:rsidRDefault="00000000">
            <w:pPr>
              <w:shd w:val="clear" w:color="auto" w:fill="FFFFFF"/>
              <w:spacing w:before="240" w:after="24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Procedura de avizare și consultare publică a fost respectată, propunerile și obiecțiile relevante fiind luate în considerare la etapa de definitivare. </w:t>
            </w:r>
          </w:p>
          <w:p w14:paraId="245612ED" w14:textId="77777777" w:rsidR="00767989" w:rsidRDefault="00767989">
            <w:pPr>
              <w:shd w:val="clear" w:color="auto" w:fill="FFFFFF"/>
              <w:spacing w:before="240" w:after="240" w:line="276" w:lineRule="auto"/>
              <w:jc w:val="both"/>
              <w:rPr>
                <w:rFonts w:ascii="Times New Roman" w:eastAsia="Times New Roman" w:hAnsi="Times New Roman" w:cs="Times New Roman"/>
                <w:b/>
                <w:bCs/>
                <w:sz w:val="24"/>
                <w:szCs w:val="24"/>
                <w:highlight w:val="yellow"/>
              </w:rPr>
            </w:pPr>
          </w:p>
        </w:tc>
      </w:tr>
      <w:tr w:rsidR="00767989" w14:paraId="23F889D7"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25361B80"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27C9BD4E" w14:textId="77777777" w:rsidR="00767989" w:rsidRDefault="00767989">
            <w:pPr>
              <w:jc w:val="center"/>
              <w:rPr>
                <w:rFonts w:ascii="Times New Roman" w:eastAsia="Times New Roman" w:hAnsi="Times New Roman" w:cs="Times New Roman"/>
                <w:sz w:val="24"/>
                <w:szCs w:val="24"/>
                <w:highlight w:val="white"/>
              </w:rPr>
            </w:pPr>
          </w:p>
        </w:tc>
        <w:tc>
          <w:tcPr>
            <w:tcW w:w="564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1701339" w14:textId="77777777" w:rsidR="00767989" w:rsidRDefault="00767989">
            <w:pPr>
              <w:jc w:val="both"/>
              <w:rPr>
                <w:rFonts w:ascii="Times New Roman" w:eastAsia="Times New Roman" w:hAnsi="Times New Roman" w:cs="Times New Roman"/>
                <w:b/>
                <w:bCs/>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439E1E2D" w14:textId="77777777" w:rsidR="00767989" w:rsidRDefault="00767989">
            <w:pPr>
              <w:shd w:val="clear" w:color="auto" w:fill="FFFFFF"/>
              <w:jc w:val="both"/>
              <w:rPr>
                <w:rFonts w:ascii="Times New Roman" w:eastAsia="Times New Roman" w:hAnsi="Times New Roman" w:cs="Times New Roman"/>
                <w:b/>
                <w:bCs/>
                <w:sz w:val="24"/>
                <w:szCs w:val="24"/>
                <w:highlight w:val="yellow"/>
              </w:rPr>
            </w:pPr>
          </w:p>
        </w:tc>
      </w:tr>
      <w:tr w:rsidR="00767989" w14:paraId="693A1898" w14:textId="77777777">
        <w:trPr>
          <w:trHeight w:val="4170"/>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10CCD081"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1C679EB6" w14:textId="77777777" w:rsidR="00767989" w:rsidRDefault="00767989">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4E406849"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Cu referire la propunerea de completare a art. 103 din Codul muncii cu un nou alineat, cu următorul cuprins: „(8) Părinții singuri nu pot fi obligați să presteze munca de noapte decât în baza unei cereri scrise prezentate angajatorului.”, Consiliul notează că prevederile din cuprinsul Codului muncii referitoare la părinții singuri sunt însoțite de indicarea vârstei copilului aflat în îngrijirea părintelui (art. 116 alin. (4), art. 120 alin. (2), art. 249 alin. (2)). </w:t>
            </w:r>
          </w:p>
          <w:p w14:paraId="17ED8CE4" w14:textId="77777777" w:rsidR="00767989" w:rsidRDefault="00000000">
            <w:pPr>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În vederea asigurării clarității și aplicării uniforme a prevederii,</w:t>
            </w:r>
            <w:r>
              <w:rPr>
                <w:rFonts w:ascii="Times New Roman" w:eastAsia="Times New Roman" w:hAnsi="Times New Roman" w:cs="Times New Roman"/>
                <w:b/>
                <w:bCs/>
                <w:sz w:val="24"/>
                <w:szCs w:val="24"/>
                <w:highlight w:val="white"/>
              </w:rPr>
              <w:t xml:space="preserve"> Consiliul propune completarea textului prin indicarea expresă a vârstei copilului aflat în îngrijirea părintelui singur.</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F42CE8A" w14:textId="77777777" w:rsidR="00767989" w:rsidRDefault="00000000">
            <w:pPr>
              <w:shd w:val="clear" w:color="auto" w:fill="FFFFFF"/>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 xml:space="preserve">Se acceptă. </w:t>
            </w:r>
          </w:p>
          <w:p w14:paraId="10FA3118" w14:textId="77777777" w:rsidR="00767989" w:rsidRDefault="00000000">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jc w:val="both"/>
              <w:rPr>
                <w:rFonts w:ascii="Times New Roman" w:eastAsia="Times New Roman" w:hAnsi="Times New Roman" w:cs="Times New Roman"/>
                <w:b/>
                <w:bCs/>
                <w:sz w:val="24"/>
                <w:szCs w:val="24"/>
                <w:highlight w:val="yellow"/>
              </w:rPr>
            </w:pPr>
            <w:r>
              <w:rPr>
                <w:rFonts w:ascii="Times New Roman" w:eastAsia="Times New Roman" w:hAnsi="Times New Roman" w:cs="Times New Roman"/>
                <w:sz w:val="24"/>
                <w:szCs w:val="24"/>
                <w:highlight w:val="white"/>
              </w:rPr>
              <w:t>Textul normei a fost revăzut ,,părinții singuri care au copii în vârstă de până la 16 ani”, inclusiv nota de fundamentare.</w:t>
            </w:r>
          </w:p>
        </w:tc>
      </w:tr>
      <w:tr w:rsidR="00767989" w14:paraId="40986D19"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74CE65DE"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2D26F002" w14:textId="77777777" w:rsidR="00767989" w:rsidRDefault="00767989">
            <w:pPr>
              <w:jc w:val="center"/>
              <w:rPr>
                <w:rFonts w:ascii="Times New Roman" w:eastAsia="Times New Roman" w:hAnsi="Times New Roman" w:cs="Times New Roman"/>
                <w:sz w:val="24"/>
                <w:szCs w:val="24"/>
                <w:highlight w:val="white"/>
              </w:rPr>
            </w:pPr>
          </w:p>
        </w:tc>
        <w:tc>
          <w:tcPr>
            <w:tcW w:w="564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49D24807"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Consiliul reține că autorul proiectului în Nota de fundamentare, la compartimentul 2.2, menționează că, deși concediul paternal a fost reglementat în anul 2016, „perioada respectivă nu este calificată, în prezent, drept perioadă necontributivă asimilată stagiului de cotizare, spre deosebire de alte perioade cum ar fi perioada de incapacitate temporară de muncă, maternitatea sau perioada de îngrijire a copilului până la vârsta de 3 ani, etc.”. De asemenea, la compartimentul 4.2 se reiterează că „perioada în care asiguratul a beneficiat de indemnizație de maternitate, în prezent se valorifică la determinarea stagiului de cotizare necontributiv la stabilirea pensiei”.</w:t>
            </w:r>
          </w:p>
        </w:tc>
        <w:tc>
          <w:tcPr>
            <w:tcW w:w="6360" w:type="dxa"/>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23222370" w14:textId="77777777" w:rsidR="00767989" w:rsidRDefault="00000000">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Se acceptă.</w:t>
            </w:r>
            <w:r>
              <w:rPr>
                <w:rFonts w:ascii="Times New Roman" w:eastAsia="Times New Roman" w:hAnsi="Times New Roman" w:cs="Times New Roman"/>
                <w:sz w:val="24"/>
                <w:szCs w:val="24"/>
              </w:rPr>
              <w:t xml:space="preserve"> </w:t>
            </w:r>
          </w:p>
          <w:p w14:paraId="6FB652EE" w14:textId="77777777" w:rsidR="00767989" w:rsidRDefault="00000000">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Nota de fundamentare a fost revăzută.</w:t>
            </w:r>
          </w:p>
        </w:tc>
      </w:tr>
      <w:tr w:rsidR="00767989" w14:paraId="7B985E05"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329E1CA4"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76BDA122" w14:textId="77777777" w:rsidR="00767989" w:rsidRDefault="00767989">
            <w:pPr>
              <w:jc w:val="center"/>
              <w:rPr>
                <w:rFonts w:ascii="Times New Roman" w:eastAsia="Times New Roman" w:hAnsi="Times New Roman" w:cs="Times New Roman"/>
                <w:sz w:val="24"/>
                <w:szCs w:val="24"/>
                <w:highlight w:val="white"/>
              </w:rPr>
            </w:pPr>
          </w:p>
        </w:tc>
        <w:tc>
          <w:tcPr>
            <w:tcW w:w="5640" w:type="dxa"/>
            <w:vMerge w:val="restart"/>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3DB8238"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Totodată, Art. II din proiect propune completarea art. 5 alin. (2) lit. c) din Legea nr. 156/1998 privind sistemul public de pensii cu cuvintele „de indemnizație de maternitate, de indemnizație paternală”. </w:t>
            </w:r>
          </w:p>
          <w:p w14:paraId="771F9BB2" w14:textId="77777777" w:rsidR="00767989" w:rsidRDefault="00000000">
            <w:pPr>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În acest context, Consiliul recomandă revizuirea Notei de fundamentare în vederea asigurării coerenței între argumentarea expusă și propunerea din proiect.</w:t>
            </w:r>
          </w:p>
          <w:p w14:paraId="12A4F773"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Examinând cadrul în vigoare prin raportare la Directiva (UE) 2019/1158, Consiliul identifică segmente care nu sunt acoperite și recomandă completarea acestora:</w:t>
            </w:r>
          </w:p>
          <w:p w14:paraId="5DB5ACF3" w14:textId="77777777" w:rsidR="00767989" w:rsidRDefault="00000000">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Concediul de îngrijitor (art. 6 din Directivă). Concediul existent pentru îngrijirea unui membru bolnav al familiei (suspendare de până la 2 ani, condiționată de certificat medical) are altă natură decât dreptul universal de 5 zile lucrătoare pe an prevăzut de</w:t>
            </w:r>
          </w:p>
          <w:p w14:paraId="1DB8CCA2" w14:textId="77777777" w:rsidR="00767989" w:rsidRDefault="00000000">
            <w:pPr>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Directivă. Consiliul recomandă instituirea unui drept distinct de 5 zile lucrătoare pe an, necondiționat de vechimea în muncă, pentru îngrijirea unei rude sau a unei persoane care locuiește în aceeași gospodărie cu salariatul și care are nevoie de îngrijire ori de sprijin semnificativ ca urmare a unei probleme medicale grave;</w:t>
            </w:r>
          </w:p>
          <w:p w14:paraId="558F1AF9" w14:textId="77777777" w:rsidR="00767989" w:rsidRDefault="00000000">
            <w:pPr>
              <w:spacing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b) Absența pentru forță majoră (art. 7 din Directivă). Consiliul recomandă reglementarea unui drept general de absență în situații de urgență familială determinate de boală sau accident care impun prezența imediată a salariatului.</w:t>
            </w:r>
          </w:p>
        </w:tc>
        <w:tc>
          <w:tcPr>
            <w:tcW w:w="6360" w:type="dxa"/>
            <w:vMerge w:val="restart"/>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6E0A9E2B" w14:textId="77777777" w:rsidR="00767989" w:rsidRDefault="00000000">
            <w:pPr>
              <w:shd w:val="clear" w:color="auto" w:fill="FFFFFF"/>
              <w:spacing w:before="240" w:after="240"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Nu se acceptă</w:t>
            </w:r>
          </w:p>
          <w:p w14:paraId="2862BE0D" w14:textId="77777777" w:rsidR="00767989" w:rsidRDefault="00000000">
            <w:pPr>
              <w:shd w:val="clear" w:color="auto" w:fill="FFFFFF"/>
              <w:spacing w:before="240" w:after="24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În conformitate cu Directiva (UE) 2019/1158 au fost operate modificări și completări la Codul muncii.  Potrivit articolului 123¹, salariații au dreptul la concediu neplătit pentru acordarea îngrijirii unei persoane care locuiește în aceeași gospodărie cu aceștia. Acest concediu poate fi acordat pentru o perioadă de până la 5 zile lucrătoare pe an calendaristic. Pentru a beneficia de acest concediu, salariatul trebuie să depună o cerere scrisă, însoțită de documentele justificative necesare.</w:t>
            </w:r>
          </w:p>
          <w:p w14:paraId="6F21B7E2" w14:textId="77777777" w:rsidR="00767989" w:rsidRDefault="00000000">
            <w:pPr>
              <w:shd w:val="clear" w:color="auto" w:fill="FFFFFF"/>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Concomitent, menționăm că proiectul vizează alinierea legislației la prevederile Convenției Organizației Internaționale a Muncii nr. 156/1981 și nu transpunerea Directivei (UE) 2019/1158.</w:t>
            </w:r>
          </w:p>
        </w:tc>
      </w:tr>
      <w:tr w:rsidR="00767989" w14:paraId="0DB86044"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1F5BEF03"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24ED100C" w14:textId="77777777" w:rsidR="00767989" w:rsidRDefault="00767989">
            <w:pPr>
              <w:jc w:val="center"/>
              <w:rPr>
                <w:rFonts w:ascii="Times New Roman" w:eastAsia="Times New Roman" w:hAnsi="Times New Roman" w:cs="Times New Roman"/>
                <w:sz w:val="24"/>
                <w:szCs w:val="24"/>
                <w:highlight w:val="white"/>
              </w:rPr>
            </w:pPr>
          </w:p>
        </w:tc>
        <w:tc>
          <w:tcPr>
            <w:tcW w:w="564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358D5A8D" w14:textId="77777777" w:rsidR="00767989" w:rsidRDefault="00767989">
            <w:pPr>
              <w:jc w:val="both"/>
              <w:rPr>
                <w:rFonts w:ascii="Times New Roman" w:eastAsia="Times New Roman" w:hAnsi="Times New Roman" w:cs="Times New Roman"/>
                <w:b/>
                <w:bCs/>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0AD7A3ED" w14:textId="77777777" w:rsidR="00767989" w:rsidRDefault="00767989">
            <w:pPr>
              <w:shd w:val="clear" w:color="auto" w:fill="FFFFFF"/>
              <w:jc w:val="both"/>
              <w:rPr>
                <w:rFonts w:ascii="Times New Roman" w:eastAsia="Times New Roman" w:hAnsi="Times New Roman" w:cs="Times New Roman"/>
                <w:b/>
                <w:bCs/>
                <w:sz w:val="24"/>
                <w:szCs w:val="24"/>
                <w:highlight w:val="yellow"/>
              </w:rPr>
            </w:pPr>
          </w:p>
        </w:tc>
      </w:tr>
      <w:tr w:rsidR="00767989" w14:paraId="55792FBF" w14:textId="77777777">
        <w:trPr>
          <w:trHeight w:val="1185"/>
        </w:trPr>
        <w:tc>
          <w:tcPr>
            <w:tcW w:w="915" w:type="dxa"/>
            <w:vMerge/>
            <w:tcBorders>
              <w:top w:val="nil"/>
              <w:left w:val="single" w:sz="6" w:space="0" w:color="999999"/>
              <w:bottom w:val="single" w:sz="6" w:space="0" w:color="999999"/>
              <w:right w:val="single" w:sz="6" w:space="0" w:color="999999"/>
            </w:tcBorders>
            <w:shd w:val="clear" w:color="auto" w:fill="auto"/>
            <w:tcMar>
              <w:top w:w="0" w:type="dxa"/>
              <w:left w:w="100" w:type="dxa"/>
              <w:bottom w:w="0" w:type="dxa"/>
              <w:right w:w="100" w:type="dxa"/>
            </w:tcMar>
          </w:tcPr>
          <w:p w14:paraId="7551C7C6" w14:textId="77777777" w:rsidR="00767989" w:rsidRDefault="00767989">
            <w:pPr>
              <w:jc w:val="center"/>
              <w:rPr>
                <w:rFonts w:ascii="Times New Roman" w:eastAsia="Times New Roman" w:hAnsi="Times New Roman" w:cs="Times New Roman"/>
                <w:b/>
                <w:bCs/>
                <w:sz w:val="24"/>
                <w:szCs w:val="24"/>
                <w:highlight w:val="white"/>
              </w:rPr>
            </w:pPr>
          </w:p>
        </w:tc>
        <w:tc>
          <w:tcPr>
            <w:tcW w:w="2760" w:type="dxa"/>
            <w:vMerge/>
            <w:tcBorders>
              <w:top w:val="nil"/>
              <w:left w:val="nil"/>
              <w:bottom w:val="single" w:sz="6" w:space="0" w:color="999999"/>
              <w:right w:val="single" w:sz="6" w:space="0" w:color="999999"/>
            </w:tcBorders>
            <w:shd w:val="clear" w:color="auto" w:fill="auto"/>
            <w:tcMar>
              <w:top w:w="0" w:type="dxa"/>
              <w:left w:w="100" w:type="dxa"/>
              <w:bottom w:w="0" w:type="dxa"/>
              <w:right w:w="100" w:type="dxa"/>
            </w:tcMar>
          </w:tcPr>
          <w:p w14:paraId="5D69E42C" w14:textId="77777777" w:rsidR="00767989" w:rsidRDefault="00767989">
            <w:pPr>
              <w:jc w:val="center"/>
              <w:rPr>
                <w:rFonts w:ascii="Times New Roman" w:eastAsia="Times New Roman" w:hAnsi="Times New Roman" w:cs="Times New Roman"/>
                <w:sz w:val="24"/>
                <w:szCs w:val="24"/>
                <w:highlight w:val="white"/>
              </w:rPr>
            </w:pPr>
          </w:p>
        </w:tc>
        <w:tc>
          <w:tcPr>
            <w:tcW w:w="564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426365E5" w14:textId="77777777" w:rsidR="00767989" w:rsidRDefault="00767989">
            <w:pPr>
              <w:jc w:val="both"/>
              <w:rPr>
                <w:rFonts w:ascii="Times New Roman" w:eastAsia="Times New Roman" w:hAnsi="Times New Roman" w:cs="Times New Roman"/>
                <w:b/>
                <w:bCs/>
                <w:sz w:val="24"/>
                <w:szCs w:val="24"/>
                <w:highlight w:val="white"/>
              </w:rPr>
            </w:pPr>
          </w:p>
        </w:tc>
        <w:tc>
          <w:tcPr>
            <w:tcW w:w="6360" w:type="dxa"/>
            <w:vMerge/>
            <w:tcBorders>
              <w:top w:val="nil"/>
              <w:left w:val="nil"/>
              <w:bottom w:val="single" w:sz="6" w:space="0" w:color="000000"/>
              <w:right w:val="single" w:sz="6" w:space="0" w:color="999999"/>
            </w:tcBorders>
            <w:shd w:val="clear" w:color="auto" w:fill="auto"/>
            <w:tcMar>
              <w:top w:w="0" w:type="dxa"/>
              <w:left w:w="100" w:type="dxa"/>
              <w:bottom w:w="0" w:type="dxa"/>
              <w:right w:w="100" w:type="dxa"/>
            </w:tcMar>
          </w:tcPr>
          <w:p w14:paraId="7A48C9F8" w14:textId="77777777" w:rsidR="00767989" w:rsidRDefault="00767989">
            <w:pPr>
              <w:shd w:val="clear" w:color="auto" w:fill="FFFFFF"/>
              <w:jc w:val="both"/>
              <w:rPr>
                <w:rFonts w:ascii="Times New Roman" w:eastAsia="Times New Roman" w:hAnsi="Times New Roman" w:cs="Times New Roman"/>
                <w:b/>
                <w:bCs/>
                <w:sz w:val="24"/>
                <w:szCs w:val="24"/>
                <w:highlight w:val="yellow"/>
              </w:rPr>
            </w:pPr>
          </w:p>
        </w:tc>
      </w:tr>
    </w:tbl>
    <w:p w14:paraId="25298795" w14:textId="77777777" w:rsidR="00767989" w:rsidRDefault="00767989">
      <w:pPr>
        <w:spacing w:line="276" w:lineRule="auto"/>
        <w:jc w:val="both"/>
        <w:rPr>
          <w:rFonts w:ascii="Times New Roman" w:eastAsia="Times New Roman" w:hAnsi="Times New Roman" w:cs="Times New Roman"/>
          <w:b/>
          <w:bCs/>
          <w:sz w:val="24"/>
          <w:szCs w:val="24"/>
        </w:rPr>
      </w:pPr>
    </w:p>
    <w:p w14:paraId="454326C3" w14:textId="77777777" w:rsidR="00767989" w:rsidRDefault="00767989">
      <w:pPr>
        <w:spacing w:line="276" w:lineRule="auto"/>
        <w:jc w:val="both"/>
        <w:rPr>
          <w:rFonts w:ascii="Times New Roman" w:eastAsia="Times New Roman" w:hAnsi="Times New Roman" w:cs="Times New Roman"/>
          <w:b/>
          <w:bCs/>
          <w:sz w:val="24"/>
          <w:szCs w:val="24"/>
        </w:rPr>
      </w:pPr>
    </w:p>
    <w:sectPr w:rsidR="00767989">
      <w:headerReference w:type="default" r:id="rId6"/>
      <w:footerReference w:type="even" r:id="rId7"/>
      <w:footerReference w:type="default" r:id="rId8"/>
      <w:headerReference w:type="first" r:id="rId9"/>
      <w:footerReference w:type="first" r:id="rId10"/>
      <w:pgSz w:w="16838" w:h="11906" w:orient="landscape"/>
      <w:pgMar w:top="567" w:right="284" w:bottom="567" w:left="28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5BE25" w14:textId="77777777" w:rsidR="00D964BF" w:rsidRDefault="00D964BF">
      <w:r>
        <w:separator/>
      </w:r>
    </w:p>
  </w:endnote>
  <w:endnote w:type="continuationSeparator" w:id="0">
    <w:p w14:paraId="6E3644DB" w14:textId="77777777" w:rsidR="00D964BF" w:rsidRDefault="00D96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embedRegular r:id="rId1" w:fontKey="{AD35B965-D1D9-4CDA-B37E-49365DB579FA}"/>
    <w:embedBold r:id="rId2" w:fontKey="{670E4AB8-AF7C-4CED-B880-6E827892319F}"/>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3" w:fontKey="{6EE9344A-6B24-4847-8382-04B713953313}"/>
  </w:font>
  <w:font w:name="Georgia">
    <w:panose1 w:val="02040502050405020303"/>
    <w:charset w:val="00"/>
    <w:family w:val="roman"/>
    <w:pitch w:val="variable"/>
    <w:sig w:usb0="00000287" w:usb1="00000000" w:usb2="00000000" w:usb3="00000000" w:csb0="0000009F" w:csb1="00000000"/>
    <w:embedItalic r:id="rId4" w:fontKey="{B4AB1F79-9215-4DFF-A6BC-A5B369C0EB1A}"/>
  </w:font>
  <w:font w:name="Calibri">
    <w:panose1 w:val="020F0502020204030204"/>
    <w:charset w:val="00"/>
    <w:family w:val="swiss"/>
    <w:pitch w:val="variable"/>
    <w:sig w:usb0="E4002EFF" w:usb1="C200247B" w:usb2="00000009" w:usb3="00000000" w:csb0="000001FF" w:csb1="00000000"/>
    <w:embedRegular r:id="rId5" w:fontKey="{F0E5EA18-E62A-46DE-ADD6-00B1AEC2C68E}"/>
  </w:font>
  <w:font w:name="Cambria">
    <w:panose1 w:val="02040503050406030204"/>
    <w:charset w:val="00"/>
    <w:family w:val="roman"/>
    <w:pitch w:val="variable"/>
    <w:sig w:usb0="E00006FF" w:usb1="420024FF" w:usb2="02000000" w:usb3="00000000" w:csb0="0000019F" w:csb1="00000000"/>
    <w:embedRegular r:id="rId6" w:fontKey="{66EDDEBF-3E50-4953-A73E-86568FDBF1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574E" w14:textId="77777777" w:rsidR="00767989" w:rsidRDefault="00000000">
    <w:pPr>
      <w:pBdr>
        <w:top w:val="nil"/>
        <w:left w:val="nil"/>
        <w:bottom w:val="nil"/>
        <w:right w:val="nil"/>
        <w:between w:val="nil"/>
      </w:pBdr>
      <w:tabs>
        <w:tab w:val="center" w:pos="4677"/>
        <w:tab w:val="right" w:pos="9355"/>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p>
  <w:p w14:paraId="134A00C3" w14:textId="77777777" w:rsidR="00767989" w:rsidRDefault="00767989">
    <w:pPr>
      <w:pBdr>
        <w:top w:val="nil"/>
        <w:left w:val="nil"/>
        <w:bottom w:val="nil"/>
        <w:right w:val="nil"/>
        <w:between w:val="nil"/>
      </w:pBdr>
      <w:tabs>
        <w:tab w:val="center" w:pos="4677"/>
        <w:tab w:val="right" w:pos="9355"/>
      </w:tabs>
      <w:ind w:right="360"/>
      <w:rPr>
        <w:rFonts w:ascii="Calibri" w:eastAsia="Calibri" w:hAnsi="Calibri" w:cs="Calibri"/>
        <w:color w:val="000000"/>
        <w:sz w:val="22"/>
        <w:szCs w:val="22"/>
      </w:rPr>
    </w:pPr>
  </w:p>
  <w:p w14:paraId="190BFFE0" w14:textId="77777777" w:rsidR="00767989" w:rsidRDefault="007679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1DAF0" w14:textId="77777777" w:rsidR="00767989" w:rsidRDefault="00000000">
    <w:pPr>
      <w:spacing w:after="40"/>
      <w:jc w:val="center"/>
      <w:rPr>
        <w:sz w:val="19"/>
        <w:szCs w:val="19"/>
      </w:rPr>
    </w:pPr>
    <w:r>
      <w:rPr>
        <w:sz w:val="19"/>
        <w:szCs w:val="19"/>
      </w:rPr>
      <w:fldChar w:fldCharType="begin"/>
    </w:r>
    <w:r>
      <w:rPr>
        <w:sz w:val="19"/>
        <w:szCs w:val="19"/>
      </w:rPr>
      <w:instrText>PAGE</w:instrText>
    </w:r>
    <w:r>
      <w:rPr>
        <w:sz w:val="19"/>
        <w:szCs w:val="19"/>
      </w:rPr>
      <w:fldChar w:fldCharType="separate"/>
    </w:r>
    <w:r w:rsidR="00EA1588">
      <w:rPr>
        <w:noProof/>
        <w:sz w:val="19"/>
        <w:szCs w:val="19"/>
      </w:rPr>
      <w:t>1</w:t>
    </w:r>
    <w:r>
      <w:rPr>
        <w:sz w:val="19"/>
        <w:szCs w:val="19"/>
      </w:rPr>
      <w:fldChar w:fldCharType="end"/>
    </w:r>
  </w:p>
  <w:p w14:paraId="1398E642" w14:textId="77777777" w:rsidR="00767989" w:rsidRDefault="00767989">
    <w:pPr>
      <w:pBdr>
        <w:top w:val="nil"/>
        <w:left w:val="nil"/>
        <w:bottom w:val="nil"/>
        <w:right w:val="nil"/>
        <w:between w:val="nil"/>
      </w:pBdr>
      <w:tabs>
        <w:tab w:val="center" w:pos="4677"/>
        <w:tab w:val="right" w:pos="9355"/>
        <w:tab w:val="left" w:pos="3709"/>
        <w:tab w:val="left" w:pos="3828"/>
      </w:tabs>
      <w:rPr>
        <w:b/>
        <w:bCs/>
        <w:color w:val="194363"/>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6A97" w14:textId="77777777" w:rsidR="00767989" w:rsidRDefault="00000000">
    <w:pPr>
      <w:spacing w:after="40"/>
      <w:jc w:val="center"/>
      <w:rPr>
        <w:color w:val="194363"/>
        <w:sz w:val="19"/>
        <w:szCs w:val="19"/>
      </w:rPr>
    </w:pPr>
    <w:r>
      <w:rPr>
        <w:color w:val="194363"/>
        <w:sz w:val="19"/>
        <w:szCs w:val="19"/>
      </w:rPr>
      <w:fldChar w:fldCharType="begin"/>
    </w:r>
    <w:r>
      <w:rPr>
        <w:color w:val="194363"/>
        <w:sz w:val="19"/>
        <w:szCs w:val="19"/>
      </w:rPr>
      <w:instrText>PAGE</w:instrText>
    </w:r>
    <w:r>
      <w:rPr>
        <w:color w:val="194363"/>
        <w:sz w:val="19"/>
        <w:szCs w:val="19"/>
      </w:rPr>
      <w:fldChar w:fldCharType="separate"/>
    </w:r>
    <w:r>
      <w:rPr>
        <w:color w:val="194363"/>
        <w:sz w:val="19"/>
        <w:szCs w:val="19"/>
      </w:rPr>
      <w:fldChar w:fldCharType="end"/>
    </w:r>
  </w:p>
  <w:p w14:paraId="0AE0F44E" w14:textId="77777777" w:rsidR="00767989" w:rsidRDefault="00000000">
    <w:pPr>
      <w:pBdr>
        <w:top w:val="nil"/>
        <w:left w:val="nil"/>
        <w:bottom w:val="nil"/>
        <w:right w:val="nil"/>
        <w:between w:val="nil"/>
      </w:pBdr>
      <w:tabs>
        <w:tab w:val="center" w:pos="4677"/>
        <w:tab w:val="right" w:pos="9355"/>
        <w:tab w:val="left" w:pos="3709"/>
        <w:tab w:val="left" w:pos="3828"/>
      </w:tabs>
      <w:rPr>
        <w:b/>
        <w:bCs/>
        <w:color w:val="194363"/>
        <w:sz w:val="22"/>
        <w:szCs w:val="22"/>
      </w:rPr>
    </w:pPr>
    <w:r>
      <w:rPr>
        <w:b/>
        <w:bCs/>
        <w:color w:val="194363"/>
        <w:sz w:val="14"/>
        <w:szCs w:val="14"/>
      </w:rPr>
      <w:t>SOȚCHI &amp; PARTNERS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C3CDA" w14:textId="77777777" w:rsidR="00D964BF" w:rsidRDefault="00D964BF">
      <w:r>
        <w:separator/>
      </w:r>
    </w:p>
  </w:footnote>
  <w:footnote w:type="continuationSeparator" w:id="0">
    <w:p w14:paraId="778E133A" w14:textId="77777777" w:rsidR="00D964BF" w:rsidRDefault="00D96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C2E1E" w14:textId="77777777" w:rsidR="00767989" w:rsidRDefault="00767989">
    <w:pPr>
      <w:tabs>
        <w:tab w:val="center" w:pos="4677"/>
        <w:tab w:val="left" w:pos="7066"/>
        <w:tab w:val="right" w:pos="7936"/>
        <w:tab w:val="right" w:pos="9355"/>
      </w:tabs>
      <w:jc w:val="right"/>
      <w:rPr>
        <w:b/>
        <w:bCs/>
        <w:smallCaps/>
        <w:color w:val="194363"/>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E425B" w14:textId="77777777" w:rsidR="00767989" w:rsidRDefault="00767989">
    <w:pPr>
      <w:tabs>
        <w:tab w:val="center" w:pos="4677"/>
        <w:tab w:val="left" w:pos="7066"/>
        <w:tab w:val="right" w:pos="7936"/>
        <w:tab w:val="right" w:pos="9355"/>
      </w:tabs>
      <w:jc w:val="right"/>
      <w:rPr>
        <w:b/>
        <w:bCs/>
        <w:smallCaps/>
        <w:color w:val="194363"/>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989"/>
    <w:rsid w:val="00767989"/>
    <w:rsid w:val="00BD53CD"/>
    <w:rsid w:val="00D964BF"/>
    <w:rsid w:val="00EA15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2E090"/>
  <w15:docId w15:val="{1B5F70A9-2704-4810-B6F7-7E8932721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4448</Words>
  <Characters>25358</Characters>
  <Application>Microsoft Office Word</Application>
  <DocSecurity>0</DocSecurity>
  <Lines>211</Lines>
  <Paragraphs>59</Paragraphs>
  <ScaleCrop>false</ScaleCrop>
  <Company/>
  <LinksUpToDate>false</LinksUpToDate>
  <CharactersWithSpaces>29747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Direcția Politici în Domeniul Raporturi de Muncă</cp:lastModifiedBy>
  <cp:revision>4</cp:revision>
  <dcterms:created xsi:type="dcterms:W3CDTF">2026-06-10T12:01:00Z</dcterms:created>
  <dcterms:modified xsi:type="dcterms:W3CDTF">2026-06-10T12:02:00Z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0x01010008DBEEEEA06BB9429B28BAF52500487E</vt:lpwstr>
  </property>
</Properties>
</file>