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1AE6" w14:textId="77777777" w:rsidR="00167BD0" w:rsidRPr="00CA2BA8" w:rsidRDefault="00167BD0" w:rsidP="00167BD0">
      <w:pPr>
        <w:jc w:val="center"/>
        <w:rPr>
          <w:rFonts w:asciiTheme="majorBidi" w:hAnsiTheme="majorBidi" w:cstheme="majorBidi"/>
          <w:b/>
          <w:noProof/>
          <w:sz w:val="22"/>
          <w:szCs w:val="22"/>
          <w:lang w:val="ro-MD"/>
        </w:rPr>
      </w:pPr>
      <w:r w:rsidRPr="00CA2BA8">
        <w:rPr>
          <w:rFonts w:asciiTheme="majorBidi" w:hAnsiTheme="majorBidi" w:cstheme="majorBidi"/>
          <w:b/>
          <w:noProof/>
          <w:sz w:val="22"/>
          <w:szCs w:val="22"/>
          <w:lang w:val="ro-MD"/>
        </w:rPr>
        <w:t>TABEL DE CONCORDANȚĂ</w:t>
      </w:r>
    </w:p>
    <w:p w14:paraId="4156BB4D" w14:textId="630D00C6" w:rsidR="001D7D60" w:rsidRDefault="006F1C57" w:rsidP="00405381">
      <w:pPr>
        <w:jc w:val="center"/>
        <w:rPr>
          <w:rStyle w:val="FontStyle11"/>
          <w:noProof/>
          <w:sz w:val="22"/>
          <w:szCs w:val="22"/>
          <w:lang w:val="ro-RO" w:eastAsia="ro-RO"/>
        </w:rPr>
      </w:pPr>
      <w:r>
        <w:rPr>
          <w:b/>
          <w:bCs/>
          <w:noProof/>
          <w:spacing w:val="10"/>
          <w:sz w:val="22"/>
          <w:szCs w:val="22"/>
          <w:lang w:val="ro-RO" w:eastAsia="ro-RO"/>
        </w:rPr>
        <w:t xml:space="preserve">la proiectul de lege </w:t>
      </w:r>
      <w:r w:rsidR="001D7D60" w:rsidRPr="001D7D60">
        <w:rPr>
          <w:rStyle w:val="FontStyle11"/>
          <w:noProof/>
          <w:sz w:val="22"/>
          <w:szCs w:val="22"/>
          <w:lang w:val="ro-RO" w:eastAsia="ro-RO"/>
        </w:rPr>
        <w:t xml:space="preserve">pentru modificarea </w:t>
      </w:r>
      <w:r>
        <w:rPr>
          <w:rStyle w:val="FontStyle11"/>
          <w:noProof/>
          <w:sz w:val="22"/>
          <w:szCs w:val="22"/>
          <w:lang w:val="ro-RO" w:eastAsia="ro-RO"/>
        </w:rPr>
        <w:t>unor acte normative</w:t>
      </w:r>
    </w:p>
    <w:p w14:paraId="35090105" w14:textId="77777777" w:rsidR="00625805" w:rsidRDefault="00625805" w:rsidP="00405381">
      <w:pPr>
        <w:jc w:val="center"/>
        <w:rPr>
          <w:rStyle w:val="FontStyle11"/>
          <w:noProof/>
          <w:sz w:val="22"/>
          <w:szCs w:val="22"/>
          <w:lang w:eastAsia="ro-RO"/>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4807"/>
      </w:tblGrid>
      <w:tr w:rsidR="00625805" w:rsidRPr="0026097F" w14:paraId="186BA394" w14:textId="77777777" w:rsidTr="008F6DF3">
        <w:trPr>
          <w:jc w:val="center"/>
        </w:trPr>
        <w:tc>
          <w:tcPr>
            <w:tcW w:w="178" w:type="pct"/>
            <w:tcBorders>
              <w:top w:val="single" w:sz="4" w:space="0" w:color="auto"/>
              <w:left w:val="single" w:sz="4" w:space="0" w:color="auto"/>
              <w:bottom w:val="single" w:sz="4" w:space="0" w:color="auto"/>
              <w:right w:val="single" w:sz="4" w:space="0" w:color="auto"/>
            </w:tcBorders>
          </w:tcPr>
          <w:p w14:paraId="4BADF574" w14:textId="77777777" w:rsidR="00625805" w:rsidRPr="00625805" w:rsidRDefault="00625805" w:rsidP="00625805">
            <w:pPr>
              <w:ind w:firstLine="0"/>
              <w:jc w:val="center"/>
              <w:rPr>
                <w:rFonts w:asciiTheme="majorBidi" w:hAnsiTheme="majorBidi" w:cstheme="majorBidi"/>
                <w:b/>
                <w:lang w:val="ro-MD"/>
              </w:rPr>
            </w:pPr>
            <w:r w:rsidRPr="00625805">
              <w:rPr>
                <w:rFonts w:asciiTheme="majorBidi" w:hAnsiTheme="majorBidi" w:cstheme="majorBidi"/>
                <w:b/>
                <w:lang w:val="ro-MD"/>
              </w:rPr>
              <w:t>1</w:t>
            </w:r>
          </w:p>
        </w:tc>
        <w:tc>
          <w:tcPr>
            <w:tcW w:w="4822" w:type="pct"/>
            <w:tcBorders>
              <w:top w:val="single" w:sz="4" w:space="0" w:color="auto"/>
              <w:left w:val="single" w:sz="4" w:space="0" w:color="auto"/>
              <w:bottom w:val="single" w:sz="4" w:space="0" w:color="auto"/>
              <w:right w:val="single" w:sz="4" w:space="0" w:color="auto"/>
            </w:tcBorders>
          </w:tcPr>
          <w:p w14:paraId="198D48CB" w14:textId="77777777" w:rsidR="00625805" w:rsidRDefault="00625805" w:rsidP="00625805">
            <w:pPr>
              <w:ind w:firstLine="0"/>
              <w:rPr>
                <w:rFonts w:asciiTheme="majorBidi" w:hAnsiTheme="majorBidi" w:cstheme="majorBidi"/>
                <w:b/>
                <w:lang w:val="ro-MD"/>
              </w:rPr>
            </w:pPr>
            <w:r w:rsidRPr="00625805">
              <w:rPr>
                <w:rFonts w:asciiTheme="majorBidi" w:hAnsiTheme="majorBidi" w:cstheme="majorBidi"/>
                <w:b/>
                <w:lang w:val="ro-MD"/>
              </w:rPr>
              <w:t>Titlul actului UE, inclusiv cea mai recentă modificare, nr. CELEX</w:t>
            </w:r>
          </w:p>
          <w:p w14:paraId="6BAE4A77" w14:textId="5C2E589B" w:rsidR="00625805" w:rsidRPr="00625805" w:rsidRDefault="00625805" w:rsidP="00625805">
            <w:pPr>
              <w:ind w:firstLine="0"/>
              <w:rPr>
                <w:rFonts w:asciiTheme="majorBidi" w:hAnsiTheme="majorBidi" w:cstheme="majorBidi"/>
                <w:b/>
                <w:lang w:val="ro-MD"/>
              </w:rPr>
            </w:pPr>
            <w:r w:rsidRPr="004D78EF">
              <w:rPr>
                <w:rFonts w:asciiTheme="majorBidi" w:hAnsiTheme="majorBidi" w:cstheme="majorBidi"/>
                <w:b/>
                <w:lang w:val="ro-MD"/>
              </w:rPr>
              <w:t xml:space="preserve">Regulamentul de punere în aplicare (UE) nr . 1337/2013 </w:t>
            </w:r>
            <w:r w:rsidRPr="004D78EF">
              <w:rPr>
                <w:rFonts w:asciiTheme="majorBidi" w:hAnsiTheme="majorBidi" w:cstheme="majorBidi"/>
                <w:bCs/>
                <w:lang w:val="ro-MD"/>
              </w:rPr>
              <w:t>al Comisiei din 13 decembrie 2013 de stabilire a normelor de aplicare a Regulamentului (UE) nr. 1169/2011 al Parlamentului European și al Consiliului în ceea ce privește indicarea țării de origine sau a locului de proveniență pentru carnea proaspătă, refrigerată sau congelată de animale din specia porcină, ovină, caprină și de păsări de curte</w:t>
            </w:r>
          </w:p>
        </w:tc>
      </w:tr>
      <w:tr w:rsidR="00625805" w:rsidRPr="0026097F" w14:paraId="4EA156F7" w14:textId="77777777" w:rsidTr="008F6DF3">
        <w:trPr>
          <w:jc w:val="center"/>
        </w:trPr>
        <w:tc>
          <w:tcPr>
            <w:tcW w:w="178" w:type="pct"/>
            <w:tcBorders>
              <w:top w:val="single" w:sz="4" w:space="0" w:color="auto"/>
              <w:left w:val="single" w:sz="4" w:space="0" w:color="auto"/>
              <w:bottom w:val="single" w:sz="4" w:space="0" w:color="auto"/>
              <w:right w:val="single" w:sz="4" w:space="0" w:color="auto"/>
            </w:tcBorders>
          </w:tcPr>
          <w:p w14:paraId="746F316A" w14:textId="77777777" w:rsidR="00625805" w:rsidRPr="00625805" w:rsidRDefault="00625805" w:rsidP="00625805">
            <w:pPr>
              <w:ind w:firstLine="0"/>
              <w:jc w:val="center"/>
              <w:rPr>
                <w:rFonts w:asciiTheme="majorBidi" w:hAnsiTheme="majorBidi" w:cstheme="majorBidi"/>
                <w:b/>
                <w:lang w:val="ro-MD"/>
              </w:rPr>
            </w:pPr>
            <w:r w:rsidRPr="00625805">
              <w:rPr>
                <w:rFonts w:asciiTheme="majorBidi" w:hAnsiTheme="majorBidi" w:cstheme="majorBidi"/>
                <w:b/>
                <w:lang w:val="ro-MD"/>
              </w:rPr>
              <w:t>2</w:t>
            </w:r>
          </w:p>
        </w:tc>
        <w:tc>
          <w:tcPr>
            <w:tcW w:w="4822" w:type="pct"/>
            <w:tcBorders>
              <w:top w:val="single" w:sz="4" w:space="0" w:color="auto"/>
              <w:left w:val="single" w:sz="4" w:space="0" w:color="auto"/>
              <w:bottom w:val="single" w:sz="4" w:space="0" w:color="auto"/>
              <w:right w:val="single" w:sz="4" w:space="0" w:color="auto"/>
            </w:tcBorders>
          </w:tcPr>
          <w:p w14:paraId="11168444" w14:textId="77777777" w:rsidR="00625805" w:rsidRDefault="00625805" w:rsidP="00625805">
            <w:pPr>
              <w:ind w:firstLine="0"/>
              <w:rPr>
                <w:rFonts w:asciiTheme="majorBidi" w:hAnsiTheme="majorBidi" w:cstheme="majorBidi"/>
                <w:b/>
                <w:lang w:val="ro-MD"/>
              </w:rPr>
            </w:pPr>
            <w:r w:rsidRPr="00625805">
              <w:rPr>
                <w:rFonts w:asciiTheme="majorBidi" w:hAnsiTheme="majorBidi" w:cstheme="majorBidi"/>
                <w:b/>
                <w:lang w:val="ro-MD"/>
              </w:rPr>
              <w:t>Titlul proiectului de act normativ național</w:t>
            </w:r>
          </w:p>
          <w:p w14:paraId="68C7A8BD" w14:textId="10C3F508" w:rsidR="00625805" w:rsidRPr="00625805" w:rsidRDefault="00625805" w:rsidP="00625805">
            <w:pPr>
              <w:ind w:firstLine="0"/>
              <w:rPr>
                <w:rFonts w:asciiTheme="majorBidi" w:hAnsiTheme="majorBidi" w:cstheme="majorBidi"/>
                <w:b/>
                <w:lang w:val="ro-MD"/>
              </w:rPr>
            </w:pPr>
            <w:r w:rsidRPr="00625805">
              <w:rPr>
                <w:rFonts w:asciiTheme="majorBidi" w:hAnsiTheme="majorBidi" w:cstheme="majorBidi"/>
                <w:b/>
                <w:lang w:val="ro-MD"/>
              </w:rPr>
              <w:t>Proiectul de lege pentru modificarea unor acte normative</w:t>
            </w:r>
          </w:p>
        </w:tc>
      </w:tr>
      <w:tr w:rsidR="00625805" w:rsidRPr="0026097F" w14:paraId="02F75F60" w14:textId="77777777" w:rsidTr="008F6DF3">
        <w:trPr>
          <w:jc w:val="center"/>
        </w:trPr>
        <w:tc>
          <w:tcPr>
            <w:tcW w:w="178" w:type="pct"/>
            <w:tcBorders>
              <w:top w:val="single" w:sz="4" w:space="0" w:color="auto"/>
              <w:left w:val="single" w:sz="4" w:space="0" w:color="auto"/>
              <w:bottom w:val="single" w:sz="4" w:space="0" w:color="auto"/>
              <w:right w:val="single" w:sz="4" w:space="0" w:color="auto"/>
            </w:tcBorders>
          </w:tcPr>
          <w:p w14:paraId="1E9228AF" w14:textId="77777777" w:rsidR="00625805" w:rsidRPr="00625805" w:rsidRDefault="00625805" w:rsidP="00625805">
            <w:pPr>
              <w:ind w:firstLine="0"/>
              <w:jc w:val="center"/>
              <w:rPr>
                <w:rFonts w:asciiTheme="majorBidi" w:hAnsiTheme="majorBidi" w:cstheme="majorBidi"/>
                <w:b/>
                <w:lang w:val="ro-MD"/>
              </w:rPr>
            </w:pPr>
            <w:r w:rsidRPr="00625805">
              <w:rPr>
                <w:rFonts w:asciiTheme="majorBidi" w:hAnsiTheme="majorBidi" w:cstheme="majorBidi"/>
                <w:b/>
                <w:lang w:val="ro-MD"/>
              </w:rPr>
              <w:t>3</w:t>
            </w:r>
          </w:p>
        </w:tc>
        <w:tc>
          <w:tcPr>
            <w:tcW w:w="4822" w:type="pct"/>
            <w:tcBorders>
              <w:top w:val="single" w:sz="4" w:space="0" w:color="auto"/>
              <w:left w:val="single" w:sz="4" w:space="0" w:color="auto"/>
              <w:bottom w:val="single" w:sz="4" w:space="0" w:color="auto"/>
              <w:right w:val="single" w:sz="4" w:space="0" w:color="auto"/>
            </w:tcBorders>
          </w:tcPr>
          <w:p w14:paraId="21EB568C" w14:textId="77777777" w:rsidR="00625805" w:rsidRDefault="00625805" w:rsidP="00625805">
            <w:pPr>
              <w:ind w:firstLine="0"/>
              <w:rPr>
                <w:rFonts w:asciiTheme="majorBidi" w:hAnsiTheme="majorBidi" w:cstheme="majorBidi"/>
                <w:b/>
                <w:lang w:val="ro-MD"/>
              </w:rPr>
            </w:pPr>
            <w:r w:rsidRPr="00625805">
              <w:rPr>
                <w:rFonts w:asciiTheme="majorBidi" w:hAnsiTheme="majorBidi" w:cstheme="majorBidi"/>
                <w:b/>
                <w:lang w:val="ro-MD"/>
              </w:rPr>
              <w:t>Gradul general de compatibilitate</w:t>
            </w:r>
          </w:p>
          <w:p w14:paraId="682F8B14" w14:textId="6FB8A41E" w:rsidR="00625805" w:rsidRPr="00625805" w:rsidRDefault="00625805" w:rsidP="00625805">
            <w:pPr>
              <w:ind w:firstLine="0"/>
              <w:rPr>
                <w:rFonts w:asciiTheme="majorBidi" w:hAnsiTheme="majorBidi" w:cstheme="majorBidi"/>
                <w:b/>
                <w:lang w:val="ro-MD"/>
              </w:rPr>
            </w:pPr>
            <w:r>
              <w:rPr>
                <w:rFonts w:asciiTheme="majorBidi" w:hAnsiTheme="majorBidi" w:cstheme="majorBidi"/>
                <w:b/>
                <w:lang w:val="ro-MD"/>
              </w:rPr>
              <w:t>Compatibil</w:t>
            </w:r>
          </w:p>
        </w:tc>
      </w:tr>
      <w:tr w:rsidR="00625805" w:rsidRPr="0026097F" w14:paraId="440286CD" w14:textId="77777777" w:rsidTr="008F6DF3">
        <w:trPr>
          <w:jc w:val="center"/>
        </w:trPr>
        <w:tc>
          <w:tcPr>
            <w:tcW w:w="178" w:type="pct"/>
            <w:tcBorders>
              <w:top w:val="single" w:sz="4" w:space="0" w:color="auto"/>
              <w:left w:val="single" w:sz="4" w:space="0" w:color="auto"/>
              <w:bottom w:val="single" w:sz="4" w:space="0" w:color="auto"/>
              <w:right w:val="single" w:sz="4" w:space="0" w:color="auto"/>
            </w:tcBorders>
          </w:tcPr>
          <w:p w14:paraId="6712A8EF" w14:textId="77777777" w:rsidR="00625805" w:rsidRPr="00625805" w:rsidRDefault="00625805" w:rsidP="00625805">
            <w:pPr>
              <w:ind w:firstLine="0"/>
              <w:jc w:val="center"/>
              <w:rPr>
                <w:rFonts w:asciiTheme="majorBidi" w:hAnsiTheme="majorBidi" w:cstheme="majorBidi"/>
                <w:b/>
                <w:lang w:val="ro-MD"/>
              </w:rPr>
            </w:pPr>
            <w:r w:rsidRPr="00625805">
              <w:rPr>
                <w:rFonts w:asciiTheme="majorBidi" w:hAnsiTheme="majorBidi" w:cstheme="majorBidi"/>
                <w:b/>
                <w:lang w:val="ro-MD"/>
              </w:rPr>
              <w:t>4</w:t>
            </w:r>
          </w:p>
        </w:tc>
        <w:tc>
          <w:tcPr>
            <w:tcW w:w="4822" w:type="pct"/>
            <w:tcBorders>
              <w:top w:val="single" w:sz="4" w:space="0" w:color="auto"/>
              <w:left w:val="single" w:sz="4" w:space="0" w:color="auto"/>
              <w:bottom w:val="single" w:sz="4" w:space="0" w:color="auto"/>
              <w:right w:val="single" w:sz="4" w:space="0" w:color="auto"/>
            </w:tcBorders>
          </w:tcPr>
          <w:p w14:paraId="2F4D22D5" w14:textId="77777777" w:rsidR="00625805" w:rsidRDefault="00625805" w:rsidP="00625805">
            <w:pPr>
              <w:ind w:firstLine="0"/>
              <w:rPr>
                <w:rFonts w:asciiTheme="majorBidi" w:hAnsiTheme="majorBidi" w:cstheme="majorBidi"/>
                <w:b/>
                <w:lang w:val="ro-MD"/>
              </w:rPr>
            </w:pPr>
            <w:r w:rsidRPr="00625805">
              <w:rPr>
                <w:rFonts w:asciiTheme="majorBidi" w:hAnsiTheme="majorBidi" w:cstheme="majorBidi"/>
                <w:b/>
                <w:lang w:val="ro-MD"/>
              </w:rPr>
              <w:t xml:space="preserve">Autoritatea/persoana responsabilă </w:t>
            </w:r>
          </w:p>
          <w:p w14:paraId="51E7C878" w14:textId="22F92548" w:rsidR="008F6DF3" w:rsidRPr="00625805" w:rsidRDefault="008F6DF3" w:rsidP="00625805">
            <w:pPr>
              <w:ind w:firstLine="0"/>
              <w:rPr>
                <w:rFonts w:asciiTheme="majorBidi" w:hAnsiTheme="majorBidi" w:cstheme="majorBidi"/>
                <w:b/>
                <w:lang w:val="ro-MD"/>
              </w:rPr>
            </w:pPr>
            <w:r>
              <w:rPr>
                <w:rFonts w:asciiTheme="majorBidi" w:hAnsiTheme="majorBidi" w:cstheme="majorBidi"/>
                <w:b/>
                <w:lang w:val="ro-MD"/>
              </w:rPr>
              <w:t>Ministerul Agriculturii și Industriei Alimentare</w:t>
            </w:r>
          </w:p>
        </w:tc>
      </w:tr>
      <w:tr w:rsidR="00625805" w:rsidRPr="0026097F" w14:paraId="4EF8901D" w14:textId="77777777" w:rsidTr="008F6DF3">
        <w:trPr>
          <w:jc w:val="center"/>
        </w:trPr>
        <w:tc>
          <w:tcPr>
            <w:tcW w:w="178" w:type="pct"/>
            <w:tcBorders>
              <w:top w:val="single" w:sz="4" w:space="0" w:color="auto"/>
              <w:left w:val="single" w:sz="4" w:space="0" w:color="auto"/>
              <w:bottom w:val="single" w:sz="4" w:space="0" w:color="auto"/>
              <w:right w:val="single" w:sz="4" w:space="0" w:color="auto"/>
            </w:tcBorders>
          </w:tcPr>
          <w:p w14:paraId="2FFA2CD5" w14:textId="77777777" w:rsidR="00625805" w:rsidRPr="00625805" w:rsidRDefault="00625805" w:rsidP="00625805">
            <w:pPr>
              <w:ind w:firstLine="0"/>
              <w:jc w:val="center"/>
              <w:rPr>
                <w:rFonts w:asciiTheme="majorBidi" w:hAnsiTheme="majorBidi" w:cstheme="majorBidi"/>
                <w:b/>
                <w:lang w:val="ro-MD"/>
              </w:rPr>
            </w:pPr>
            <w:r w:rsidRPr="00625805">
              <w:rPr>
                <w:rFonts w:asciiTheme="majorBidi" w:hAnsiTheme="majorBidi" w:cstheme="majorBidi"/>
                <w:b/>
                <w:lang w:val="ro-MD"/>
              </w:rPr>
              <w:t>5</w:t>
            </w:r>
          </w:p>
        </w:tc>
        <w:tc>
          <w:tcPr>
            <w:tcW w:w="4822" w:type="pct"/>
            <w:tcBorders>
              <w:top w:val="single" w:sz="4" w:space="0" w:color="auto"/>
              <w:left w:val="single" w:sz="4" w:space="0" w:color="auto"/>
              <w:bottom w:val="single" w:sz="4" w:space="0" w:color="auto"/>
              <w:right w:val="single" w:sz="4" w:space="0" w:color="auto"/>
            </w:tcBorders>
          </w:tcPr>
          <w:p w14:paraId="74ED57B0" w14:textId="77777777" w:rsidR="00625805" w:rsidRDefault="00625805" w:rsidP="00625805">
            <w:pPr>
              <w:ind w:firstLine="0"/>
              <w:rPr>
                <w:rFonts w:asciiTheme="majorBidi" w:hAnsiTheme="majorBidi" w:cstheme="majorBidi"/>
                <w:b/>
                <w:lang w:val="ro-MD"/>
              </w:rPr>
            </w:pPr>
            <w:r w:rsidRPr="00625805">
              <w:rPr>
                <w:rFonts w:asciiTheme="majorBidi" w:hAnsiTheme="majorBidi" w:cstheme="majorBidi"/>
                <w:b/>
                <w:lang w:val="ro-MD"/>
              </w:rPr>
              <w:t>Data întocmirii/actualizării</w:t>
            </w:r>
          </w:p>
          <w:p w14:paraId="2B96B05C" w14:textId="59EF6E00" w:rsidR="008F6DF3" w:rsidRPr="00625805" w:rsidRDefault="008F6DF3" w:rsidP="00625805">
            <w:pPr>
              <w:ind w:firstLine="0"/>
              <w:rPr>
                <w:rFonts w:asciiTheme="majorBidi" w:hAnsiTheme="majorBidi" w:cstheme="majorBidi"/>
                <w:b/>
                <w:lang w:val="ro-MD"/>
              </w:rPr>
            </w:pPr>
            <w:r>
              <w:rPr>
                <w:rFonts w:asciiTheme="majorBidi" w:hAnsiTheme="majorBidi" w:cstheme="majorBidi"/>
                <w:b/>
                <w:lang w:val="ro-MD"/>
              </w:rPr>
              <w:t>11.03.2026</w:t>
            </w:r>
          </w:p>
        </w:tc>
      </w:tr>
    </w:tbl>
    <w:tbl>
      <w:tblPr>
        <w:tblStyle w:val="TableGrid1"/>
        <w:tblW w:w="15304" w:type="dxa"/>
        <w:jc w:val="center"/>
        <w:tblLayout w:type="fixed"/>
        <w:tblLook w:val="04A0" w:firstRow="1" w:lastRow="0" w:firstColumn="1" w:lastColumn="0" w:noHBand="0" w:noVBand="1"/>
      </w:tblPr>
      <w:tblGrid>
        <w:gridCol w:w="6374"/>
        <w:gridCol w:w="6095"/>
        <w:gridCol w:w="1560"/>
        <w:gridCol w:w="1275"/>
      </w:tblGrid>
      <w:tr w:rsidR="00124743" w:rsidRPr="00CA2BA8" w14:paraId="789B4774" w14:textId="77777777" w:rsidTr="008D5FB2">
        <w:trPr>
          <w:jc w:val="center"/>
        </w:trPr>
        <w:tc>
          <w:tcPr>
            <w:tcW w:w="6374" w:type="dxa"/>
          </w:tcPr>
          <w:p w14:paraId="611DE0EC" w14:textId="6B4A6A6D" w:rsidR="00124743" w:rsidRPr="00CA2BA8" w:rsidRDefault="00124743" w:rsidP="0009108C">
            <w:pPr>
              <w:ind w:firstLine="0"/>
              <w:jc w:val="center"/>
              <w:rPr>
                <w:b/>
                <w:lang w:val="ro-MD"/>
              </w:rPr>
            </w:pPr>
            <w:r>
              <w:rPr>
                <w:b/>
                <w:lang w:val="ro-MD"/>
              </w:rPr>
              <w:t xml:space="preserve">6 </w:t>
            </w:r>
            <w:r w:rsidRPr="00CA2BA8">
              <w:rPr>
                <w:b/>
                <w:lang w:val="ro-MD"/>
              </w:rPr>
              <w:t>Actul Uniunii Europene</w:t>
            </w:r>
          </w:p>
        </w:tc>
        <w:tc>
          <w:tcPr>
            <w:tcW w:w="6095" w:type="dxa"/>
          </w:tcPr>
          <w:p w14:paraId="524A9879" w14:textId="10B0E15C" w:rsidR="00124743" w:rsidRPr="00CA2BA8" w:rsidRDefault="00124743" w:rsidP="0009108C">
            <w:pPr>
              <w:ind w:firstLine="0"/>
              <w:jc w:val="center"/>
              <w:rPr>
                <w:b/>
                <w:lang w:val="ro-MD"/>
              </w:rPr>
            </w:pPr>
            <w:r>
              <w:rPr>
                <w:b/>
                <w:lang w:val="ro-MD"/>
              </w:rPr>
              <w:t xml:space="preserve">7 </w:t>
            </w:r>
            <w:r w:rsidRPr="00CA2BA8">
              <w:rPr>
                <w:b/>
                <w:lang w:val="ro-MD"/>
              </w:rPr>
              <w:t>Proiectul de act normativ național</w:t>
            </w:r>
          </w:p>
        </w:tc>
        <w:tc>
          <w:tcPr>
            <w:tcW w:w="1560" w:type="dxa"/>
          </w:tcPr>
          <w:p w14:paraId="12C83286" w14:textId="11D721C7" w:rsidR="00124743" w:rsidRPr="00CA2BA8" w:rsidRDefault="00124743" w:rsidP="0009108C">
            <w:pPr>
              <w:ind w:firstLine="0"/>
              <w:jc w:val="center"/>
              <w:rPr>
                <w:b/>
                <w:lang w:val="ro-MD"/>
              </w:rPr>
            </w:pPr>
            <w:r>
              <w:rPr>
                <w:b/>
                <w:lang w:val="ro-MD"/>
              </w:rPr>
              <w:t xml:space="preserve">8 </w:t>
            </w:r>
            <w:r w:rsidRPr="00CA2BA8">
              <w:rPr>
                <w:b/>
                <w:lang w:val="ro-MD"/>
              </w:rPr>
              <w:t>Gradul de compatibilitate</w:t>
            </w:r>
          </w:p>
        </w:tc>
        <w:tc>
          <w:tcPr>
            <w:tcW w:w="1275" w:type="dxa"/>
          </w:tcPr>
          <w:p w14:paraId="25470CFB" w14:textId="046F77A7" w:rsidR="00124743" w:rsidRPr="00CA2BA8" w:rsidRDefault="00124743" w:rsidP="0009108C">
            <w:pPr>
              <w:ind w:firstLine="0"/>
              <w:jc w:val="center"/>
              <w:rPr>
                <w:b/>
                <w:lang w:val="ro-MD"/>
              </w:rPr>
            </w:pPr>
            <w:r>
              <w:rPr>
                <w:b/>
                <w:lang w:val="ro-MD"/>
              </w:rPr>
              <w:t xml:space="preserve">9 </w:t>
            </w:r>
            <w:r w:rsidRPr="00CA2BA8">
              <w:rPr>
                <w:b/>
                <w:lang w:val="ro-MD"/>
              </w:rPr>
              <w:t>Observațiile</w:t>
            </w:r>
          </w:p>
        </w:tc>
      </w:tr>
      <w:tr w:rsidR="00124743" w:rsidRPr="00CA2BA8" w14:paraId="6E6094E6" w14:textId="77777777" w:rsidTr="008D5FB2">
        <w:tblPrEx>
          <w:jc w:val="left"/>
        </w:tblPrEx>
        <w:tc>
          <w:tcPr>
            <w:tcW w:w="6374" w:type="dxa"/>
          </w:tcPr>
          <w:p w14:paraId="4F076436" w14:textId="2E7387AA" w:rsidR="00124743" w:rsidRPr="00F522F3" w:rsidRDefault="00124743" w:rsidP="00F522F3">
            <w:pPr>
              <w:ind w:firstLine="0"/>
              <w:rPr>
                <w:rFonts w:asciiTheme="majorBidi" w:hAnsiTheme="majorBidi" w:cstheme="majorBidi"/>
                <w:i/>
                <w:iCs/>
                <w:lang w:val="ro-RO"/>
              </w:rPr>
            </w:pPr>
            <w:r w:rsidRPr="00F522F3">
              <w:rPr>
                <w:rFonts w:asciiTheme="majorBidi" w:hAnsiTheme="majorBidi" w:cstheme="majorBidi" w:hint="eastAsia"/>
                <w:i/>
                <w:iCs/>
                <w:lang w:val="ro-RO"/>
              </w:rPr>
              <w:t>Articolul 1</w:t>
            </w:r>
          </w:p>
          <w:p w14:paraId="699C46A7" w14:textId="77777777" w:rsidR="00124743" w:rsidRPr="00F522F3" w:rsidRDefault="00124743" w:rsidP="00F522F3">
            <w:pPr>
              <w:ind w:firstLine="0"/>
              <w:rPr>
                <w:rFonts w:asciiTheme="majorBidi" w:hAnsiTheme="majorBidi" w:cstheme="majorBidi"/>
                <w:b/>
                <w:bCs/>
                <w:lang w:val="ro-RO"/>
              </w:rPr>
            </w:pPr>
            <w:r w:rsidRPr="00F522F3">
              <w:rPr>
                <w:rFonts w:asciiTheme="majorBidi" w:hAnsiTheme="majorBidi" w:cstheme="majorBidi" w:hint="eastAsia"/>
                <w:b/>
                <w:bCs/>
                <w:lang w:val="ro-RO"/>
              </w:rPr>
              <w:t>Obiect și domeniu de aplicare</w:t>
            </w:r>
          </w:p>
          <w:p w14:paraId="09BFB4B6" w14:textId="242C6BFB" w:rsidR="00124743" w:rsidRPr="00F522F3" w:rsidRDefault="00124743" w:rsidP="006B470F">
            <w:pPr>
              <w:ind w:firstLine="0"/>
              <w:rPr>
                <w:rFonts w:asciiTheme="majorBidi" w:hAnsiTheme="majorBidi" w:cstheme="majorBidi"/>
                <w:lang w:val="ro-RO"/>
              </w:rPr>
            </w:pPr>
            <w:r w:rsidRPr="00F522F3">
              <w:rPr>
                <w:rFonts w:asciiTheme="majorBidi" w:hAnsiTheme="majorBidi" w:cstheme="majorBidi" w:hint="eastAsia"/>
                <w:lang w:val="ro-RO"/>
              </w:rPr>
              <w:t>Prezentul regulament stabilește normele privind indicarea țării de origine sau a locului de proveniență pe eticheta cărnii proaspete, refrigerate sau congelate de animale din specia porcină, ovină, caprină și de păsări de curte, care se încadrează la codurile din Nomenclatura combinată enumerate în anexa XI la Regulamentul (UE) nr. 1169/2011.</w:t>
            </w:r>
          </w:p>
        </w:tc>
        <w:tc>
          <w:tcPr>
            <w:tcW w:w="6095" w:type="dxa"/>
          </w:tcPr>
          <w:p w14:paraId="4F66056A" w14:textId="752B0B9C" w:rsidR="00124743" w:rsidRDefault="00124743" w:rsidP="00403AE7">
            <w:pPr>
              <w:ind w:firstLine="0"/>
              <w:rPr>
                <w:rFonts w:asciiTheme="majorBidi" w:hAnsiTheme="majorBidi" w:cstheme="majorBidi"/>
                <w:bCs/>
                <w:lang w:val="ro-MD"/>
              </w:rPr>
            </w:pPr>
            <w:r>
              <w:rPr>
                <w:rFonts w:asciiTheme="majorBidi" w:hAnsiTheme="majorBidi" w:cstheme="majorBidi"/>
                <w:bCs/>
                <w:lang w:val="ro-MD"/>
              </w:rPr>
              <w:t>Articolul 24:</w:t>
            </w:r>
          </w:p>
          <w:p w14:paraId="673B5E05" w14:textId="77777777" w:rsidR="00124743" w:rsidRPr="00B87CFE" w:rsidRDefault="00124743" w:rsidP="00B87CFE">
            <w:pPr>
              <w:ind w:firstLine="0"/>
              <w:rPr>
                <w:rFonts w:asciiTheme="majorBidi" w:hAnsiTheme="majorBidi" w:cstheme="majorBidi"/>
                <w:bCs/>
                <w:lang w:val="ro-RO"/>
              </w:rPr>
            </w:pPr>
            <w:r w:rsidRPr="00B87CFE">
              <w:rPr>
                <w:rFonts w:asciiTheme="majorBidi" w:hAnsiTheme="majorBidi" w:cstheme="majorBidi"/>
                <w:bCs/>
                <w:lang w:val="ro-RO"/>
              </w:rPr>
              <w:t>se completează cu alineatul (7) cu următorul cuprins:</w:t>
            </w:r>
          </w:p>
          <w:p w14:paraId="0E1E93FF" w14:textId="6B92E5DE" w:rsidR="00124743" w:rsidRPr="00B87CFE" w:rsidRDefault="00124743" w:rsidP="00B87CFE">
            <w:pPr>
              <w:ind w:firstLine="0"/>
              <w:rPr>
                <w:rFonts w:asciiTheme="majorBidi" w:hAnsiTheme="majorBidi" w:cstheme="majorBidi"/>
                <w:bCs/>
                <w:lang w:val="ro-RO"/>
              </w:rPr>
            </w:pPr>
            <w:r w:rsidRPr="00B87CFE">
              <w:rPr>
                <w:rFonts w:asciiTheme="majorBidi" w:hAnsiTheme="majorBidi" w:cstheme="majorBidi"/>
                <w:bCs/>
                <w:lang w:val="ro-RO"/>
              </w:rPr>
              <w:t>”(7) Indicarea țării de origine sau a locului de proveniență pe eticheta cărnii proaspete, refrigerate sau congelate de animale din specia porcină, ovină, caprină și de păsări de curte, care se încadrează la codurile din Nomenclatura combinată enumerate în anexa nr.10 se va efectua în condițiile stabilite în anexa nr.16. ”</w:t>
            </w:r>
          </w:p>
        </w:tc>
        <w:tc>
          <w:tcPr>
            <w:tcW w:w="1560" w:type="dxa"/>
          </w:tcPr>
          <w:p w14:paraId="462062DF" w14:textId="77777777" w:rsidR="00124743" w:rsidRPr="00CB18B2" w:rsidRDefault="00124743" w:rsidP="00403AE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275" w:type="dxa"/>
          </w:tcPr>
          <w:p w14:paraId="637DD88E" w14:textId="77777777" w:rsidR="00124743" w:rsidRPr="00CB18B2" w:rsidRDefault="00124743" w:rsidP="00403AE7">
            <w:pPr>
              <w:ind w:firstLine="0"/>
              <w:jc w:val="center"/>
              <w:rPr>
                <w:rFonts w:asciiTheme="majorBidi" w:hAnsiTheme="majorBidi" w:cstheme="majorBidi"/>
                <w:b/>
                <w:noProof/>
                <w:lang w:val="ro-RO"/>
              </w:rPr>
            </w:pPr>
          </w:p>
        </w:tc>
      </w:tr>
      <w:tr w:rsidR="00124743" w:rsidRPr="00CA2BA8" w14:paraId="29851752" w14:textId="77777777" w:rsidTr="008D5FB2">
        <w:tblPrEx>
          <w:jc w:val="left"/>
        </w:tblPrEx>
        <w:tc>
          <w:tcPr>
            <w:tcW w:w="6374" w:type="dxa"/>
          </w:tcPr>
          <w:p w14:paraId="34B07D9B" w14:textId="77777777" w:rsidR="00124743" w:rsidRPr="005E69C3" w:rsidRDefault="00124743" w:rsidP="005E69C3">
            <w:pPr>
              <w:shd w:val="clear" w:color="auto" w:fill="FFFFFF"/>
              <w:spacing w:line="276" w:lineRule="auto"/>
              <w:ind w:firstLine="0"/>
              <w:jc w:val="left"/>
              <w:rPr>
                <w:rFonts w:eastAsia="Arial Unicode MS"/>
                <w:i/>
                <w:iCs/>
                <w:color w:val="333333"/>
                <w:lang w:val="ro-RO" w:eastAsia="ro-RO"/>
              </w:rPr>
            </w:pPr>
            <w:r w:rsidRPr="005E69C3">
              <w:rPr>
                <w:rFonts w:eastAsia="Arial Unicode MS"/>
                <w:i/>
                <w:iCs/>
                <w:color w:val="333333"/>
                <w:lang w:val="ro-RO" w:eastAsia="ro-RO"/>
              </w:rPr>
              <w:t>Articolul 2</w:t>
            </w:r>
          </w:p>
          <w:p w14:paraId="71CF82D7" w14:textId="77777777" w:rsidR="00124743" w:rsidRPr="005E69C3" w:rsidRDefault="00124743" w:rsidP="005E69C3">
            <w:pPr>
              <w:shd w:val="clear" w:color="auto" w:fill="FFFFFF"/>
              <w:spacing w:line="276" w:lineRule="auto"/>
              <w:ind w:firstLine="0"/>
              <w:jc w:val="left"/>
              <w:rPr>
                <w:rFonts w:eastAsia="Arial Unicode MS"/>
                <w:b/>
                <w:bCs/>
                <w:color w:val="333333"/>
                <w:lang w:val="ro-RO" w:eastAsia="ro-RO"/>
              </w:rPr>
            </w:pPr>
            <w:r w:rsidRPr="005E69C3">
              <w:rPr>
                <w:rFonts w:eastAsia="Arial Unicode MS"/>
                <w:b/>
                <w:bCs/>
                <w:color w:val="333333"/>
                <w:lang w:val="ro-RO" w:eastAsia="ro-RO"/>
              </w:rPr>
              <w:t>Definiții</w:t>
            </w:r>
          </w:p>
          <w:p w14:paraId="40DB62A6" w14:textId="77777777" w:rsidR="00124743" w:rsidRPr="005E69C3" w:rsidRDefault="00124743" w:rsidP="005E69C3">
            <w:pPr>
              <w:shd w:val="clear" w:color="auto" w:fill="FFFFFF"/>
              <w:spacing w:line="276" w:lineRule="auto"/>
              <w:ind w:firstLine="0"/>
              <w:rPr>
                <w:rFonts w:eastAsia="Arial Unicode MS"/>
                <w:color w:val="333333"/>
                <w:lang w:val="ro-RO" w:eastAsia="ro-RO"/>
              </w:rPr>
            </w:pPr>
            <w:r w:rsidRPr="005E69C3">
              <w:rPr>
                <w:rFonts w:eastAsia="Arial Unicode MS"/>
                <w:color w:val="333333"/>
                <w:lang w:val="ro-RO" w:eastAsia="ro-RO"/>
              </w:rPr>
              <w:t>(1)  În sensul prezentului regulament, se aplică definiția pentru „operator din sectorul alimentar” prevăzută la articolul 3 punctul 3 din Regulamentul (CE) nr. 178/2002 al Parlamentului European și al Consiliului (</w:t>
            </w:r>
            <w:hyperlink r:id="rId7" w:anchor="E0003" w:history="1">
              <w:r w:rsidRPr="005E69C3">
                <w:rPr>
                  <w:rFonts w:eastAsia="Arial Unicode MS"/>
                  <w:color w:val="0E47CB"/>
                  <w:u w:val="single"/>
                  <w:lang w:val="ro-RO" w:eastAsia="ro-RO"/>
                </w:rPr>
                <w:t> </w:t>
              </w:r>
              <w:r w:rsidRPr="005E69C3">
                <w:rPr>
                  <w:rFonts w:eastAsia="Arial Unicode MS"/>
                  <w:color w:val="0E47CB"/>
                  <w:vertAlign w:val="superscript"/>
                  <w:lang w:val="ro-RO" w:eastAsia="ro-RO"/>
                </w:rPr>
                <w:t>3</w:t>
              </w:r>
              <w:r w:rsidRPr="005E69C3">
                <w:rPr>
                  <w:rFonts w:eastAsia="Arial Unicode MS"/>
                  <w:color w:val="0E47CB"/>
                  <w:u w:val="single"/>
                  <w:lang w:val="ro-RO" w:eastAsia="ro-RO"/>
                </w:rPr>
                <w:t> </w:t>
              </w:r>
            </w:hyperlink>
            <w:r w:rsidRPr="005E69C3">
              <w:rPr>
                <w:rFonts w:eastAsia="Arial Unicode MS"/>
                <w:color w:val="333333"/>
                <w:lang w:val="ro-RO" w:eastAsia="ro-RO"/>
              </w:rPr>
              <w:t>), definiția pentru „unitate” prevăzută la articolul 2 alineatul (1) litera (c) din Regulamentul (CE) nr. 852/2004 al Parlamentului European și al Consiliului (</w:t>
            </w:r>
            <w:hyperlink r:id="rId8" w:anchor="E0004" w:history="1">
              <w:r w:rsidRPr="005E69C3">
                <w:rPr>
                  <w:rFonts w:eastAsia="Arial Unicode MS"/>
                  <w:color w:val="0E47CB"/>
                  <w:u w:val="single"/>
                  <w:lang w:val="ro-RO" w:eastAsia="ro-RO"/>
                </w:rPr>
                <w:t> </w:t>
              </w:r>
              <w:r w:rsidRPr="005E69C3">
                <w:rPr>
                  <w:rFonts w:eastAsia="Arial Unicode MS"/>
                  <w:color w:val="0E47CB"/>
                  <w:vertAlign w:val="superscript"/>
                  <w:lang w:val="ro-RO" w:eastAsia="ro-RO"/>
                </w:rPr>
                <w:t>4</w:t>
              </w:r>
              <w:r w:rsidRPr="005E69C3">
                <w:rPr>
                  <w:rFonts w:eastAsia="Arial Unicode MS"/>
                  <w:color w:val="0E47CB"/>
                  <w:u w:val="single"/>
                  <w:lang w:val="ro-RO" w:eastAsia="ro-RO"/>
                </w:rPr>
                <w:t> </w:t>
              </w:r>
            </w:hyperlink>
            <w:r w:rsidRPr="005E69C3">
              <w:rPr>
                <w:rFonts w:eastAsia="Arial Unicode MS"/>
                <w:color w:val="333333"/>
                <w:lang w:val="ro-RO" w:eastAsia="ro-RO"/>
              </w:rPr>
              <w:t>), precum și definițiile pentru „carne tocată”, „abator” și „unitate de tranșare” prevăzute la punctele 1.13, 1.16 și 1.17 din Anexa I la Regulamentul (CE) nr. 853/2004 al Parlamentului European și al Consiliului (</w:t>
            </w:r>
            <w:hyperlink r:id="rId9" w:anchor="E0005" w:history="1">
              <w:r w:rsidRPr="005E69C3">
                <w:rPr>
                  <w:rFonts w:eastAsia="Arial Unicode MS"/>
                  <w:color w:val="0E47CB"/>
                  <w:u w:val="single"/>
                  <w:lang w:val="ro-RO" w:eastAsia="ro-RO"/>
                </w:rPr>
                <w:t> </w:t>
              </w:r>
              <w:r w:rsidRPr="005E69C3">
                <w:rPr>
                  <w:rFonts w:eastAsia="Arial Unicode MS"/>
                  <w:color w:val="0E47CB"/>
                  <w:vertAlign w:val="superscript"/>
                  <w:lang w:val="ro-RO" w:eastAsia="ro-RO"/>
                </w:rPr>
                <w:t>5</w:t>
              </w:r>
              <w:r w:rsidRPr="005E69C3">
                <w:rPr>
                  <w:rFonts w:eastAsia="Arial Unicode MS"/>
                  <w:color w:val="0E47CB"/>
                  <w:u w:val="single"/>
                  <w:lang w:val="ro-RO" w:eastAsia="ro-RO"/>
                </w:rPr>
                <w:t> </w:t>
              </w:r>
            </w:hyperlink>
            <w:r w:rsidRPr="005E69C3">
              <w:rPr>
                <w:rFonts w:eastAsia="Arial Unicode MS"/>
                <w:color w:val="333333"/>
                <w:lang w:val="ro-RO" w:eastAsia="ro-RO"/>
              </w:rPr>
              <w:t>).</w:t>
            </w:r>
          </w:p>
          <w:p w14:paraId="3B644D8D" w14:textId="77777777" w:rsidR="00124743" w:rsidRPr="005E69C3" w:rsidRDefault="00124743" w:rsidP="005E69C3">
            <w:pPr>
              <w:shd w:val="clear" w:color="auto" w:fill="FFFFFF"/>
              <w:spacing w:line="276" w:lineRule="auto"/>
              <w:ind w:firstLine="0"/>
              <w:rPr>
                <w:rFonts w:eastAsia="Arial Unicode MS"/>
                <w:color w:val="333333"/>
                <w:lang w:val="ro-RO" w:eastAsia="ro-RO"/>
              </w:rPr>
            </w:pPr>
            <w:r w:rsidRPr="005E69C3">
              <w:rPr>
                <w:rFonts w:eastAsia="Arial Unicode MS"/>
                <w:color w:val="333333"/>
                <w:lang w:val="ro-RO" w:eastAsia="ro-RO"/>
              </w:rPr>
              <w:t>(2)  Se aplică, de asemenea, următoarele definiții:</w:t>
            </w:r>
          </w:p>
          <w:p w14:paraId="11FFEC7F" w14:textId="77777777" w:rsidR="00124743" w:rsidRPr="005E69C3" w:rsidRDefault="00124743" w:rsidP="00537C69">
            <w:pPr>
              <w:shd w:val="clear" w:color="auto" w:fill="FFFFFF"/>
              <w:spacing w:line="276" w:lineRule="auto"/>
              <w:ind w:firstLine="0"/>
              <w:rPr>
                <w:rFonts w:eastAsia="Arial Unicode MS"/>
                <w:color w:val="333333"/>
                <w:lang w:val="ro-RO" w:eastAsia="ro-RO"/>
              </w:rPr>
            </w:pPr>
            <w:r w:rsidRPr="005E69C3">
              <w:rPr>
                <w:rFonts w:eastAsia="Arial Unicode MS"/>
                <w:color w:val="333333"/>
                <w:lang w:val="ro-RO" w:eastAsia="ro-RO"/>
              </w:rPr>
              <w:lastRenderedPageBreak/>
              <w:t>(a) „resturi rezultate din fasonare” înseamnă bucăți mici de carne, care se încadrează la codurile din Nomenclatura combinată enumerate în anexa XI la Regulamentul (UE) nr. 1169/2011, recunoscute ca fiind adecvate consumului uman și obținute exclusiv în timpul operațiunilor de fasonare, dezosare a carcaselor sau tranșare a cărnii;</w:t>
            </w:r>
          </w:p>
          <w:p w14:paraId="47EE2EC3" w14:textId="2ABA6F80" w:rsidR="00124743" w:rsidRPr="005E69C3" w:rsidRDefault="00124743" w:rsidP="00537C69">
            <w:pPr>
              <w:shd w:val="clear" w:color="auto" w:fill="FFFFFF"/>
              <w:spacing w:line="276" w:lineRule="auto"/>
              <w:ind w:firstLine="0"/>
              <w:rPr>
                <w:lang w:val="ro-MD"/>
              </w:rPr>
            </w:pPr>
            <w:r w:rsidRPr="005E69C3">
              <w:rPr>
                <w:rFonts w:eastAsia="Arial Unicode MS"/>
                <w:color w:val="333333"/>
                <w:lang w:val="ro-RO" w:eastAsia="ro-RO"/>
              </w:rPr>
              <w:t>(b) „lot” înseamnă carnea care se încadrează la codurile din Nomenclatura combinată enumerate în anexa XI la Regulamentul (UE) nr. 1169/2011, obținută de la o singură specie, dezosată sau nu, tranșată sau tocată, care a fost tranșată, tocată sau ambalată în condiții, practic, identice.</w:t>
            </w:r>
          </w:p>
        </w:tc>
        <w:tc>
          <w:tcPr>
            <w:tcW w:w="6095" w:type="dxa"/>
          </w:tcPr>
          <w:p w14:paraId="2B78AC1E" w14:textId="77777777" w:rsidR="00124743" w:rsidRPr="00D251F1" w:rsidRDefault="00124743" w:rsidP="00816E2D">
            <w:pPr>
              <w:ind w:firstLine="0"/>
              <w:rPr>
                <w:rFonts w:asciiTheme="majorBidi" w:hAnsiTheme="majorBidi" w:cstheme="majorBidi"/>
                <w:bCs/>
                <w:color w:val="000000" w:themeColor="text1"/>
                <w:lang w:val="ro-MD"/>
              </w:rPr>
            </w:pPr>
            <w:r w:rsidRPr="00D251F1">
              <w:rPr>
                <w:rFonts w:asciiTheme="majorBidi" w:hAnsiTheme="majorBidi" w:cstheme="majorBidi"/>
                <w:bCs/>
                <w:color w:val="000000" w:themeColor="text1"/>
                <w:lang w:val="ro-MD"/>
              </w:rPr>
              <w:lastRenderedPageBreak/>
              <w:t xml:space="preserve">În sensul prezentelor Cerințe se utilizează noțiunile definite în Legea nr. 231/2010 cu privire la comerțul interior, în Legea nr. 296/2017 privind cerințele generale de igienă a produselor alimentare și în Legea nr. 306/2018 privind </w:t>
            </w:r>
            <w:proofErr w:type="spellStart"/>
            <w:r w:rsidRPr="00D251F1">
              <w:rPr>
                <w:rFonts w:asciiTheme="majorBidi" w:hAnsiTheme="majorBidi" w:cstheme="majorBidi"/>
                <w:bCs/>
                <w:color w:val="000000" w:themeColor="text1"/>
                <w:lang w:val="ro-MD"/>
              </w:rPr>
              <w:t>siguranţa</w:t>
            </w:r>
            <w:proofErr w:type="spellEnd"/>
            <w:r w:rsidRPr="00D251F1">
              <w:rPr>
                <w:rFonts w:asciiTheme="majorBidi" w:hAnsiTheme="majorBidi" w:cstheme="majorBidi"/>
                <w:bCs/>
                <w:color w:val="000000" w:themeColor="text1"/>
                <w:lang w:val="ro-MD"/>
              </w:rPr>
              <w:t xml:space="preserve"> alimentelor. Noțiunile „produse din carne” și „preparate din carne” sunt utilizate în sensul în care acestea sunt definite în Cerințele de calitate pentru preparate </w:t>
            </w:r>
            <w:proofErr w:type="spellStart"/>
            <w:r w:rsidRPr="00D251F1">
              <w:rPr>
                <w:rFonts w:asciiTheme="majorBidi" w:hAnsiTheme="majorBidi" w:cstheme="majorBidi"/>
                <w:bCs/>
                <w:color w:val="000000" w:themeColor="text1"/>
                <w:lang w:val="ro-MD"/>
              </w:rPr>
              <w:t>şi</w:t>
            </w:r>
            <w:proofErr w:type="spellEnd"/>
            <w:r w:rsidRPr="00D251F1">
              <w:rPr>
                <w:rFonts w:asciiTheme="majorBidi" w:hAnsiTheme="majorBidi" w:cstheme="majorBidi"/>
                <w:bCs/>
                <w:color w:val="000000" w:themeColor="text1"/>
                <w:lang w:val="ro-MD"/>
              </w:rPr>
              <w:t xml:space="preserve"> produse din carne, aprobate prin Hotărârea Guvernului nr.624/2020. Noțiunile „lapte crud” și „produse lactate” sunt utilizate în sensul în care acestea sunt definite în Cerințele de calitate pentru lapte și produsele lactate, aprobate prin Hotărârea Guvernului nr. 158/2019. Totodată, se utilizează următoarele noțiuni:</w:t>
            </w:r>
          </w:p>
          <w:p w14:paraId="4F6FB86A" w14:textId="77777777" w:rsidR="00124743" w:rsidRPr="00D251F1" w:rsidRDefault="00124743" w:rsidP="00816E2D">
            <w:pPr>
              <w:ind w:firstLine="0"/>
              <w:rPr>
                <w:rFonts w:asciiTheme="majorBidi" w:hAnsiTheme="majorBidi" w:cstheme="majorBidi"/>
                <w:bCs/>
                <w:color w:val="000000" w:themeColor="text1"/>
                <w:lang w:val="ro-MD"/>
              </w:rPr>
            </w:pPr>
            <w:r w:rsidRPr="00D251F1">
              <w:rPr>
                <w:rFonts w:asciiTheme="majorBidi" w:hAnsiTheme="majorBidi" w:cstheme="majorBidi"/>
                <w:bCs/>
                <w:color w:val="000000" w:themeColor="text1"/>
                <w:lang w:val="ro-MD"/>
              </w:rPr>
              <w:t xml:space="preserve">„resturi rezultate din fasonare”- bucăți mici de carne, care se încadrează la codurile din Nomenclatura combinată enumerate în anexa nr.10, recunoscute ca fiind adecvate consumului uman și obținute exclusiv în </w:t>
            </w:r>
            <w:r w:rsidRPr="00D251F1">
              <w:rPr>
                <w:rFonts w:asciiTheme="majorBidi" w:hAnsiTheme="majorBidi" w:cstheme="majorBidi"/>
                <w:bCs/>
                <w:color w:val="000000" w:themeColor="text1"/>
                <w:lang w:val="ro-MD"/>
              </w:rPr>
              <w:lastRenderedPageBreak/>
              <w:t>timpul operațiunilor de fasonare, dezosare a carcaselor sau tranșare a cărnii;</w:t>
            </w:r>
          </w:p>
          <w:p w14:paraId="76B93D57" w14:textId="0C029938" w:rsidR="00124743" w:rsidRPr="00D251F1" w:rsidRDefault="00124743" w:rsidP="00816E2D">
            <w:pPr>
              <w:ind w:firstLine="0"/>
              <w:rPr>
                <w:rFonts w:asciiTheme="majorBidi" w:hAnsiTheme="majorBidi" w:cstheme="majorBidi"/>
                <w:bCs/>
                <w:color w:val="000000" w:themeColor="text1"/>
                <w:lang w:val="ro-MD"/>
              </w:rPr>
            </w:pPr>
            <w:r w:rsidRPr="00D251F1">
              <w:rPr>
                <w:rFonts w:asciiTheme="majorBidi" w:hAnsiTheme="majorBidi" w:cstheme="majorBidi"/>
                <w:bCs/>
                <w:color w:val="000000" w:themeColor="text1"/>
                <w:lang w:val="ro-MD"/>
              </w:rPr>
              <w:t>„lot” înseamnă carnea care se încadrează la codurile din Nomenclatura combinată enumerate în anexa nr.10, obținută de la o singură specie, dezosată sau nu, tranșată sau tocată, care a fost tranșată, tocată sau ambalată în condiții, practic, identice.</w:t>
            </w:r>
          </w:p>
        </w:tc>
        <w:tc>
          <w:tcPr>
            <w:tcW w:w="1560" w:type="dxa"/>
          </w:tcPr>
          <w:p w14:paraId="3B7318A9" w14:textId="77777777" w:rsidR="00124743" w:rsidRPr="00CB18B2" w:rsidRDefault="00124743" w:rsidP="005E69C3">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275" w:type="dxa"/>
          </w:tcPr>
          <w:p w14:paraId="4985CE28" w14:textId="77777777" w:rsidR="00124743" w:rsidRPr="00CB18B2" w:rsidRDefault="00124743" w:rsidP="005E69C3">
            <w:pPr>
              <w:ind w:firstLine="0"/>
              <w:jc w:val="center"/>
              <w:rPr>
                <w:rFonts w:asciiTheme="majorBidi" w:hAnsiTheme="majorBidi" w:cstheme="majorBidi"/>
                <w:b/>
                <w:noProof/>
                <w:lang w:val="ro-RO"/>
              </w:rPr>
            </w:pPr>
          </w:p>
        </w:tc>
      </w:tr>
      <w:tr w:rsidR="008D5FB2" w:rsidRPr="00CA2BA8" w14:paraId="79B097F0" w14:textId="77777777" w:rsidTr="008D5FB2">
        <w:tblPrEx>
          <w:jc w:val="left"/>
        </w:tblPrEx>
        <w:tc>
          <w:tcPr>
            <w:tcW w:w="6374" w:type="dxa"/>
          </w:tcPr>
          <w:p w14:paraId="4DC4FB2B" w14:textId="77777777" w:rsidR="008D5FB2" w:rsidRPr="00537C69" w:rsidRDefault="008D5FB2" w:rsidP="00537C69">
            <w:pPr>
              <w:ind w:firstLine="0"/>
              <w:rPr>
                <w:rFonts w:asciiTheme="majorBidi" w:hAnsiTheme="majorBidi" w:cstheme="majorBidi"/>
                <w:i/>
                <w:iCs/>
                <w:lang w:val="ro-RO"/>
              </w:rPr>
            </w:pPr>
            <w:r w:rsidRPr="00537C69">
              <w:rPr>
                <w:rFonts w:asciiTheme="majorBidi" w:hAnsiTheme="majorBidi" w:cstheme="majorBidi" w:hint="eastAsia"/>
                <w:i/>
                <w:iCs/>
                <w:lang w:val="ro-RO"/>
              </w:rPr>
              <w:t>Articolul 3</w:t>
            </w:r>
          </w:p>
          <w:p w14:paraId="18E47BF6" w14:textId="77777777" w:rsidR="008D5FB2" w:rsidRPr="00537C69" w:rsidRDefault="008D5FB2" w:rsidP="00537C69">
            <w:pPr>
              <w:ind w:firstLine="0"/>
              <w:rPr>
                <w:rFonts w:asciiTheme="majorBidi" w:hAnsiTheme="majorBidi" w:cstheme="majorBidi"/>
                <w:b/>
                <w:bCs/>
                <w:iCs/>
                <w:lang w:val="ro-RO"/>
              </w:rPr>
            </w:pPr>
            <w:r w:rsidRPr="00537C69">
              <w:rPr>
                <w:rFonts w:asciiTheme="majorBidi" w:hAnsiTheme="majorBidi" w:cstheme="majorBidi" w:hint="eastAsia"/>
                <w:b/>
                <w:bCs/>
                <w:iCs/>
                <w:lang w:val="ro-RO"/>
              </w:rPr>
              <w:t>Trasabilitatea</w:t>
            </w:r>
          </w:p>
          <w:p w14:paraId="10744FF5" w14:textId="77777777" w:rsidR="008D5FB2" w:rsidRPr="00537C69" w:rsidRDefault="008D5FB2" w:rsidP="00537C69">
            <w:pPr>
              <w:ind w:firstLine="0"/>
              <w:rPr>
                <w:rFonts w:asciiTheme="majorBidi" w:hAnsiTheme="majorBidi" w:cstheme="majorBidi"/>
                <w:iCs/>
                <w:lang w:val="ro-RO"/>
              </w:rPr>
            </w:pPr>
            <w:r w:rsidRPr="00537C69">
              <w:rPr>
                <w:rFonts w:asciiTheme="majorBidi" w:hAnsiTheme="majorBidi" w:cstheme="majorBidi" w:hint="eastAsia"/>
                <w:iCs/>
                <w:lang w:val="ro-RO"/>
              </w:rPr>
              <w:t>(1)  Operatorii din sectorul alimentar, care își desfășoară activitatea în fiecare etapă de producție și de distribuție a cărnii menționate la articolul 1, dețin și utilizează un sistem de identificare și de înregistrare.</w:t>
            </w:r>
          </w:p>
          <w:p w14:paraId="592C1756" w14:textId="77777777" w:rsidR="008D5FB2" w:rsidRPr="00537C69" w:rsidRDefault="008D5FB2" w:rsidP="00537C69">
            <w:pPr>
              <w:ind w:firstLine="0"/>
              <w:rPr>
                <w:rFonts w:asciiTheme="majorBidi" w:hAnsiTheme="majorBidi" w:cstheme="majorBidi"/>
                <w:iCs/>
                <w:lang w:val="ro-RO"/>
              </w:rPr>
            </w:pPr>
            <w:r w:rsidRPr="00537C69">
              <w:rPr>
                <w:rFonts w:asciiTheme="majorBidi" w:hAnsiTheme="majorBidi" w:cstheme="majorBidi" w:hint="eastAsia"/>
                <w:iCs/>
                <w:lang w:val="ro-RO"/>
              </w:rPr>
              <w:t>(2)  Acest sistem se aplică în așa fel încât să se asigure:</w:t>
            </w:r>
          </w:p>
          <w:p w14:paraId="0B8813F7" w14:textId="77777777" w:rsidR="008D5FB2" w:rsidRPr="00537C69" w:rsidRDefault="008D5FB2" w:rsidP="00537C69">
            <w:pPr>
              <w:ind w:firstLine="0"/>
              <w:rPr>
                <w:rFonts w:asciiTheme="majorBidi" w:hAnsiTheme="majorBidi" w:cstheme="majorBidi"/>
                <w:iCs/>
                <w:lang w:val="ro-RO"/>
              </w:rPr>
            </w:pPr>
            <w:r w:rsidRPr="00537C69">
              <w:rPr>
                <w:rFonts w:asciiTheme="majorBidi" w:hAnsiTheme="majorBidi" w:cstheme="majorBidi" w:hint="eastAsia"/>
                <w:iCs/>
                <w:lang w:val="ro-RO"/>
              </w:rPr>
              <w:t>(a) legătura între carne și animalul sau grupul de animale de la care carnea a fost obținută, în etapa sacrificării păstrarea acestei legături fiind responsabilitatea abatorului; și</w:t>
            </w:r>
          </w:p>
          <w:p w14:paraId="7E729669" w14:textId="77777777" w:rsidR="008D5FB2" w:rsidRPr="00537C69" w:rsidRDefault="008D5FB2" w:rsidP="00537C69">
            <w:pPr>
              <w:ind w:firstLine="0"/>
              <w:rPr>
                <w:rFonts w:asciiTheme="majorBidi" w:hAnsiTheme="majorBidi" w:cstheme="majorBidi"/>
                <w:iCs/>
                <w:lang w:val="ro-RO"/>
              </w:rPr>
            </w:pPr>
            <w:r w:rsidRPr="00537C69">
              <w:rPr>
                <w:rFonts w:asciiTheme="majorBidi" w:hAnsiTheme="majorBidi" w:cstheme="majorBidi" w:hint="eastAsia"/>
                <w:iCs/>
                <w:lang w:val="ro-RO"/>
              </w:rPr>
              <w:t>(b) transmiterea informațiilor referitoare la indicațiile menționate la articolele 5, 6 sau 7, după caz, împreună cu carnea, către operatorii care își desfășoară activitatea în etapele ulterioare de producție și de distribuție.</w:t>
            </w:r>
          </w:p>
          <w:p w14:paraId="0D013661" w14:textId="77777777" w:rsidR="008D5FB2" w:rsidRPr="00537C69" w:rsidRDefault="008D5FB2" w:rsidP="00537C69">
            <w:pPr>
              <w:ind w:firstLine="0"/>
              <w:rPr>
                <w:rFonts w:asciiTheme="majorBidi" w:hAnsiTheme="majorBidi" w:cstheme="majorBidi"/>
                <w:iCs/>
                <w:lang w:val="ro-RO"/>
              </w:rPr>
            </w:pPr>
            <w:r w:rsidRPr="00537C69">
              <w:rPr>
                <w:rFonts w:asciiTheme="majorBidi" w:hAnsiTheme="majorBidi" w:cstheme="majorBidi" w:hint="eastAsia"/>
                <w:iCs/>
                <w:lang w:val="ro-RO"/>
              </w:rPr>
              <w:t>Fiecare operator din sectorul alimentar este responsabil de aplicarea sistemului de identificare și de înregistrare, astfel cum se prevede în primul paragraf, în etapa de producție și de distribuție în care își desfășoară activitatea.</w:t>
            </w:r>
          </w:p>
          <w:p w14:paraId="028FE103" w14:textId="77777777" w:rsidR="008D5FB2" w:rsidRPr="00537C69" w:rsidRDefault="008D5FB2" w:rsidP="00537C69">
            <w:pPr>
              <w:ind w:firstLine="0"/>
              <w:rPr>
                <w:rFonts w:asciiTheme="majorBidi" w:hAnsiTheme="majorBidi" w:cstheme="majorBidi"/>
                <w:iCs/>
                <w:lang w:val="ro-RO"/>
              </w:rPr>
            </w:pPr>
            <w:r w:rsidRPr="00537C69">
              <w:rPr>
                <w:rFonts w:asciiTheme="majorBidi" w:hAnsiTheme="majorBidi" w:cstheme="majorBidi" w:hint="eastAsia"/>
                <w:iCs/>
                <w:lang w:val="ro-RO"/>
              </w:rPr>
              <w:t>Operatorul din sectorul alimentar care ambalează sau etichetează carnea în conformitate cu articolele 5, 6 sau 7 asigură corespondența între codul de identificare a lotului de carne livrat consumatorilor sau unităților de restaurație colectivă și lotul sau loturile de carne corespunzătoare din care este constituit produsul ambalat sau lotul etichetat. Toate ambalajele care poartă același cod de identificare a lotului fac obiectul acelorași indicații în conformitate cu articolele 5, 6 sau 7.</w:t>
            </w:r>
          </w:p>
          <w:p w14:paraId="590A8EAB" w14:textId="1327EBD0" w:rsidR="008D5FB2" w:rsidRPr="00537C69" w:rsidRDefault="008D5FB2" w:rsidP="00647E07">
            <w:pPr>
              <w:ind w:firstLine="0"/>
              <w:rPr>
                <w:lang w:val="ro-RO"/>
              </w:rPr>
            </w:pPr>
            <w:r w:rsidRPr="00537C69">
              <w:rPr>
                <w:rFonts w:asciiTheme="majorBidi" w:hAnsiTheme="majorBidi" w:cstheme="majorBidi" w:hint="eastAsia"/>
                <w:iCs/>
                <w:lang w:val="ro-RO"/>
              </w:rPr>
              <w:t>(3)  </w:t>
            </w:r>
            <w:proofErr w:type="spellStart"/>
            <w:r w:rsidRPr="00537C69">
              <w:rPr>
                <w:rFonts w:asciiTheme="majorBidi" w:hAnsiTheme="majorBidi" w:cstheme="majorBidi" w:hint="eastAsia"/>
                <w:iCs/>
                <w:lang w:val="ro-RO"/>
              </w:rPr>
              <w:t>Sisși</w:t>
            </w:r>
            <w:proofErr w:type="spellEnd"/>
            <w:r w:rsidRPr="00537C69">
              <w:rPr>
                <w:rFonts w:asciiTheme="majorBidi" w:hAnsiTheme="majorBidi" w:cstheme="majorBidi" w:hint="eastAsia"/>
                <w:iCs/>
                <w:lang w:val="ro-RO"/>
              </w:rPr>
              <w:t xml:space="preserve"> plecarea animalelor, a carcaselor sau a bucăților, după caz, în/din unitatea operatorului din sectorul alimentar și asigură o corelație între sosiri și plecări.</w:t>
            </w:r>
          </w:p>
        </w:tc>
        <w:tc>
          <w:tcPr>
            <w:tcW w:w="6095" w:type="dxa"/>
          </w:tcPr>
          <w:p w14:paraId="247ED583" w14:textId="77777777" w:rsidR="008D5FB2" w:rsidRPr="00D251F1" w:rsidRDefault="008D5FB2" w:rsidP="000070A4">
            <w:pPr>
              <w:pStyle w:val="Listparagraf"/>
              <w:tabs>
                <w:tab w:val="left" w:pos="851"/>
              </w:tabs>
              <w:spacing w:line="276" w:lineRule="auto"/>
              <w:ind w:left="567" w:firstLine="0"/>
              <w:jc w:val="right"/>
              <w:rPr>
                <w:color w:val="000000" w:themeColor="text1"/>
                <w:lang w:val="ro-RO"/>
              </w:rPr>
            </w:pPr>
            <w:r w:rsidRPr="00D251F1">
              <w:rPr>
                <w:color w:val="000000" w:themeColor="text1"/>
                <w:lang w:val="ro-RO"/>
              </w:rPr>
              <w:t>”Anexa nr.16</w:t>
            </w:r>
          </w:p>
          <w:p w14:paraId="79A6EBCF" w14:textId="77777777" w:rsidR="008D5FB2" w:rsidRPr="00D251F1" w:rsidRDefault="008D5FB2" w:rsidP="002F1028">
            <w:pPr>
              <w:tabs>
                <w:tab w:val="left" w:pos="851"/>
              </w:tabs>
              <w:ind w:firstLine="0"/>
              <w:jc w:val="center"/>
              <w:rPr>
                <w:color w:val="000000" w:themeColor="text1"/>
                <w:lang w:val="ro-RO"/>
              </w:rPr>
            </w:pPr>
            <w:r w:rsidRPr="00D251F1">
              <w:rPr>
                <w:color w:val="000000" w:themeColor="text1"/>
                <w:lang w:val="ro-RO"/>
              </w:rPr>
              <w:t>INDICAREA ȚĂRILOR DE ORIGINE SAU A LOCULUI DE PROVENIENȚĂ</w:t>
            </w:r>
          </w:p>
          <w:p w14:paraId="13B157AB" w14:textId="77777777" w:rsidR="008D5FB2" w:rsidRPr="00D251F1" w:rsidRDefault="008D5FB2" w:rsidP="002F1028">
            <w:pPr>
              <w:tabs>
                <w:tab w:val="left" w:pos="851"/>
              </w:tabs>
              <w:ind w:firstLine="0"/>
              <w:jc w:val="center"/>
              <w:rPr>
                <w:color w:val="000000" w:themeColor="text1"/>
                <w:lang w:val="ro-RO"/>
              </w:rPr>
            </w:pPr>
            <w:r w:rsidRPr="00D251F1">
              <w:rPr>
                <w:color w:val="000000" w:themeColor="text1"/>
                <w:lang w:val="ro-RO"/>
              </w:rPr>
              <w:t>pentru carnea proaspătă, refrigerată sau congelată de animale din specia porcină, ovină, caprina și de păsări de curte</w:t>
            </w:r>
          </w:p>
          <w:p w14:paraId="157CEB27" w14:textId="77777777" w:rsidR="008D5FB2" w:rsidRPr="00D251F1" w:rsidRDefault="008D5FB2" w:rsidP="002F1028">
            <w:pPr>
              <w:tabs>
                <w:tab w:val="left" w:pos="851"/>
              </w:tabs>
              <w:ind w:firstLine="0"/>
              <w:jc w:val="center"/>
              <w:rPr>
                <w:color w:val="000000" w:themeColor="text1"/>
                <w:lang w:val="ro-RO"/>
              </w:rPr>
            </w:pPr>
          </w:p>
          <w:p w14:paraId="7455FB33" w14:textId="77777777" w:rsidR="008D5FB2" w:rsidRPr="00D251F1" w:rsidRDefault="008D5FB2" w:rsidP="002F1028">
            <w:pPr>
              <w:tabs>
                <w:tab w:val="left" w:pos="851"/>
              </w:tabs>
              <w:ind w:firstLine="0"/>
              <w:jc w:val="center"/>
              <w:rPr>
                <w:b/>
                <w:bCs/>
                <w:color w:val="000000" w:themeColor="text1"/>
                <w:lang w:val="ro-RO" w:eastAsia="ro-RO"/>
              </w:rPr>
            </w:pPr>
            <w:r w:rsidRPr="00D251F1">
              <w:rPr>
                <w:color w:val="000000" w:themeColor="text1"/>
                <w:lang w:val="ro-RO"/>
              </w:rPr>
              <w:t xml:space="preserve">Secțiunea 1-a </w:t>
            </w:r>
            <w:r w:rsidRPr="00D251F1">
              <w:rPr>
                <w:color w:val="000000" w:themeColor="text1"/>
                <w:lang w:val="ro-RO" w:eastAsia="ro-RO"/>
              </w:rPr>
              <w:t>Trasabilitate</w:t>
            </w:r>
          </w:p>
          <w:p w14:paraId="2192D109" w14:textId="77777777" w:rsidR="008D5FB2" w:rsidRPr="00D251F1" w:rsidRDefault="008D5FB2" w:rsidP="002F1028">
            <w:pPr>
              <w:shd w:val="clear" w:color="auto" w:fill="FFFFFF"/>
              <w:ind w:firstLine="0"/>
              <w:rPr>
                <w:color w:val="000000" w:themeColor="text1"/>
                <w:lang w:val="ro-RO" w:eastAsia="ro-RO"/>
              </w:rPr>
            </w:pPr>
            <w:r w:rsidRPr="00D251F1">
              <w:rPr>
                <w:color w:val="000000" w:themeColor="text1"/>
                <w:lang w:val="ro-RO" w:eastAsia="ro-RO"/>
              </w:rPr>
              <w:t>1. Operatorii din domeniul alimentar, care desfășoară activitatea în fiecare etapă de producție și de distribuție a cărnii proaspete, refrigerate și congelate de porc, cărnii de ovine sau caprine și cărnii de păsări de curte, dețin și utilizează un sistem de identificare și înregistrare.</w:t>
            </w:r>
          </w:p>
          <w:p w14:paraId="40745C96" w14:textId="77777777" w:rsidR="008D5FB2" w:rsidRPr="00D251F1" w:rsidRDefault="008D5FB2" w:rsidP="000070A4">
            <w:pPr>
              <w:ind w:firstLine="0"/>
              <w:rPr>
                <w:color w:val="000000" w:themeColor="text1"/>
                <w:lang w:val="ro-RO"/>
              </w:rPr>
            </w:pPr>
            <w:r w:rsidRPr="00D251F1">
              <w:rPr>
                <w:color w:val="000000" w:themeColor="text1"/>
                <w:lang w:val="ro-RO"/>
              </w:rPr>
              <w:t>2. Acest sistem se aplică în așa fel încât să se asigure:</w:t>
            </w:r>
          </w:p>
          <w:p w14:paraId="4B10BE3C" w14:textId="77777777" w:rsidR="008D5FB2" w:rsidRPr="00D251F1" w:rsidRDefault="008D5FB2" w:rsidP="000070A4">
            <w:pPr>
              <w:ind w:firstLine="0"/>
              <w:rPr>
                <w:color w:val="000000" w:themeColor="text1"/>
                <w:lang w:val="ro-RO"/>
              </w:rPr>
            </w:pPr>
            <w:r w:rsidRPr="00D251F1">
              <w:rPr>
                <w:color w:val="000000" w:themeColor="text1"/>
                <w:lang w:val="ro-RO"/>
              </w:rPr>
              <w:t>2.1 legătura dintre carne și animalul sau grupul de animale de la care a fost obținută, în etapa de sacrificare această legătură fiind responsabilitatea abatorului; și</w:t>
            </w:r>
          </w:p>
          <w:p w14:paraId="5C5ED22C" w14:textId="77777777" w:rsidR="008D5FB2" w:rsidRPr="00D251F1" w:rsidRDefault="008D5FB2" w:rsidP="000070A4">
            <w:pPr>
              <w:ind w:firstLine="0"/>
              <w:rPr>
                <w:color w:val="000000" w:themeColor="text1"/>
                <w:lang w:val="ro-RO"/>
              </w:rPr>
            </w:pPr>
            <w:r w:rsidRPr="00D251F1">
              <w:rPr>
                <w:color w:val="000000" w:themeColor="text1"/>
                <w:lang w:val="ro-RO"/>
              </w:rPr>
              <w:t>2.2 transmiterea informațiilor referitoare la indicațiile menționate la pct.9-14 sau pct.15, după caz, împreună cu carnea, către operatorii care desfășoară activitatea în etapele ulterioare de producție și de distribuție.</w:t>
            </w:r>
          </w:p>
          <w:p w14:paraId="3CB1BBAD" w14:textId="77777777" w:rsidR="008D5FB2" w:rsidRPr="00D251F1" w:rsidRDefault="008D5FB2" w:rsidP="000070A4">
            <w:pPr>
              <w:ind w:firstLine="0"/>
              <w:rPr>
                <w:color w:val="000000" w:themeColor="text1"/>
                <w:lang w:val="ro-RO"/>
              </w:rPr>
            </w:pPr>
            <w:r w:rsidRPr="00D251F1">
              <w:rPr>
                <w:color w:val="000000" w:themeColor="text1"/>
                <w:lang w:val="ro-RO"/>
              </w:rPr>
              <w:t>3. Fiecare operator din domeniul alimentar este responsabil de aplicarea sistemului de identificare și înregistrare, astfel cum se prevede pct.1, în etapa de distribuție în care se desfășoară activitatea.</w:t>
            </w:r>
          </w:p>
          <w:p w14:paraId="09799F96" w14:textId="77777777" w:rsidR="008D5FB2" w:rsidRPr="00D251F1" w:rsidRDefault="008D5FB2" w:rsidP="000070A4">
            <w:pPr>
              <w:ind w:firstLine="0"/>
              <w:rPr>
                <w:color w:val="000000" w:themeColor="text1"/>
                <w:lang w:val="ro-RO"/>
              </w:rPr>
            </w:pPr>
            <w:r w:rsidRPr="00D251F1">
              <w:rPr>
                <w:color w:val="000000" w:themeColor="text1"/>
                <w:lang w:val="ro-RO"/>
              </w:rPr>
              <w:t>4. Operatorul din domeniul alimentar care ambalează sau etichetează carnea în conformitate cu pct.9-14 sau pct.15asigură corespondența codului de identificare a lotului de carne livrat consumatorilor sau unităților de restaurație colectivă și lotul sau loturile de carne cauzate din care este constituit produs ambalat între articole sau lotul etichetat. Toate ambalajele care poartă același cod de identificare a lotului fac obiectul acelorași indicații în conformitate cu pct.9-14 sau pct.15.</w:t>
            </w:r>
          </w:p>
          <w:p w14:paraId="4C817B84" w14:textId="7A59B424" w:rsidR="008D5FB2" w:rsidRPr="00D251F1" w:rsidRDefault="008D5FB2" w:rsidP="002F1028">
            <w:pPr>
              <w:ind w:firstLine="0"/>
              <w:rPr>
                <w:rFonts w:asciiTheme="majorBidi" w:hAnsiTheme="majorBidi" w:cstheme="majorBidi"/>
                <w:color w:val="000000" w:themeColor="text1"/>
                <w:lang w:val="ro-RO"/>
              </w:rPr>
            </w:pPr>
            <w:r w:rsidRPr="00D251F1">
              <w:rPr>
                <w:color w:val="000000" w:themeColor="text1"/>
                <w:lang w:val="ro-RO"/>
              </w:rPr>
              <w:lastRenderedPageBreak/>
              <w:t>5. Sistemul menționat la pct.1 înregistrează, în special, sosirea și plecarea animalelor, a carcaselor sau a bucăților, după caz, în/din unitatea operatorului din domeniul alimentar și asigurări o corelație între sosiri și plecări.</w:t>
            </w:r>
          </w:p>
        </w:tc>
        <w:tc>
          <w:tcPr>
            <w:tcW w:w="1560" w:type="dxa"/>
          </w:tcPr>
          <w:p w14:paraId="1E6C4F12" w14:textId="77777777" w:rsidR="008D5FB2" w:rsidRPr="00CB18B2" w:rsidRDefault="008D5FB2" w:rsidP="00403AE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275" w:type="dxa"/>
          </w:tcPr>
          <w:p w14:paraId="3C223065" w14:textId="77777777" w:rsidR="008D5FB2" w:rsidRPr="00CB18B2" w:rsidRDefault="008D5FB2" w:rsidP="00403AE7">
            <w:pPr>
              <w:ind w:firstLine="0"/>
              <w:jc w:val="center"/>
              <w:rPr>
                <w:rFonts w:asciiTheme="majorBidi" w:hAnsiTheme="majorBidi" w:cstheme="majorBidi"/>
                <w:b/>
                <w:noProof/>
                <w:lang w:val="ro-RO"/>
              </w:rPr>
            </w:pPr>
          </w:p>
        </w:tc>
      </w:tr>
      <w:tr w:rsidR="008D5FB2" w:rsidRPr="00CA2BA8" w14:paraId="29F08E36" w14:textId="77777777" w:rsidTr="008D5FB2">
        <w:tblPrEx>
          <w:jc w:val="left"/>
        </w:tblPrEx>
        <w:tc>
          <w:tcPr>
            <w:tcW w:w="6374" w:type="dxa"/>
          </w:tcPr>
          <w:p w14:paraId="58CB0800" w14:textId="77777777" w:rsidR="008D5FB2" w:rsidRPr="009B1578" w:rsidRDefault="008D5FB2" w:rsidP="00DB2653">
            <w:pPr>
              <w:pStyle w:val="Normal1"/>
              <w:spacing w:before="0" w:beforeAutospacing="0" w:after="0" w:afterAutospacing="0" w:line="276" w:lineRule="auto"/>
              <w:jc w:val="both"/>
              <w:rPr>
                <w:i/>
                <w:iCs/>
                <w:sz w:val="20"/>
                <w:szCs w:val="20"/>
                <w:lang w:val="ro-RO"/>
              </w:rPr>
            </w:pPr>
            <w:r w:rsidRPr="009B1578">
              <w:rPr>
                <w:rFonts w:hint="eastAsia"/>
                <w:i/>
                <w:iCs/>
                <w:sz w:val="20"/>
                <w:szCs w:val="20"/>
                <w:lang w:val="ro-RO"/>
              </w:rPr>
              <w:t>Articolul 4</w:t>
            </w:r>
          </w:p>
          <w:p w14:paraId="7FFEC8BB" w14:textId="77777777" w:rsidR="008D5FB2" w:rsidRPr="009B1578" w:rsidRDefault="008D5FB2" w:rsidP="00DB2653">
            <w:pPr>
              <w:pStyle w:val="Normal1"/>
              <w:spacing w:before="0" w:beforeAutospacing="0" w:after="0" w:afterAutospacing="0" w:line="276" w:lineRule="auto"/>
              <w:jc w:val="both"/>
              <w:rPr>
                <w:b/>
                <w:bCs/>
                <w:sz w:val="20"/>
                <w:szCs w:val="20"/>
                <w:lang w:val="ro-RO"/>
              </w:rPr>
            </w:pPr>
            <w:r w:rsidRPr="009B1578">
              <w:rPr>
                <w:rFonts w:hint="eastAsia"/>
                <w:b/>
                <w:bCs/>
                <w:sz w:val="20"/>
                <w:szCs w:val="20"/>
                <w:lang w:val="ro-RO"/>
              </w:rPr>
              <w:t>Grupul de animale</w:t>
            </w:r>
          </w:p>
          <w:p w14:paraId="6C679AE1" w14:textId="77777777" w:rsidR="008D5FB2" w:rsidRPr="009B1578" w:rsidRDefault="008D5FB2" w:rsidP="00DB2653">
            <w:pPr>
              <w:pStyle w:val="Normal1"/>
              <w:spacing w:before="0" w:beforeAutospacing="0" w:after="0" w:afterAutospacing="0" w:line="276" w:lineRule="auto"/>
              <w:jc w:val="both"/>
              <w:rPr>
                <w:sz w:val="20"/>
                <w:szCs w:val="20"/>
                <w:lang w:val="ro-RO"/>
              </w:rPr>
            </w:pPr>
            <w:r w:rsidRPr="009B1578">
              <w:rPr>
                <w:rFonts w:hint="eastAsia"/>
                <w:sz w:val="20"/>
                <w:szCs w:val="20"/>
                <w:lang w:val="ro-RO"/>
              </w:rPr>
              <w:t>(1)  Dimensiunea grupului de animale menționat la articolul 3 se definește prin:</w:t>
            </w:r>
          </w:p>
          <w:p w14:paraId="5DAD87C6" w14:textId="77777777" w:rsidR="008D5FB2" w:rsidRPr="009B1578" w:rsidRDefault="008D5FB2" w:rsidP="00DB2653">
            <w:pPr>
              <w:pStyle w:val="Normal1"/>
              <w:spacing w:before="0" w:beforeAutospacing="0" w:after="0" w:afterAutospacing="0" w:line="276" w:lineRule="auto"/>
              <w:jc w:val="both"/>
              <w:rPr>
                <w:sz w:val="20"/>
                <w:szCs w:val="20"/>
                <w:lang w:val="ro-RO"/>
              </w:rPr>
            </w:pPr>
            <w:r w:rsidRPr="009B1578">
              <w:rPr>
                <w:rFonts w:hint="eastAsia"/>
                <w:sz w:val="20"/>
                <w:szCs w:val="20"/>
                <w:lang w:val="ro-RO"/>
              </w:rPr>
              <w:t>(a) numărul de carcase tranșate împreună care constituie un lot pentru unitatea de tranșare respectivă, în cazul tranșării carcaselor;</w:t>
            </w:r>
          </w:p>
          <w:p w14:paraId="653E8F45" w14:textId="77777777" w:rsidR="008D5FB2" w:rsidRPr="009B1578" w:rsidRDefault="008D5FB2" w:rsidP="00DB2653">
            <w:pPr>
              <w:pStyle w:val="Normal1"/>
              <w:spacing w:before="0" w:beforeAutospacing="0" w:after="0" w:afterAutospacing="0" w:line="276" w:lineRule="auto"/>
              <w:jc w:val="both"/>
              <w:rPr>
                <w:sz w:val="20"/>
                <w:szCs w:val="20"/>
                <w:lang w:val="ro-RO"/>
              </w:rPr>
            </w:pPr>
            <w:r w:rsidRPr="009B1578">
              <w:rPr>
                <w:rFonts w:hint="eastAsia"/>
                <w:sz w:val="20"/>
                <w:szCs w:val="20"/>
                <w:lang w:val="ro-RO"/>
              </w:rPr>
              <w:t>(b) numărul de carcase a căror carne constituie un singur lot pentru unitatea de tranșare sau tocare respectivă, în cazul tranșării sau al tocării ulterioare.</w:t>
            </w:r>
          </w:p>
          <w:p w14:paraId="2C0B29D4" w14:textId="77777777" w:rsidR="008D5FB2" w:rsidRPr="009B1578" w:rsidRDefault="008D5FB2" w:rsidP="00DB2653">
            <w:pPr>
              <w:pStyle w:val="Normal1"/>
              <w:spacing w:before="0" w:beforeAutospacing="0" w:after="0" w:afterAutospacing="0" w:line="276" w:lineRule="auto"/>
              <w:jc w:val="both"/>
              <w:rPr>
                <w:sz w:val="20"/>
                <w:szCs w:val="20"/>
                <w:lang w:val="ro-RO"/>
              </w:rPr>
            </w:pPr>
            <w:r w:rsidRPr="009B1578">
              <w:rPr>
                <w:rFonts w:hint="eastAsia"/>
                <w:sz w:val="20"/>
                <w:szCs w:val="20"/>
                <w:lang w:val="ro-RO"/>
              </w:rPr>
              <w:t>(2)  Dimensiunea unui lot nu trebuie să depășească producția de o zi din aceeași unitate.</w:t>
            </w:r>
          </w:p>
          <w:p w14:paraId="3FE5A846" w14:textId="06C5382B" w:rsidR="008D5FB2" w:rsidRPr="009B1578" w:rsidRDefault="008D5FB2" w:rsidP="00DB2653">
            <w:pPr>
              <w:pStyle w:val="Normal1"/>
              <w:spacing w:before="0" w:beforeAutospacing="0" w:after="0" w:afterAutospacing="0" w:line="276" w:lineRule="auto"/>
              <w:jc w:val="both"/>
              <w:rPr>
                <w:sz w:val="20"/>
                <w:szCs w:val="20"/>
                <w:lang w:val="ro-RO"/>
              </w:rPr>
            </w:pPr>
            <w:r w:rsidRPr="009B1578">
              <w:rPr>
                <w:rFonts w:hint="eastAsia"/>
                <w:sz w:val="20"/>
                <w:szCs w:val="20"/>
                <w:lang w:val="ro-RO"/>
              </w:rPr>
              <w:t>(3)  Cu excepția cazului în care se aplică articolul 7, la alcătuirea de loturi, unitățile în care carnea este tranșată sau tocată se asigură că toate carcasele dintr-un lot corespund unor animale pentru a căror carne se aplică indicații de etichetare identice, în conformitate cu articolul 5 alineatul (1) sau cu articolul 5 alineatul (2).</w:t>
            </w:r>
          </w:p>
        </w:tc>
        <w:tc>
          <w:tcPr>
            <w:tcW w:w="6095" w:type="dxa"/>
          </w:tcPr>
          <w:p w14:paraId="05EB2088" w14:textId="77777777" w:rsidR="008D5FB2" w:rsidRPr="002F1028" w:rsidRDefault="008D5FB2" w:rsidP="002F1028">
            <w:pPr>
              <w:ind w:firstLine="0"/>
              <w:rPr>
                <w:rFonts w:asciiTheme="majorBidi" w:hAnsiTheme="majorBidi" w:cstheme="majorBidi"/>
                <w:lang w:val="ro-RO"/>
              </w:rPr>
            </w:pPr>
            <w:r w:rsidRPr="002F1028">
              <w:rPr>
                <w:rFonts w:asciiTheme="majorBidi" w:hAnsiTheme="majorBidi" w:cstheme="majorBidi"/>
                <w:lang w:val="ro-RO"/>
              </w:rPr>
              <w:t>Secțiunea 2 Grup de animale</w:t>
            </w:r>
          </w:p>
          <w:p w14:paraId="284BC54B" w14:textId="77777777" w:rsidR="008D5FB2" w:rsidRPr="002F1028" w:rsidRDefault="008D5FB2" w:rsidP="002F1028">
            <w:pPr>
              <w:ind w:firstLine="0"/>
              <w:rPr>
                <w:rFonts w:asciiTheme="majorBidi" w:hAnsiTheme="majorBidi" w:cstheme="majorBidi"/>
                <w:lang w:val="ro-RO"/>
              </w:rPr>
            </w:pPr>
            <w:r w:rsidRPr="002F1028">
              <w:rPr>
                <w:rFonts w:asciiTheme="majorBidi" w:hAnsiTheme="majorBidi" w:cstheme="majorBidi"/>
                <w:lang w:val="ro-RO"/>
              </w:rPr>
              <w:t>6. Dimensiunea grupului de animale menționată la subpct.2.1 se definește prin:</w:t>
            </w:r>
          </w:p>
          <w:p w14:paraId="7DDC9773" w14:textId="77777777" w:rsidR="008D5FB2" w:rsidRPr="002F1028" w:rsidRDefault="008D5FB2" w:rsidP="002F1028">
            <w:pPr>
              <w:ind w:firstLine="0"/>
              <w:rPr>
                <w:rFonts w:asciiTheme="majorBidi" w:hAnsiTheme="majorBidi" w:cstheme="majorBidi"/>
                <w:lang w:val="ro-RO"/>
              </w:rPr>
            </w:pPr>
            <w:r w:rsidRPr="002F1028">
              <w:rPr>
                <w:rFonts w:asciiTheme="majorBidi" w:hAnsiTheme="majorBidi" w:cstheme="majorBidi"/>
                <w:lang w:val="ro-RO"/>
              </w:rPr>
              <w:t>6.1 numărul de carcase tranșate împreună și care constituie un lot pentru unitatea de tranșare în cauză, în cazul tranșării carcaselor;</w:t>
            </w:r>
          </w:p>
          <w:p w14:paraId="12AB0261" w14:textId="77777777" w:rsidR="008D5FB2" w:rsidRPr="002F1028" w:rsidRDefault="008D5FB2" w:rsidP="002F1028">
            <w:pPr>
              <w:ind w:firstLine="0"/>
              <w:rPr>
                <w:rFonts w:asciiTheme="majorBidi" w:hAnsiTheme="majorBidi" w:cstheme="majorBidi"/>
                <w:lang w:val="ro-RO"/>
              </w:rPr>
            </w:pPr>
            <w:r w:rsidRPr="002F1028">
              <w:rPr>
                <w:rFonts w:asciiTheme="majorBidi" w:hAnsiTheme="majorBidi" w:cstheme="majorBidi"/>
                <w:lang w:val="ro-RO"/>
              </w:rPr>
              <w:t>6.2 numărul de carcase a căror carne constituie un lot pentru unitatea de tranșare sau tocare în cauză, în cazul unei tranșări sau tocări ulterioare.</w:t>
            </w:r>
          </w:p>
          <w:p w14:paraId="4586F06C" w14:textId="77777777" w:rsidR="008D5FB2" w:rsidRPr="002F1028" w:rsidRDefault="008D5FB2" w:rsidP="002F1028">
            <w:pPr>
              <w:ind w:firstLine="0"/>
              <w:rPr>
                <w:rFonts w:asciiTheme="majorBidi" w:hAnsiTheme="majorBidi" w:cstheme="majorBidi"/>
                <w:lang w:val="ro-RO"/>
              </w:rPr>
            </w:pPr>
            <w:r w:rsidRPr="002F1028">
              <w:rPr>
                <w:rFonts w:asciiTheme="majorBidi" w:hAnsiTheme="majorBidi" w:cstheme="majorBidi"/>
                <w:lang w:val="ro-RO"/>
              </w:rPr>
              <w:t>7. Dimensiunea unui lot nu trebuie să depășească producția de o zi din aceeași unitate.</w:t>
            </w:r>
          </w:p>
          <w:p w14:paraId="58EF37D8" w14:textId="64C22704" w:rsidR="008D5FB2" w:rsidRPr="00952766" w:rsidRDefault="008D5FB2" w:rsidP="002F1028">
            <w:pPr>
              <w:ind w:firstLine="0"/>
              <w:rPr>
                <w:rFonts w:asciiTheme="majorBidi" w:hAnsiTheme="majorBidi" w:cstheme="majorBidi"/>
                <w:lang w:val="ro-RO"/>
              </w:rPr>
            </w:pPr>
            <w:r w:rsidRPr="002F1028">
              <w:rPr>
                <w:rFonts w:asciiTheme="majorBidi" w:hAnsiTheme="majorBidi" w:cstheme="majorBidi"/>
                <w:lang w:val="ro-RO"/>
              </w:rPr>
              <w:t>8 Cu excepția cazului în care se aplică pct.15, la alcătuirea de loturi, unitățile în care carnea este tranșată sau tocată se asigură că toate carcasele dintr-un lot corespund unor articole animale pentru a căror carne se aplică indicații de etichetare identice, în conformitate cu pct.9 -12.</w:t>
            </w:r>
          </w:p>
        </w:tc>
        <w:tc>
          <w:tcPr>
            <w:tcW w:w="1560" w:type="dxa"/>
          </w:tcPr>
          <w:p w14:paraId="6C3E3CAC" w14:textId="77777777" w:rsidR="008D5FB2" w:rsidRPr="00CB18B2" w:rsidRDefault="008D5FB2" w:rsidP="009A61EA">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275" w:type="dxa"/>
          </w:tcPr>
          <w:p w14:paraId="2AAA7F35" w14:textId="77777777" w:rsidR="008D5FB2" w:rsidRPr="00CB18B2" w:rsidRDefault="008D5FB2" w:rsidP="009A61EA">
            <w:pPr>
              <w:ind w:firstLine="0"/>
              <w:jc w:val="center"/>
              <w:rPr>
                <w:rFonts w:asciiTheme="majorBidi" w:hAnsiTheme="majorBidi" w:cstheme="majorBidi"/>
                <w:b/>
                <w:noProof/>
                <w:lang w:val="ro-RO"/>
              </w:rPr>
            </w:pPr>
          </w:p>
        </w:tc>
      </w:tr>
      <w:tr w:rsidR="008D5FB2" w:rsidRPr="00612910" w14:paraId="281BD57D" w14:textId="77777777" w:rsidTr="008D5FB2">
        <w:tblPrEx>
          <w:jc w:val="left"/>
        </w:tblPrEx>
        <w:tc>
          <w:tcPr>
            <w:tcW w:w="6374" w:type="dxa"/>
          </w:tcPr>
          <w:p w14:paraId="65D99A29" w14:textId="77777777" w:rsidR="008D5FB2" w:rsidRPr="00612910" w:rsidRDefault="008D5FB2" w:rsidP="00816E2D">
            <w:pPr>
              <w:pStyle w:val="Normal1"/>
              <w:shd w:val="clear" w:color="auto" w:fill="FFFFFF"/>
              <w:spacing w:before="0" w:beforeAutospacing="0" w:after="0" w:afterAutospacing="0"/>
              <w:jc w:val="both"/>
              <w:rPr>
                <w:i/>
                <w:sz w:val="20"/>
                <w:szCs w:val="20"/>
                <w:lang w:val="ro-MD"/>
              </w:rPr>
            </w:pPr>
            <w:r w:rsidRPr="00612910">
              <w:rPr>
                <w:i/>
                <w:sz w:val="20"/>
                <w:szCs w:val="20"/>
                <w:lang w:val="ro-MD"/>
              </w:rPr>
              <w:t>Articolul 5</w:t>
            </w:r>
          </w:p>
          <w:p w14:paraId="4AECC453" w14:textId="77777777" w:rsidR="008D5FB2" w:rsidRPr="00612910" w:rsidRDefault="008D5FB2" w:rsidP="00816E2D">
            <w:pPr>
              <w:pStyle w:val="Normal1"/>
              <w:shd w:val="clear" w:color="auto" w:fill="FFFFFF"/>
              <w:spacing w:before="0" w:beforeAutospacing="0" w:after="0" w:afterAutospacing="0"/>
              <w:jc w:val="both"/>
              <w:rPr>
                <w:b/>
                <w:bCs/>
                <w:iCs/>
                <w:sz w:val="20"/>
                <w:szCs w:val="20"/>
                <w:lang w:val="ro-MD"/>
              </w:rPr>
            </w:pPr>
            <w:r w:rsidRPr="00612910">
              <w:rPr>
                <w:b/>
                <w:bCs/>
                <w:iCs/>
                <w:sz w:val="20"/>
                <w:szCs w:val="20"/>
                <w:lang w:val="ro-MD"/>
              </w:rPr>
              <w:t>Etichetarea cărnii</w:t>
            </w:r>
          </w:p>
          <w:p w14:paraId="78348D46"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p>
          <w:p w14:paraId="131CB091"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(1)  Eticheta cărnii menționate la articolul 1 destinată să fie furnizată consumatorilor finali sau unităților de restaurație colectivă trebuie să conțină următoarele indicații:</w:t>
            </w:r>
          </w:p>
          <w:p w14:paraId="12D1CAAB"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(a) statul membru sau țara terță în care a fost crescut animalul, indicat(ă) sub forma „crescut în: (numele statului membru sau al țării terțe)”, în conformitate cu următoarele criterii:</w:t>
            </w:r>
          </w:p>
          <w:p w14:paraId="0B35127A"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(i) pentru porcine:</w:t>
            </w:r>
          </w:p>
          <w:p w14:paraId="776A375D"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 în cazul în care animalul sacrificat este în vârstă de peste 6 luni, statul membru sau țara terță în care a avut loc ultima perioadă de creștere de cel puțin patru luni;</w:t>
            </w:r>
          </w:p>
          <w:p w14:paraId="2A3EF49B"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 în cazul în care animalul sacrificat este în vârstă de sub 6 luni și are o greutate în viu de cel puțin 80 de kilograme, statul membru sau țara terță în care a avut loc perioada de creștere ulterioară momentului în care animalul a atins greutatea de 30 de kilograme;</w:t>
            </w:r>
          </w:p>
          <w:p w14:paraId="01B4D2A1"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lastRenderedPageBreak/>
              <w:t>— în cazul în care animalul sacrificat este în vârstă de sub 6 luni și are o greutate în viu de sub 80 de kilograme, statul membru sau țara terță în care a avut loc întreaga perioadă de creștere;</w:t>
            </w:r>
          </w:p>
          <w:p w14:paraId="7426700C"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(ii) pentru ovine și caprine: statul membru sau țara terță în care a avut loc ultima perioadă de creștere de cel puțin șase luni sau, în cazul în care animalul sacrificat este în vârstă de sub șase luni, statul membru sau țara terță în care a avut loc întreaga perioadă de creștere;</w:t>
            </w:r>
          </w:p>
          <w:p w14:paraId="42BA084E"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(iii) pentru păsări de curte: statul membru sau țara terță în care a avut loc ultima perioadă de creștere de cel puțin o lună sau, în cazul în care pasărea sacrificată este în vârstă de sub o lună, statul membru sau țara terță în care a avut loc întreaga perioadă de creștere ulterioară momentului în care pasărea a fost pusă la îngrășare;</w:t>
            </w:r>
          </w:p>
          <w:p w14:paraId="4969BCE4"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(b) statul membru sau țara terță în care a avut loc sacrificarea, sub forma „sacrificat în: (numele statului membru sau al țării terțe)”; și</w:t>
            </w:r>
          </w:p>
          <w:p w14:paraId="6EF0F2CA"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(c) codul de identificare a lotului prin care se identifică carnea furnizată consumatorilor sau unităților de restaurație colectivă.</w:t>
            </w:r>
          </w:p>
          <w:p w14:paraId="6F3F7E46" w14:textId="007BA3D4"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▼C1</w:t>
            </w:r>
          </w:p>
          <w:p w14:paraId="29D392E8"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În cazul în care perioada de creștere menționată la litera (a) nu este realizată în niciunul dintre statele membre sau în niciuna dintre țările terțe în care a fost crescut animalul, mențiunea prevăzută la litera (a) se înlocuiește cu mențiunea „crescut în: mai multe state membre ale UE” sau, în cazul în care carnea sau animalele au fost importate în Uniune, cu mențiunea „crescut în: mai multe țări din afara UE” sau „crescut în: mai multe state membre ale UE și țări din afara UE”.</w:t>
            </w:r>
          </w:p>
          <w:p w14:paraId="04F2FC5A"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▼B</w:t>
            </w:r>
          </w:p>
          <w:p w14:paraId="209F0043"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Cu toate acestea, în cazul în care perioada de creștere menționată la litera (a) nu este realizată în niciunul dintre statele membre sau în niciuna dintre țările terțe în care a fost crescut animalul, mențiunea prevăzută la litera (a) se poate înlocui cu mențiunea „crescut în: (lista statelor membre sau a țărilor terțe în care animalul a fost crescut)”, în cazul în care operatorul din sectorul alimentar furnizează autorității competente dovezi satisfăcătoare, care atestă faptul că animalul a fost crescut în statele membre sau în țările terțe respective.</w:t>
            </w:r>
          </w:p>
          <w:p w14:paraId="56E897D5"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(2)  Mențiunile prevăzute la alineatul (1) literele (a) și (b) pot fi înlocuite cu mențiunea „origine: (numele statului membru sau al țării terțe)”, în cazul în care operatorul din sectorul alimentar furnizează autorității competente dovezi satisfăcătoare, care atestă faptul că carnea menționată la articolul 1 a fost obținută de la animale născute, crescute și sacrificate într-un singur stat membru sau într-o singură țară terță.</w:t>
            </w:r>
          </w:p>
          <w:p w14:paraId="3D9C0B69"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lastRenderedPageBreak/>
              <w:t>(3)  În cazul în care mai multor bucăți de carne, din aceeași specie sau din specii diferite, le corespund indicații de etichetare diferite în conformitate cu alineatele (1) și (2) și sunt prezentate în același ambalaj consumatorilor sau unităților de restaurație colectivă, eticheta trebuie să indice:</w:t>
            </w:r>
          </w:p>
          <w:p w14:paraId="7C5ECD51" w14:textId="77777777"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(a) lista statelor membre sau a țărilor terțe în cauză, în conformitate cu alineatele (1) sau (2), pentru fiecare specie;</w:t>
            </w:r>
          </w:p>
          <w:p w14:paraId="020BEBE8" w14:textId="45DBD740" w:rsidR="008D5FB2" w:rsidRPr="00612910" w:rsidRDefault="008D5FB2" w:rsidP="00816E2D">
            <w:pPr>
              <w:pStyle w:val="Normal1"/>
              <w:shd w:val="clear" w:color="auto" w:fill="FFFFFF"/>
              <w:spacing w:before="0" w:beforeAutospacing="0" w:after="0" w:afterAutospacing="0"/>
              <w:jc w:val="both"/>
              <w:rPr>
                <w:iCs/>
                <w:sz w:val="20"/>
                <w:szCs w:val="20"/>
                <w:lang w:val="ro-MD"/>
              </w:rPr>
            </w:pPr>
            <w:r w:rsidRPr="00612910">
              <w:rPr>
                <w:iCs/>
                <w:sz w:val="20"/>
                <w:szCs w:val="20"/>
                <w:lang w:val="ro-MD"/>
              </w:rPr>
              <w:t>(b) codul de identificare a lotului prin care se identifică carnea furnizată consumatorilor sau unităților de restaurație colectivă.</w:t>
            </w:r>
          </w:p>
        </w:tc>
        <w:tc>
          <w:tcPr>
            <w:tcW w:w="6095" w:type="dxa"/>
          </w:tcPr>
          <w:p w14:paraId="218280E9" w14:textId="77777777" w:rsidR="008D5FB2" w:rsidRPr="00493316" w:rsidRDefault="008D5FB2" w:rsidP="00816E2D">
            <w:pPr>
              <w:ind w:firstLine="0"/>
              <w:rPr>
                <w:rFonts w:asciiTheme="majorBidi" w:hAnsiTheme="majorBidi" w:cstheme="majorBidi"/>
                <w:iCs/>
                <w:lang w:val="ro-MD"/>
              </w:rPr>
            </w:pPr>
            <w:r w:rsidRPr="00493316">
              <w:rPr>
                <w:rFonts w:asciiTheme="majorBidi" w:hAnsiTheme="majorBidi" w:cstheme="majorBidi"/>
                <w:iCs/>
                <w:lang w:val="ro-MD"/>
              </w:rPr>
              <w:lastRenderedPageBreak/>
              <w:t>Secțiunea 3 Etichetarea cărnii</w:t>
            </w:r>
          </w:p>
          <w:p w14:paraId="5645C05A"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 Eticheta cărnii menționate la articolul 1 destinat să fie furnizate consumatorilor finali sau unități de restaurație colectivă trebuie să conțină următoarele indicații:</w:t>
            </w:r>
          </w:p>
          <w:p w14:paraId="4CF13122"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9.1 statul membru al UE sau țara în care a avut loc creșterea, indicată ca „Crescut în: (numele statului membru al UE sau al țării)”, în conformitate cu următoarele criterii:</w:t>
            </w:r>
          </w:p>
          <w:p w14:paraId="5BF6C988"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9.1.1 pentru porcine:</w:t>
            </w:r>
          </w:p>
          <w:p w14:paraId="259E3AA1"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9.1.1.1 în cazul în care animalul este sacrificat la o vârstă mai mare de 6 luni, statul membru UE sau țara în care a avut loc ultima perioadă de creștere de cel puțin 4 luni;</w:t>
            </w:r>
          </w:p>
          <w:p w14:paraId="423BEC42"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9.1.1.2 în cazul în care animalul este sacrificat la o vârstă mai mică de 6 luni și are o greutate vie de cel puțin 80 de kilograme, statul membru al UE sau țara în care a avut loc perioada de creștere după ce animalul a atins 30 de kilograme;</w:t>
            </w:r>
          </w:p>
          <w:p w14:paraId="0FE37B8B"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lastRenderedPageBreak/>
              <w:t>9.1.1.3 în cazul în care animalul este sacrificat la o vârstă mai mică de 6 luni și are o greutate vie mai mică de 80 de kilograme, statul sau țara în care a avut loc întreaga perioadă de creștere;</w:t>
            </w:r>
          </w:p>
          <w:p w14:paraId="250735A0" w14:textId="77777777" w:rsidR="00B17614" w:rsidRP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9.1.2 pentru ovine și caprine: statul membru al UE sau țara în care a avut loc ultima perioadă de creștere de cel puțin 6 luni sau, în cazul în care animalul este sacrificat la o vârstă mai mică de 6 luni, statul membru al UE sau țara în care a avut loc întreaga perioadă de creștere;</w:t>
            </w:r>
          </w:p>
          <w:p w14:paraId="722132D0" w14:textId="77777777" w:rsidR="00B17614" w:rsidRDefault="00B17614" w:rsidP="00B17614">
            <w:pPr>
              <w:ind w:firstLine="0"/>
              <w:rPr>
                <w:rFonts w:asciiTheme="majorBidi" w:hAnsiTheme="majorBidi" w:cstheme="majorBidi"/>
                <w:iCs/>
                <w:lang w:val="ro-MD"/>
              </w:rPr>
            </w:pPr>
            <w:r w:rsidRPr="00B17614">
              <w:rPr>
                <w:rFonts w:asciiTheme="majorBidi" w:hAnsiTheme="majorBidi" w:cstheme="majorBidi"/>
                <w:iCs/>
                <w:lang w:val="ro-MD"/>
              </w:rPr>
              <w:t>9.1.3 pentru păsările de curte: statul membru al UE sau țara în care a avut loc ultima perioadă de creștere de cel puțin o lună sau, în cazul în care animalul este sacrificat la o vârstă mai mică de o lună, statul membru al UE sau țara în care a avut loc întreaga perioadă de creștere după ce animalul a fost plasat la îngrășare;</w:t>
            </w:r>
          </w:p>
          <w:p w14:paraId="70760148" w14:textId="77777777" w:rsidR="00B17614" w:rsidRDefault="00B17614" w:rsidP="00B17614">
            <w:pPr>
              <w:ind w:firstLine="0"/>
              <w:rPr>
                <w:rFonts w:asciiTheme="majorBidi" w:hAnsiTheme="majorBidi" w:cstheme="majorBidi"/>
                <w:iCs/>
                <w:lang w:val="ro-MD"/>
              </w:rPr>
            </w:pPr>
          </w:p>
          <w:p w14:paraId="44C803DD" w14:textId="21BA244F" w:rsidR="00C6547C" w:rsidRPr="00C6547C" w:rsidRDefault="00C6547C" w:rsidP="00C6547C">
            <w:pPr>
              <w:ind w:firstLine="0"/>
              <w:rPr>
                <w:rFonts w:asciiTheme="majorBidi" w:hAnsiTheme="majorBidi" w:cstheme="majorBidi"/>
                <w:iCs/>
                <w:lang w:val="ro-MD"/>
              </w:rPr>
            </w:pPr>
            <w:r w:rsidRPr="00C6547C">
              <w:rPr>
                <w:rFonts w:asciiTheme="majorBidi" w:hAnsiTheme="majorBidi" w:cstheme="majorBidi"/>
                <w:iCs/>
                <w:lang w:val="ro-MD"/>
              </w:rPr>
              <w:t>9.2 statul membru al UE sau țara în care a avut loc sacrificarea, indicată ca „Sacrificat în: (numele statului membru al UE sau al țării)”; și</w:t>
            </w:r>
          </w:p>
          <w:p w14:paraId="23894C9F" w14:textId="77777777" w:rsidR="00C6547C" w:rsidRDefault="00C6547C" w:rsidP="00C6547C">
            <w:pPr>
              <w:ind w:firstLine="0"/>
              <w:rPr>
                <w:rFonts w:asciiTheme="majorBidi" w:hAnsiTheme="majorBidi" w:cstheme="majorBidi"/>
                <w:iCs/>
                <w:lang w:val="ro-MD"/>
              </w:rPr>
            </w:pPr>
          </w:p>
          <w:p w14:paraId="5B5EEC0E" w14:textId="77777777" w:rsidR="00C6547C" w:rsidRDefault="00C6547C" w:rsidP="00C6547C">
            <w:pPr>
              <w:ind w:firstLine="0"/>
              <w:rPr>
                <w:rFonts w:asciiTheme="majorBidi" w:hAnsiTheme="majorBidi" w:cstheme="majorBidi"/>
                <w:iCs/>
                <w:lang w:val="ro-MD"/>
              </w:rPr>
            </w:pPr>
          </w:p>
          <w:p w14:paraId="484904A2" w14:textId="654D23AF" w:rsidR="00C6547C" w:rsidRPr="00C6547C" w:rsidRDefault="00C6547C" w:rsidP="00C6547C">
            <w:pPr>
              <w:ind w:firstLine="0"/>
              <w:rPr>
                <w:rFonts w:asciiTheme="majorBidi" w:hAnsiTheme="majorBidi" w:cstheme="majorBidi"/>
                <w:iCs/>
                <w:lang w:val="ro-MD"/>
              </w:rPr>
            </w:pPr>
            <w:r w:rsidRPr="00C6547C">
              <w:rPr>
                <w:rFonts w:asciiTheme="majorBidi" w:hAnsiTheme="majorBidi" w:cstheme="majorBidi"/>
                <w:iCs/>
                <w:lang w:val="ro-MD"/>
              </w:rPr>
              <w:t xml:space="preserve">9.3 codul lotului care identifică carnea furnizată consumatorului sau furnizorului de servicii de </w:t>
            </w:r>
            <w:proofErr w:type="spellStart"/>
            <w:r w:rsidRPr="00C6547C">
              <w:rPr>
                <w:rFonts w:asciiTheme="majorBidi" w:hAnsiTheme="majorBidi" w:cstheme="majorBidi"/>
                <w:iCs/>
                <w:lang w:val="ro-MD"/>
              </w:rPr>
              <w:t>catering</w:t>
            </w:r>
            <w:proofErr w:type="spellEnd"/>
            <w:r w:rsidRPr="00C6547C">
              <w:rPr>
                <w:rFonts w:asciiTheme="majorBidi" w:hAnsiTheme="majorBidi" w:cstheme="majorBidi"/>
                <w:iCs/>
                <w:lang w:val="ro-MD"/>
              </w:rPr>
              <w:t xml:space="preserve"> colectiv.</w:t>
            </w:r>
          </w:p>
          <w:p w14:paraId="5D19C029" w14:textId="77777777" w:rsidR="00C6547C" w:rsidRDefault="00C6547C" w:rsidP="00C6547C">
            <w:pPr>
              <w:ind w:firstLine="0"/>
              <w:rPr>
                <w:rFonts w:asciiTheme="majorBidi" w:hAnsiTheme="majorBidi" w:cstheme="majorBidi"/>
                <w:iCs/>
                <w:lang w:val="ro-MD"/>
              </w:rPr>
            </w:pPr>
            <w:r w:rsidRPr="00C6547C">
              <w:rPr>
                <w:rFonts w:asciiTheme="majorBidi" w:hAnsiTheme="majorBidi" w:cstheme="majorBidi"/>
                <w:iCs/>
                <w:lang w:val="ro-MD"/>
              </w:rPr>
              <w:t xml:space="preserve">10. În cazul în care perioada de creștere menționată la pct.9.1 nu este atinsă în niciunul dintre statele membre UE sau țările în care a fost crescut animalul, indicația menționată la pct.9.1 se înlocuiește cu „Crescut în: mai multe state membre ale UE” sau, în cazul în care carnea sau animalele au fost importate în Republica Moldova, cu „Crescut în: afara Republicii Moldova” </w:t>
            </w:r>
          </w:p>
          <w:p w14:paraId="4D529DAA" w14:textId="7D0FAAD6" w:rsidR="008D5FB2" w:rsidRPr="00E443B7" w:rsidRDefault="008D5FB2" w:rsidP="00C6547C">
            <w:pPr>
              <w:ind w:firstLine="0"/>
              <w:rPr>
                <w:rFonts w:asciiTheme="majorBidi" w:hAnsiTheme="majorBidi" w:cstheme="majorBidi"/>
                <w:iCs/>
                <w:lang w:val="ro-RO"/>
              </w:rPr>
            </w:pPr>
            <w:r w:rsidRPr="00E443B7">
              <w:rPr>
                <w:rFonts w:asciiTheme="majorBidi" w:hAnsiTheme="majorBidi" w:cstheme="majorBidi"/>
                <w:iCs/>
                <w:lang w:val="ro-RO"/>
              </w:rPr>
              <w:t>11. Cu toate acestea, în cazul perioadei specificate în cazul pct.9.1 nu este realizat în niciunul dintre statele membre sau în niciuna dintre țările în care a fost crescut animalul, mențiunea prevăzută la pct.9.1 se poate înlocui cu mențiunea „crescut în: (lista statelor UE sau a țărilor în care animalul a fost crescut), dacă operatorul din domeniul alimentar dovedește, într-un mod considerat satisfăcător de către autoritatea competentă, că animalul a fost crescut în statele membre UE sau țările respective.</w:t>
            </w:r>
          </w:p>
          <w:p w14:paraId="75776BBB" w14:textId="77777777" w:rsidR="008D5FB2" w:rsidRPr="00E443B7" w:rsidRDefault="008D5FB2" w:rsidP="00816E2D">
            <w:pPr>
              <w:ind w:firstLine="0"/>
              <w:rPr>
                <w:rFonts w:asciiTheme="majorBidi" w:hAnsiTheme="majorBidi" w:cstheme="majorBidi"/>
                <w:iCs/>
                <w:lang w:val="ro-RO"/>
              </w:rPr>
            </w:pPr>
            <w:r w:rsidRPr="00E443B7">
              <w:rPr>
                <w:rFonts w:asciiTheme="majorBidi" w:hAnsiTheme="majorBidi" w:cstheme="majorBidi"/>
                <w:iCs/>
                <w:lang w:val="ro-RO"/>
              </w:rPr>
              <w:t>12. Indicațiile menționate la pct.9.1 și 9.2 pot fi înlocuite cu indicația „Origine: (numele statului membru UE sau al țării)” dacă operatorul din domeniul alimentar dovedește, într-un mod considerat satisfăcător de către autoritatea competentă, că carnea menționată la pct. 1 a fost obținută de la animale născute, crescute și sacrificate într-un singur stat membru UE sau într-o singură țară.</w:t>
            </w:r>
          </w:p>
          <w:p w14:paraId="016CD122" w14:textId="77777777" w:rsidR="008D5FB2" w:rsidRPr="00E443B7" w:rsidRDefault="008D5FB2" w:rsidP="00816E2D">
            <w:pPr>
              <w:ind w:firstLine="0"/>
              <w:rPr>
                <w:rFonts w:asciiTheme="majorBidi" w:hAnsiTheme="majorBidi" w:cstheme="majorBidi"/>
                <w:iCs/>
                <w:lang w:val="ro-RO"/>
              </w:rPr>
            </w:pPr>
            <w:r w:rsidRPr="00E443B7">
              <w:rPr>
                <w:rFonts w:asciiTheme="majorBidi" w:hAnsiTheme="majorBidi" w:cstheme="majorBidi"/>
                <w:iCs/>
                <w:lang w:val="ro-RO"/>
              </w:rPr>
              <w:lastRenderedPageBreak/>
              <w:t>13. În cazul în care mai multor bucăți de carne, din aceeași specie sau din anumite specii diferite, le corespund indicații de etichetă diferite în conformitate cu pct.9 -12 și sunt prezentate în același ambalaj consumatorilor sau unităților de restaurant colectiv, eticheta trebuie să indice:</w:t>
            </w:r>
          </w:p>
          <w:p w14:paraId="469FC3EB" w14:textId="77777777" w:rsidR="008D5FB2" w:rsidRPr="00E443B7" w:rsidRDefault="008D5FB2" w:rsidP="00816E2D">
            <w:pPr>
              <w:ind w:firstLine="0"/>
              <w:rPr>
                <w:rFonts w:asciiTheme="majorBidi" w:hAnsiTheme="majorBidi" w:cstheme="majorBidi"/>
                <w:iCs/>
                <w:lang w:val="ro-RO"/>
              </w:rPr>
            </w:pPr>
            <w:r w:rsidRPr="00E443B7">
              <w:rPr>
                <w:rFonts w:asciiTheme="majorBidi" w:hAnsiTheme="majorBidi" w:cstheme="majorBidi"/>
                <w:iCs/>
                <w:lang w:val="ro-RO"/>
              </w:rPr>
              <w:t xml:space="preserve">13.1 </w:t>
            </w:r>
            <w:r w:rsidRPr="00E443B7">
              <w:rPr>
                <w:rFonts w:asciiTheme="majorBidi" w:hAnsiTheme="majorBidi" w:cstheme="majorBidi"/>
                <w:iCs/>
                <w:lang w:val="ro-RO"/>
              </w:rPr>
              <w:tab/>
              <w:t>lista statelor membre UE sau a țărilor relevante, în conformitate cu pct.9 -12, pentru fiecare specie;</w:t>
            </w:r>
          </w:p>
          <w:p w14:paraId="1E65D975" w14:textId="7A2BDB8C" w:rsidR="008D5FB2" w:rsidRPr="00E443B7" w:rsidRDefault="008D5FB2" w:rsidP="00816E2D">
            <w:pPr>
              <w:ind w:firstLine="0"/>
              <w:rPr>
                <w:rFonts w:asciiTheme="majorBidi" w:hAnsiTheme="majorBidi" w:cstheme="majorBidi"/>
                <w:iCs/>
                <w:lang w:val="ro-RO"/>
              </w:rPr>
            </w:pPr>
            <w:r w:rsidRPr="00E443B7">
              <w:rPr>
                <w:rFonts w:asciiTheme="majorBidi" w:hAnsiTheme="majorBidi" w:cstheme="majorBidi"/>
                <w:iCs/>
                <w:lang w:val="ro-RO"/>
              </w:rPr>
              <w:t xml:space="preserve">13.2 codul lotului care identifică carnea furnizată consumatorului sau furnizorului de servicii de </w:t>
            </w:r>
            <w:proofErr w:type="spellStart"/>
            <w:r w:rsidRPr="00E443B7">
              <w:rPr>
                <w:rFonts w:asciiTheme="majorBidi" w:hAnsiTheme="majorBidi" w:cstheme="majorBidi"/>
                <w:iCs/>
                <w:lang w:val="ro-RO"/>
              </w:rPr>
              <w:t>catering</w:t>
            </w:r>
            <w:proofErr w:type="spellEnd"/>
            <w:r w:rsidRPr="00E443B7">
              <w:rPr>
                <w:rFonts w:asciiTheme="majorBidi" w:hAnsiTheme="majorBidi" w:cstheme="majorBidi"/>
                <w:iCs/>
                <w:lang w:val="ro-RO"/>
              </w:rPr>
              <w:t xml:space="preserve"> colectiv.</w:t>
            </w:r>
          </w:p>
        </w:tc>
        <w:tc>
          <w:tcPr>
            <w:tcW w:w="1560" w:type="dxa"/>
          </w:tcPr>
          <w:p w14:paraId="44541D7F" w14:textId="6FE6D426" w:rsidR="008D5FB2" w:rsidRPr="00612910" w:rsidRDefault="008D5FB2" w:rsidP="00816E2D">
            <w:pPr>
              <w:ind w:firstLine="0"/>
              <w:rPr>
                <w:rFonts w:asciiTheme="majorBidi" w:hAnsiTheme="majorBidi" w:cstheme="majorBidi"/>
                <w:b/>
                <w:iCs/>
                <w:noProof/>
                <w:lang w:val="ro-RO"/>
              </w:rPr>
            </w:pPr>
            <w:r w:rsidRPr="00CB18B2">
              <w:rPr>
                <w:rFonts w:asciiTheme="majorBidi" w:hAnsiTheme="majorBidi" w:cstheme="majorBidi"/>
                <w:b/>
                <w:noProof/>
                <w:lang w:val="ro-RO"/>
              </w:rPr>
              <w:lastRenderedPageBreak/>
              <w:t>Compatibil</w:t>
            </w:r>
          </w:p>
        </w:tc>
        <w:tc>
          <w:tcPr>
            <w:tcW w:w="1275" w:type="dxa"/>
          </w:tcPr>
          <w:p w14:paraId="69FC6042" w14:textId="77777777" w:rsidR="008D5FB2" w:rsidRPr="00612910" w:rsidRDefault="008D5FB2" w:rsidP="00816E2D">
            <w:pPr>
              <w:ind w:firstLine="0"/>
              <w:rPr>
                <w:rFonts w:asciiTheme="majorBidi" w:hAnsiTheme="majorBidi" w:cstheme="majorBidi"/>
                <w:b/>
                <w:iCs/>
                <w:noProof/>
                <w:lang w:val="ro-RO"/>
              </w:rPr>
            </w:pPr>
          </w:p>
        </w:tc>
      </w:tr>
      <w:tr w:rsidR="008D5FB2" w:rsidRPr="00612910" w14:paraId="3B65BFA0" w14:textId="77777777" w:rsidTr="008D5FB2">
        <w:tblPrEx>
          <w:jc w:val="left"/>
        </w:tblPrEx>
        <w:tc>
          <w:tcPr>
            <w:tcW w:w="6374" w:type="dxa"/>
          </w:tcPr>
          <w:p w14:paraId="3CBEA42B" w14:textId="77777777" w:rsidR="008D5FB2" w:rsidRPr="00272E6D" w:rsidRDefault="008D5FB2" w:rsidP="00816E2D">
            <w:pPr>
              <w:pStyle w:val="title-article-norm"/>
              <w:shd w:val="clear" w:color="auto" w:fill="FFFFFF"/>
              <w:spacing w:before="0" w:beforeAutospacing="0" w:after="0" w:afterAutospacing="0" w:line="276" w:lineRule="auto"/>
              <w:rPr>
                <w:rFonts w:eastAsia="Arial Unicode MS"/>
                <w:i/>
                <w:iCs/>
                <w:color w:val="333333"/>
                <w:sz w:val="20"/>
                <w:szCs w:val="20"/>
              </w:rPr>
            </w:pPr>
            <w:r w:rsidRPr="00272E6D">
              <w:rPr>
                <w:rFonts w:eastAsia="Arial Unicode MS"/>
                <w:i/>
                <w:iCs/>
                <w:color w:val="333333"/>
                <w:sz w:val="20"/>
                <w:szCs w:val="20"/>
              </w:rPr>
              <w:lastRenderedPageBreak/>
              <w:t>Articolul 6</w:t>
            </w:r>
          </w:p>
          <w:p w14:paraId="78ACE214" w14:textId="77777777" w:rsidR="008D5FB2" w:rsidRPr="00272E6D" w:rsidRDefault="008D5FB2" w:rsidP="00816E2D">
            <w:pPr>
              <w:pStyle w:val="stitle-article-norm"/>
              <w:shd w:val="clear" w:color="auto" w:fill="FFFFFF"/>
              <w:spacing w:before="0" w:beforeAutospacing="0" w:after="0" w:afterAutospacing="0" w:line="276" w:lineRule="auto"/>
              <w:rPr>
                <w:rFonts w:eastAsia="Arial Unicode MS"/>
                <w:b/>
                <w:bCs/>
                <w:color w:val="333333"/>
                <w:sz w:val="20"/>
                <w:szCs w:val="20"/>
              </w:rPr>
            </w:pPr>
            <w:r w:rsidRPr="00272E6D">
              <w:rPr>
                <w:rFonts w:eastAsia="Arial Unicode MS"/>
                <w:b/>
                <w:bCs/>
                <w:color w:val="333333"/>
                <w:sz w:val="20"/>
                <w:szCs w:val="20"/>
              </w:rPr>
              <w:t>Derogare pentru carnea provenită din țări terțe</w:t>
            </w:r>
          </w:p>
          <w:p w14:paraId="3217F422" w14:textId="061D5FB4" w:rsidR="008D5FB2" w:rsidRPr="00272E6D" w:rsidRDefault="008D5FB2" w:rsidP="00816E2D">
            <w:pPr>
              <w:pStyle w:val="norm"/>
              <w:shd w:val="clear" w:color="auto" w:fill="FFFFFF"/>
              <w:spacing w:before="0" w:beforeAutospacing="0" w:after="0" w:afterAutospacing="0" w:line="276" w:lineRule="auto"/>
              <w:jc w:val="both"/>
              <w:rPr>
                <w:i/>
                <w:sz w:val="20"/>
                <w:szCs w:val="20"/>
              </w:rPr>
            </w:pPr>
            <w:r w:rsidRPr="00272E6D">
              <w:rPr>
                <w:rFonts w:eastAsia="Arial Unicode MS"/>
                <w:color w:val="333333"/>
                <w:sz w:val="20"/>
                <w:szCs w:val="20"/>
              </w:rPr>
              <w:t>Prin derogare de la articolul 5 alineatul (1) litera (a), eticheta cărnii menționate la articolul 1, care a fost importată în scopul introducerii pe piața Uniunii și pentru care informațiile prevăzute la articolul 5 alineatul (1) litera (a) nu sunt disponibile, trebuie să conțină mențiunile „crescut în: afara UE” și „sacrificat în: (numele țării terțe în care a fost sacrificat animalul)”.</w:t>
            </w:r>
          </w:p>
        </w:tc>
        <w:tc>
          <w:tcPr>
            <w:tcW w:w="6095" w:type="dxa"/>
          </w:tcPr>
          <w:p w14:paraId="5BFD8C60" w14:textId="4A89E3C0" w:rsidR="008D5FB2" w:rsidRPr="00903D38" w:rsidRDefault="00903D38" w:rsidP="00903D38">
            <w:pPr>
              <w:ind w:firstLine="0"/>
              <w:rPr>
                <w:rFonts w:asciiTheme="majorBidi" w:hAnsiTheme="majorBidi" w:cstheme="majorBidi"/>
                <w:iCs/>
                <w:lang w:val="ro-RO"/>
              </w:rPr>
            </w:pPr>
            <w:r w:rsidRPr="00903D38">
              <w:rPr>
                <w:rFonts w:asciiTheme="majorBidi" w:hAnsiTheme="majorBidi" w:cstheme="majorBidi"/>
                <w:iCs/>
                <w:lang w:val="ro-MD"/>
              </w:rPr>
              <w:t>14. Prin derogare de la subpct.9.1, eticheta cărnii specificate pentru pct.1, care a fost importată în introducerea pieței Republicii Moldova și pentru îngrijirea subpct.9.1 nu sunt disponibile, trebuie să conțină mențiunea „Crescut în: altă țară” și „Sacrificat în: (Numele țării în care a fost sacrificat animalul)”.</w:t>
            </w:r>
          </w:p>
        </w:tc>
        <w:tc>
          <w:tcPr>
            <w:tcW w:w="1560" w:type="dxa"/>
          </w:tcPr>
          <w:p w14:paraId="28FF186B" w14:textId="7BA88E59" w:rsidR="008D5FB2" w:rsidRPr="00612910" w:rsidRDefault="008D5FB2" w:rsidP="00816E2D">
            <w:pPr>
              <w:ind w:firstLine="0"/>
              <w:rPr>
                <w:rFonts w:asciiTheme="majorBidi" w:hAnsiTheme="majorBidi" w:cstheme="majorBidi"/>
                <w:b/>
                <w:iCs/>
                <w:noProof/>
                <w:lang w:val="ro-RO"/>
              </w:rPr>
            </w:pPr>
            <w:r w:rsidRPr="00CB18B2">
              <w:rPr>
                <w:rFonts w:asciiTheme="majorBidi" w:hAnsiTheme="majorBidi" w:cstheme="majorBidi"/>
                <w:b/>
                <w:noProof/>
                <w:lang w:val="ro-RO"/>
              </w:rPr>
              <w:t>Compatibil</w:t>
            </w:r>
          </w:p>
        </w:tc>
        <w:tc>
          <w:tcPr>
            <w:tcW w:w="1275" w:type="dxa"/>
          </w:tcPr>
          <w:p w14:paraId="5D5876AB" w14:textId="77777777" w:rsidR="008D5FB2" w:rsidRPr="00612910" w:rsidRDefault="008D5FB2" w:rsidP="00816E2D">
            <w:pPr>
              <w:ind w:firstLine="0"/>
              <w:rPr>
                <w:rFonts w:asciiTheme="majorBidi" w:hAnsiTheme="majorBidi" w:cstheme="majorBidi"/>
                <w:b/>
                <w:iCs/>
                <w:noProof/>
                <w:lang w:val="ro-RO"/>
              </w:rPr>
            </w:pPr>
          </w:p>
        </w:tc>
      </w:tr>
      <w:tr w:rsidR="008D5FB2" w:rsidRPr="006D131A" w14:paraId="6E674169" w14:textId="77777777" w:rsidTr="008D5FB2">
        <w:tblPrEx>
          <w:jc w:val="left"/>
        </w:tblPrEx>
        <w:tc>
          <w:tcPr>
            <w:tcW w:w="6374" w:type="dxa"/>
          </w:tcPr>
          <w:p w14:paraId="36509511" w14:textId="77777777" w:rsidR="008D5FB2" w:rsidRPr="006D131A" w:rsidRDefault="008D5FB2" w:rsidP="00816E2D">
            <w:pPr>
              <w:pStyle w:val="Normal1"/>
              <w:shd w:val="clear" w:color="auto" w:fill="FFFFFF"/>
              <w:spacing w:before="0" w:beforeAutospacing="0" w:after="0" w:afterAutospacing="0"/>
              <w:jc w:val="both"/>
              <w:rPr>
                <w:i/>
                <w:sz w:val="20"/>
                <w:szCs w:val="20"/>
                <w:lang w:val="ro-MD"/>
              </w:rPr>
            </w:pPr>
            <w:r w:rsidRPr="006D131A">
              <w:rPr>
                <w:i/>
                <w:sz w:val="20"/>
                <w:szCs w:val="20"/>
                <w:lang w:val="ro-MD"/>
              </w:rPr>
              <w:t>Articolul 7</w:t>
            </w:r>
          </w:p>
          <w:p w14:paraId="05660945" w14:textId="77777777" w:rsidR="008D5FB2" w:rsidRPr="006D131A" w:rsidRDefault="008D5FB2" w:rsidP="00816E2D">
            <w:pPr>
              <w:pStyle w:val="Normal1"/>
              <w:shd w:val="clear" w:color="auto" w:fill="FFFFFF"/>
              <w:spacing w:before="0" w:beforeAutospacing="0" w:after="0" w:afterAutospacing="0"/>
              <w:jc w:val="both"/>
              <w:rPr>
                <w:b/>
                <w:bCs/>
                <w:iCs/>
                <w:sz w:val="20"/>
                <w:szCs w:val="20"/>
                <w:lang w:val="ro-MD"/>
              </w:rPr>
            </w:pPr>
            <w:r w:rsidRPr="006D131A">
              <w:rPr>
                <w:b/>
                <w:bCs/>
                <w:iCs/>
                <w:sz w:val="20"/>
                <w:szCs w:val="20"/>
                <w:lang w:val="ro-MD"/>
              </w:rPr>
              <w:t>Derogări pentru carnea tocată și pentru resturile rezultate din fasonare</w:t>
            </w:r>
          </w:p>
          <w:p w14:paraId="2617A0AC"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Prin derogare de la articolul 5 alineatul (1) literele (a) și (b), de la articolul 5 alineatul (2) și de la articolul 6, în ceea ce privește carnea tocată și resturile rezultate din fasonare, pot fi aplicate următoarele mențiuni:</w:t>
            </w:r>
          </w:p>
          <w:p w14:paraId="6910358D"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(a) „origine: UE”, în cazul în care carnea tocată sau resturile rezultate din fasonare sunt produse exclusiv din carne obținută de la animale născute, crescute și sacrificate în state membre diferite;</w:t>
            </w:r>
          </w:p>
          <w:p w14:paraId="070A43DC"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(b) „crescut și sacrificat în: UE”, în cazul în care carnea tocată sau resturile rezultate din fasonare sunt produse exclusiv din carne obținută de la animale crescute și sacrificate în state membre diferite;</w:t>
            </w:r>
          </w:p>
          <w:p w14:paraId="5A640BAC"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(c) „crescut și sacrificat în: afara UE”, în cazul în care carnea tocată sau resturile rezultate din fasonare sunt produse exclusiv din carne importată în Uniune;</w:t>
            </w:r>
          </w:p>
          <w:p w14:paraId="403EE5C9"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(d) „crescut în: afara UE” și „sacrificat în: UE”, în cazul în care carnea tocată sau resturile rezultate din fasonare sunt produse exclusiv din carne obținută de la animale importate în Uniune drept animale destinate sacrificării și sacrificate într-un stat membru sau în state membre diferite;</w:t>
            </w:r>
          </w:p>
          <w:p w14:paraId="173D60E3"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(e) „crescut și sacrificat în: UE și în afara UE”, în cazul în care carnea tocată sau resturile rezultate din fasonare sunt fabricate din:</w:t>
            </w:r>
          </w:p>
          <w:p w14:paraId="1CD92265" w14:textId="77777777"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t>(i) carne obținută de la animale crescute și sacrificate în unul sau în mai multe state membre diferite și din carne importată în Uniune; sau</w:t>
            </w:r>
          </w:p>
          <w:p w14:paraId="7DB1AF91" w14:textId="67F9F9C2" w:rsidR="008D5FB2" w:rsidRPr="006D131A" w:rsidRDefault="008D5FB2" w:rsidP="00816E2D">
            <w:pPr>
              <w:pStyle w:val="Normal1"/>
              <w:shd w:val="clear" w:color="auto" w:fill="FFFFFF"/>
              <w:spacing w:before="0" w:beforeAutospacing="0" w:after="0" w:afterAutospacing="0"/>
              <w:jc w:val="both"/>
              <w:rPr>
                <w:iCs/>
                <w:sz w:val="20"/>
                <w:szCs w:val="20"/>
                <w:lang w:val="ro-MD"/>
              </w:rPr>
            </w:pPr>
            <w:r w:rsidRPr="006D131A">
              <w:rPr>
                <w:iCs/>
                <w:sz w:val="20"/>
                <w:szCs w:val="20"/>
                <w:lang w:val="ro-MD"/>
              </w:rPr>
              <w:lastRenderedPageBreak/>
              <w:t>(ii) carne obținută de la animale importate în Uniune și sacrificate în unul sau în mai multe state membre diferite.</w:t>
            </w:r>
          </w:p>
        </w:tc>
        <w:tc>
          <w:tcPr>
            <w:tcW w:w="6095" w:type="dxa"/>
          </w:tcPr>
          <w:p w14:paraId="11B85378"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lastRenderedPageBreak/>
              <w:t>15. Prin derogare de la subpct.9.1 și 9.2, de la pct.12 și pct.14, în ceea ce privește carnea tocată și resturile rezultate din fasonare, pot fi aplicate următoarele mențiuni:</w:t>
            </w:r>
          </w:p>
          <w:p w14:paraId="6766EE0B"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15.1 ”Origine: Autohton sau RM” în cazul în care carnea tocată sau resturile de carne sunt produse exclusiv din carne obținută de la animale născute, crescute și sacrificate în Republica Moldova;</w:t>
            </w:r>
          </w:p>
          <w:p w14:paraId="72C718D3"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15.2 „Crescut și sacrificat în: Republica Moldova”, unde carnea tocată sau resturile de carne sunt produse exclusiv din carne obținută de la animale crescute și sacrificate în Republica Moldova;</w:t>
            </w:r>
          </w:p>
          <w:p w14:paraId="5B104804"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15.3 „Crescute și sacrificate în: țări din afara RM”, în cazul în care carnea tocată sau resturile de carne sunt produse exclusiv din carne importată în Republica Moldova;</w:t>
            </w:r>
          </w:p>
          <w:p w14:paraId="1AA7BAEA"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 xml:space="preserve">15.4 „Crescut în: afara Republicii Moldova” și „Sacrificat în: Republica Moldova”, în cazul în care carnea tocată sau resturile de carne sunt produse exclusiv din carne obținută de la animale importate în Republica Moldova ca animale destinate sacrificării și sacrificate </w:t>
            </w:r>
            <w:proofErr w:type="spellStart"/>
            <w:r w:rsidRPr="00903D38">
              <w:rPr>
                <w:rFonts w:asciiTheme="majorBidi" w:hAnsiTheme="majorBidi" w:cstheme="majorBidi"/>
                <w:iCs/>
                <w:lang w:val="ro-MD"/>
              </w:rPr>
              <w:t>într</w:t>
            </w:r>
            <w:proofErr w:type="spellEnd"/>
            <w:r w:rsidRPr="00903D38">
              <w:rPr>
                <w:rFonts w:asciiTheme="majorBidi" w:hAnsiTheme="majorBidi" w:cstheme="majorBidi"/>
                <w:iCs/>
                <w:lang w:val="ro-MD"/>
              </w:rPr>
              <w:t>-unul sau diferite state membre UE sau alte țări;</w:t>
            </w:r>
          </w:p>
          <w:p w14:paraId="2FBA6758"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15.5 „Crescut și sacrificat în: Republica Moldova și în afara Republicii Moldova” în cazul în care carnea tocată sau resturile sunt produse din:</w:t>
            </w:r>
          </w:p>
          <w:p w14:paraId="1D1B679F"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15.5.1 carne obținută de la animale crescute și sacrificate în Republica Moldova și din carne importată în Republica Moldova; sau</w:t>
            </w:r>
          </w:p>
          <w:p w14:paraId="3F6311A2"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lastRenderedPageBreak/>
              <w:t>15.5.2carne obținută de la animale importate în Republica Moldova și sacrificate în Republica Moldova;</w:t>
            </w:r>
          </w:p>
          <w:p w14:paraId="56A849A5" w14:textId="77777777" w:rsidR="00903D38" w:rsidRPr="00903D38" w:rsidRDefault="00903D38" w:rsidP="00903D38">
            <w:pPr>
              <w:ind w:firstLine="0"/>
              <w:rPr>
                <w:rFonts w:asciiTheme="majorBidi" w:hAnsiTheme="majorBidi" w:cstheme="majorBidi"/>
                <w:iCs/>
                <w:lang w:val="ro-MD"/>
              </w:rPr>
            </w:pPr>
            <w:r w:rsidRPr="00903D38">
              <w:rPr>
                <w:rFonts w:asciiTheme="majorBidi" w:hAnsiTheme="majorBidi" w:cstheme="majorBidi"/>
                <w:iCs/>
                <w:lang w:val="ro-MD"/>
              </w:rPr>
              <w:t>15.6 „Origine: UE” în cazul în care carnea tocată sau resturile de carne sunt produse exclusiv din carne obținută de la animale născute, crescute și sacrificate în state membre UE diferite;</w:t>
            </w:r>
          </w:p>
          <w:p w14:paraId="24A957FF" w14:textId="111E17F6" w:rsidR="008D5FB2" w:rsidRPr="00775375" w:rsidRDefault="00903D38" w:rsidP="00903D38">
            <w:pPr>
              <w:shd w:val="clear" w:color="auto" w:fill="FFFFFF"/>
              <w:ind w:firstLine="0"/>
              <w:rPr>
                <w:rFonts w:asciiTheme="majorBidi" w:hAnsiTheme="majorBidi" w:cstheme="majorBidi"/>
                <w:iCs/>
                <w:lang w:val="ro-RO"/>
              </w:rPr>
            </w:pPr>
            <w:r w:rsidRPr="00903D38">
              <w:rPr>
                <w:rFonts w:asciiTheme="majorBidi" w:hAnsiTheme="majorBidi" w:cstheme="majorBidi"/>
                <w:iCs/>
                <w:lang w:val="ro-MD"/>
              </w:rPr>
              <w:t>15.7 „Crescut și sacrificat în: UE”, unde carnea tocată sau resturile de carne sunt produse exclusiv din carne obținută de la animale crescute și sacrificate în state membre UE diferite;</w:t>
            </w:r>
          </w:p>
        </w:tc>
        <w:tc>
          <w:tcPr>
            <w:tcW w:w="1560" w:type="dxa"/>
          </w:tcPr>
          <w:p w14:paraId="0FA1911B" w14:textId="0C69F920" w:rsidR="008D5FB2" w:rsidRPr="006D131A" w:rsidRDefault="008D5FB2" w:rsidP="00816E2D">
            <w:pPr>
              <w:ind w:firstLine="0"/>
              <w:rPr>
                <w:rFonts w:asciiTheme="majorBidi" w:hAnsiTheme="majorBidi" w:cstheme="majorBidi"/>
                <w:b/>
                <w:iCs/>
                <w:noProof/>
                <w:lang w:val="ro-RO"/>
              </w:rPr>
            </w:pPr>
            <w:r w:rsidRPr="00CB18B2">
              <w:rPr>
                <w:rFonts w:asciiTheme="majorBidi" w:hAnsiTheme="majorBidi" w:cstheme="majorBidi"/>
                <w:b/>
                <w:noProof/>
                <w:lang w:val="ro-RO"/>
              </w:rPr>
              <w:lastRenderedPageBreak/>
              <w:t>Compatibil</w:t>
            </w:r>
          </w:p>
        </w:tc>
        <w:tc>
          <w:tcPr>
            <w:tcW w:w="1275" w:type="dxa"/>
          </w:tcPr>
          <w:p w14:paraId="44486684" w14:textId="77777777" w:rsidR="008D5FB2" w:rsidRPr="006D131A" w:rsidRDefault="008D5FB2" w:rsidP="00816E2D">
            <w:pPr>
              <w:ind w:firstLine="0"/>
              <w:rPr>
                <w:rFonts w:asciiTheme="majorBidi" w:hAnsiTheme="majorBidi" w:cstheme="majorBidi"/>
                <w:b/>
                <w:iCs/>
                <w:noProof/>
                <w:lang w:val="ro-RO"/>
              </w:rPr>
            </w:pPr>
          </w:p>
        </w:tc>
      </w:tr>
      <w:tr w:rsidR="008D5FB2" w:rsidRPr="006D131A" w14:paraId="43393A12" w14:textId="77777777" w:rsidTr="008D5FB2">
        <w:tblPrEx>
          <w:jc w:val="left"/>
        </w:tblPrEx>
        <w:tc>
          <w:tcPr>
            <w:tcW w:w="6374" w:type="dxa"/>
          </w:tcPr>
          <w:p w14:paraId="2BD70C67" w14:textId="77777777" w:rsidR="008D5FB2" w:rsidRPr="001A5C42" w:rsidRDefault="008D5FB2" w:rsidP="00816E2D">
            <w:pPr>
              <w:pStyle w:val="Normal1"/>
              <w:spacing w:before="0" w:beforeAutospacing="0" w:after="0" w:afterAutospacing="0"/>
              <w:jc w:val="both"/>
              <w:rPr>
                <w:i/>
                <w:iCs/>
                <w:sz w:val="20"/>
                <w:szCs w:val="20"/>
                <w:lang w:val="ro-RO"/>
              </w:rPr>
            </w:pPr>
            <w:r w:rsidRPr="001A5C42">
              <w:rPr>
                <w:rFonts w:hint="eastAsia"/>
                <w:i/>
                <w:iCs/>
                <w:sz w:val="20"/>
                <w:szCs w:val="20"/>
                <w:lang w:val="ro-RO"/>
              </w:rPr>
              <w:t>Articolul 8</w:t>
            </w:r>
          </w:p>
          <w:p w14:paraId="7403A2A2" w14:textId="77777777" w:rsidR="008D5FB2" w:rsidRPr="001A5C42" w:rsidRDefault="008D5FB2" w:rsidP="00816E2D">
            <w:pPr>
              <w:pStyle w:val="Normal1"/>
              <w:spacing w:before="0" w:beforeAutospacing="0" w:after="0" w:afterAutospacing="0"/>
              <w:jc w:val="both"/>
              <w:rPr>
                <w:b/>
                <w:bCs/>
                <w:iCs/>
                <w:sz w:val="20"/>
                <w:szCs w:val="20"/>
                <w:lang w:val="ro-RO"/>
              </w:rPr>
            </w:pPr>
            <w:r w:rsidRPr="001A5C42">
              <w:rPr>
                <w:rFonts w:hint="eastAsia"/>
                <w:b/>
                <w:bCs/>
                <w:iCs/>
                <w:sz w:val="20"/>
                <w:szCs w:val="20"/>
                <w:lang w:val="ro-RO"/>
              </w:rPr>
              <w:t>Informații suplimentare furnizate pe etichetă în mod opțional</w:t>
            </w:r>
          </w:p>
          <w:p w14:paraId="4A830B2D" w14:textId="77777777" w:rsidR="008D5FB2" w:rsidRPr="001A5C42" w:rsidRDefault="008D5FB2" w:rsidP="00816E2D">
            <w:pPr>
              <w:pStyle w:val="Normal1"/>
              <w:spacing w:before="0" w:beforeAutospacing="0" w:after="0" w:afterAutospacing="0"/>
              <w:jc w:val="both"/>
              <w:rPr>
                <w:iCs/>
                <w:sz w:val="20"/>
                <w:szCs w:val="20"/>
                <w:lang w:val="ro-RO"/>
              </w:rPr>
            </w:pPr>
            <w:r w:rsidRPr="001A5C42">
              <w:rPr>
                <w:rFonts w:hint="eastAsia"/>
                <w:iCs/>
                <w:sz w:val="20"/>
                <w:szCs w:val="20"/>
                <w:lang w:val="ro-RO"/>
              </w:rPr>
              <w:t>Operatorii din sectorul alimentar pot completa mențiunile prevăzute la articolele 5, 6, sau 7 cu informații suplimentare privind proveniența cărnii.</w:t>
            </w:r>
          </w:p>
          <w:p w14:paraId="20508D99" w14:textId="77777777" w:rsidR="008D5FB2" w:rsidRPr="001A5C42" w:rsidRDefault="008D5FB2" w:rsidP="00816E2D">
            <w:pPr>
              <w:pStyle w:val="Normal1"/>
              <w:spacing w:before="0" w:beforeAutospacing="0" w:after="0" w:afterAutospacing="0"/>
              <w:jc w:val="both"/>
              <w:rPr>
                <w:iCs/>
                <w:sz w:val="20"/>
                <w:szCs w:val="20"/>
                <w:lang w:val="ro-RO"/>
              </w:rPr>
            </w:pPr>
            <w:r w:rsidRPr="001A5C42">
              <w:rPr>
                <w:rFonts w:hint="eastAsia"/>
                <w:iCs/>
                <w:sz w:val="20"/>
                <w:szCs w:val="20"/>
                <w:lang w:val="ro-RO"/>
              </w:rPr>
              <w:t>Informațiile suplimentare menționate la primul alineat nu sunt în contradicție cu indicațiile menționate la articolele 5, 6 și 7 și respectă normele prevăzute în capitolul V din Regulamentul (UE) nr. 1169/2011.</w:t>
            </w:r>
          </w:p>
          <w:p w14:paraId="78AE2FB3" w14:textId="77777777" w:rsidR="008D5FB2" w:rsidRPr="001A5C42" w:rsidRDefault="008D5FB2" w:rsidP="00816E2D">
            <w:pPr>
              <w:pStyle w:val="Normal1"/>
              <w:shd w:val="clear" w:color="auto" w:fill="FFFFFF"/>
              <w:spacing w:before="0" w:beforeAutospacing="0" w:after="0" w:afterAutospacing="0"/>
              <w:jc w:val="both"/>
              <w:rPr>
                <w:iCs/>
                <w:sz w:val="20"/>
                <w:szCs w:val="20"/>
                <w:lang w:val="ro-RO"/>
              </w:rPr>
            </w:pPr>
          </w:p>
        </w:tc>
        <w:tc>
          <w:tcPr>
            <w:tcW w:w="6095" w:type="dxa"/>
          </w:tcPr>
          <w:p w14:paraId="667582F3" w14:textId="77777777" w:rsidR="008D5FB2" w:rsidRPr="00995C6A" w:rsidRDefault="008D5FB2" w:rsidP="00816E2D">
            <w:pPr>
              <w:ind w:firstLine="0"/>
              <w:rPr>
                <w:rFonts w:asciiTheme="majorBidi" w:hAnsiTheme="majorBidi" w:cstheme="majorBidi"/>
                <w:iCs/>
                <w:lang w:val="ro-MD"/>
              </w:rPr>
            </w:pPr>
            <w:r w:rsidRPr="00995C6A">
              <w:rPr>
                <w:rFonts w:asciiTheme="majorBidi" w:hAnsiTheme="majorBidi" w:cstheme="majorBidi"/>
                <w:iCs/>
                <w:lang w:val="ro-MD"/>
              </w:rPr>
              <w:t>16. Operatorii din domeniul alimentar pot completa mențiunile pct.9-14 sau pct.15 cu informații suplimentare privind proveniența cărnii.</w:t>
            </w:r>
          </w:p>
          <w:p w14:paraId="4D68D226" w14:textId="452D81A3" w:rsidR="008D5FB2" w:rsidRPr="006D131A" w:rsidRDefault="008D5FB2" w:rsidP="00816E2D">
            <w:pPr>
              <w:ind w:firstLine="0"/>
              <w:rPr>
                <w:rFonts w:asciiTheme="majorBidi" w:hAnsiTheme="majorBidi" w:cstheme="majorBidi"/>
                <w:iCs/>
                <w:lang w:val="ro-MD"/>
              </w:rPr>
            </w:pPr>
            <w:r w:rsidRPr="00995C6A">
              <w:rPr>
                <w:rFonts w:asciiTheme="majorBidi" w:hAnsiTheme="majorBidi" w:cstheme="majorBidi"/>
                <w:iCs/>
                <w:lang w:val="ro-MD"/>
              </w:rPr>
              <w:t>Informațiile suplimentare menționate la primul alineat nu sunt în contradicție cu indicațiile menționate la pct.9-15 și respectă normele prevăzute la art.35 și 36.</w:t>
            </w:r>
          </w:p>
        </w:tc>
        <w:tc>
          <w:tcPr>
            <w:tcW w:w="1560" w:type="dxa"/>
          </w:tcPr>
          <w:p w14:paraId="4952D9D7" w14:textId="0B5B2636" w:rsidR="008D5FB2" w:rsidRPr="006D131A" w:rsidRDefault="008D5FB2" w:rsidP="00816E2D">
            <w:pPr>
              <w:ind w:firstLine="0"/>
              <w:rPr>
                <w:rFonts w:asciiTheme="majorBidi" w:hAnsiTheme="majorBidi" w:cstheme="majorBidi"/>
                <w:b/>
                <w:iCs/>
                <w:noProof/>
                <w:lang w:val="ro-RO"/>
              </w:rPr>
            </w:pPr>
            <w:r w:rsidRPr="00CB18B2">
              <w:rPr>
                <w:rFonts w:asciiTheme="majorBidi" w:hAnsiTheme="majorBidi" w:cstheme="majorBidi"/>
                <w:b/>
                <w:noProof/>
                <w:lang w:val="ro-RO"/>
              </w:rPr>
              <w:t>Compatibil</w:t>
            </w:r>
          </w:p>
        </w:tc>
        <w:tc>
          <w:tcPr>
            <w:tcW w:w="1275" w:type="dxa"/>
          </w:tcPr>
          <w:p w14:paraId="0A7BE560" w14:textId="77777777" w:rsidR="008D5FB2" w:rsidRPr="006D131A" w:rsidRDefault="008D5FB2" w:rsidP="00816E2D">
            <w:pPr>
              <w:ind w:firstLine="0"/>
              <w:rPr>
                <w:rFonts w:asciiTheme="majorBidi" w:hAnsiTheme="majorBidi" w:cstheme="majorBidi"/>
                <w:b/>
                <w:iCs/>
                <w:noProof/>
                <w:lang w:val="ro-RO"/>
              </w:rPr>
            </w:pPr>
          </w:p>
        </w:tc>
      </w:tr>
    </w:tbl>
    <w:p w14:paraId="4ED9ED09" w14:textId="77777777" w:rsidR="00167BD0" w:rsidRPr="006D131A" w:rsidRDefault="00167BD0" w:rsidP="00612910">
      <w:pPr>
        <w:rPr>
          <w:iCs/>
          <w:lang w:val="ro-MD"/>
        </w:rPr>
      </w:pPr>
    </w:p>
    <w:sectPr w:rsidR="00167BD0" w:rsidRPr="006D131A" w:rsidSect="00167BD0">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8929" w14:textId="77777777" w:rsidR="00F37626" w:rsidRDefault="00F37626" w:rsidP="00167BD0">
      <w:r>
        <w:separator/>
      </w:r>
    </w:p>
  </w:endnote>
  <w:endnote w:type="continuationSeparator" w:id="0">
    <w:p w14:paraId="4BAF557C" w14:textId="77777777" w:rsidR="00F37626" w:rsidRDefault="00F37626"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88055"/>
      <w:docPartObj>
        <w:docPartGallery w:val="Page Numbers (Bottom of Page)"/>
        <w:docPartUnique/>
      </w:docPartObj>
    </w:sdtPr>
    <w:sdtContent>
      <w:p w14:paraId="0C2E759D" w14:textId="77777777" w:rsidR="002B7348" w:rsidRDefault="002B7348">
        <w:pPr>
          <w:pStyle w:val="Subsol"/>
          <w:jc w:val="center"/>
        </w:pPr>
        <w:r>
          <w:fldChar w:fldCharType="begin"/>
        </w:r>
        <w:r>
          <w:instrText>PAGE   \* MERGEFORMAT</w:instrText>
        </w:r>
        <w:r>
          <w:fldChar w:fldCharType="separate"/>
        </w:r>
        <w:r w:rsidR="009A7FC6" w:rsidRPr="009A7FC6">
          <w:rPr>
            <w:noProof/>
            <w:lang w:val="ro-RO"/>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32C9" w14:textId="77777777" w:rsidR="00F37626" w:rsidRDefault="00F37626" w:rsidP="00167BD0">
      <w:r>
        <w:separator/>
      </w:r>
    </w:p>
  </w:footnote>
  <w:footnote w:type="continuationSeparator" w:id="0">
    <w:p w14:paraId="1336FB3F" w14:textId="77777777" w:rsidR="00F37626" w:rsidRDefault="00F37626" w:rsidP="0016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65888"/>
    <w:multiLevelType w:val="hybridMultilevel"/>
    <w:tmpl w:val="4F642DC4"/>
    <w:lvl w:ilvl="0" w:tplc="552AA396">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5561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D0"/>
    <w:rsid w:val="000004B9"/>
    <w:rsid w:val="00002D08"/>
    <w:rsid w:val="000070A4"/>
    <w:rsid w:val="0009108C"/>
    <w:rsid w:val="000D2DCE"/>
    <w:rsid w:val="000F7CB4"/>
    <w:rsid w:val="001015C7"/>
    <w:rsid w:val="00124743"/>
    <w:rsid w:val="00136FFF"/>
    <w:rsid w:val="00167BD0"/>
    <w:rsid w:val="001A5C42"/>
    <w:rsid w:val="001D7D60"/>
    <w:rsid w:val="001E12AF"/>
    <w:rsid w:val="0023517C"/>
    <w:rsid w:val="0027153A"/>
    <w:rsid w:val="00272E6D"/>
    <w:rsid w:val="002B7348"/>
    <w:rsid w:val="002D6441"/>
    <w:rsid w:val="002F1028"/>
    <w:rsid w:val="003B4B4E"/>
    <w:rsid w:val="00403AE7"/>
    <w:rsid w:val="00405381"/>
    <w:rsid w:val="00454762"/>
    <w:rsid w:val="00493316"/>
    <w:rsid w:val="004A7791"/>
    <w:rsid w:val="004D78EF"/>
    <w:rsid w:val="005255D7"/>
    <w:rsid w:val="00537C69"/>
    <w:rsid w:val="0056130B"/>
    <w:rsid w:val="00574395"/>
    <w:rsid w:val="005E5E4D"/>
    <w:rsid w:val="005E69C3"/>
    <w:rsid w:val="00612910"/>
    <w:rsid w:val="00617EA5"/>
    <w:rsid w:val="00625805"/>
    <w:rsid w:val="00647E07"/>
    <w:rsid w:val="00667FD8"/>
    <w:rsid w:val="00677352"/>
    <w:rsid w:val="006B470F"/>
    <w:rsid w:val="006D131A"/>
    <w:rsid w:val="006E14DD"/>
    <w:rsid w:val="006F1C57"/>
    <w:rsid w:val="00716DA2"/>
    <w:rsid w:val="00767862"/>
    <w:rsid w:val="00775375"/>
    <w:rsid w:val="00781096"/>
    <w:rsid w:val="007F0546"/>
    <w:rsid w:val="007F40E4"/>
    <w:rsid w:val="00814B6F"/>
    <w:rsid w:val="00816E2D"/>
    <w:rsid w:val="008B2646"/>
    <w:rsid w:val="008D5485"/>
    <w:rsid w:val="008D5FB2"/>
    <w:rsid w:val="008F6DF3"/>
    <w:rsid w:val="00903D38"/>
    <w:rsid w:val="00952766"/>
    <w:rsid w:val="00992BA8"/>
    <w:rsid w:val="00995C6A"/>
    <w:rsid w:val="009A61EA"/>
    <w:rsid w:val="009A7FC6"/>
    <w:rsid w:val="009B1578"/>
    <w:rsid w:val="009C6C8F"/>
    <w:rsid w:val="009D4FAB"/>
    <w:rsid w:val="00A4000A"/>
    <w:rsid w:val="00A462A9"/>
    <w:rsid w:val="00A708D9"/>
    <w:rsid w:val="00A809AB"/>
    <w:rsid w:val="00AA5115"/>
    <w:rsid w:val="00AB020D"/>
    <w:rsid w:val="00AD1612"/>
    <w:rsid w:val="00AD16C9"/>
    <w:rsid w:val="00B17614"/>
    <w:rsid w:val="00B51AAE"/>
    <w:rsid w:val="00B5227F"/>
    <w:rsid w:val="00B75B92"/>
    <w:rsid w:val="00B8327D"/>
    <w:rsid w:val="00B87CFE"/>
    <w:rsid w:val="00BB6A41"/>
    <w:rsid w:val="00C6547C"/>
    <w:rsid w:val="00C80050"/>
    <w:rsid w:val="00C87AC1"/>
    <w:rsid w:val="00C90344"/>
    <w:rsid w:val="00CA2BA8"/>
    <w:rsid w:val="00CB4199"/>
    <w:rsid w:val="00CB5461"/>
    <w:rsid w:val="00CD31B6"/>
    <w:rsid w:val="00D2213A"/>
    <w:rsid w:val="00D251F1"/>
    <w:rsid w:val="00D77514"/>
    <w:rsid w:val="00D97E49"/>
    <w:rsid w:val="00DB2653"/>
    <w:rsid w:val="00DF45AD"/>
    <w:rsid w:val="00E279F5"/>
    <w:rsid w:val="00E352E5"/>
    <w:rsid w:val="00E443B7"/>
    <w:rsid w:val="00EE3236"/>
    <w:rsid w:val="00F2583D"/>
    <w:rsid w:val="00F37626"/>
    <w:rsid w:val="00F4170A"/>
    <w:rsid w:val="00F522F3"/>
    <w:rsid w:val="00FC2172"/>
    <w:rsid w:val="00FD3A5D"/>
    <w:rsid w:val="00FD79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E983"/>
  <w15:chartTrackingRefBased/>
  <w15:docId w15:val="{E6E0475B-F00A-498E-BFA5-77C32A56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405381"/>
    <w:rPr>
      <w:color w:val="0563C1" w:themeColor="hyperlink"/>
      <w:u w:val="single"/>
    </w:rPr>
  </w:style>
  <w:style w:type="character" w:styleId="MeniuneNerezolvat">
    <w:name w:val="Unresolved Mention"/>
    <w:basedOn w:val="Fontdeparagrafimplicit"/>
    <w:uiPriority w:val="99"/>
    <w:semiHidden/>
    <w:unhideWhenUsed/>
    <w:rsid w:val="00405381"/>
    <w:rPr>
      <w:color w:val="605E5C"/>
      <w:shd w:val="clear" w:color="auto" w:fill="E1DFDD"/>
    </w:rPr>
  </w:style>
  <w:style w:type="paragraph" w:customStyle="1" w:styleId="title-article-norm">
    <w:name w:val="title-article-norm"/>
    <w:basedOn w:val="Normal"/>
    <w:rsid w:val="00272E6D"/>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272E6D"/>
    <w:pPr>
      <w:spacing w:before="100" w:beforeAutospacing="1" w:after="100" w:afterAutospacing="1"/>
      <w:ind w:firstLine="0"/>
      <w:jc w:val="left"/>
    </w:pPr>
    <w:rPr>
      <w:sz w:val="24"/>
      <w:szCs w:val="24"/>
      <w:lang w:val="ro-RO" w:eastAsia="ro-RO"/>
    </w:rPr>
  </w:style>
  <w:style w:type="paragraph" w:customStyle="1" w:styleId="norm">
    <w:name w:val="norm"/>
    <w:basedOn w:val="Normal"/>
    <w:rsid w:val="00272E6D"/>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1035155858">
      <w:bodyDiv w:val="1"/>
      <w:marLeft w:val="0"/>
      <w:marRight w:val="0"/>
      <w:marTop w:val="0"/>
      <w:marBottom w:val="0"/>
      <w:divBdr>
        <w:top w:val="none" w:sz="0" w:space="0" w:color="auto"/>
        <w:left w:val="none" w:sz="0" w:space="0" w:color="auto"/>
        <w:bottom w:val="none" w:sz="0" w:space="0" w:color="auto"/>
        <w:right w:val="none" w:sz="0" w:space="0" w:color="auto"/>
      </w:divBdr>
      <w:divsChild>
        <w:div w:id="1673024109">
          <w:marLeft w:val="0"/>
          <w:marRight w:val="0"/>
          <w:marTop w:val="0"/>
          <w:marBottom w:val="0"/>
          <w:divBdr>
            <w:top w:val="none" w:sz="0" w:space="0" w:color="auto"/>
            <w:left w:val="none" w:sz="0" w:space="0" w:color="auto"/>
            <w:bottom w:val="none" w:sz="0" w:space="0" w:color="auto"/>
            <w:right w:val="none" w:sz="0" w:space="0" w:color="auto"/>
          </w:divBdr>
        </w:div>
      </w:divsChild>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441408834">
      <w:bodyDiv w:val="1"/>
      <w:marLeft w:val="0"/>
      <w:marRight w:val="0"/>
      <w:marTop w:val="0"/>
      <w:marBottom w:val="0"/>
      <w:divBdr>
        <w:top w:val="none" w:sz="0" w:space="0" w:color="auto"/>
        <w:left w:val="none" w:sz="0" w:space="0" w:color="auto"/>
        <w:bottom w:val="none" w:sz="0" w:space="0" w:color="auto"/>
        <w:right w:val="none" w:sz="0" w:space="0" w:color="auto"/>
      </w:divBdr>
      <w:divsChild>
        <w:div w:id="1841581107">
          <w:marLeft w:val="0"/>
          <w:marRight w:val="0"/>
          <w:marTop w:val="0"/>
          <w:marBottom w:val="0"/>
          <w:divBdr>
            <w:top w:val="none" w:sz="0" w:space="0" w:color="auto"/>
            <w:left w:val="none" w:sz="0" w:space="0" w:color="auto"/>
            <w:bottom w:val="none" w:sz="0" w:space="0" w:color="auto"/>
            <w:right w:val="none" w:sz="0" w:space="0" w:color="auto"/>
          </w:divBdr>
        </w:div>
      </w:divsChild>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428111558">
          <w:marLeft w:val="48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167720856">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3R1337-20131217&amp;qid=1773056193644" TargetMode="External"/><Relationship Id="rId3" Type="http://schemas.openxmlformats.org/officeDocument/2006/relationships/settings" Target="settings.xml"/><Relationship Id="rId7" Type="http://schemas.openxmlformats.org/officeDocument/2006/relationships/hyperlink" Target="https://eur-lex.europa.eu/legal-content/RO/TXT/?uri=CELEX%3A02013R1337-20131217&amp;qid=17730561936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RO/TXT/?uri=CELEX%3A02013R1337-20131217&amp;qid=177305619364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3307</Words>
  <Characters>19185</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Albina Mereuță</cp:lastModifiedBy>
  <cp:revision>5</cp:revision>
  <dcterms:created xsi:type="dcterms:W3CDTF">2026-03-11T09:07:00Z</dcterms:created>
  <dcterms:modified xsi:type="dcterms:W3CDTF">2026-05-29T11:27:00Z</dcterms:modified>
</cp:coreProperties>
</file>