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7CF7" w14:textId="77777777" w:rsidR="00237F48" w:rsidRPr="000E5DD6" w:rsidRDefault="00237F48" w:rsidP="00237F48">
      <w:pPr>
        <w:spacing w:after="0"/>
        <w:jc w:val="right"/>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UE</w:t>
      </w:r>
    </w:p>
    <w:p w14:paraId="071AC35C" w14:textId="77777777" w:rsidR="00237F48" w:rsidRPr="000E5DD6" w:rsidRDefault="00237F48" w:rsidP="00237F48">
      <w:pPr>
        <w:spacing w:after="0"/>
        <w:jc w:val="right"/>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Proiect</w:t>
      </w:r>
    </w:p>
    <w:p w14:paraId="28C559AC"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p>
    <w:p w14:paraId="360DD1C5"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LEGE</w:t>
      </w:r>
    </w:p>
    <w:p w14:paraId="4B355030"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privind comercializarea și utilizarea </w:t>
      </w:r>
    </w:p>
    <w:p w14:paraId="57522CE2"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precursorilor de explozivi</w:t>
      </w:r>
    </w:p>
    <w:p w14:paraId="0690C614" w14:textId="77777777" w:rsidR="00237F48" w:rsidRPr="000E5DD6" w:rsidRDefault="00237F48" w:rsidP="00237F48">
      <w:pPr>
        <w:spacing w:after="0"/>
        <w:rPr>
          <w:rFonts w:ascii="Times New Roman" w:hAnsi="Times New Roman" w:cs="Times New Roman"/>
          <w:color w:val="000000" w:themeColor="text1"/>
          <w:sz w:val="28"/>
          <w:szCs w:val="28"/>
          <w:lang w:val="ro-MD"/>
        </w:rPr>
      </w:pPr>
    </w:p>
    <w:p w14:paraId="7B0B96EC" w14:textId="77777777" w:rsidR="00237F48" w:rsidRPr="000E5DD6" w:rsidRDefault="00237F48" w:rsidP="00237F48">
      <w:pPr>
        <w:spacing w:after="0"/>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Parlamentul adoptă prezenta lege organică.</w:t>
      </w:r>
    </w:p>
    <w:p w14:paraId="06A9DBA4"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Prezenta lege transpune parțial Regulamentul (UE) 2019/1148 al Parlamentului European și al Consiliului din 20 iunie 2019 privind comercializarea și utilizarea precursorilor de explozivi, de modificare a Regulamentului (CE) nr. 1907/2006 și de abrogare a Regulamentului (UE) nr. 98/2013 (Text cu relevanță pentru SEE) (în continuare – Regulamentul (UE) 2019/1148 al Parlamentului European și al Consiliului din 20 iunie 2019).</w:t>
      </w:r>
    </w:p>
    <w:p w14:paraId="3D5BD874"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p>
    <w:p w14:paraId="078BA4A0"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p>
    <w:p w14:paraId="1337305F"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CAPITOLUL I</w:t>
      </w:r>
    </w:p>
    <w:p w14:paraId="4747605D"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DISPOZIȚII GENERALE</w:t>
      </w:r>
    </w:p>
    <w:p w14:paraId="18489DF0"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34DFC4F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Articolul 1. Obiectul și scopul legii</w:t>
      </w:r>
    </w:p>
    <w:p w14:paraId="0794548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Prezenta lege stabilește cadrul juridic privind regimul precursorilor de explozivi, inclusiv reglementări privind plasarea pe piață, introducerea pe piață, deținerea, depozitarea, stocarea, utilizarea, distribuirea, producerea, introducerea pe/scoaterea de pe teritoriul vamal, transportul și monitorizarea acestora, în scopul prevenirii utilizării lor ilicite.</w:t>
      </w:r>
    </w:p>
    <w:p w14:paraId="607CAC1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Scopul prezentei legi este:</w:t>
      </w:r>
    </w:p>
    <w:p w14:paraId="29E2ECC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prevenirea fabricării ilicite a explozivilor improvizați;</w:t>
      </w:r>
    </w:p>
    <w:p w14:paraId="01A1B8BB" w14:textId="39833162"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sporirea securității publice și reducerea riscurilor asociate manipulării cu</w:t>
      </w:r>
      <w:r w:rsidRPr="000E5DD6">
        <w:rPr>
          <w:color w:val="000000" w:themeColor="text1"/>
          <w:lang w:val="ro-MD"/>
        </w:rPr>
        <w:t xml:space="preserve"> </w:t>
      </w:r>
      <w:r w:rsidRPr="000E5DD6">
        <w:rPr>
          <w:rFonts w:ascii="Times New Roman" w:hAnsi="Times New Roman" w:cs="Times New Roman"/>
          <w:color w:val="000000" w:themeColor="text1"/>
          <w:sz w:val="28"/>
          <w:szCs w:val="28"/>
          <w:lang w:val="ro-MD"/>
        </w:rPr>
        <w:t xml:space="preserve">substanțe chimice și amestecuri care pot fi utilizate pentru obținerea de precursori de explozivi restricționați sau reglementați, astfel cum sunt stabilite prin actele normative ale Guvernului, inclusiv Hotărârea Guvernului nr. 24/2025 cu privire la Sistemul </w:t>
      </w:r>
      <w:proofErr w:type="spellStart"/>
      <w:r w:rsidRPr="000E5DD6">
        <w:rPr>
          <w:rFonts w:ascii="Times New Roman" w:hAnsi="Times New Roman" w:cs="Times New Roman"/>
          <w:color w:val="000000" w:themeColor="text1"/>
          <w:sz w:val="28"/>
          <w:szCs w:val="28"/>
          <w:lang w:val="ro-MD"/>
        </w:rPr>
        <w:t>naţional</w:t>
      </w:r>
      <w:proofErr w:type="spellEnd"/>
      <w:r w:rsidRPr="000E5DD6">
        <w:rPr>
          <w:rFonts w:ascii="Times New Roman" w:hAnsi="Times New Roman" w:cs="Times New Roman"/>
          <w:color w:val="000000" w:themeColor="text1"/>
          <w:sz w:val="28"/>
          <w:szCs w:val="28"/>
          <w:lang w:val="ro-MD"/>
        </w:rPr>
        <w:t xml:space="preserve"> de control al comerțului cu mărfuri strategice în Republica Moldova</w:t>
      </w:r>
      <w:r w:rsidR="006727F3" w:rsidRPr="000E5DD6">
        <w:rPr>
          <w:rFonts w:ascii="Times New Roman" w:hAnsi="Times New Roman" w:cs="Times New Roman"/>
          <w:color w:val="000000" w:themeColor="text1"/>
          <w:sz w:val="28"/>
          <w:szCs w:val="28"/>
          <w:lang w:val="ro-MD"/>
        </w:rPr>
        <w:t>;</w:t>
      </w:r>
    </w:p>
    <w:p w14:paraId="343880C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asigurarea trasabilității în lanțul de aprovizionare cu precursori de explozivi;</w:t>
      </w:r>
    </w:p>
    <w:p w14:paraId="76B11786" w14:textId="790A4295"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stabilirea obligațiilor operatorilor economici și utilizatorilor profesionali în domeniu</w:t>
      </w:r>
      <w:r w:rsidR="006727F3" w:rsidRPr="000E5DD6">
        <w:rPr>
          <w:rFonts w:ascii="Times New Roman" w:hAnsi="Times New Roman" w:cs="Times New Roman"/>
          <w:color w:val="000000" w:themeColor="text1"/>
          <w:sz w:val="28"/>
          <w:szCs w:val="28"/>
          <w:lang w:val="ro-MD"/>
        </w:rPr>
        <w:t>.</w:t>
      </w:r>
    </w:p>
    <w:p w14:paraId="02E07518"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77F8C9E5"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2. Domeniul de aplicare</w:t>
      </w:r>
    </w:p>
    <w:p w14:paraId="1E664E8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Prezenta lege se aplică substanțelor chimice și amestecurilor care pot fi utilizate pentru fabricarea explozivilor improvizați și care sunt declarate precursori de explozivi restricționați sau precursori de explozivi reglementați în conformitate cu actele normative ale Guvernului.</w:t>
      </w:r>
    </w:p>
    <w:p w14:paraId="55DF770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(2) Prevederile prezentei legi sunt aplicabile persoanelor fizice și juridice care produc, introduc pe/scot de pe teritoriul vamal, plasează pe piață, distribuie, transportă, depozitează sau utilizează precursori de explozivi.</w:t>
      </w:r>
    </w:p>
    <w:p w14:paraId="78E5DCD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Prezenta lege nu se aplică:</w:t>
      </w:r>
    </w:p>
    <w:p w14:paraId="2555549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explozivilor de uz civil;</w:t>
      </w:r>
    </w:p>
    <w:p w14:paraId="559BA2F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articolelor pirotehnice;</w:t>
      </w:r>
    </w:p>
    <w:p w14:paraId="4EC6A8D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articolelor, astfel cum sunt definite în Legea nr. 277/2018 privind substanțele chimice;</w:t>
      </w:r>
    </w:p>
    <w:p w14:paraId="3648A0F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capselor de percuție destinate jucăriilor;</w:t>
      </w:r>
    </w:p>
    <w:p w14:paraId="1B54018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medicamentelor de uz uman și veterinar autorizate și puse pe piață, în conformitate cu dreptul intern aplicabil, indiferent de regimul de eliberare;</w:t>
      </w:r>
    </w:p>
    <w:p w14:paraId="00CBF4D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munițiilor;</w:t>
      </w:r>
    </w:p>
    <w:p w14:paraId="2B7D5AB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g) substanțelor chimice reglementate prin acte normative sectoriale, utilizate exclusiv în industrie, agricultură, fabricația și circulația medicamentelor, domeniul medicinii, sănătății publice, cercetării biomedicale sau în activități de laborator desfășurate în cadrul instituțiilor medico-sanitare, în scopuri diagnostice, terapeutice, farmaceutice ori științifice.</w:t>
      </w:r>
    </w:p>
    <w:p w14:paraId="030DDA3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Prevederile referitoare la regimul precursorilor de explozivi aflați în tranzit pe teritoriul Republicii Moldova se stabilesc în conformitate cu dispozițiile finale și tranzitorii ale prezentei legi.</w:t>
      </w:r>
    </w:p>
    <w:p w14:paraId="4578B2F4"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4276035C"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3. Principiile reglementării precursorilor de explozivi</w:t>
      </w:r>
    </w:p>
    <w:p w14:paraId="446BC8D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Regimul juridic al precursorilor de explozivi se întemeiază pe următoarele principii:</w:t>
      </w:r>
    </w:p>
    <w:p w14:paraId="7605F4C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principiul securității publice – prevenirea utilizării precursorilor de explozivi în scopuri ilegale sau teroriste;</w:t>
      </w:r>
    </w:p>
    <w:p w14:paraId="5D8CEB2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principiul precauției – aplicarea măsurilor necesare pentru reducerea riscurilor potențiale asociate substanțelor chimice;</w:t>
      </w:r>
    </w:p>
    <w:p w14:paraId="02264E7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principiul proporționalității – măsurile stabilite trebuie să fie adecvate riscurilor și adaptate domeniului de activitate;</w:t>
      </w:r>
    </w:p>
    <w:p w14:paraId="129C615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principiul trasabilității – monitorizarea fluxului precursorilor de explozivi pe întreg lanțul de aprovizionare;</w:t>
      </w:r>
    </w:p>
    <w:p w14:paraId="144F8FC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principiul responsabilității operatorilor economici – obligația acestora de a asigura manipularea, depozitarea și comercializarea în siguranță a precursorilor;</w:t>
      </w:r>
    </w:p>
    <w:p w14:paraId="4B4C1DE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principiul cooperării interinstituționale – acțiunea coordonată a autorităților competente în vederea prevenirii utilizării ilicite;</w:t>
      </w:r>
    </w:p>
    <w:p w14:paraId="4224523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g) principiul transparenței și informării – asigurarea accesului părților interesate la informații relevante privind regimul legal al precursorilor;</w:t>
      </w:r>
    </w:p>
    <w:p w14:paraId="06727793" w14:textId="1AD6F204"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color w:val="000000" w:themeColor="text1"/>
          <w:sz w:val="28"/>
          <w:szCs w:val="28"/>
          <w:lang w:val="ro-MD"/>
        </w:rPr>
        <w:t>h) principiul alin</w:t>
      </w:r>
      <w:r w:rsidR="00135B87" w:rsidRPr="000E5DD6">
        <w:rPr>
          <w:rFonts w:ascii="Times New Roman" w:hAnsi="Times New Roman" w:cs="Times New Roman"/>
          <w:color w:val="000000" w:themeColor="text1"/>
          <w:sz w:val="28"/>
          <w:szCs w:val="28"/>
          <w:lang w:val="ro-MD"/>
        </w:rPr>
        <w:t>ie</w:t>
      </w:r>
      <w:r w:rsidRPr="000E5DD6">
        <w:rPr>
          <w:rFonts w:ascii="Times New Roman" w:hAnsi="Times New Roman" w:cs="Times New Roman"/>
          <w:color w:val="000000" w:themeColor="text1"/>
          <w:sz w:val="28"/>
          <w:szCs w:val="28"/>
          <w:lang w:val="ro-MD"/>
        </w:rPr>
        <w:t>rii progresive la acquis-</w:t>
      </w:r>
      <w:proofErr w:type="spellStart"/>
      <w:r w:rsidRPr="000E5DD6">
        <w:rPr>
          <w:rFonts w:ascii="Times New Roman" w:hAnsi="Times New Roman" w:cs="Times New Roman"/>
          <w:color w:val="000000" w:themeColor="text1"/>
          <w:sz w:val="28"/>
          <w:szCs w:val="28"/>
          <w:lang w:val="ro-MD"/>
        </w:rPr>
        <w:t>ul</w:t>
      </w:r>
      <w:proofErr w:type="spellEnd"/>
      <w:r w:rsidRPr="000E5DD6">
        <w:rPr>
          <w:rFonts w:ascii="Times New Roman" w:hAnsi="Times New Roman" w:cs="Times New Roman"/>
          <w:color w:val="000000" w:themeColor="text1"/>
          <w:sz w:val="28"/>
          <w:szCs w:val="28"/>
          <w:lang w:val="ro-MD"/>
        </w:rPr>
        <w:t xml:space="preserve"> Uniunii Europene – adaptarea continuă a cadrului normativ în funcție de evoluțiile legislației UE.</w:t>
      </w:r>
    </w:p>
    <w:p w14:paraId="7061FE58"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7A675BCB"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395417DB" w14:textId="2B3DB310" w:rsidR="00237F48" w:rsidRPr="000E5DD6" w:rsidRDefault="00237F48" w:rsidP="000E5DD6">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lastRenderedPageBreak/>
        <w:t xml:space="preserve">Articolul 4. Delimitarea atribuțiilor în domeniul                                comercializării și utilizării precursorilor de explozivi </w:t>
      </w:r>
    </w:p>
    <w:p w14:paraId="5B6A7E0B" w14:textId="262B0DD6" w:rsidR="0087375A" w:rsidRPr="000E5DD6" w:rsidRDefault="00237F48" w:rsidP="001F3CEB">
      <w:pPr>
        <w:pStyle w:val="Listparagraf"/>
        <w:numPr>
          <w:ilvl w:val="0"/>
          <w:numId w:val="9"/>
        </w:numPr>
        <w:tabs>
          <w:tab w:val="left" w:pos="1134"/>
        </w:tabs>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Inspectoratul pentru Protecția Mediului</w:t>
      </w:r>
      <w:r w:rsidR="008C0BF0" w:rsidRPr="000E5DD6">
        <w:rPr>
          <w:rFonts w:ascii="Times New Roman" w:hAnsi="Times New Roman" w:cs="Times New Roman"/>
          <w:color w:val="000000" w:themeColor="text1"/>
          <w:sz w:val="28"/>
          <w:szCs w:val="28"/>
          <w:lang w:val="ro-MD"/>
        </w:rPr>
        <w:t>, A</w:t>
      </w:r>
      <w:r w:rsidR="00784855" w:rsidRPr="000E5DD6">
        <w:rPr>
          <w:rFonts w:ascii="Times New Roman" w:hAnsi="Times New Roman" w:cs="Times New Roman"/>
          <w:color w:val="000000" w:themeColor="text1"/>
          <w:sz w:val="28"/>
          <w:szCs w:val="28"/>
          <w:lang w:val="ro-MD"/>
        </w:rPr>
        <w:t xml:space="preserve">genția </w:t>
      </w:r>
      <w:r w:rsidR="008C0BF0" w:rsidRPr="000E5DD6">
        <w:rPr>
          <w:rFonts w:ascii="Times New Roman" w:hAnsi="Times New Roman" w:cs="Times New Roman"/>
          <w:color w:val="000000" w:themeColor="text1"/>
          <w:sz w:val="28"/>
          <w:szCs w:val="28"/>
          <w:lang w:val="ro-MD"/>
        </w:rPr>
        <w:t>N</w:t>
      </w:r>
      <w:r w:rsidR="00784855" w:rsidRPr="000E5DD6">
        <w:rPr>
          <w:rFonts w:ascii="Times New Roman" w:hAnsi="Times New Roman" w:cs="Times New Roman"/>
          <w:color w:val="000000" w:themeColor="text1"/>
          <w:sz w:val="28"/>
          <w:szCs w:val="28"/>
          <w:lang w:val="ro-MD"/>
        </w:rPr>
        <w:t xml:space="preserve">ațională </w:t>
      </w:r>
      <w:r w:rsidR="00542A33" w:rsidRPr="000E5DD6">
        <w:rPr>
          <w:rFonts w:ascii="Times New Roman" w:hAnsi="Times New Roman" w:cs="Times New Roman"/>
          <w:color w:val="000000" w:themeColor="text1"/>
          <w:sz w:val="28"/>
          <w:szCs w:val="28"/>
          <w:lang w:val="ro-MD"/>
        </w:rPr>
        <w:t xml:space="preserve">pentru </w:t>
      </w:r>
      <w:r w:rsidR="008C0BF0" w:rsidRPr="000E5DD6">
        <w:rPr>
          <w:rFonts w:ascii="Times New Roman" w:hAnsi="Times New Roman" w:cs="Times New Roman"/>
          <w:color w:val="000000" w:themeColor="text1"/>
          <w:sz w:val="28"/>
          <w:szCs w:val="28"/>
          <w:lang w:val="ro-MD"/>
        </w:rPr>
        <w:t>S</w:t>
      </w:r>
      <w:r w:rsidR="00542A33" w:rsidRPr="000E5DD6">
        <w:rPr>
          <w:rFonts w:ascii="Times New Roman" w:hAnsi="Times New Roman" w:cs="Times New Roman"/>
          <w:color w:val="000000" w:themeColor="text1"/>
          <w:sz w:val="28"/>
          <w:szCs w:val="28"/>
          <w:lang w:val="ro-MD"/>
        </w:rPr>
        <w:t xml:space="preserve">iguranța </w:t>
      </w:r>
      <w:r w:rsidR="008C0BF0" w:rsidRPr="000E5DD6">
        <w:rPr>
          <w:rFonts w:ascii="Times New Roman" w:hAnsi="Times New Roman" w:cs="Times New Roman"/>
          <w:color w:val="000000" w:themeColor="text1"/>
          <w:sz w:val="28"/>
          <w:szCs w:val="28"/>
          <w:lang w:val="ro-MD"/>
        </w:rPr>
        <w:t>A</w:t>
      </w:r>
      <w:r w:rsidR="00542A33" w:rsidRPr="000E5DD6">
        <w:rPr>
          <w:rFonts w:ascii="Times New Roman" w:hAnsi="Times New Roman" w:cs="Times New Roman"/>
          <w:color w:val="000000" w:themeColor="text1"/>
          <w:sz w:val="28"/>
          <w:szCs w:val="28"/>
          <w:lang w:val="ro-MD"/>
        </w:rPr>
        <w:t>limentelor</w:t>
      </w:r>
      <w:r w:rsidR="00D339C2" w:rsidRPr="000E5DD6">
        <w:rPr>
          <w:rFonts w:ascii="Times New Roman" w:hAnsi="Times New Roman" w:cs="Times New Roman"/>
          <w:color w:val="000000" w:themeColor="text1"/>
          <w:sz w:val="28"/>
          <w:szCs w:val="28"/>
          <w:lang w:val="ro-MD"/>
        </w:rPr>
        <w:t xml:space="preserve">, Agenția Națională pentru </w:t>
      </w:r>
      <w:r w:rsidR="00F32201" w:rsidRPr="000E5DD6">
        <w:rPr>
          <w:rFonts w:ascii="Times New Roman" w:hAnsi="Times New Roman" w:cs="Times New Roman"/>
          <w:color w:val="000000" w:themeColor="text1"/>
          <w:sz w:val="28"/>
          <w:szCs w:val="28"/>
          <w:lang w:val="ro-MD"/>
        </w:rPr>
        <w:t>Sănătate Publică</w:t>
      </w:r>
      <w:r w:rsidR="001D2096">
        <w:rPr>
          <w:rFonts w:ascii="Times New Roman" w:hAnsi="Times New Roman" w:cs="Times New Roman"/>
          <w:color w:val="000000" w:themeColor="text1"/>
          <w:sz w:val="28"/>
          <w:szCs w:val="28"/>
          <w:lang w:val="ro-MD"/>
        </w:rPr>
        <w:t xml:space="preserve"> </w:t>
      </w:r>
      <w:r w:rsidR="00104A66" w:rsidRPr="000E5DD6">
        <w:rPr>
          <w:rFonts w:ascii="Times New Roman" w:hAnsi="Times New Roman" w:cs="Times New Roman"/>
          <w:color w:val="000000" w:themeColor="text1"/>
          <w:sz w:val="28"/>
          <w:szCs w:val="28"/>
          <w:lang w:val="ro-MD"/>
        </w:rPr>
        <w:t>și</w:t>
      </w:r>
      <w:r w:rsidR="008C0BF0" w:rsidRPr="000E5DD6">
        <w:rPr>
          <w:rFonts w:ascii="Times New Roman" w:hAnsi="Times New Roman" w:cs="Times New Roman"/>
          <w:color w:val="000000" w:themeColor="text1"/>
          <w:sz w:val="28"/>
          <w:szCs w:val="28"/>
          <w:lang w:val="ro-MD"/>
        </w:rPr>
        <w:t xml:space="preserve"> I</w:t>
      </w:r>
      <w:r w:rsidR="00886CDC" w:rsidRPr="000E5DD6">
        <w:rPr>
          <w:rFonts w:ascii="Times New Roman" w:hAnsi="Times New Roman" w:cs="Times New Roman"/>
          <w:color w:val="000000" w:themeColor="text1"/>
          <w:sz w:val="28"/>
          <w:szCs w:val="28"/>
          <w:lang w:val="ro-MD"/>
        </w:rPr>
        <w:t xml:space="preserve">nspectoratul </w:t>
      </w:r>
      <w:r w:rsidR="008C0BF0" w:rsidRPr="000E5DD6">
        <w:rPr>
          <w:rFonts w:ascii="Times New Roman" w:hAnsi="Times New Roman" w:cs="Times New Roman"/>
          <w:color w:val="000000" w:themeColor="text1"/>
          <w:sz w:val="28"/>
          <w:szCs w:val="28"/>
          <w:lang w:val="ro-MD"/>
        </w:rPr>
        <w:t>N</w:t>
      </w:r>
      <w:r w:rsidR="00886CDC" w:rsidRPr="000E5DD6">
        <w:rPr>
          <w:rFonts w:ascii="Times New Roman" w:hAnsi="Times New Roman" w:cs="Times New Roman"/>
          <w:color w:val="000000" w:themeColor="text1"/>
          <w:sz w:val="28"/>
          <w:szCs w:val="28"/>
          <w:lang w:val="ro-MD"/>
        </w:rPr>
        <w:t xml:space="preserve">ațional de </w:t>
      </w:r>
      <w:r w:rsidR="008C0BF0" w:rsidRPr="000E5DD6">
        <w:rPr>
          <w:rFonts w:ascii="Times New Roman" w:hAnsi="Times New Roman" w:cs="Times New Roman"/>
          <w:color w:val="000000" w:themeColor="text1"/>
          <w:sz w:val="28"/>
          <w:szCs w:val="28"/>
          <w:lang w:val="ro-MD"/>
        </w:rPr>
        <w:t>S</w:t>
      </w:r>
      <w:r w:rsidR="00886CDC" w:rsidRPr="000E5DD6">
        <w:rPr>
          <w:rFonts w:ascii="Times New Roman" w:hAnsi="Times New Roman" w:cs="Times New Roman"/>
          <w:color w:val="000000" w:themeColor="text1"/>
          <w:sz w:val="28"/>
          <w:szCs w:val="28"/>
          <w:lang w:val="ro-MD"/>
        </w:rPr>
        <w:t xml:space="preserve">upraveghere </w:t>
      </w:r>
      <w:r w:rsidR="008C0BF0" w:rsidRPr="000E5DD6">
        <w:rPr>
          <w:rFonts w:ascii="Times New Roman" w:hAnsi="Times New Roman" w:cs="Times New Roman"/>
          <w:color w:val="000000" w:themeColor="text1"/>
          <w:sz w:val="28"/>
          <w:szCs w:val="28"/>
          <w:lang w:val="ro-MD"/>
        </w:rPr>
        <w:t>T</w:t>
      </w:r>
      <w:r w:rsidR="00886CDC" w:rsidRPr="000E5DD6">
        <w:rPr>
          <w:rFonts w:ascii="Times New Roman" w:hAnsi="Times New Roman" w:cs="Times New Roman"/>
          <w:color w:val="000000" w:themeColor="text1"/>
          <w:sz w:val="28"/>
          <w:szCs w:val="28"/>
          <w:lang w:val="ro-MD"/>
        </w:rPr>
        <w:t>ehnică</w:t>
      </w:r>
      <w:r w:rsidRPr="000E5DD6">
        <w:rPr>
          <w:rFonts w:ascii="Times New Roman" w:hAnsi="Times New Roman" w:cs="Times New Roman"/>
          <w:color w:val="000000" w:themeColor="text1"/>
          <w:sz w:val="28"/>
          <w:szCs w:val="28"/>
          <w:lang w:val="ro-MD"/>
        </w:rPr>
        <w:t xml:space="preserve"> exercită </w:t>
      </w:r>
      <w:r w:rsidR="000E0B1E" w:rsidRPr="000E5DD6">
        <w:rPr>
          <w:rFonts w:ascii="Times New Roman" w:hAnsi="Times New Roman" w:cs="Times New Roman"/>
          <w:color w:val="000000" w:themeColor="text1"/>
          <w:sz w:val="28"/>
          <w:szCs w:val="28"/>
          <w:lang w:val="ro-MD"/>
        </w:rPr>
        <w:t>funcții</w:t>
      </w:r>
      <w:r w:rsidR="003D0556" w:rsidRPr="000E5DD6">
        <w:rPr>
          <w:rFonts w:ascii="Times New Roman" w:hAnsi="Times New Roman" w:cs="Times New Roman"/>
          <w:color w:val="000000" w:themeColor="text1"/>
          <w:sz w:val="28"/>
          <w:szCs w:val="28"/>
          <w:lang w:val="ro-MD"/>
        </w:rPr>
        <w:t xml:space="preserve"> </w:t>
      </w:r>
      <w:r w:rsidRPr="000E5DD6">
        <w:rPr>
          <w:rFonts w:ascii="Times New Roman" w:hAnsi="Times New Roman" w:cs="Times New Roman"/>
          <w:color w:val="000000" w:themeColor="text1"/>
          <w:sz w:val="28"/>
          <w:szCs w:val="28"/>
          <w:lang w:val="ro-MD"/>
        </w:rPr>
        <w:t>de supraveghere a pieței și control de stat</w:t>
      </w:r>
      <w:r w:rsidR="00680195" w:rsidRPr="000E5DD6">
        <w:rPr>
          <w:rFonts w:ascii="Times New Roman" w:hAnsi="Times New Roman" w:cs="Times New Roman"/>
          <w:color w:val="000000" w:themeColor="text1"/>
          <w:sz w:val="28"/>
          <w:szCs w:val="28"/>
          <w:lang w:val="ro-MD"/>
        </w:rPr>
        <w:t xml:space="preserve"> în sensul prezentei legi, conform prevederilor </w:t>
      </w:r>
      <w:r w:rsidR="00680195" w:rsidRPr="000E5DD6">
        <w:rPr>
          <w:rFonts w:ascii="Times New Roman" w:hAnsi="Times New Roman" w:cs="Times New Roman"/>
          <w:bCs/>
          <w:color w:val="000000" w:themeColor="text1"/>
          <w:sz w:val="28"/>
          <w:szCs w:val="28"/>
          <w:lang w:val="ro-MD"/>
        </w:rPr>
        <w:t>Leg</w:t>
      </w:r>
      <w:r w:rsidR="00B14D1A" w:rsidRPr="000E5DD6">
        <w:rPr>
          <w:rFonts w:ascii="Times New Roman" w:hAnsi="Times New Roman" w:cs="Times New Roman"/>
          <w:bCs/>
          <w:color w:val="000000" w:themeColor="text1"/>
          <w:sz w:val="28"/>
          <w:szCs w:val="28"/>
          <w:lang w:val="ro-MD"/>
        </w:rPr>
        <w:t>ii</w:t>
      </w:r>
      <w:r w:rsidR="00680195" w:rsidRPr="000E5DD6">
        <w:rPr>
          <w:rFonts w:ascii="Times New Roman" w:hAnsi="Times New Roman" w:cs="Times New Roman"/>
          <w:bCs/>
          <w:color w:val="000000" w:themeColor="text1"/>
          <w:sz w:val="28"/>
          <w:szCs w:val="28"/>
          <w:lang w:val="ro-MD"/>
        </w:rPr>
        <w:t xml:space="preserve"> nr. 131/2012 privind controlul de stat și Leg</w:t>
      </w:r>
      <w:r w:rsidR="00B14D1A" w:rsidRPr="000E5DD6">
        <w:rPr>
          <w:rFonts w:ascii="Times New Roman" w:hAnsi="Times New Roman" w:cs="Times New Roman"/>
          <w:bCs/>
          <w:color w:val="000000" w:themeColor="text1"/>
          <w:sz w:val="28"/>
          <w:szCs w:val="28"/>
          <w:lang w:val="ro-MD"/>
        </w:rPr>
        <w:t>ii</w:t>
      </w:r>
      <w:r w:rsidR="00680195" w:rsidRPr="000E5DD6">
        <w:rPr>
          <w:rFonts w:ascii="Times New Roman" w:hAnsi="Times New Roman" w:cs="Times New Roman"/>
          <w:bCs/>
          <w:color w:val="000000" w:themeColor="text1"/>
          <w:sz w:val="28"/>
          <w:szCs w:val="28"/>
          <w:lang w:val="ro-MD"/>
        </w:rPr>
        <w:t xml:space="preserve"> nr. 162/2023 privind supravegherea pieței și conformitatea produselor</w:t>
      </w:r>
      <w:r w:rsidR="00B14D1A" w:rsidRPr="000E5DD6">
        <w:rPr>
          <w:rFonts w:ascii="Times New Roman" w:hAnsi="Times New Roman" w:cs="Times New Roman"/>
          <w:color w:val="000000" w:themeColor="text1"/>
          <w:sz w:val="28"/>
          <w:szCs w:val="28"/>
          <w:lang w:val="ro-MD"/>
        </w:rPr>
        <w:t xml:space="preserve">, </w:t>
      </w:r>
      <w:r w:rsidR="00447958" w:rsidRPr="000E5DD6">
        <w:rPr>
          <w:rFonts w:ascii="Times New Roman" w:hAnsi="Times New Roman" w:cs="Times New Roman"/>
          <w:color w:val="000000" w:themeColor="text1"/>
          <w:sz w:val="28"/>
          <w:szCs w:val="28"/>
          <w:lang w:val="ro-MD"/>
        </w:rPr>
        <w:t xml:space="preserve">asupra </w:t>
      </w:r>
      <w:r w:rsidR="00300E9F" w:rsidRPr="000E5DD6">
        <w:rPr>
          <w:rFonts w:ascii="Times New Roman" w:hAnsi="Times New Roman" w:cs="Times New Roman"/>
          <w:color w:val="000000" w:themeColor="text1"/>
          <w:sz w:val="28"/>
          <w:szCs w:val="28"/>
          <w:lang w:val="ro-MD"/>
        </w:rPr>
        <w:t xml:space="preserve">precursorilor de explozivi </w:t>
      </w:r>
      <w:r w:rsidR="00E12123" w:rsidRPr="000E5DD6">
        <w:rPr>
          <w:rFonts w:ascii="Times New Roman" w:hAnsi="Times New Roman" w:cs="Times New Roman"/>
          <w:color w:val="000000" w:themeColor="text1"/>
          <w:sz w:val="28"/>
          <w:szCs w:val="28"/>
          <w:lang w:val="ro-MD"/>
        </w:rPr>
        <w:t>reglementați la</w:t>
      </w:r>
      <w:r w:rsidR="008E001E" w:rsidRPr="000E5DD6">
        <w:rPr>
          <w:rFonts w:ascii="Times New Roman" w:hAnsi="Times New Roman" w:cs="Times New Roman"/>
          <w:color w:val="000000" w:themeColor="text1"/>
          <w:sz w:val="28"/>
          <w:szCs w:val="28"/>
          <w:lang w:val="ro-MD"/>
        </w:rPr>
        <w:t xml:space="preserve"> </w:t>
      </w:r>
      <w:r w:rsidR="002A7A51" w:rsidRPr="000E5DD6">
        <w:rPr>
          <w:rFonts w:ascii="Times New Roman" w:hAnsi="Times New Roman" w:cs="Times New Roman"/>
          <w:color w:val="000000" w:themeColor="text1"/>
          <w:sz w:val="28"/>
          <w:szCs w:val="28"/>
          <w:lang w:val="ro-MD"/>
        </w:rPr>
        <w:t>anexe</w:t>
      </w:r>
      <w:r w:rsidR="00E12123" w:rsidRPr="000E5DD6">
        <w:rPr>
          <w:rFonts w:ascii="Times New Roman" w:hAnsi="Times New Roman" w:cs="Times New Roman"/>
          <w:color w:val="000000" w:themeColor="text1"/>
          <w:sz w:val="28"/>
          <w:szCs w:val="28"/>
          <w:lang w:val="ro-MD"/>
        </w:rPr>
        <w:t>le</w:t>
      </w:r>
      <w:r w:rsidR="002A7A51" w:rsidRPr="000E5DD6">
        <w:rPr>
          <w:rFonts w:ascii="Times New Roman" w:hAnsi="Times New Roman" w:cs="Times New Roman"/>
          <w:color w:val="000000" w:themeColor="text1"/>
          <w:sz w:val="28"/>
          <w:szCs w:val="28"/>
          <w:lang w:val="ro-MD"/>
        </w:rPr>
        <w:t xml:space="preserve"> nr. 1 și 2</w:t>
      </w:r>
      <w:r w:rsidR="0087375A" w:rsidRPr="000E5DD6">
        <w:rPr>
          <w:rFonts w:ascii="Times New Roman" w:hAnsi="Times New Roman" w:cs="Times New Roman"/>
          <w:color w:val="000000" w:themeColor="text1"/>
          <w:sz w:val="28"/>
          <w:szCs w:val="28"/>
          <w:lang w:val="ro-MD"/>
        </w:rPr>
        <w:t>.</w:t>
      </w:r>
    </w:p>
    <w:p w14:paraId="39FCEE00" w14:textId="790B3677" w:rsidR="00237F48" w:rsidRPr="000E5DD6" w:rsidRDefault="0087375A" w:rsidP="000E5DD6">
      <w:pPr>
        <w:pStyle w:val="Listparagraf"/>
        <w:numPr>
          <w:ilvl w:val="0"/>
          <w:numId w:val="9"/>
        </w:numPr>
        <w:spacing w:after="0"/>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Autoritățile </w:t>
      </w:r>
      <w:r w:rsidR="006B2887" w:rsidRPr="000E5DD6">
        <w:rPr>
          <w:rFonts w:ascii="Times New Roman" w:hAnsi="Times New Roman" w:cs="Times New Roman"/>
          <w:color w:val="000000" w:themeColor="text1"/>
          <w:sz w:val="28"/>
          <w:szCs w:val="28"/>
          <w:lang w:val="ro-MD"/>
        </w:rPr>
        <w:t>menționate la alineatul (1)</w:t>
      </w:r>
      <w:r w:rsidR="003738A4" w:rsidRPr="000E5DD6">
        <w:rPr>
          <w:rFonts w:ascii="Times New Roman" w:hAnsi="Times New Roman" w:cs="Times New Roman"/>
          <w:color w:val="000000" w:themeColor="text1"/>
          <w:sz w:val="28"/>
          <w:szCs w:val="28"/>
          <w:lang w:val="ro-MD"/>
        </w:rPr>
        <w:t xml:space="preserve"> </w:t>
      </w:r>
      <w:r w:rsidR="006B2887" w:rsidRPr="000E5DD6">
        <w:rPr>
          <w:rFonts w:ascii="Times New Roman" w:hAnsi="Times New Roman" w:cs="Times New Roman"/>
          <w:color w:val="000000" w:themeColor="text1"/>
          <w:sz w:val="28"/>
          <w:szCs w:val="28"/>
          <w:lang w:val="ro-MD"/>
        </w:rPr>
        <w:t>au</w:t>
      </w:r>
      <w:r w:rsidR="00237F48" w:rsidRPr="000E5DD6">
        <w:rPr>
          <w:rFonts w:ascii="Times New Roman" w:hAnsi="Times New Roman" w:cs="Times New Roman"/>
          <w:color w:val="000000" w:themeColor="text1"/>
          <w:sz w:val="28"/>
          <w:szCs w:val="28"/>
          <w:lang w:val="ro-MD"/>
        </w:rPr>
        <w:t xml:space="preserve"> următoarele atribuții:</w:t>
      </w:r>
    </w:p>
    <w:p w14:paraId="374339F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efectuarea controalelor planificate și neplanificate la operatorii economici, utilizatorii profesionali și utilizatorii din rândul publicului larg;</w:t>
      </w:r>
    </w:p>
    <w:p w14:paraId="2913628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verificarea respectării regimului juridic al precursorilor de explozivi;</w:t>
      </w:r>
    </w:p>
    <w:p w14:paraId="67B82F9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constatarea contravențiilor și aplicarea sancțiunilor prevăzute de lege;</w:t>
      </w:r>
    </w:p>
    <w:p w14:paraId="2A588E3A" w14:textId="2A025B9D" w:rsidR="0097378D" w:rsidRPr="000E5DD6" w:rsidRDefault="00237F48" w:rsidP="0097378D">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colaborarea cu autoritățile de securitate, vamale și alte instituții relevante, în vederea prevenirii, depistării și combaterii utilizării ilegale a precursorilor de explozivi, precum și pentru controlul circulației acestora.</w:t>
      </w:r>
    </w:p>
    <w:p w14:paraId="6E83C142" w14:textId="5E72D5A5" w:rsidR="0097378D" w:rsidRDefault="0097378D" w:rsidP="0097378D">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(3) Agenția de Mediu </w:t>
      </w:r>
      <w:r w:rsidR="003752DC" w:rsidRPr="000E5DD6">
        <w:rPr>
          <w:rFonts w:ascii="Times New Roman" w:hAnsi="Times New Roman" w:cs="Times New Roman"/>
          <w:color w:val="000000" w:themeColor="text1"/>
          <w:sz w:val="28"/>
          <w:szCs w:val="28"/>
          <w:lang w:val="ro-MD"/>
        </w:rPr>
        <w:t xml:space="preserve">exercită atribuțiile </w:t>
      </w:r>
      <w:r w:rsidR="006B1011" w:rsidRPr="000E5DD6">
        <w:rPr>
          <w:rFonts w:ascii="Times New Roman" w:hAnsi="Times New Roman" w:cs="Times New Roman"/>
          <w:color w:val="000000" w:themeColor="text1"/>
          <w:sz w:val="28"/>
          <w:szCs w:val="28"/>
          <w:lang w:val="ro-MD"/>
        </w:rPr>
        <w:t xml:space="preserve">conform prevederilor Legii                   nr. 277/2018 privind substanțele chimice. </w:t>
      </w:r>
    </w:p>
    <w:p w14:paraId="75FB8F7A" w14:textId="77A3A2BD" w:rsidR="001D2096" w:rsidRPr="000E5DD6" w:rsidRDefault="001D2096" w:rsidP="0097378D">
      <w:pPr>
        <w:spacing w:after="0"/>
        <w:ind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(4) </w:t>
      </w:r>
      <w:proofErr w:type="spellStart"/>
      <w:r>
        <w:rPr>
          <w:rFonts w:ascii="Times New Roman" w:hAnsi="Times New Roman" w:cs="Times New Roman"/>
          <w:color w:val="000000" w:themeColor="text1"/>
          <w:sz w:val="28"/>
          <w:szCs w:val="28"/>
          <w:lang w:val="ro-MD"/>
        </w:rPr>
        <w:t>Agenţia</w:t>
      </w:r>
      <w:proofErr w:type="spellEnd"/>
      <w:r w:rsidRPr="001D2096">
        <w:rPr>
          <w:rFonts w:ascii="Times New Roman" w:hAnsi="Times New Roman" w:cs="Times New Roman"/>
          <w:color w:val="000000" w:themeColor="text1"/>
          <w:sz w:val="28"/>
          <w:szCs w:val="28"/>
          <w:lang w:val="ro-MD"/>
        </w:rPr>
        <w:t xml:space="preserve"> Medicamentului </w:t>
      </w:r>
      <w:proofErr w:type="spellStart"/>
      <w:r w:rsidRPr="001D2096">
        <w:rPr>
          <w:rFonts w:ascii="Times New Roman" w:hAnsi="Times New Roman" w:cs="Times New Roman"/>
          <w:color w:val="000000" w:themeColor="text1"/>
          <w:sz w:val="28"/>
          <w:szCs w:val="28"/>
          <w:lang w:val="ro-MD"/>
        </w:rPr>
        <w:t>şi</w:t>
      </w:r>
      <w:proofErr w:type="spellEnd"/>
      <w:r w:rsidRPr="001D2096">
        <w:rPr>
          <w:rFonts w:ascii="Times New Roman" w:hAnsi="Times New Roman" w:cs="Times New Roman"/>
          <w:color w:val="000000" w:themeColor="text1"/>
          <w:sz w:val="28"/>
          <w:szCs w:val="28"/>
          <w:lang w:val="ro-MD"/>
        </w:rPr>
        <w:t xml:space="preserve"> Dispozitivelor Medicale</w:t>
      </w:r>
      <w:r w:rsidR="00E2621B">
        <w:rPr>
          <w:rFonts w:ascii="Times New Roman" w:hAnsi="Times New Roman" w:cs="Times New Roman"/>
          <w:color w:val="000000" w:themeColor="text1"/>
          <w:sz w:val="28"/>
          <w:szCs w:val="28"/>
          <w:lang w:val="ro-MD"/>
        </w:rPr>
        <w:t xml:space="preserve"> (în continuare - AMDM)</w:t>
      </w:r>
      <w:r>
        <w:rPr>
          <w:rFonts w:ascii="Times New Roman" w:hAnsi="Times New Roman" w:cs="Times New Roman"/>
          <w:color w:val="000000" w:themeColor="text1"/>
          <w:sz w:val="28"/>
          <w:szCs w:val="28"/>
          <w:lang w:val="ro-MD"/>
        </w:rPr>
        <w:t xml:space="preserve"> este autoritate administrativă din subordinea Ministerului Sănătății, care în sensul prevederilor prezentei legi exercită atribuțiile s</w:t>
      </w:r>
      <w:r w:rsidRPr="001D2096">
        <w:rPr>
          <w:rFonts w:ascii="Times New Roman" w:hAnsi="Times New Roman" w:cs="Times New Roman"/>
          <w:color w:val="000000" w:themeColor="text1"/>
          <w:sz w:val="28"/>
          <w:szCs w:val="28"/>
          <w:lang w:val="ro-MD"/>
        </w:rPr>
        <w:t xml:space="preserve">upravegherii și controlului de stat </w:t>
      </w:r>
      <w:r w:rsidR="00E2621B">
        <w:rPr>
          <w:rFonts w:ascii="Times New Roman" w:hAnsi="Times New Roman" w:cs="Times New Roman"/>
          <w:color w:val="000000" w:themeColor="text1"/>
          <w:sz w:val="28"/>
          <w:szCs w:val="28"/>
          <w:lang w:val="ro-MD"/>
        </w:rPr>
        <w:t>asupra</w:t>
      </w:r>
      <w:r w:rsidRPr="001D2096">
        <w:rPr>
          <w:rFonts w:ascii="Times New Roman" w:hAnsi="Times New Roman" w:cs="Times New Roman"/>
          <w:color w:val="000000" w:themeColor="text1"/>
          <w:sz w:val="28"/>
          <w:szCs w:val="28"/>
          <w:lang w:val="ro-MD"/>
        </w:rPr>
        <w:t xml:space="preserve"> </w:t>
      </w:r>
      <w:r w:rsidR="00E2621B">
        <w:rPr>
          <w:rFonts w:ascii="Times New Roman" w:hAnsi="Times New Roman" w:cs="Times New Roman"/>
          <w:color w:val="000000" w:themeColor="text1"/>
          <w:sz w:val="28"/>
          <w:szCs w:val="28"/>
          <w:lang w:val="ro-MD"/>
        </w:rPr>
        <w:t>precursorilor de explozivi care îi revin în competență conform anexelor nr. 1 și nr. 2 și sunt utilizați în domeniul medicamentelor și</w:t>
      </w:r>
      <w:r w:rsidRPr="001D2096">
        <w:rPr>
          <w:rFonts w:ascii="Times New Roman" w:hAnsi="Times New Roman" w:cs="Times New Roman"/>
          <w:color w:val="000000" w:themeColor="text1"/>
          <w:sz w:val="28"/>
          <w:szCs w:val="28"/>
          <w:lang w:val="ro-MD"/>
        </w:rPr>
        <w:t xml:space="preserve"> al activității farmaceutic</w:t>
      </w:r>
      <w:r>
        <w:rPr>
          <w:rFonts w:ascii="Times New Roman" w:hAnsi="Times New Roman" w:cs="Times New Roman"/>
          <w:color w:val="000000" w:themeColor="text1"/>
          <w:sz w:val="28"/>
          <w:szCs w:val="28"/>
          <w:lang w:val="ro-MD"/>
        </w:rPr>
        <w:t>e</w:t>
      </w:r>
      <w:r w:rsidR="00E2621B">
        <w:rPr>
          <w:rFonts w:ascii="Times New Roman" w:hAnsi="Times New Roman" w:cs="Times New Roman"/>
          <w:color w:val="000000" w:themeColor="text1"/>
          <w:sz w:val="28"/>
          <w:szCs w:val="28"/>
          <w:lang w:val="ro-MD"/>
        </w:rPr>
        <w:t>.</w:t>
      </w:r>
    </w:p>
    <w:p w14:paraId="0BADACF2" w14:textId="6D912AF7" w:rsidR="004861E7" w:rsidRPr="000E5DD6" w:rsidRDefault="004861E7"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w:t>
      </w:r>
      <w:r w:rsidR="001D2096">
        <w:rPr>
          <w:rFonts w:ascii="Times New Roman" w:hAnsi="Times New Roman" w:cs="Times New Roman"/>
          <w:color w:val="000000" w:themeColor="text1"/>
          <w:sz w:val="28"/>
          <w:szCs w:val="28"/>
          <w:lang w:val="ro-MD"/>
        </w:rPr>
        <w:t>5</w:t>
      </w:r>
      <w:r w:rsidRPr="000E5DD6">
        <w:rPr>
          <w:rFonts w:ascii="Times New Roman" w:hAnsi="Times New Roman" w:cs="Times New Roman"/>
          <w:color w:val="000000" w:themeColor="text1"/>
          <w:sz w:val="28"/>
          <w:szCs w:val="28"/>
          <w:lang w:val="ro-MD"/>
        </w:rPr>
        <w:t xml:space="preserve">) </w:t>
      </w:r>
      <w:r w:rsidR="00E83CFC" w:rsidRPr="000E5DD6">
        <w:rPr>
          <w:rFonts w:ascii="Times New Roman" w:hAnsi="Times New Roman" w:cs="Times New Roman"/>
          <w:color w:val="000000" w:themeColor="text1"/>
          <w:sz w:val="28"/>
          <w:szCs w:val="28"/>
          <w:lang w:val="ro-MD"/>
        </w:rPr>
        <w:t>Agenția Servicii Publice exercită atribuțiile în domeniul precursorilor de explozivi în conformitate cu prevederile Legii nr. 160/2011 privind reglementarea prin autorizare a activității de întreprinzător.</w:t>
      </w:r>
    </w:p>
    <w:p w14:paraId="44B91757" w14:textId="6E7C9997" w:rsidR="003E0180" w:rsidRPr="000E5DD6" w:rsidRDefault="003E0180"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w:t>
      </w:r>
      <w:r w:rsidR="001D2096">
        <w:rPr>
          <w:rFonts w:ascii="Times New Roman" w:hAnsi="Times New Roman" w:cs="Times New Roman"/>
          <w:color w:val="000000" w:themeColor="text1"/>
          <w:sz w:val="28"/>
          <w:szCs w:val="28"/>
          <w:lang w:val="ro-MD"/>
        </w:rPr>
        <w:t>6</w:t>
      </w:r>
      <w:r w:rsidRPr="000E5DD6">
        <w:rPr>
          <w:rFonts w:ascii="Times New Roman" w:hAnsi="Times New Roman" w:cs="Times New Roman"/>
          <w:color w:val="000000" w:themeColor="text1"/>
          <w:sz w:val="28"/>
          <w:szCs w:val="28"/>
          <w:lang w:val="ro-MD"/>
        </w:rPr>
        <w:t xml:space="preserve">) </w:t>
      </w:r>
      <w:r w:rsidR="001F3CEB" w:rsidRPr="000E5DD6">
        <w:rPr>
          <w:rFonts w:ascii="Times New Roman" w:hAnsi="Times New Roman" w:cs="Times New Roman"/>
          <w:color w:val="000000" w:themeColor="text1"/>
          <w:sz w:val="28"/>
          <w:szCs w:val="28"/>
          <w:lang w:val="ro-MD"/>
        </w:rPr>
        <w:t xml:space="preserve">Serviciul Vamal </w:t>
      </w:r>
      <w:r w:rsidR="005D2825" w:rsidRPr="000E5DD6">
        <w:rPr>
          <w:rFonts w:ascii="Times New Roman" w:hAnsi="Times New Roman" w:cs="Times New Roman"/>
          <w:color w:val="000000" w:themeColor="text1"/>
          <w:sz w:val="28"/>
          <w:szCs w:val="28"/>
          <w:lang w:val="ro-MD"/>
        </w:rPr>
        <w:t>efectuează verificări la frontiera de stat în ceea ce privește conformitatea documentelor și informațiilor relevante pentru introducerea pe/scoaterea de pe teritoriul vamal a precursorilor de explozivi.</w:t>
      </w:r>
    </w:p>
    <w:p w14:paraId="180CDA19" w14:textId="23457F7E" w:rsidR="00D97445" w:rsidRPr="000E5DD6" w:rsidRDefault="00851BF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w:t>
      </w:r>
      <w:r w:rsidR="001D2096">
        <w:rPr>
          <w:rFonts w:ascii="Times New Roman" w:hAnsi="Times New Roman" w:cs="Times New Roman"/>
          <w:color w:val="000000" w:themeColor="text1"/>
          <w:sz w:val="28"/>
          <w:szCs w:val="28"/>
          <w:lang w:val="ro-MD"/>
        </w:rPr>
        <w:t>7</w:t>
      </w:r>
      <w:r w:rsidRPr="000E5DD6">
        <w:rPr>
          <w:rFonts w:ascii="Times New Roman" w:hAnsi="Times New Roman" w:cs="Times New Roman"/>
          <w:color w:val="000000" w:themeColor="text1"/>
          <w:sz w:val="28"/>
          <w:szCs w:val="28"/>
          <w:lang w:val="ro-MD"/>
        </w:rPr>
        <w:t xml:space="preserve">) </w:t>
      </w:r>
      <w:r w:rsidR="00F1751F" w:rsidRPr="000E5DD6">
        <w:rPr>
          <w:rFonts w:ascii="Times New Roman" w:hAnsi="Times New Roman" w:cs="Times New Roman"/>
          <w:color w:val="000000" w:themeColor="text1"/>
          <w:sz w:val="28"/>
          <w:szCs w:val="28"/>
          <w:lang w:val="ro-MD"/>
        </w:rPr>
        <w:t xml:space="preserve">Comisia națională de control al comerțului cu mărfuri strategice </w:t>
      </w:r>
      <w:r w:rsidR="00DE2DD5" w:rsidRPr="000E5DD6">
        <w:rPr>
          <w:rFonts w:ascii="Times New Roman" w:hAnsi="Times New Roman" w:cs="Times New Roman"/>
          <w:color w:val="000000" w:themeColor="text1"/>
          <w:sz w:val="28"/>
          <w:szCs w:val="28"/>
          <w:lang w:val="ro-MD"/>
        </w:rPr>
        <w:t>emite decizii cu privire la</w:t>
      </w:r>
      <w:r w:rsidR="000D091A" w:rsidRPr="000E5DD6">
        <w:rPr>
          <w:rFonts w:ascii="Times New Roman" w:hAnsi="Times New Roman" w:cs="Times New Roman"/>
          <w:color w:val="000000" w:themeColor="text1"/>
          <w:sz w:val="28"/>
          <w:szCs w:val="28"/>
          <w:lang w:val="ro-MD"/>
        </w:rPr>
        <w:t xml:space="preserve"> </w:t>
      </w:r>
      <w:r w:rsidR="00C65C1A" w:rsidRPr="000E5DD6">
        <w:rPr>
          <w:rFonts w:ascii="Times New Roman" w:hAnsi="Times New Roman" w:cs="Times New Roman"/>
          <w:color w:val="000000" w:themeColor="text1"/>
          <w:sz w:val="28"/>
          <w:szCs w:val="28"/>
          <w:lang w:val="ro-MD"/>
        </w:rPr>
        <w:t>eliber</w:t>
      </w:r>
      <w:r w:rsidR="00DE2DD5" w:rsidRPr="000E5DD6">
        <w:rPr>
          <w:rFonts w:ascii="Times New Roman" w:hAnsi="Times New Roman" w:cs="Times New Roman"/>
          <w:color w:val="000000" w:themeColor="text1"/>
          <w:sz w:val="28"/>
          <w:szCs w:val="28"/>
          <w:lang w:val="ro-MD"/>
        </w:rPr>
        <w:t xml:space="preserve">area </w:t>
      </w:r>
      <w:r w:rsidR="00C65C1A" w:rsidRPr="000E5DD6">
        <w:rPr>
          <w:rFonts w:ascii="Times New Roman" w:hAnsi="Times New Roman" w:cs="Times New Roman"/>
          <w:color w:val="000000" w:themeColor="text1"/>
          <w:sz w:val="28"/>
          <w:szCs w:val="28"/>
          <w:lang w:val="ro-MD"/>
        </w:rPr>
        <w:t>autorizați</w:t>
      </w:r>
      <w:r w:rsidR="00DE2DD5" w:rsidRPr="000E5DD6">
        <w:rPr>
          <w:rFonts w:ascii="Times New Roman" w:hAnsi="Times New Roman" w:cs="Times New Roman"/>
          <w:color w:val="000000" w:themeColor="text1"/>
          <w:sz w:val="28"/>
          <w:szCs w:val="28"/>
          <w:lang w:val="ro-MD"/>
        </w:rPr>
        <w:t>ei</w:t>
      </w:r>
      <w:r w:rsidR="00C65C1A" w:rsidRPr="000E5DD6">
        <w:rPr>
          <w:rFonts w:ascii="Times New Roman" w:hAnsi="Times New Roman" w:cs="Times New Roman"/>
          <w:color w:val="000000" w:themeColor="text1"/>
          <w:sz w:val="28"/>
          <w:szCs w:val="28"/>
          <w:lang w:val="ro-MD"/>
        </w:rPr>
        <w:t xml:space="preserve"> </w:t>
      </w:r>
      <w:r w:rsidR="001E1CD7" w:rsidRPr="000E5DD6">
        <w:rPr>
          <w:rFonts w:ascii="Times New Roman" w:hAnsi="Times New Roman" w:cs="Times New Roman"/>
          <w:color w:val="000000" w:themeColor="text1"/>
          <w:sz w:val="28"/>
          <w:szCs w:val="28"/>
          <w:lang w:val="ro-MD"/>
        </w:rPr>
        <w:t xml:space="preserve">pentru </w:t>
      </w:r>
      <w:r w:rsidR="00285C8E" w:rsidRPr="000E5DD6">
        <w:rPr>
          <w:rFonts w:ascii="Times New Roman" w:hAnsi="Times New Roman" w:cs="Times New Roman"/>
          <w:color w:val="000000" w:themeColor="text1"/>
          <w:sz w:val="28"/>
          <w:szCs w:val="28"/>
          <w:lang w:val="ro-MD"/>
        </w:rPr>
        <w:t xml:space="preserve">comerțul cu </w:t>
      </w:r>
      <w:r w:rsidR="0099657C" w:rsidRPr="000E5DD6">
        <w:rPr>
          <w:rFonts w:ascii="Times New Roman" w:hAnsi="Times New Roman" w:cs="Times New Roman"/>
          <w:color w:val="000000" w:themeColor="text1"/>
          <w:sz w:val="28"/>
          <w:szCs w:val="28"/>
          <w:lang w:val="ro-MD"/>
        </w:rPr>
        <w:t xml:space="preserve">precursori de explozivi </w:t>
      </w:r>
      <w:r w:rsidR="00D86550" w:rsidRPr="000E5DD6">
        <w:rPr>
          <w:rFonts w:ascii="Times New Roman" w:hAnsi="Times New Roman" w:cs="Times New Roman"/>
          <w:color w:val="000000" w:themeColor="text1"/>
          <w:sz w:val="28"/>
          <w:szCs w:val="28"/>
          <w:lang w:val="ro-MD"/>
        </w:rPr>
        <w:t xml:space="preserve">prevăzuți la anexele nr. 1 și 2, care sunt </w:t>
      </w:r>
      <w:r w:rsidR="006F3014" w:rsidRPr="000E5DD6">
        <w:rPr>
          <w:rFonts w:ascii="Times New Roman" w:hAnsi="Times New Roman" w:cs="Times New Roman"/>
          <w:color w:val="000000" w:themeColor="text1"/>
          <w:sz w:val="28"/>
          <w:szCs w:val="28"/>
          <w:lang w:val="ro-MD"/>
        </w:rPr>
        <w:t xml:space="preserve">catalogați drept </w:t>
      </w:r>
      <w:r w:rsidR="00285C8E" w:rsidRPr="000E5DD6">
        <w:rPr>
          <w:rFonts w:ascii="Times New Roman" w:hAnsi="Times New Roman" w:cs="Times New Roman"/>
          <w:color w:val="000000" w:themeColor="text1"/>
          <w:sz w:val="28"/>
          <w:szCs w:val="28"/>
          <w:lang w:val="ro-MD"/>
        </w:rPr>
        <w:t xml:space="preserve">mărfuri </w:t>
      </w:r>
      <w:r w:rsidR="006F3014" w:rsidRPr="000E5DD6">
        <w:rPr>
          <w:rFonts w:ascii="Times New Roman" w:hAnsi="Times New Roman" w:cs="Times New Roman"/>
          <w:color w:val="000000" w:themeColor="text1"/>
          <w:sz w:val="28"/>
          <w:szCs w:val="28"/>
          <w:lang w:val="ro-MD"/>
        </w:rPr>
        <w:t>strategice.</w:t>
      </w:r>
    </w:p>
    <w:p w14:paraId="6251C552" w14:textId="6B0EF23C" w:rsidR="006F3014" w:rsidRPr="000E5DD6" w:rsidRDefault="006F3014" w:rsidP="006F3014">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w:t>
      </w:r>
      <w:r w:rsidR="001D2096">
        <w:rPr>
          <w:rFonts w:ascii="Times New Roman" w:hAnsi="Times New Roman" w:cs="Times New Roman"/>
          <w:color w:val="000000" w:themeColor="text1"/>
          <w:sz w:val="28"/>
          <w:szCs w:val="28"/>
          <w:lang w:val="ro-MD"/>
        </w:rPr>
        <w:t>8</w:t>
      </w:r>
      <w:r w:rsidRPr="000E5DD6">
        <w:rPr>
          <w:rFonts w:ascii="Times New Roman" w:hAnsi="Times New Roman" w:cs="Times New Roman"/>
          <w:color w:val="000000" w:themeColor="text1"/>
          <w:sz w:val="28"/>
          <w:szCs w:val="28"/>
          <w:lang w:val="ro-MD"/>
        </w:rPr>
        <w:t>) Ministerul Afacerilor Interne prin intermediul autorităților administrative din subordine competente, poate interveni în domeniul reglementat de prezenta lege, exclusiv în contextul prevenirii, descoperirii sau investigării unor infracțiuni, fără a efectua control de stat în sensul Legii nr. 131/2012.</w:t>
      </w:r>
    </w:p>
    <w:p w14:paraId="326966F6" w14:textId="77777777" w:rsidR="00237F48" w:rsidRPr="000E5DD6" w:rsidRDefault="00237F48" w:rsidP="000E5DD6">
      <w:pPr>
        <w:spacing w:after="0"/>
        <w:jc w:val="both"/>
        <w:rPr>
          <w:rFonts w:ascii="Times New Roman" w:hAnsi="Times New Roman" w:cs="Times New Roman"/>
          <w:b/>
          <w:color w:val="000000" w:themeColor="text1"/>
          <w:sz w:val="28"/>
          <w:szCs w:val="28"/>
          <w:lang w:val="ro-MD"/>
        </w:rPr>
      </w:pPr>
    </w:p>
    <w:p w14:paraId="109FA8F6"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5. Aplicarea prevederilor legii asupra comerțului electronic</w:t>
      </w:r>
    </w:p>
    <w:p w14:paraId="5821A4A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Operațiunile privind plasarea pe piață, distribuția și achiziția precursorilor de explozivi realizate prin intermediul platformelor de comerț electronic sunt supuse prevederilor prezentei legi.</w:t>
      </w:r>
    </w:p>
    <w:p w14:paraId="1DB793B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(2) Operatorii de pe piața online au obligația de a implementa mecanisme de prevenire a comercializării neautorizate a precursorilor de explozivi și de a coopera cu autoritățile competente.</w:t>
      </w:r>
    </w:p>
    <w:p w14:paraId="26AA6132"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715F77DA"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6. Noțiuni</w:t>
      </w:r>
    </w:p>
    <w:p w14:paraId="7685EB5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În sensul prezentei legi, noțiunile utilizate au următoarele semnificații:</w:t>
      </w:r>
    </w:p>
    <w:p w14:paraId="0AA2604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a) </w:t>
      </w:r>
      <w:r w:rsidRPr="000E5DD6">
        <w:rPr>
          <w:rFonts w:ascii="Times New Roman" w:hAnsi="Times New Roman" w:cs="Times New Roman"/>
          <w:i/>
          <w:iCs/>
          <w:color w:val="000000" w:themeColor="text1"/>
          <w:sz w:val="28"/>
          <w:szCs w:val="28"/>
          <w:lang w:val="ro-MD"/>
        </w:rPr>
        <w:t>activitate agricolă</w:t>
      </w:r>
      <w:r w:rsidRPr="000E5DD6">
        <w:rPr>
          <w:rFonts w:ascii="Times New Roman" w:hAnsi="Times New Roman" w:cs="Times New Roman"/>
          <w:color w:val="000000" w:themeColor="text1"/>
          <w:sz w:val="28"/>
          <w:szCs w:val="28"/>
          <w:lang w:val="ro-MD"/>
        </w:rPr>
        <w:t xml:space="preserve"> – înseamnă producția, creșterea sau cultivarea de produse agricole, inclusiv recoltarea, mulsul, creșterea și deținerea de animale în scopuri agricole sau menținerea terenurilor agricole în bune condiții agricole și de mediu, astfel cum este prevăzut prin Legea nr. 126/2025 privind finanțarea, gestionarea și monitorizarea politicii agricole;</w:t>
      </w:r>
    </w:p>
    <w:p w14:paraId="1253EDB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b) </w:t>
      </w:r>
      <w:r w:rsidRPr="000E5DD6">
        <w:rPr>
          <w:rFonts w:ascii="Times New Roman" w:hAnsi="Times New Roman" w:cs="Times New Roman"/>
          <w:i/>
          <w:iCs/>
          <w:color w:val="000000" w:themeColor="text1"/>
          <w:sz w:val="28"/>
          <w:szCs w:val="28"/>
          <w:lang w:val="ro-MD"/>
        </w:rPr>
        <w:t>amestec</w:t>
      </w:r>
      <w:r w:rsidRPr="000E5DD6">
        <w:rPr>
          <w:rFonts w:ascii="Times New Roman" w:hAnsi="Times New Roman" w:cs="Times New Roman"/>
          <w:color w:val="000000" w:themeColor="text1"/>
          <w:sz w:val="28"/>
          <w:szCs w:val="28"/>
          <w:lang w:val="ro-MD"/>
        </w:rPr>
        <w:t xml:space="preserve"> – așa cum este definit prin Legea nr. 277/2018 privind substanțele chimice;</w:t>
      </w:r>
    </w:p>
    <w:p w14:paraId="38D262B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c) </w:t>
      </w:r>
      <w:r w:rsidRPr="000E5DD6">
        <w:rPr>
          <w:rFonts w:ascii="Times New Roman" w:hAnsi="Times New Roman" w:cs="Times New Roman"/>
          <w:i/>
          <w:iCs/>
          <w:color w:val="000000" w:themeColor="text1"/>
          <w:sz w:val="28"/>
          <w:szCs w:val="28"/>
          <w:lang w:val="ro-MD"/>
        </w:rPr>
        <w:t xml:space="preserve">articol </w:t>
      </w:r>
      <w:r w:rsidRPr="000E5DD6">
        <w:rPr>
          <w:rFonts w:ascii="Times New Roman" w:hAnsi="Times New Roman" w:cs="Times New Roman"/>
          <w:color w:val="000000" w:themeColor="text1"/>
          <w:sz w:val="28"/>
          <w:szCs w:val="28"/>
          <w:lang w:val="ro-MD"/>
        </w:rPr>
        <w:t>– așa cum este definit prin Legea nr. 277/2018 privind substanțele chimice;</w:t>
      </w:r>
    </w:p>
    <w:p w14:paraId="7A22B26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d) </w:t>
      </w:r>
      <w:r w:rsidRPr="000E5DD6">
        <w:rPr>
          <w:rFonts w:ascii="Times New Roman" w:hAnsi="Times New Roman" w:cs="Times New Roman"/>
          <w:i/>
          <w:iCs/>
          <w:color w:val="000000" w:themeColor="text1"/>
          <w:sz w:val="28"/>
          <w:szCs w:val="28"/>
          <w:lang w:val="ro-MD"/>
        </w:rPr>
        <w:t>dispariție</w:t>
      </w:r>
      <w:r w:rsidRPr="000E5DD6">
        <w:rPr>
          <w:rFonts w:ascii="Times New Roman" w:hAnsi="Times New Roman" w:cs="Times New Roman"/>
          <w:color w:val="000000" w:themeColor="text1"/>
          <w:sz w:val="28"/>
          <w:szCs w:val="28"/>
          <w:lang w:val="ro-MD"/>
        </w:rPr>
        <w:t xml:space="preserve"> – orice diferență nejustificată între cantitățile scriptice și cele faptice de precursori de explozivi;</w:t>
      </w:r>
    </w:p>
    <w:p w14:paraId="202390D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e) </w:t>
      </w:r>
      <w:r w:rsidRPr="000E5DD6">
        <w:rPr>
          <w:rFonts w:ascii="Times New Roman" w:hAnsi="Times New Roman" w:cs="Times New Roman"/>
          <w:i/>
          <w:iCs/>
          <w:color w:val="000000" w:themeColor="text1"/>
          <w:sz w:val="28"/>
          <w:szCs w:val="28"/>
          <w:lang w:val="ro-MD"/>
        </w:rPr>
        <w:t>introducerea precursorilor de explozivi</w:t>
      </w:r>
      <w:r w:rsidRPr="000E5DD6">
        <w:rPr>
          <w:rFonts w:ascii="Times New Roman" w:hAnsi="Times New Roman" w:cs="Times New Roman"/>
          <w:color w:val="000000" w:themeColor="text1"/>
          <w:sz w:val="28"/>
          <w:szCs w:val="28"/>
          <w:lang w:val="ro-MD"/>
        </w:rPr>
        <w:t xml:space="preserve"> – plasarea pentru prima dată la dispoziție a unei substanțe sau a unui amestec pe piața Republicii Moldova sub unul dintre regimurile vamale de import, tranzit, perfecționare activă sau alte regimuri vamale aplicabile, astfel cum sunt definite în Codul vamal al Republicii Moldova nr. 1149/2000, indiferent de destinația acesteia;</w:t>
      </w:r>
    </w:p>
    <w:p w14:paraId="0F780CD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f) </w:t>
      </w:r>
      <w:r w:rsidRPr="000E5DD6">
        <w:rPr>
          <w:rFonts w:ascii="Times New Roman" w:hAnsi="Times New Roman" w:cs="Times New Roman"/>
          <w:i/>
          <w:iCs/>
          <w:color w:val="000000" w:themeColor="text1"/>
          <w:sz w:val="28"/>
          <w:szCs w:val="28"/>
          <w:lang w:val="ro-MD"/>
        </w:rPr>
        <w:t>operator economic</w:t>
      </w:r>
      <w:r w:rsidRPr="000E5DD6">
        <w:rPr>
          <w:rFonts w:ascii="Times New Roman" w:hAnsi="Times New Roman" w:cs="Times New Roman"/>
          <w:color w:val="000000" w:themeColor="text1"/>
          <w:sz w:val="28"/>
          <w:szCs w:val="28"/>
          <w:lang w:val="ro-MD"/>
        </w:rPr>
        <w:t xml:space="preserve"> – persoană fizică sau juridică care desfășoară activități de producere, introducere pe/scoatere de pe teritoriul vamal, distribuție, comercializare, stocare sau utilizare profesională a precursorilor de explozivi, atât offline, cât și pe piețele online;</w:t>
      </w:r>
    </w:p>
    <w:p w14:paraId="0B90E58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g) </w:t>
      </w:r>
      <w:r w:rsidRPr="000E5DD6">
        <w:rPr>
          <w:rFonts w:ascii="Times New Roman" w:hAnsi="Times New Roman" w:cs="Times New Roman"/>
          <w:i/>
          <w:iCs/>
          <w:color w:val="000000" w:themeColor="text1"/>
          <w:sz w:val="28"/>
          <w:szCs w:val="28"/>
          <w:lang w:val="ro-MD"/>
        </w:rPr>
        <w:t>piață online</w:t>
      </w:r>
      <w:r w:rsidRPr="000E5DD6">
        <w:rPr>
          <w:rFonts w:ascii="Times New Roman" w:hAnsi="Times New Roman" w:cs="Times New Roman"/>
          <w:color w:val="000000" w:themeColor="text1"/>
          <w:sz w:val="28"/>
          <w:szCs w:val="28"/>
          <w:lang w:val="ro-MD"/>
        </w:rPr>
        <w:t xml:space="preserve"> – furnizor al unui serviciu de intermediere online care permite operatorilor economici, pe de o parte, și publicului larg, utilizatorilor profesionali sau altor operatori economici, pe de altă parte, să încheie tranzacții privind precursori de explozivi reglementați, prin contracte de vânzări sau de servicii online, fie pe site-ul pieței online, fie pe site-ul unui operator economic care utilizează serviciile informatice furnizate de piața online;</w:t>
      </w:r>
    </w:p>
    <w:p w14:paraId="50C13A1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h) </w:t>
      </w:r>
      <w:r w:rsidRPr="000E5DD6">
        <w:rPr>
          <w:rFonts w:ascii="Times New Roman" w:hAnsi="Times New Roman" w:cs="Times New Roman"/>
          <w:i/>
          <w:iCs/>
          <w:color w:val="000000" w:themeColor="text1"/>
          <w:sz w:val="28"/>
          <w:szCs w:val="28"/>
          <w:lang w:val="ro-MD"/>
        </w:rPr>
        <w:t>plasare pe piață</w:t>
      </w:r>
      <w:r w:rsidRPr="000E5DD6">
        <w:rPr>
          <w:rFonts w:ascii="Times New Roman" w:hAnsi="Times New Roman" w:cs="Times New Roman"/>
          <w:color w:val="000000" w:themeColor="text1"/>
          <w:sz w:val="28"/>
          <w:szCs w:val="28"/>
          <w:lang w:val="ro-MD"/>
        </w:rPr>
        <w:t xml:space="preserve"> – furnizarea, distribuirea sau punerea la dispoziție a unei substanțe chimice sau a unui amestec către o terță parte, cu titlu oneros sau gratuit, în orice etapă a lanțului de aprovizionare, inclusiv introducerea pe teritoriul vamal, în sensul prezentei legi;</w:t>
      </w:r>
    </w:p>
    <w:p w14:paraId="1FDE4EF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i) </w:t>
      </w:r>
      <w:r w:rsidRPr="000E5DD6">
        <w:rPr>
          <w:rFonts w:ascii="Times New Roman" w:hAnsi="Times New Roman" w:cs="Times New Roman"/>
          <w:i/>
          <w:iCs/>
          <w:color w:val="000000" w:themeColor="text1"/>
          <w:sz w:val="28"/>
          <w:szCs w:val="28"/>
          <w:lang w:val="ro-MD"/>
        </w:rPr>
        <w:t>precursori de explozivi</w:t>
      </w:r>
      <w:r w:rsidRPr="000E5DD6">
        <w:rPr>
          <w:rFonts w:ascii="Times New Roman" w:hAnsi="Times New Roman" w:cs="Times New Roman"/>
          <w:color w:val="000000" w:themeColor="text1"/>
          <w:sz w:val="28"/>
          <w:szCs w:val="28"/>
          <w:lang w:val="ro-MD"/>
        </w:rPr>
        <w:t xml:space="preserve"> – substanțe chimice sau amestecuri care pot fi utilizate pentru fabricarea explozivilor improvizați;</w:t>
      </w:r>
    </w:p>
    <w:p w14:paraId="2E88F01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j) precursori de explozivi reglementați – substanțe sau amestecuri supuse obligațiilor de verificare, înregistrare și raportare, lista cărora va fi reglementată prin hotărâre de Guvern;</w:t>
      </w:r>
    </w:p>
    <w:p w14:paraId="566F745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 xml:space="preserve">k) </w:t>
      </w:r>
      <w:r w:rsidRPr="000E5DD6">
        <w:rPr>
          <w:rFonts w:ascii="Times New Roman" w:hAnsi="Times New Roman" w:cs="Times New Roman"/>
          <w:i/>
          <w:iCs/>
          <w:color w:val="000000" w:themeColor="text1"/>
          <w:sz w:val="28"/>
          <w:szCs w:val="28"/>
          <w:lang w:val="ro-MD"/>
        </w:rPr>
        <w:t>precursori de explozivi restricționați</w:t>
      </w:r>
      <w:r w:rsidRPr="000E5DD6">
        <w:rPr>
          <w:rFonts w:ascii="Times New Roman" w:hAnsi="Times New Roman" w:cs="Times New Roman"/>
          <w:color w:val="000000" w:themeColor="text1"/>
          <w:sz w:val="28"/>
          <w:szCs w:val="28"/>
          <w:lang w:val="ro-MD"/>
        </w:rPr>
        <w:t xml:space="preserve"> – substanțe sau amestecuri pentru care este interzisă plasarea pe piață către publicul larg, conform actelor normative ale Guvernului;</w:t>
      </w:r>
    </w:p>
    <w:p w14:paraId="0CCE896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l)</w:t>
      </w:r>
      <w:r w:rsidRPr="000E5DD6">
        <w:rPr>
          <w:color w:val="000000" w:themeColor="text1"/>
          <w:lang w:val="ro-MD"/>
        </w:rPr>
        <w:t xml:space="preserve"> </w:t>
      </w:r>
      <w:r w:rsidRPr="000E5DD6">
        <w:rPr>
          <w:rFonts w:ascii="Times New Roman" w:hAnsi="Times New Roman" w:cs="Times New Roman"/>
          <w:i/>
          <w:iCs/>
          <w:color w:val="000000" w:themeColor="text1"/>
          <w:sz w:val="28"/>
          <w:szCs w:val="28"/>
          <w:lang w:val="ro-MD"/>
        </w:rPr>
        <w:t>publicul larg</w:t>
      </w:r>
      <w:r w:rsidRPr="000E5DD6">
        <w:rPr>
          <w:rFonts w:ascii="Times New Roman" w:hAnsi="Times New Roman" w:cs="Times New Roman"/>
          <w:color w:val="000000" w:themeColor="text1"/>
          <w:sz w:val="28"/>
          <w:szCs w:val="28"/>
          <w:lang w:val="ro-MD"/>
        </w:rPr>
        <w:t xml:space="preserve"> – orice persoană fizică sau juridică care acționează în scopuri care nu au legătură cu activitatea sa comercială, economică sau profesională;</w:t>
      </w:r>
    </w:p>
    <w:p w14:paraId="6A7A8B9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m)</w:t>
      </w:r>
      <w:r w:rsidRPr="000E5DD6">
        <w:rPr>
          <w:color w:val="000000" w:themeColor="text1"/>
          <w:lang w:val="ro-MD"/>
        </w:rPr>
        <w:t xml:space="preserve"> </w:t>
      </w:r>
      <w:r w:rsidRPr="000E5DD6">
        <w:rPr>
          <w:rFonts w:ascii="Times New Roman" w:hAnsi="Times New Roman" w:cs="Times New Roman"/>
          <w:i/>
          <w:iCs/>
          <w:color w:val="000000" w:themeColor="text1"/>
          <w:sz w:val="28"/>
          <w:szCs w:val="28"/>
          <w:lang w:val="ro-MD"/>
        </w:rPr>
        <w:t>scoaterea precursorilor de explozivi</w:t>
      </w:r>
      <w:r w:rsidRPr="000E5DD6">
        <w:rPr>
          <w:rFonts w:ascii="Times New Roman" w:hAnsi="Times New Roman" w:cs="Times New Roman"/>
          <w:color w:val="000000" w:themeColor="text1"/>
          <w:sz w:val="28"/>
          <w:szCs w:val="28"/>
          <w:lang w:val="ro-MD"/>
        </w:rPr>
        <w:t xml:space="preserve"> – plasarea unei substanțe în vederea scoaterii de pe teritoriul țării sub unul dintre regimurile vamale de export, reexport, tranzit, perfecționare pasivă sau alte regimuri vamale aplicabile, astfel cum sunt definite în Codul vamal, indiferent de destinația acesteia;</w:t>
      </w:r>
    </w:p>
    <w:p w14:paraId="7A4AD34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n) </w:t>
      </w:r>
      <w:r w:rsidRPr="000E5DD6">
        <w:rPr>
          <w:rFonts w:ascii="Times New Roman" w:hAnsi="Times New Roman" w:cs="Times New Roman"/>
          <w:i/>
          <w:iCs/>
          <w:color w:val="000000" w:themeColor="text1"/>
          <w:sz w:val="28"/>
          <w:szCs w:val="28"/>
          <w:lang w:val="ro-MD"/>
        </w:rPr>
        <w:t>substanță</w:t>
      </w:r>
      <w:r w:rsidRPr="000E5DD6">
        <w:rPr>
          <w:rFonts w:ascii="Times New Roman" w:hAnsi="Times New Roman" w:cs="Times New Roman"/>
          <w:color w:val="000000" w:themeColor="text1"/>
          <w:sz w:val="28"/>
          <w:szCs w:val="28"/>
          <w:lang w:val="ro-MD"/>
        </w:rPr>
        <w:t xml:space="preserve"> – așa cum este definită prin Legea nr. 277/2018 privind substanțele chimice;</w:t>
      </w:r>
    </w:p>
    <w:p w14:paraId="23987BC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o) </w:t>
      </w:r>
      <w:r w:rsidRPr="000E5DD6">
        <w:rPr>
          <w:rFonts w:ascii="Times New Roman" w:hAnsi="Times New Roman" w:cs="Times New Roman"/>
          <w:i/>
          <w:iCs/>
          <w:color w:val="000000" w:themeColor="text1"/>
          <w:sz w:val="28"/>
          <w:szCs w:val="28"/>
          <w:lang w:val="ro-MD"/>
        </w:rPr>
        <w:t xml:space="preserve">sustragere neautorizată </w:t>
      </w:r>
      <w:r w:rsidRPr="000E5DD6">
        <w:rPr>
          <w:rFonts w:ascii="Times New Roman" w:hAnsi="Times New Roman" w:cs="Times New Roman"/>
          <w:color w:val="000000" w:themeColor="text1"/>
          <w:sz w:val="28"/>
          <w:szCs w:val="28"/>
          <w:lang w:val="ro-MD"/>
        </w:rPr>
        <w:t>– preluarea substanței de către o persoană sau entitate fără drept — fără a fi definită ca infracțiune în sensul Codului penal;</w:t>
      </w:r>
    </w:p>
    <w:p w14:paraId="2BD1364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p) </w:t>
      </w:r>
      <w:r w:rsidRPr="000E5DD6">
        <w:rPr>
          <w:rFonts w:ascii="Times New Roman" w:hAnsi="Times New Roman" w:cs="Times New Roman"/>
          <w:i/>
          <w:iCs/>
          <w:color w:val="000000" w:themeColor="text1"/>
          <w:sz w:val="28"/>
          <w:szCs w:val="28"/>
          <w:lang w:val="ro-MD"/>
        </w:rPr>
        <w:t>tranzacție suspectă</w:t>
      </w:r>
      <w:r w:rsidRPr="000E5DD6">
        <w:rPr>
          <w:rFonts w:ascii="Times New Roman" w:hAnsi="Times New Roman" w:cs="Times New Roman"/>
          <w:color w:val="000000" w:themeColor="text1"/>
          <w:sz w:val="28"/>
          <w:szCs w:val="28"/>
          <w:lang w:val="ro-MD"/>
        </w:rPr>
        <w:t xml:space="preserve"> – orice achiziție, tentativă de achiziție sau comportament care, prin natura sa, volum, frecvență sau circumstanțe, ridică suspiciunea unei utilizări ilicite;</w:t>
      </w:r>
    </w:p>
    <w:p w14:paraId="141BB8A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q) </w:t>
      </w:r>
      <w:r w:rsidRPr="000E5DD6">
        <w:rPr>
          <w:rFonts w:ascii="Times New Roman" w:hAnsi="Times New Roman" w:cs="Times New Roman"/>
          <w:i/>
          <w:iCs/>
          <w:color w:val="000000" w:themeColor="text1"/>
          <w:sz w:val="28"/>
          <w:szCs w:val="28"/>
          <w:lang w:val="ro-MD"/>
        </w:rPr>
        <w:t>utilizare</w:t>
      </w:r>
      <w:r w:rsidRPr="000E5DD6">
        <w:rPr>
          <w:rFonts w:ascii="Times New Roman" w:hAnsi="Times New Roman" w:cs="Times New Roman"/>
          <w:color w:val="000000" w:themeColor="text1"/>
          <w:sz w:val="28"/>
          <w:szCs w:val="28"/>
          <w:lang w:val="ro-MD"/>
        </w:rPr>
        <w:t xml:space="preserve"> – așa cum este definită prin Legea nr. 277/2018 privind substanțele chimice;</w:t>
      </w:r>
    </w:p>
    <w:p w14:paraId="0687B25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r) </w:t>
      </w:r>
      <w:r w:rsidRPr="000E5DD6">
        <w:rPr>
          <w:rFonts w:ascii="Times New Roman" w:hAnsi="Times New Roman" w:cs="Times New Roman"/>
          <w:i/>
          <w:iCs/>
          <w:color w:val="000000" w:themeColor="text1"/>
          <w:sz w:val="28"/>
          <w:szCs w:val="28"/>
          <w:lang w:val="ro-MD"/>
        </w:rPr>
        <w:t>utilizator profesional</w:t>
      </w:r>
      <w:r w:rsidRPr="000E5DD6">
        <w:rPr>
          <w:rFonts w:ascii="Times New Roman" w:hAnsi="Times New Roman" w:cs="Times New Roman"/>
          <w:color w:val="000000" w:themeColor="text1"/>
          <w:sz w:val="28"/>
          <w:szCs w:val="28"/>
          <w:lang w:val="ro-MD"/>
        </w:rPr>
        <w:t xml:space="preserve"> – orice persoană fizică sau juridică ori entitate publică sau grup de astfel de persoane sau entități, care are o necesitate probantă de un precursor de explozivi restricționat, în scopuri legate de activitatea sa comercială, economică sau profesională, inclusiv activitatea agricolă, desfășurată fie cu normă întreagă, fie cu timp parțial, și nu neapărat legată de dimensiunea terenului pe care este desfășurată activitatea agricolă, cu condiția ca astfel de scopuri să nu includă punerea precursorului de explozivi restricționat respectiv la dispoziția unei alte  persoane.</w:t>
      </w:r>
    </w:p>
    <w:p w14:paraId="69C35254" w14:textId="77777777" w:rsidR="003738A4" w:rsidRPr="000E5DD6" w:rsidRDefault="003738A4" w:rsidP="00237F48">
      <w:pPr>
        <w:spacing w:after="0"/>
        <w:ind w:firstLine="567"/>
        <w:jc w:val="both"/>
        <w:rPr>
          <w:rFonts w:ascii="Times New Roman" w:hAnsi="Times New Roman" w:cs="Times New Roman"/>
          <w:color w:val="000000" w:themeColor="text1"/>
          <w:sz w:val="28"/>
          <w:szCs w:val="28"/>
          <w:lang w:val="ro-MD"/>
        </w:rPr>
      </w:pPr>
    </w:p>
    <w:p w14:paraId="1ED26F81"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7. Restricții și interdicții</w:t>
      </w:r>
    </w:p>
    <w:p w14:paraId="0A0C79EA" w14:textId="19A940F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Cs/>
          <w:color w:val="000000" w:themeColor="text1"/>
          <w:sz w:val="28"/>
          <w:szCs w:val="28"/>
          <w:lang w:val="ro-MD"/>
        </w:rPr>
        <w:t>Se interzice:</w:t>
      </w:r>
    </w:p>
    <w:p w14:paraId="1BADB584" w14:textId="35355374" w:rsidR="00237F48" w:rsidRPr="000E5DD6" w:rsidRDefault="00237F48"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a) comercializarea sau punerea la dispoziția publicului larg a precursorilor de explozivi restricționați</w:t>
      </w:r>
      <w:r w:rsidR="008C0BF0" w:rsidRPr="000E5DD6">
        <w:rPr>
          <w:rFonts w:ascii="Times New Roman" w:hAnsi="Times New Roman" w:cs="Times New Roman"/>
          <w:bCs/>
          <w:color w:val="000000" w:themeColor="text1"/>
          <w:sz w:val="28"/>
          <w:szCs w:val="28"/>
          <w:lang w:val="ro-MD"/>
        </w:rPr>
        <w:t xml:space="preserve">, </w:t>
      </w:r>
      <w:r w:rsidR="006F3014" w:rsidRPr="000E5DD6">
        <w:rPr>
          <w:rFonts w:ascii="Times New Roman" w:hAnsi="Times New Roman" w:cs="Times New Roman"/>
          <w:bCs/>
          <w:color w:val="000000" w:themeColor="text1"/>
          <w:sz w:val="28"/>
          <w:szCs w:val="28"/>
          <w:lang w:val="ro-MD"/>
        </w:rPr>
        <w:t>prevăzuți la</w:t>
      </w:r>
      <w:r w:rsidR="008C0BF0" w:rsidRPr="000E5DD6">
        <w:rPr>
          <w:rFonts w:ascii="Times New Roman" w:hAnsi="Times New Roman" w:cs="Times New Roman"/>
          <w:bCs/>
          <w:color w:val="000000" w:themeColor="text1"/>
          <w:sz w:val="28"/>
          <w:szCs w:val="28"/>
          <w:lang w:val="ro-MD"/>
        </w:rPr>
        <w:t xml:space="preserve"> anex</w:t>
      </w:r>
      <w:r w:rsidR="006F3014" w:rsidRPr="000E5DD6">
        <w:rPr>
          <w:rFonts w:ascii="Times New Roman" w:hAnsi="Times New Roman" w:cs="Times New Roman"/>
          <w:bCs/>
          <w:color w:val="000000" w:themeColor="text1"/>
          <w:sz w:val="28"/>
          <w:szCs w:val="28"/>
          <w:lang w:val="ro-MD"/>
        </w:rPr>
        <w:t>a</w:t>
      </w:r>
      <w:r w:rsidR="000D5BED" w:rsidRPr="000E5DD6">
        <w:rPr>
          <w:rFonts w:ascii="Times New Roman" w:hAnsi="Times New Roman" w:cs="Times New Roman"/>
          <w:bCs/>
          <w:color w:val="000000" w:themeColor="text1"/>
          <w:sz w:val="28"/>
          <w:szCs w:val="28"/>
          <w:lang w:val="ro-MD"/>
        </w:rPr>
        <w:t xml:space="preserve"> nr. 1</w:t>
      </w:r>
      <w:r w:rsidRPr="000E5DD6">
        <w:rPr>
          <w:rFonts w:ascii="Times New Roman" w:hAnsi="Times New Roman" w:cs="Times New Roman"/>
          <w:bCs/>
          <w:color w:val="000000" w:themeColor="text1"/>
          <w:sz w:val="28"/>
          <w:szCs w:val="28"/>
          <w:lang w:val="ro-MD"/>
        </w:rPr>
        <w:t>;</w:t>
      </w:r>
    </w:p>
    <w:p w14:paraId="72194292" w14:textId="69A74B20" w:rsidR="00237F48" w:rsidRPr="000E5DD6" w:rsidRDefault="00237F48"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b) nerespectarea obligațiilor de verificare a scopului legitim pentru precursorii de explozivi reglementați</w:t>
      </w:r>
      <w:r w:rsidR="006F3014" w:rsidRPr="000E5DD6">
        <w:rPr>
          <w:rFonts w:ascii="Times New Roman" w:hAnsi="Times New Roman" w:cs="Times New Roman"/>
          <w:bCs/>
          <w:color w:val="000000" w:themeColor="text1"/>
          <w:sz w:val="28"/>
          <w:szCs w:val="28"/>
          <w:lang w:val="ro-MD"/>
        </w:rPr>
        <w:t xml:space="preserve">, prevăzuți </w:t>
      </w:r>
      <w:r w:rsidR="003E607D" w:rsidRPr="000E5DD6">
        <w:rPr>
          <w:rFonts w:ascii="Times New Roman" w:hAnsi="Times New Roman" w:cs="Times New Roman"/>
          <w:bCs/>
          <w:color w:val="000000" w:themeColor="text1"/>
          <w:sz w:val="28"/>
          <w:szCs w:val="28"/>
          <w:lang w:val="ro-MD"/>
        </w:rPr>
        <w:t>la anexa nr. 2</w:t>
      </w:r>
      <w:r w:rsidRPr="000E5DD6">
        <w:rPr>
          <w:rFonts w:ascii="Times New Roman" w:hAnsi="Times New Roman" w:cs="Times New Roman"/>
          <w:bCs/>
          <w:color w:val="000000" w:themeColor="text1"/>
          <w:sz w:val="28"/>
          <w:szCs w:val="28"/>
          <w:lang w:val="ro-MD"/>
        </w:rPr>
        <w:t>;</w:t>
      </w:r>
    </w:p>
    <w:p w14:paraId="1F0C6489" w14:textId="7D88C398" w:rsidR="00CE5E97"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 xml:space="preserve">c) </w:t>
      </w:r>
      <w:r w:rsidR="00CE5E97" w:rsidRPr="000E5DD6">
        <w:rPr>
          <w:rFonts w:ascii="Times New Roman" w:hAnsi="Times New Roman" w:cs="Times New Roman"/>
          <w:bCs/>
          <w:color w:val="000000" w:themeColor="text1"/>
          <w:sz w:val="28"/>
          <w:szCs w:val="28"/>
          <w:lang w:val="ro-MD"/>
        </w:rPr>
        <w:t xml:space="preserve">deținerea </w:t>
      </w:r>
      <w:r w:rsidRPr="000E5DD6">
        <w:rPr>
          <w:rFonts w:ascii="Times New Roman" w:hAnsi="Times New Roman" w:cs="Times New Roman"/>
          <w:bCs/>
          <w:color w:val="000000" w:themeColor="text1"/>
          <w:sz w:val="28"/>
          <w:szCs w:val="28"/>
          <w:lang w:val="ro-MD"/>
        </w:rPr>
        <w:t xml:space="preserve">precursorilor de explozivi </w:t>
      </w:r>
      <w:r w:rsidR="00CE5E97" w:rsidRPr="000E5DD6">
        <w:rPr>
          <w:rFonts w:ascii="Times New Roman" w:hAnsi="Times New Roman" w:cs="Times New Roman"/>
          <w:bCs/>
          <w:color w:val="000000" w:themeColor="text1"/>
          <w:sz w:val="28"/>
          <w:szCs w:val="28"/>
          <w:lang w:val="ro-MD"/>
        </w:rPr>
        <w:t>de către pers</w:t>
      </w:r>
      <w:r w:rsidRPr="000E5DD6">
        <w:rPr>
          <w:rFonts w:ascii="Times New Roman" w:hAnsi="Times New Roman" w:cs="Times New Roman"/>
          <w:bCs/>
          <w:color w:val="000000" w:themeColor="text1"/>
          <w:sz w:val="28"/>
          <w:szCs w:val="28"/>
          <w:lang w:val="ro-MD"/>
        </w:rPr>
        <w:t>oanele fizice care nu pot justifica scopul deț</w:t>
      </w:r>
      <w:r w:rsidR="00CE5E97" w:rsidRPr="000E5DD6">
        <w:rPr>
          <w:rFonts w:ascii="Times New Roman" w:hAnsi="Times New Roman" w:cs="Times New Roman"/>
          <w:bCs/>
          <w:color w:val="000000" w:themeColor="text1"/>
          <w:sz w:val="28"/>
          <w:szCs w:val="28"/>
          <w:lang w:val="ro-MD"/>
        </w:rPr>
        <w:t>inerii</w:t>
      </w:r>
      <w:r w:rsidRPr="000E5DD6">
        <w:rPr>
          <w:rFonts w:ascii="Times New Roman" w:hAnsi="Times New Roman" w:cs="Times New Roman"/>
          <w:bCs/>
          <w:color w:val="000000" w:themeColor="text1"/>
          <w:sz w:val="28"/>
          <w:szCs w:val="28"/>
          <w:lang w:val="ro-MD"/>
        </w:rPr>
        <w:t>;</w:t>
      </w:r>
    </w:p>
    <w:p w14:paraId="4E1BCF07" w14:textId="1027B097"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d</w:t>
      </w:r>
      <w:r w:rsidR="00237F48" w:rsidRPr="000E5DD6">
        <w:rPr>
          <w:rFonts w:ascii="Times New Roman" w:hAnsi="Times New Roman" w:cs="Times New Roman"/>
          <w:bCs/>
          <w:color w:val="000000" w:themeColor="text1"/>
          <w:sz w:val="28"/>
          <w:szCs w:val="28"/>
          <w:lang w:val="ro-MD"/>
        </w:rPr>
        <w:t xml:space="preserve">) neelaborarea sau neimplementarea procedurilor interne prevăzute la art. </w:t>
      </w:r>
      <w:r w:rsidR="00010982" w:rsidRPr="000E5DD6">
        <w:rPr>
          <w:rFonts w:ascii="Times New Roman" w:hAnsi="Times New Roman" w:cs="Times New Roman"/>
          <w:bCs/>
          <w:color w:val="000000" w:themeColor="text1"/>
          <w:sz w:val="28"/>
          <w:szCs w:val="28"/>
          <w:lang w:val="ro-MD"/>
        </w:rPr>
        <w:t>12</w:t>
      </w:r>
      <w:r w:rsidR="00237F48" w:rsidRPr="000E5DD6">
        <w:rPr>
          <w:rFonts w:ascii="Times New Roman" w:hAnsi="Times New Roman" w:cs="Times New Roman"/>
          <w:bCs/>
          <w:color w:val="000000" w:themeColor="text1"/>
          <w:sz w:val="28"/>
          <w:szCs w:val="28"/>
          <w:lang w:val="ro-MD"/>
        </w:rPr>
        <w:t>;</w:t>
      </w:r>
    </w:p>
    <w:p w14:paraId="1BE22047" w14:textId="01E4DE07"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e</w:t>
      </w:r>
      <w:r w:rsidR="00237F48" w:rsidRPr="000E5DD6">
        <w:rPr>
          <w:rFonts w:ascii="Times New Roman" w:hAnsi="Times New Roman" w:cs="Times New Roman"/>
          <w:bCs/>
          <w:color w:val="000000" w:themeColor="text1"/>
          <w:sz w:val="28"/>
          <w:szCs w:val="28"/>
          <w:lang w:val="ro-MD"/>
        </w:rPr>
        <w:t>) neraportarea tranzacțiilor suspecte, a tentativelor de tranzacții suspecte sau a incidentelor, în termenele stabilite de prezenta lege;</w:t>
      </w:r>
    </w:p>
    <w:p w14:paraId="4CFD0A60" w14:textId="1174F05D"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f</w:t>
      </w:r>
      <w:r w:rsidR="00237F48" w:rsidRPr="000E5DD6">
        <w:rPr>
          <w:rFonts w:ascii="Times New Roman" w:hAnsi="Times New Roman" w:cs="Times New Roman"/>
          <w:bCs/>
          <w:color w:val="000000" w:themeColor="text1"/>
          <w:sz w:val="28"/>
          <w:szCs w:val="28"/>
          <w:lang w:val="ro-MD"/>
        </w:rPr>
        <w:t>) neraportarea disparițiilor sau sustragerilor neautorizate de precursori de explozivi;</w:t>
      </w:r>
    </w:p>
    <w:p w14:paraId="2283E2C3" w14:textId="021341B9"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g</w:t>
      </w:r>
      <w:r w:rsidR="00237F48" w:rsidRPr="000E5DD6">
        <w:rPr>
          <w:rFonts w:ascii="Times New Roman" w:hAnsi="Times New Roman" w:cs="Times New Roman"/>
          <w:bCs/>
          <w:color w:val="000000" w:themeColor="text1"/>
          <w:sz w:val="28"/>
          <w:szCs w:val="28"/>
          <w:lang w:val="ro-MD"/>
        </w:rPr>
        <w:t>) lipsa, alterarea, distrugerea sau falsificarea evidențelor obligatorii prevăzute de prezenta lege;</w:t>
      </w:r>
    </w:p>
    <w:p w14:paraId="389F1D2B" w14:textId="4F7AD5F0"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lastRenderedPageBreak/>
        <w:t>h</w:t>
      </w:r>
      <w:r w:rsidR="00237F48" w:rsidRPr="000E5DD6">
        <w:rPr>
          <w:rFonts w:ascii="Times New Roman" w:hAnsi="Times New Roman" w:cs="Times New Roman"/>
          <w:bCs/>
          <w:color w:val="000000" w:themeColor="text1"/>
          <w:sz w:val="28"/>
          <w:szCs w:val="28"/>
          <w:lang w:val="ro-MD"/>
        </w:rPr>
        <w:t>) plasarea pe piață a precursorilor de explozivi reglementați fără etichetare conformă;</w:t>
      </w:r>
    </w:p>
    <w:p w14:paraId="4B2EDBA7" w14:textId="3E50D365"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i</w:t>
      </w:r>
      <w:r w:rsidR="00237F48" w:rsidRPr="000E5DD6">
        <w:rPr>
          <w:rFonts w:ascii="Times New Roman" w:hAnsi="Times New Roman" w:cs="Times New Roman"/>
          <w:bCs/>
          <w:color w:val="000000" w:themeColor="text1"/>
          <w:sz w:val="28"/>
          <w:szCs w:val="28"/>
          <w:lang w:val="ro-MD"/>
        </w:rPr>
        <w:t xml:space="preserve">) punerea la dispoziție, prin platforme de comerț electronic, a precursorilor de explozivi fără respectarea condițiilor prevăzute la art. </w:t>
      </w:r>
      <w:r w:rsidR="00666AD0" w:rsidRPr="000E5DD6">
        <w:rPr>
          <w:rFonts w:ascii="Times New Roman" w:hAnsi="Times New Roman" w:cs="Times New Roman"/>
          <w:bCs/>
          <w:color w:val="000000" w:themeColor="text1"/>
          <w:sz w:val="28"/>
          <w:szCs w:val="28"/>
          <w:lang w:val="ro-MD"/>
        </w:rPr>
        <w:t>15</w:t>
      </w:r>
      <w:r w:rsidR="00237F48" w:rsidRPr="000E5DD6">
        <w:rPr>
          <w:rFonts w:ascii="Times New Roman" w:hAnsi="Times New Roman" w:cs="Times New Roman"/>
          <w:bCs/>
          <w:color w:val="000000" w:themeColor="text1"/>
          <w:sz w:val="28"/>
          <w:szCs w:val="28"/>
          <w:lang w:val="ro-MD"/>
        </w:rPr>
        <w:t>;</w:t>
      </w:r>
    </w:p>
    <w:p w14:paraId="5FAD781F" w14:textId="202D1E62"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j</w:t>
      </w:r>
      <w:r w:rsidR="00237F48" w:rsidRPr="000E5DD6">
        <w:rPr>
          <w:rFonts w:ascii="Times New Roman" w:hAnsi="Times New Roman" w:cs="Times New Roman"/>
          <w:bCs/>
          <w:color w:val="000000" w:themeColor="text1"/>
          <w:sz w:val="28"/>
          <w:szCs w:val="28"/>
          <w:lang w:val="ro-MD"/>
        </w:rPr>
        <w:t>) exploatarea sau utilizarea depozitelor de păstrare a precursorilor de explozivi fără acreditare;</w:t>
      </w:r>
    </w:p>
    <w:p w14:paraId="1CE63107" w14:textId="7E2F7D6B"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k</w:t>
      </w:r>
      <w:r w:rsidR="00237F48" w:rsidRPr="000E5DD6">
        <w:rPr>
          <w:rFonts w:ascii="Times New Roman" w:hAnsi="Times New Roman" w:cs="Times New Roman"/>
          <w:bCs/>
          <w:color w:val="000000" w:themeColor="text1"/>
          <w:sz w:val="28"/>
          <w:szCs w:val="28"/>
          <w:lang w:val="ro-MD"/>
        </w:rPr>
        <w:t>) împiedicarea sau limitarea exercitării controlului de stat efectuat de autoritatea competentă;</w:t>
      </w:r>
    </w:p>
    <w:p w14:paraId="45F3A55F" w14:textId="29C9118C"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l</w:t>
      </w:r>
      <w:r w:rsidR="00237F48" w:rsidRPr="000E5DD6">
        <w:rPr>
          <w:rFonts w:ascii="Times New Roman" w:hAnsi="Times New Roman" w:cs="Times New Roman"/>
          <w:bCs/>
          <w:color w:val="000000" w:themeColor="text1"/>
          <w:sz w:val="28"/>
          <w:szCs w:val="28"/>
          <w:lang w:val="ro-MD"/>
        </w:rPr>
        <w:t>) manipularea și depozitarea precursorilor de explozivi cu încălcarea cerințelor de securitate stabilite prin prezenta lege și actele normative subordonate;</w:t>
      </w:r>
    </w:p>
    <w:p w14:paraId="2F1C0075" w14:textId="51434E7B" w:rsidR="00237F48" w:rsidRPr="000E5DD6" w:rsidRDefault="004342C0"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m</w:t>
      </w:r>
      <w:r w:rsidR="00237F48" w:rsidRPr="000E5DD6">
        <w:rPr>
          <w:rFonts w:ascii="Times New Roman" w:hAnsi="Times New Roman" w:cs="Times New Roman"/>
          <w:bCs/>
          <w:color w:val="000000" w:themeColor="text1"/>
          <w:sz w:val="28"/>
          <w:szCs w:val="28"/>
          <w:lang w:val="ro-MD"/>
        </w:rPr>
        <w:t xml:space="preserve">) desfășurarea activităților de producere, introducere pe/scoatere de pe teritoriul vamal, distribuție, utilizare sau comercializare a precursorilor de explozivi fără înregistrarea prealabilă în Registrul </w:t>
      </w:r>
      <w:r w:rsidR="00B925CE" w:rsidRPr="000E5DD6">
        <w:rPr>
          <w:rFonts w:ascii="Times New Roman" w:hAnsi="Times New Roman" w:cs="Times New Roman"/>
          <w:bCs/>
          <w:color w:val="000000" w:themeColor="text1"/>
          <w:sz w:val="28"/>
          <w:szCs w:val="28"/>
          <w:lang w:val="ro-MD"/>
        </w:rPr>
        <w:t>de stat al operațiunilor cu precursori de explozivi</w:t>
      </w:r>
      <w:r w:rsidR="00237F48" w:rsidRPr="000E5DD6">
        <w:rPr>
          <w:rFonts w:ascii="Times New Roman" w:hAnsi="Times New Roman" w:cs="Times New Roman"/>
          <w:bCs/>
          <w:color w:val="000000" w:themeColor="text1"/>
          <w:sz w:val="28"/>
          <w:szCs w:val="28"/>
          <w:lang w:val="ro-MD"/>
        </w:rPr>
        <w:t>.</w:t>
      </w:r>
    </w:p>
    <w:p w14:paraId="053A4D17" w14:textId="77777777" w:rsidR="003738A4" w:rsidRPr="000E5DD6" w:rsidRDefault="003738A4" w:rsidP="00237F48">
      <w:pPr>
        <w:spacing w:after="0"/>
        <w:ind w:firstLine="567"/>
        <w:jc w:val="both"/>
        <w:rPr>
          <w:rFonts w:ascii="Times New Roman" w:hAnsi="Times New Roman" w:cs="Times New Roman"/>
          <w:bCs/>
          <w:color w:val="000000" w:themeColor="text1"/>
          <w:sz w:val="28"/>
          <w:szCs w:val="28"/>
          <w:lang w:val="ro-MD"/>
        </w:rPr>
      </w:pPr>
    </w:p>
    <w:p w14:paraId="604A6543"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8. Răspunderea juridică</w:t>
      </w:r>
    </w:p>
    <w:p w14:paraId="211BB699" w14:textId="3ECDC0F2" w:rsidR="00237F48" w:rsidRPr="000E5DD6" w:rsidRDefault="00237F48" w:rsidP="00237F48">
      <w:pPr>
        <w:pStyle w:val="Listparagraf"/>
        <w:spacing w:after="0"/>
        <w:ind w:left="0" w:firstLine="709"/>
        <w:jc w:val="both"/>
        <w:rPr>
          <w:rFonts w:ascii="Times New Roman" w:hAnsi="Times New Roman" w:cs="Times New Roman"/>
          <w:color w:val="000000" w:themeColor="text1"/>
          <w:sz w:val="28"/>
          <w:szCs w:val="28"/>
          <w:shd w:val="clear" w:color="auto" w:fill="FFFFFF"/>
          <w:lang w:val="ro-MD"/>
        </w:rPr>
      </w:pPr>
      <w:r w:rsidRPr="000E5DD6">
        <w:rPr>
          <w:rFonts w:ascii="Times New Roman" w:hAnsi="Times New Roman" w:cs="Times New Roman"/>
          <w:bCs/>
          <w:color w:val="000000" w:themeColor="text1"/>
          <w:sz w:val="28"/>
          <w:szCs w:val="28"/>
          <w:lang w:val="ro-MD"/>
        </w:rPr>
        <w:t>(1) Ne</w:t>
      </w:r>
      <w:r w:rsidRPr="000E5DD6">
        <w:rPr>
          <w:rFonts w:ascii="Times New Roman" w:hAnsi="Times New Roman" w:cs="Times New Roman"/>
          <w:color w:val="000000" w:themeColor="text1"/>
          <w:sz w:val="28"/>
          <w:szCs w:val="28"/>
          <w:shd w:val="clear" w:color="auto" w:fill="FFFFFF"/>
          <w:lang w:val="ro-MD"/>
        </w:rPr>
        <w:t xml:space="preserve">respectarea regimului </w:t>
      </w:r>
      <w:r w:rsidRPr="000E5DD6">
        <w:rPr>
          <w:rFonts w:ascii="Times New Roman" w:hAnsi="Times New Roman" w:cs="Times New Roman"/>
          <w:color w:val="000000" w:themeColor="text1"/>
          <w:sz w:val="28"/>
          <w:szCs w:val="28"/>
          <w:lang w:val="ro-MD"/>
        </w:rPr>
        <w:t>precursorilor de explozivi</w:t>
      </w:r>
      <w:r w:rsidRPr="000E5DD6">
        <w:rPr>
          <w:rFonts w:ascii="Times New Roman" w:hAnsi="Times New Roman" w:cs="Times New Roman"/>
          <w:color w:val="000000" w:themeColor="text1"/>
          <w:sz w:val="28"/>
          <w:szCs w:val="28"/>
          <w:shd w:val="clear" w:color="auto" w:fill="FFFFFF"/>
          <w:lang w:val="ro-MD"/>
        </w:rPr>
        <w:t xml:space="preserve"> de către persoanele fizice și juridice în sensul prezentei legi, atrage răspundere contravențională sau, după caz, penală, cu luarea în considerare a </w:t>
      </w:r>
      <w:r w:rsidRPr="000E5DD6">
        <w:rPr>
          <w:rFonts w:ascii="Times New Roman" w:hAnsi="Times New Roman" w:cs="Times New Roman"/>
          <w:bCs/>
          <w:color w:val="000000" w:themeColor="text1"/>
          <w:sz w:val="28"/>
          <w:szCs w:val="28"/>
          <w:lang w:val="ro-MD"/>
        </w:rPr>
        <w:t>gravității faptei și impactului asupra securității publice.</w:t>
      </w:r>
    </w:p>
    <w:p w14:paraId="3F38DDB4" w14:textId="77777777" w:rsidR="00237F48" w:rsidRPr="000E5DD6" w:rsidRDefault="00237F48"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(2) Aplicarea sancțiunilor contravenționale nu exclude răspunderea civilă, atunci când acțiunile sau inacțiunile au cauzat prejudicii.</w:t>
      </w:r>
    </w:p>
    <w:p w14:paraId="039E1F3B" w14:textId="77777777" w:rsidR="00237F48" w:rsidRPr="000E5DD6" w:rsidRDefault="00237F48"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(3) În cazul instituțiilor medico-sanitare, răspunderea pentru nerespectarea articolului 7, revine instituției, cu excepția situațiilor în care se dovedește intenția sau neglijența gravă a personalului medical, săvârșită în afara atribuțiilor de serviciu.</w:t>
      </w:r>
    </w:p>
    <w:p w14:paraId="7ADF68DC" w14:textId="77777777" w:rsidR="00237F48" w:rsidRPr="000E5DD6" w:rsidRDefault="00237F48" w:rsidP="00237F48">
      <w:pPr>
        <w:spacing w:after="0"/>
        <w:rPr>
          <w:rFonts w:ascii="Times New Roman" w:hAnsi="Times New Roman" w:cs="Times New Roman"/>
          <w:b/>
          <w:color w:val="000000" w:themeColor="text1"/>
          <w:sz w:val="28"/>
          <w:szCs w:val="28"/>
          <w:lang w:val="ro-MD"/>
        </w:rPr>
      </w:pPr>
    </w:p>
    <w:p w14:paraId="67C6BEA0" w14:textId="77777777" w:rsidR="00237F48" w:rsidRPr="000E5DD6" w:rsidRDefault="00237F48" w:rsidP="00237F48">
      <w:pPr>
        <w:spacing w:after="0"/>
        <w:jc w:val="center"/>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CAPITOLUL II</w:t>
      </w:r>
    </w:p>
    <w:p w14:paraId="4E8BDFF5" w14:textId="77777777" w:rsidR="00237F48" w:rsidRPr="000E5DD6" w:rsidRDefault="00237F48" w:rsidP="00237F48">
      <w:pPr>
        <w:spacing w:after="0"/>
        <w:jc w:val="center"/>
        <w:rPr>
          <w:rFonts w:ascii="Times New Roman" w:hAnsi="Times New Roman" w:cs="Times New Roman"/>
          <w:color w:val="000000" w:themeColor="text1"/>
          <w:sz w:val="28"/>
          <w:szCs w:val="28"/>
          <w:lang w:val="ro-MD"/>
        </w:rPr>
      </w:pPr>
      <w:r w:rsidRPr="000E5DD6">
        <w:rPr>
          <w:rFonts w:ascii="Times New Roman" w:hAnsi="Times New Roman" w:cs="Times New Roman"/>
          <w:b/>
          <w:bCs/>
          <w:color w:val="000000" w:themeColor="text1"/>
          <w:sz w:val="28"/>
          <w:szCs w:val="28"/>
          <w:lang w:val="ro-MD"/>
        </w:rPr>
        <w:t>REGIMUL PRECURSORILOR DE EXPLOZIVI REGLEMENTAȚI</w:t>
      </w:r>
    </w:p>
    <w:p w14:paraId="671BA00E" w14:textId="77777777" w:rsidR="00237F48" w:rsidRPr="000E5DD6" w:rsidRDefault="00C50339" w:rsidP="00237F48">
      <w:pPr>
        <w:spacing w:after="0"/>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pict w14:anchorId="441F574A">
          <v:rect id="_x0000_i1025" style="width:.45pt;height:2pt;flip:x" o:hrpct="1" o:hralign="center" o:hrstd="t" o:hr="t" fillcolor="#a0a0a0" stroked="f"/>
        </w:pict>
      </w:r>
    </w:p>
    <w:p w14:paraId="29D82210" w14:textId="3218CCFB"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637C25" w:rsidRPr="000E5DD6">
        <w:rPr>
          <w:rFonts w:ascii="Times New Roman" w:hAnsi="Times New Roman" w:cs="Times New Roman"/>
          <w:b/>
          <w:bCs/>
          <w:color w:val="000000" w:themeColor="text1"/>
          <w:sz w:val="28"/>
          <w:szCs w:val="28"/>
          <w:lang w:val="ro-MD"/>
        </w:rPr>
        <w:t>9.</w:t>
      </w:r>
      <w:r w:rsidRPr="000E5DD6">
        <w:rPr>
          <w:rFonts w:ascii="Times New Roman" w:hAnsi="Times New Roman" w:cs="Times New Roman"/>
          <w:b/>
          <w:bCs/>
          <w:color w:val="000000" w:themeColor="text1"/>
          <w:sz w:val="28"/>
          <w:szCs w:val="28"/>
          <w:lang w:val="ro-MD"/>
        </w:rPr>
        <w:t xml:space="preserve"> Regimul general aplicabil precursorilor de explozivi reglementați</w:t>
      </w:r>
    </w:p>
    <w:p w14:paraId="639F85A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Precursorii de explozivi reglementați sunt substanțele sau amestecurile stabilite prin hotărâre de Guvern, pentru care se impune un regim special de verificare, înregistrare și raportare, având în vedere riscul potențial de utilizare în fabricarea explozivilor improvizați.</w:t>
      </w:r>
    </w:p>
    <w:p w14:paraId="79D6EFD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Precursorii de explozivi reglementați pot fi plasați pe piață către:</w:t>
      </w:r>
    </w:p>
    <w:p w14:paraId="45BD0B3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operatorii economici;</w:t>
      </w:r>
    </w:p>
    <w:p w14:paraId="00630DE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utilizatorii profesionali;</w:t>
      </w:r>
    </w:p>
    <w:p w14:paraId="7318114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publicul larg, cu respectarea obligațiilor stabilite în prezentul capitol.</w:t>
      </w:r>
    </w:p>
    <w:p w14:paraId="7D5AE45F" w14:textId="7C7C75BA"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Punerea la dispoziția publicului larg a precursorilor de explozivi reglementați se face sub rezerva verificării obligatorii a identității și a scopului achiziției la punctul de vânzare, conform art. 1</w:t>
      </w:r>
      <w:r w:rsidR="00164CD8" w:rsidRPr="000E5DD6">
        <w:rPr>
          <w:rFonts w:ascii="Times New Roman" w:hAnsi="Times New Roman" w:cs="Times New Roman"/>
          <w:color w:val="000000" w:themeColor="text1"/>
          <w:sz w:val="28"/>
          <w:szCs w:val="28"/>
          <w:lang w:val="ro-MD"/>
        </w:rPr>
        <w:t>3</w:t>
      </w:r>
      <w:r w:rsidRPr="000E5DD6">
        <w:rPr>
          <w:rFonts w:ascii="Times New Roman" w:hAnsi="Times New Roman" w:cs="Times New Roman"/>
          <w:color w:val="000000" w:themeColor="text1"/>
          <w:sz w:val="28"/>
          <w:szCs w:val="28"/>
          <w:lang w:val="ro-MD"/>
        </w:rPr>
        <w:t>.</w:t>
      </w:r>
    </w:p>
    <w:p w14:paraId="22F7FF2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(4) Operatorii economici și utilizatorii profesionali au obligația de a asigura manipularea, depozitarea și utilizarea acestor substanțe în condiții de siguranță.</w:t>
      </w:r>
    </w:p>
    <w:p w14:paraId="1F056C7E"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2E1FDD04" w14:textId="4DBD486C"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637C25" w:rsidRPr="000E5DD6">
        <w:rPr>
          <w:rFonts w:ascii="Times New Roman" w:hAnsi="Times New Roman" w:cs="Times New Roman"/>
          <w:b/>
          <w:color w:val="000000" w:themeColor="text1"/>
          <w:sz w:val="28"/>
          <w:szCs w:val="28"/>
          <w:lang w:val="ro-MD"/>
        </w:rPr>
        <w:t>10</w:t>
      </w:r>
      <w:r w:rsidRPr="000E5DD6">
        <w:rPr>
          <w:rFonts w:ascii="Times New Roman" w:hAnsi="Times New Roman" w:cs="Times New Roman"/>
          <w:b/>
          <w:color w:val="000000" w:themeColor="text1"/>
          <w:sz w:val="28"/>
          <w:szCs w:val="28"/>
          <w:lang w:val="ro-MD"/>
        </w:rPr>
        <w:t>. Obligațiile generale ale operatorilor economici</w:t>
      </w:r>
    </w:p>
    <w:p w14:paraId="176EA19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Operatorii economici care produc, introduc pe teritoriul vamal, distribuie sau plasează pe piață precursori de explozivi reglementați sunt obligați,</w:t>
      </w:r>
      <w:r w:rsidRPr="000E5DD6">
        <w:rPr>
          <w:color w:val="000000" w:themeColor="text1"/>
          <w:lang w:val="ro-MD"/>
        </w:rPr>
        <w:t xml:space="preserve"> </w:t>
      </w:r>
      <w:r w:rsidRPr="000E5DD6">
        <w:rPr>
          <w:rFonts w:ascii="Times New Roman" w:hAnsi="Times New Roman" w:cs="Times New Roman"/>
          <w:color w:val="000000" w:themeColor="text1"/>
          <w:sz w:val="28"/>
          <w:szCs w:val="28"/>
          <w:lang w:val="ro-MD"/>
        </w:rPr>
        <w:t>inclusiv în ceea ce privește substanțele utilizate în agricultură, sub supravegherea autorităților competente în domeniu, să:</w:t>
      </w:r>
    </w:p>
    <w:p w14:paraId="0A3B08F6" w14:textId="0D2F3BA6"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informeze alt operator economic că achiziționarea, introducerea, deținerea sau utilizarea respectivului precursor de explozivi reglementat de către persoane din rândul publicului larg este supusă obligațiilor de raportare prevăzute la capitolul IV din prezenta lege;</w:t>
      </w:r>
    </w:p>
    <w:p w14:paraId="15D381B0" w14:textId="68100DF1"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asigure instruirea personalului pentru a identifica semnele unei tranzacții suspecte, conform criteriilor prevăzute la art. 2</w:t>
      </w:r>
      <w:r w:rsidR="00164CD8" w:rsidRPr="000E5DD6">
        <w:rPr>
          <w:rFonts w:ascii="Times New Roman" w:hAnsi="Times New Roman" w:cs="Times New Roman"/>
          <w:color w:val="000000" w:themeColor="text1"/>
          <w:sz w:val="28"/>
          <w:szCs w:val="28"/>
          <w:lang w:val="ro-MD"/>
        </w:rPr>
        <w:t>9</w:t>
      </w:r>
      <w:r w:rsidRPr="000E5DD6">
        <w:rPr>
          <w:rFonts w:ascii="Times New Roman" w:hAnsi="Times New Roman" w:cs="Times New Roman"/>
          <w:color w:val="000000" w:themeColor="text1"/>
          <w:sz w:val="28"/>
          <w:szCs w:val="28"/>
          <w:lang w:val="ro-MD"/>
        </w:rPr>
        <w:t>;</w:t>
      </w:r>
    </w:p>
    <w:p w14:paraId="6E22F8E1" w14:textId="4AF3D10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c) țină evidența tranzacțiilor conform art. </w:t>
      </w:r>
      <w:r w:rsidR="00164CD8" w:rsidRPr="000E5DD6">
        <w:rPr>
          <w:rFonts w:ascii="Times New Roman" w:hAnsi="Times New Roman" w:cs="Times New Roman"/>
          <w:color w:val="000000" w:themeColor="text1"/>
          <w:sz w:val="28"/>
          <w:szCs w:val="28"/>
          <w:lang w:val="ro-MD"/>
        </w:rPr>
        <w:t>14</w:t>
      </w:r>
      <w:r w:rsidRPr="000E5DD6">
        <w:rPr>
          <w:rFonts w:ascii="Times New Roman" w:hAnsi="Times New Roman" w:cs="Times New Roman"/>
          <w:color w:val="000000" w:themeColor="text1"/>
          <w:sz w:val="28"/>
          <w:szCs w:val="28"/>
          <w:lang w:val="ro-MD"/>
        </w:rPr>
        <w:t xml:space="preserve"> și să păstreze aceste date timp de 5 ani pentru a fi puse la dispoziția autorităților de control;</w:t>
      </w:r>
    </w:p>
    <w:p w14:paraId="4EB2B591" w14:textId="06A8059E"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raporteze tranzacțiile suspecte în conformitate cu prevederile capitolului IV;</w:t>
      </w:r>
    </w:p>
    <w:p w14:paraId="38EC4FD2" w14:textId="76EC37B7" w:rsidR="00237F48" w:rsidRPr="000E5DD6" w:rsidRDefault="00237F48" w:rsidP="00237F48">
      <w:pPr>
        <w:spacing w:after="0"/>
        <w:ind w:firstLine="567"/>
        <w:jc w:val="both"/>
        <w:rPr>
          <w:rFonts w:ascii="Times New Roman" w:eastAsia="Times New Roman" w:hAnsi="Times New Roman" w:cs="Times New Roman"/>
          <w:b/>
          <w:bCs/>
          <w:color w:val="000000" w:themeColor="text1"/>
          <w:kern w:val="0"/>
          <w:sz w:val="28"/>
          <w:szCs w:val="28"/>
          <w:lang w:val="ro-MD" w:eastAsia="en-GB"/>
          <w14:ligatures w14:val="none"/>
        </w:rPr>
      </w:pPr>
      <w:r w:rsidRPr="000E5DD6">
        <w:rPr>
          <w:rFonts w:ascii="Times New Roman" w:hAnsi="Times New Roman" w:cs="Times New Roman"/>
          <w:color w:val="000000" w:themeColor="text1"/>
          <w:sz w:val="28"/>
          <w:szCs w:val="28"/>
          <w:lang w:val="ro-MD"/>
        </w:rPr>
        <w:t>e) păstreze documentele și registrele timp de cel puțin 5 ani.</w:t>
      </w:r>
    </w:p>
    <w:p w14:paraId="5CBF0474" w14:textId="77777777" w:rsidR="00237F48" w:rsidRPr="000E5DD6" w:rsidRDefault="00237F48" w:rsidP="00237F48">
      <w:pPr>
        <w:spacing w:after="0"/>
        <w:ind w:firstLine="567"/>
        <w:jc w:val="both"/>
        <w:rPr>
          <w:rFonts w:ascii="Times New Roman" w:eastAsia="Times New Roman" w:hAnsi="Times New Roman" w:cs="Times New Roman"/>
          <w:b/>
          <w:bCs/>
          <w:color w:val="000000" w:themeColor="text1"/>
          <w:kern w:val="0"/>
          <w:sz w:val="28"/>
          <w:szCs w:val="28"/>
          <w:lang w:val="ro-MD" w:eastAsia="en-GB"/>
          <w14:ligatures w14:val="none"/>
        </w:rPr>
      </w:pPr>
    </w:p>
    <w:p w14:paraId="271AB5D3" w14:textId="720CEF91" w:rsidR="00237F48" w:rsidRPr="000E5DD6" w:rsidRDefault="00237F48" w:rsidP="00237F48">
      <w:pPr>
        <w:spacing w:after="0"/>
        <w:ind w:firstLine="567"/>
        <w:jc w:val="both"/>
        <w:rPr>
          <w:rFonts w:ascii="Times New Roman" w:eastAsia="Times New Roman" w:hAnsi="Times New Roman" w:cs="Times New Roman"/>
          <w:b/>
          <w:bCs/>
          <w:color w:val="000000" w:themeColor="text1"/>
          <w:kern w:val="0"/>
          <w:sz w:val="28"/>
          <w:szCs w:val="28"/>
          <w:lang w:val="ro-MD" w:eastAsia="en-GB"/>
          <w14:ligatures w14:val="none"/>
        </w:rPr>
      </w:pPr>
      <w:r w:rsidRPr="000E5DD6">
        <w:rPr>
          <w:rFonts w:ascii="Times New Roman" w:hAnsi="Times New Roman" w:cs="Times New Roman"/>
          <w:b/>
          <w:color w:val="000000" w:themeColor="text1"/>
          <w:sz w:val="28"/>
          <w:szCs w:val="28"/>
          <w:lang w:val="ro-MD"/>
        </w:rPr>
        <w:t>Articolul 1</w:t>
      </w:r>
      <w:r w:rsidR="00637C25" w:rsidRPr="000E5DD6">
        <w:rPr>
          <w:rFonts w:ascii="Times New Roman" w:hAnsi="Times New Roman" w:cs="Times New Roman"/>
          <w:b/>
          <w:color w:val="000000" w:themeColor="text1"/>
          <w:sz w:val="28"/>
          <w:szCs w:val="28"/>
          <w:lang w:val="ro-MD"/>
        </w:rPr>
        <w:t>1</w:t>
      </w:r>
      <w:r w:rsidRPr="000E5DD6">
        <w:rPr>
          <w:rFonts w:ascii="Times New Roman" w:hAnsi="Times New Roman" w:cs="Times New Roman"/>
          <w:b/>
          <w:color w:val="000000" w:themeColor="text1"/>
          <w:sz w:val="28"/>
          <w:szCs w:val="28"/>
          <w:lang w:val="ro-MD"/>
        </w:rPr>
        <w:t xml:space="preserve">. </w:t>
      </w:r>
      <w:r w:rsidRPr="000E5DD6">
        <w:rPr>
          <w:rFonts w:ascii="Times New Roman" w:eastAsia="Times New Roman" w:hAnsi="Times New Roman" w:cs="Times New Roman"/>
          <w:b/>
          <w:bCs/>
          <w:color w:val="000000" w:themeColor="text1"/>
          <w:kern w:val="0"/>
          <w:sz w:val="28"/>
          <w:szCs w:val="28"/>
          <w:lang w:val="ro-MD" w:eastAsia="en-GB"/>
          <w14:ligatures w14:val="none"/>
        </w:rPr>
        <w:t>Funcționarea depozitelor de păstrare a precursorilor de explozivi</w:t>
      </w:r>
    </w:p>
    <w:p w14:paraId="46BE37C5" w14:textId="77777777" w:rsidR="00237F48" w:rsidRPr="000E5DD6" w:rsidRDefault="00237F48" w:rsidP="00237F48">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r w:rsidRPr="000E5DD6">
        <w:rPr>
          <w:rFonts w:ascii="Times New Roman" w:eastAsia="Times New Roman" w:hAnsi="Times New Roman" w:cs="Times New Roman"/>
          <w:bCs/>
          <w:color w:val="000000" w:themeColor="text1"/>
          <w:kern w:val="0"/>
          <w:sz w:val="28"/>
          <w:szCs w:val="28"/>
          <w:lang w:val="ro-MD" w:eastAsia="en-GB"/>
          <w14:ligatures w14:val="none"/>
        </w:rPr>
        <w:t>(1) Depozitele utilizate pentru păstrarea precursorilor de explozivi restricționați și reglementați întrunesc criteriile stabilite în Legea nr. 67/2024 privind regimul explozivilor de uz civil.</w:t>
      </w:r>
    </w:p>
    <w:p w14:paraId="0A6E4B6C" w14:textId="28BD6A46" w:rsidR="00237F48" w:rsidRPr="000E5DD6" w:rsidRDefault="00237F48" w:rsidP="00237F48">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r w:rsidRPr="000E5DD6">
        <w:rPr>
          <w:rFonts w:ascii="Times New Roman" w:eastAsia="Times New Roman" w:hAnsi="Times New Roman" w:cs="Times New Roman"/>
          <w:bCs/>
          <w:color w:val="000000" w:themeColor="text1"/>
          <w:kern w:val="0"/>
          <w:sz w:val="28"/>
          <w:szCs w:val="28"/>
          <w:lang w:val="ro-MD" w:eastAsia="en-GB"/>
          <w14:ligatures w14:val="none"/>
        </w:rPr>
        <w:t>(2) Inspectoratul Național pentru Supraveghere Tehnică</w:t>
      </w:r>
      <w:r w:rsidR="00DA04A0" w:rsidRPr="000E5DD6">
        <w:rPr>
          <w:rFonts w:ascii="Times New Roman" w:eastAsia="Times New Roman" w:hAnsi="Times New Roman" w:cs="Times New Roman"/>
          <w:bCs/>
          <w:color w:val="000000" w:themeColor="text1"/>
          <w:kern w:val="0"/>
          <w:sz w:val="28"/>
          <w:szCs w:val="28"/>
          <w:lang w:val="ro-MD" w:eastAsia="en-GB"/>
          <w14:ligatures w14:val="none"/>
        </w:rPr>
        <w:t xml:space="preserve"> (în continuare</w:t>
      </w:r>
      <w:r w:rsidR="000E5DD6">
        <w:rPr>
          <w:rFonts w:ascii="Times New Roman" w:eastAsia="Times New Roman" w:hAnsi="Times New Roman" w:cs="Times New Roman"/>
          <w:bCs/>
          <w:color w:val="000000" w:themeColor="text1"/>
          <w:kern w:val="0"/>
          <w:sz w:val="28"/>
          <w:szCs w:val="28"/>
          <w:lang w:val="ro-MD" w:eastAsia="en-GB"/>
          <w14:ligatures w14:val="none"/>
        </w:rPr>
        <w:t xml:space="preserve"> </w:t>
      </w:r>
      <w:r w:rsidR="00DA04A0" w:rsidRPr="000E5DD6">
        <w:rPr>
          <w:rFonts w:ascii="Times New Roman" w:eastAsia="Times New Roman" w:hAnsi="Times New Roman" w:cs="Times New Roman"/>
          <w:bCs/>
          <w:color w:val="000000" w:themeColor="text1"/>
          <w:kern w:val="0"/>
          <w:sz w:val="28"/>
          <w:szCs w:val="28"/>
          <w:lang w:val="ro-MD" w:eastAsia="en-GB"/>
          <w14:ligatures w14:val="none"/>
        </w:rPr>
        <w:t>- INST)</w:t>
      </w:r>
      <w:r w:rsidRPr="000E5DD6">
        <w:rPr>
          <w:rFonts w:ascii="Times New Roman" w:eastAsia="Times New Roman" w:hAnsi="Times New Roman" w:cs="Times New Roman"/>
          <w:bCs/>
          <w:color w:val="000000" w:themeColor="text1"/>
          <w:kern w:val="0"/>
          <w:sz w:val="28"/>
          <w:szCs w:val="28"/>
          <w:lang w:val="ro-MD" w:eastAsia="en-GB"/>
          <w14:ligatures w14:val="none"/>
        </w:rPr>
        <w:t xml:space="preserve"> cooperează cu:</w:t>
      </w:r>
    </w:p>
    <w:p w14:paraId="44503351" w14:textId="3E356246" w:rsidR="00237F48" w:rsidRPr="000E5DD6" w:rsidRDefault="00237F48" w:rsidP="00237F48">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r w:rsidRPr="000E5DD6">
        <w:rPr>
          <w:rFonts w:ascii="Times New Roman" w:eastAsia="Times New Roman" w:hAnsi="Times New Roman" w:cs="Times New Roman"/>
          <w:bCs/>
          <w:color w:val="000000" w:themeColor="text1"/>
          <w:kern w:val="0"/>
          <w:sz w:val="28"/>
          <w:szCs w:val="28"/>
          <w:lang w:val="ro-MD" w:eastAsia="en-GB"/>
          <w14:ligatures w14:val="none"/>
        </w:rPr>
        <w:t>a) Inspectoratul pentru Protecția Mediului</w:t>
      </w:r>
      <w:r w:rsidR="00DA04A0" w:rsidRPr="000E5DD6">
        <w:rPr>
          <w:rFonts w:ascii="Times New Roman" w:eastAsia="Times New Roman" w:hAnsi="Times New Roman" w:cs="Times New Roman"/>
          <w:bCs/>
          <w:color w:val="000000" w:themeColor="text1"/>
          <w:kern w:val="0"/>
          <w:sz w:val="28"/>
          <w:szCs w:val="28"/>
          <w:lang w:val="ro-MD" w:eastAsia="en-GB"/>
          <w14:ligatures w14:val="none"/>
        </w:rPr>
        <w:t xml:space="preserve"> (în continuare – IPM)</w:t>
      </w:r>
      <w:r w:rsidRPr="000E5DD6">
        <w:rPr>
          <w:rFonts w:ascii="Times New Roman" w:eastAsia="Times New Roman" w:hAnsi="Times New Roman" w:cs="Times New Roman"/>
          <w:bCs/>
          <w:color w:val="000000" w:themeColor="text1"/>
          <w:kern w:val="0"/>
          <w:sz w:val="28"/>
          <w:szCs w:val="28"/>
          <w:lang w:val="ro-MD" w:eastAsia="en-GB"/>
          <w14:ligatures w14:val="none"/>
        </w:rPr>
        <w:t xml:space="preserve"> în ceea ce privește cerințele de protecție a mediului și gestionarea substanțelor periculoase;</w:t>
      </w:r>
    </w:p>
    <w:p w14:paraId="53CD9666" w14:textId="23D72BEE" w:rsidR="00237F48" w:rsidRPr="000E5DD6" w:rsidRDefault="00237F48" w:rsidP="000E5DD6">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r w:rsidRPr="000E5DD6">
        <w:rPr>
          <w:rFonts w:ascii="Times New Roman" w:eastAsia="Times New Roman" w:hAnsi="Times New Roman" w:cs="Times New Roman"/>
          <w:bCs/>
          <w:color w:val="000000" w:themeColor="text1"/>
          <w:kern w:val="0"/>
          <w:sz w:val="28"/>
          <w:szCs w:val="28"/>
          <w:lang w:val="ro-MD" w:eastAsia="en-GB"/>
          <w14:ligatures w14:val="none"/>
        </w:rPr>
        <w:t xml:space="preserve">b) </w:t>
      </w:r>
      <w:r w:rsidR="007B46D2" w:rsidRPr="000E5DD6">
        <w:rPr>
          <w:rFonts w:ascii="Times New Roman" w:eastAsia="Times New Roman" w:hAnsi="Times New Roman" w:cs="Times New Roman"/>
          <w:bCs/>
          <w:color w:val="000000" w:themeColor="text1"/>
          <w:kern w:val="0"/>
          <w:sz w:val="28"/>
          <w:szCs w:val="28"/>
          <w:lang w:val="ro-MD" w:eastAsia="en-GB"/>
          <w14:ligatures w14:val="none"/>
        </w:rPr>
        <w:t>Agenția Națională pentru Sănătate Publică (în continuare – ANSP)</w:t>
      </w:r>
      <w:r w:rsidR="00717B4F" w:rsidRPr="000E5DD6">
        <w:rPr>
          <w:rFonts w:ascii="Times New Roman" w:eastAsia="Times New Roman" w:hAnsi="Times New Roman" w:cs="Times New Roman"/>
          <w:bCs/>
          <w:color w:val="000000" w:themeColor="text1"/>
          <w:kern w:val="0"/>
          <w:sz w:val="28"/>
          <w:szCs w:val="28"/>
          <w:lang w:val="ro-MD" w:eastAsia="en-GB"/>
          <w14:ligatures w14:val="none"/>
        </w:rPr>
        <w:t xml:space="preserve">, în ceea ce privește depozitarea </w:t>
      </w:r>
      <w:r w:rsidR="00B40D05" w:rsidRPr="000E5DD6">
        <w:rPr>
          <w:rFonts w:ascii="Times New Roman" w:eastAsia="Times New Roman" w:hAnsi="Times New Roman" w:cs="Times New Roman"/>
          <w:bCs/>
          <w:color w:val="000000" w:themeColor="text1"/>
          <w:kern w:val="0"/>
          <w:sz w:val="28"/>
          <w:szCs w:val="28"/>
          <w:lang w:val="ro-MD" w:eastAsia="en-GB"/>
          <w14:ligatures w14:val="none"/>
        </w:rPr>
        <w:t>prod</w:t>
      </w:r>
      <w:r w:rsidR="004D33E3" w:rsidRPr="000E5DD6">
        <w:rPr>
          <w:rFonts w:ascii="Times New Roman" w:eastAsia="Times New Roman" w:hAnsi="Times New Roman" w:cs="Times New Roman"/>
          <w:bCs/>
          <w:color w:val="000000" w:themeColor="text1"/>
          <w:kern w:val="0"/>
          <w:sz w:val="28"/>
          <w:szCs w:val="28"/>
          <w:lang w:val="ro-MD" w:eastAsia="en-GB"/>
          <w14:ligatures w14:val="none"/>
        </w:rPr>
        <w:t xml:space="preserve">uselor </w:t>
      </w:r>
      <w:proofErr w:type="spellStart"/>
      <w:r w:rsidR="004D33E3" w:rsidRPr="000E5DD6">
        <w:rPr>
          <w:rFonts w:ascii="Times New Roman" w:eastAsia="Times New Roman" w:hAnsi="Times New Roman" w:cs="Times New Roman"/>
          <w:bCs/>
          <w:color w:val="000000" w:themeColor="text1"/>
          <w:kern w:val="0"/>
          <w:sz w:val="28"/>
          <w:szCs w:val="28"/>
          <w:lang w:val="ro-MD" w:eastAsia="en-GB"/>
          <w14:ligatures w14:val="none"/>
        </w:rPr>
        <w:t>biocide</w:t>
      </w:r>
      <w:proofErr w:type="spellEnd"/>
      <w:r w:rsidR="00E7649E" w:rsidRPr="000E5DD6">
        <w:rPr>
          <w:rFonts w:ascii="Times New Roman" w:eastAsia="Times New Roman" w:hAnsi="Times New Roman" w:cs="Times New Roman"/>
          <w:bCs/>
          <w:color w:val="000000" w:themeColor="text1"/>
          <w:kern w:val="0"/>
          <w:sz w:val="28"/>
          <w:szCs w:val="28"/>
          <w:lang w:val="ro-MD" w:eastAsia="en-GB"/>
          <w14:ligatures w14:val="none"/>
        </w:rPr>
        <w:t>;</w:t>
      </w:r>
    </w:p>
    <w:p w14:paraId="110F9715" w14:textId="7B086D10" w:rsidR="00237F48" w:rsidRPr="000E5DD6" w:rsidRDefault="00237F48" w:rsidP="00237F48">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r w:rsidRPr="000E5DD6">
        <w:rPr>
          <w:rFonts w:ascii="Times New Roman" w:eastAsia="Times New Roman" w:hAnsi="Times New Roman" w:cs="Times New Roman"/>
          <w:bCs/>
          <w:color w:val="000000" w:themeColor="text1"/>
          <w:kern w:val="0"/>
          <w:sz w:val="28"/>
          <w:szCs w:val="28"/>
          <w:lang w:val="ro-MD" w:eastAsia="en-GB"/>
          <w14:ligatures w14:val="none"/>
        </w:rPr>
        <w:t xml:space="preserve">c) </w:t>
      </w:r>
      <w:r w:rsidR="00563E79" w:rsidRPr="000E5DD6">
        <w:rPr>
          <w:rFonts w:ascii="Times New Roman" w:eastAsia="Times New Roman" w:hAnsi="Times New Roman" w:cs="Times New Roman"/>
          <w:bCs/>
          <w:color w:val="000000" w:themeColor="text1"/>
          <w:kern w:val="0"/>
          <w:sz w:val="28"/>
          <w:szCs w:val="28"/>
          <w:lang w:val="ro-MD" w:eastAsia="en-GB"/>
          <w14:ligatures w14:val="none"/>
        </w:rPr>
        <w:t xml:space="preserve">Agenția Națională pentru Siguranța Alimentelor (în continuare – </w:t>
      </w:r>
      <w:r w:rsidRPr="000E5DD6">
        <w:rPr>
          <w:rFonts w:ascii="Times New Roman" w:eastAsia="Times New Roman" w:hAnsi="Times New Roman" w:cs="Times New Roman"/>
          <w:bCs/>
          <w:color w:val="000000" w:themeColor="text1"/>
          <w:kern w:val="0"/>
          <w:sz w:val="28"/>
          <w:szCs w:val="28"/>
          <w:lang w:val="ro-MD" w:eastAsia="en-GB"/>
          <w14:ligatures w14:val="none"/>
        </w:rPr>
        <w:t>ANSA</w:t>
      </w:r>
      <w:r w:rsidR="00563E79" w:rsidRPr="000E5DD6">
        <w:rPr>
          <w:rFonts w:ascii="Times New Roman" w:eastAsia="Times New Roman" w:hAnsi="Times New Roman" w:cs="Times New Roman"/>
          <w:bCs/>
          <w:color w:val="000000" w:themeColor="text1"/>
          <w:kern w:val="0"/>
          <w:sz w:val="28"/>
          <w:szCs w:val="28"/>
          <w:lang w:val="ro-MD" w:eastAsia="en-GB"/>
          <w14:ligatures w14:val="none"/>
        </w:rPr>
        <w:t>)</w:t>
      </w:r>
      <w:r w:rsidRPr="000E5DD6">
        <w:rPr>
          <w:rFonts w:ascii="Times New Roman" w:eastAsia="Times New Roman" w:hAnsi="Times New Roman" w:cs="Times New Roman"/>
          <w:bCs/>
          <w:color w:val="000000" w:themeColor="text1"/>
          <w:kern w:val="0"/>
          <w:sz w:val="28"/>
          <w:szCs w:val="28"/>
          <w:lang w:val="ro-MD" w:eastAsia="en-GB"/>
          <w14:ligatures w14:val="none"/>
        </w:rPr>
        <w:t>, în ceea ce privește depozitarea substanțelor utilizate în agricultură.</w:t>
      </w:r>
    </w:p>
    <w:p w14:paraId="1E23B3CF" w14:textId="77777777" w:rsidR="00237F48" w:rsidRPr="000E5DD6" w:rsidRDefault="00237F48" w:rsidP="00237F48">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r w:rsidRPr="000E5DD6">
        <w:rPr>
          <w:rFonts w:ascii="Times New Roman" w:eastAsia="Times New Roman" w:hAnsi="Times New Roman" w:cs="Times New Roman"/>
          <w:bCs/>
          <w:color w:val="000000" w:themeColor="text1"/>
          <w:kern w:val="0"/>
          <w:sz w:val="28"/>
          <w:szCs w:val="28"/>
          <w:lang w:val="ro-MD" w:eastAsia="en-GB"/>
          <w14:ligatures w14:val="none"/>
        </w:rPr>
        <w:t>(3) Depozitarea și manipularea precursorilor de explozivi în depozite în lipsa permisiunii este interzisă și constituie încălcare a prezentei legi.</w:t>
      </w:r>
    </w:p>
    <w:p w14:paraId="5AB5C1FF" w14:textId="77777777" w:rsidR="00237F48" w:rsidRPr="000E5DD6" w:rsidRDefault="00237F48" w:rsidP="00237F48">
      <w:pPr>
        <w:spacing w:after="0"/>
        <w:ind w:firstLine="567"/>
        <w:jc w:val="both"/>
        <w:rPr>
          <w:rFonts w:ascii="Times New Roman" w:eastAsia="Times New Roman" w:hAnsi="Times New Roman" w:cs="Times New Roman"/>
          <w:bCs/>
          <w:color w:val="000000" w:themeColor="text1"/>
          <w:kern w:val="0"/>
          <w:sz w:val="28"/>
          <w:szCs w:val="28"/>
          <w:lang w:val="ro-MD" w:eastAsia="en-GB"/>
          <w14:ligatures w14:val="none"/>
        </w:rPr>
      </w:pPr>
    </w:p>
    <w:p w14:paraId="09E03D84" w14:textId="754F863C"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1</w:t>
      </w:r>
      <w:r w:rsidR="00637C25" w:rsidRPr="000E5DD6">
        <w:rPr>
          <w:rFonts w:ascii="Times New Roman" w:hAnsi="Times New Roman" w:cs="Times New Roman"/>
          <w:b/>
          <w:bCs/>
          <w:color w:val="000000" w:themeColor="text1"/>
          <w:sz w:val="28"/>
          <w:szCs w:val="28"/>
          <w:lang w:val="ro-MD"/>
        </w:rPr>
        <w:t>2</w:t>
      </w:r>
      <w:r w:rsidRPr="000E5DD6">
        <w:rPr>
          <w:rFonts w:ascii="Times New Roman" w:hAnsi="Times New Roman" w:cs="Times New Roman"/>
          <w:b/>
          <w:bCs/>
          <w:color w:val="000000" w:themeColor="text1"/>
          <w:sz w:val="28"/>
          <w:szCs w:val="28"/>
          <w:lang w:val="ro-MD"/>
        </w:rPr>
        <w:t>. Procedurile interne obligatorii ale operatorilor economici</w:t>
      </w:r>
    </w:p>
    <w:p w14:paraId="7AA4975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(1) Operatorii economici care produc, introduc pe/scot de pe teritoriul vamal, distribuie sau plasează pe piață precursori de explozivi reglementați sunt obligați să elaboreze, să aprobe și să implementeze </w:t>
      </w:r>
      <w:r w:rsidRPr="000E5DD6">
        <w:rPr>
          <w:rFonts w:ascii="Times New Roman" w:hAnsi="Times New Roman" w:cs="Times New Roman"/>
          <w:b/>
          <w:bCs/>
          <w:color w:val="000000" w:themeColor="text1"/>
          <w:sz w:val="28"/>
          <w:szCs w:val="28"/>
          <w:lang w:val="ro-MD"/>
        </w:rPr>
        <w:t>proceduri interne</w:t>
      </w:r>
      <w:r w:rsidRPr="000E5DD6">
        <w:rPr>
          <w:rFonts w:ascii="Times New Roman" w:hAnsi="Times New Roman" w:cs="Times New Roman"/>
          <w:color w:val="000000" w:themeColor="text1"/>
          <w:sz w:val="28"/>
          <w:szCs w:val="28"/>
          <w:lang w:val="ro-MD"/>
        </w:rPr>
        <w:t xml:space="preserve"> privind manipularea în siguranță, evidența, verificarea și raportarea operațiunilor cu precursori de explozivi, inclusiv în raport cu cerințele aplicabile substanțelor chimice utilizate în agricultură, potrivit legislației speciale.</w:t>
      </w:r>
    </w:p>
    <w:p w14:paraId="174DD84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(2) Procedurile interne trebuie să includă cel puțin următoarele elemente:</w:t>
      </w:r>
    </w:p>
    <w:p w14:paraId="206E7A7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a) </w:t>
      </w:r>
      <w:r w:rsidRPr="000E5DD6">
        <w:rPr>
          <w:rFonts w:ascii="Times New Roman" w:hAnsi="Times New Roman" w:cs="Times New Roman"/>
          <w:b/>
          <w:bCs/>
          <w:color w:val="000000" w:themeColor="text1"/>
          <w:sz w:val="28"/>
          <w:szCs w:val="28"/>
          <w:lang w:val="ro-MD"/>
        </w:rPr>
        <w:t>desemnarea unei persoane responsabile, inclusiv a persoanei care o substituie în lipsa acesteia</w:t>
      </w:r>
      <w:r w:rsidRPr="000E5DD6">
        <w:rPr>
          <w:rFonts w:ascii="Times New Roman" w:hAnsi="Times New Roman" w:cs="Times New Roman"/>
          <w:color w:val="000000" w:themeColor="text1"/>
          <w:sz w:val="28"/>
          <w:szCs w:val="28"/>
          <w:lang w:val="ro-MD"/>
        </w:rPr>
        <w:t xml:space="preserve"> de aplicarea prezentei legi în cadrul operatorului economic;</w:t>
      </w:r>
    </w:p>
    <w:p w14:paraId="495C6E2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b) </w:t>
      </w:r>
      <w:r w:rsidRPr="000E5DD6">
        <w:rPr>
          <w:rFonts w:ascii="Times New Roman" w:hAnsi="Times New Roman" w:cs="Times New Roman"/>
          <w:b/>
          <w:bCs/>
          <w:color w:val="000000" w:themeColor="text1"/>
          <w:sz w:val="28"/>
          <w:szCs w:val="28"/>
          <w:lang w:val="ro-MD"/>
        </w:rPr>
        <w:t>instrucțiuni privind verificarea identității cumpărătorilor</w:t>
      </w:r>
      <w:r w:rsidRPr="000E5DD6">
        <w:rPr>
          <w:rFonts w:ascii="Times New Roman" w:hAnsi="Times New Roman" w:cs="Times New Roman"/>
          <w:color w:val="000000" w:themeColor="text1"/>
          <w:sz w:val="28"/>
          <w:szCs w:val="28"/>
          <w:lang w:val="ro-MD"/>
        </w:rPr>
        <w:t xml:space="preserve"> și confirmarea scopului legitim al achiziției;</w:t>
      </w:r>
    </w:p>
    <w:p w14:paraId="79F9FED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c) </w:t>
      </w:r>
      <w:r w:rsidRPr="000E5DD6">
        <w:rPr>
          <w:rFonts w:ascii="Times New Roman" w:hAnsi="Times New Roman" w:cs="Times New Roman"/>
          <w:b/>
          <w:bCs/>
          <w:color w:val="000000" w:themeColor="text1"/>
          <w:sz w:val="28"/>
          <w:szCs w:val="28"/>
          <w:lang w:val="ro-MD"/>
        </w:rPr>
        <w:t>criterii de identificare a tranzacțiilor suspecte</w:t>
      </w:r>
      <w:r w:rsidRPr="000E5DD6">
        <w:rPr>
          <w:rFonts w:ascii="Times New Roman" w:hAnsi="Times New Roman" w:cs="Times New Roman"/>
          <w:color w:val="000000" w:themeColor="text1"/>
          <w:sz w:val="28"/>
          <w:szCs w:val="28"/>
          <w:lang w:val="ro-MD"/>
        </w:rPr>
        <w:t>, conform ghidurilor aprobate de autoritățile competente;</w:t>
      </w:r>
    </w:p>
    <w:p w14:paraId="06B18A6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d) </w:t>
      </w:r>
      <w:r w:rsidRPr="000E5DD6">
        <w:rPr>
          <w:rFonts w:ascii="Times New Roman" w:hAnsi="Times New Roman" w:cs="Times New Roman"/>
          <w:b/>
          <w:bCs/>
          <w:color w:val="000000" w:themeColor="text1"/>
          <w:sz w:val="28"/>
          <w:szCs w:val="28"/>
          <w:lang w:val="ro-MD"/>
        </w:rPr>
        <w:t>mecanisme interne de raportare</w:t>
      </w:r>
      <w:r w:rsidRPr="000E5DD6">
        <w:rPr>
          <w:rFonts w:ascii="Times New Roman" w:hAnsi="Times New Roman" w:cs="Times New Roman"/>
          <w:color w:val="000000" w:themeColor="text1"/>
          <w:sz w:val="28"/>
          <w:szCs w:val="28"/>
          <w:lang w:val="ro-MD"/>
        </w:rPr>
        <w:t xml:space="preserve"> a tranzacțiilor suspecte către persoana desemnată sau care o substituie și către autoritățile competente;</w:t>
      </w:r>
    </w:p>
    <w:p w14:paraId="6417F35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e) </w:t>
      </w:r>
      <w:r w:rsidRPr="000E5DD6">
        <w:rPr>
          <w:rFonts w:ascii="Times New Roman" w:hAnsi="Times New Roman" w:cs="Times New Roman"/>
          <w:b/>
          <w:bCs/>
          <w:color w:val="000000" w:themeColor="text1"/>
          <w:sz w:val="28"/>
          <w:szCs w:val="28"/>
          <w:lang w:val="ro-MD"/>
        </w:rPr>
        <w:t>proceduri privind gestionarea stocurilor</w:t>
      </w:r>
      <w:r w:rsidRPr="000E5DD6">
        <w:rPr>
          <w:rFonts w:ascii="Times New Roman" w:hAnsi="Times New Roman" w:cs="Times New Roman"/>
          <w:color w:val="000000" w:themeColor="text1"/>
          <w:sz w:val="28"/>
          <w:szCs w:val="28"/>
          <w:lang w:val="ro-MD"/>
        </w:rPr>
        <w:t>, inclusiv verificări periodice ale cantităților fizice și scriptice;</w:t>
      </w:r>
    </w:p>
    <w:p w14:paraId="05DEA9C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f) </w:t>
      </w:r>
      <w:r w:rsidRPr="000E5DD6">
        <w:rPr>
          <w:rFonts w:ascii="Times New Roman" w:hAnsi="Times New Roman" w:cs="Times New Roman"/>
          <w:b/>
          <w:bCs/>
          <w:color w:val="000000" w:themeColor="text1"/>
          <w:sz w:val="28"/>
          <w:szCs w:val="28"/>
          <w:lang w:val="ro-MD"/>
        </w:rPr>
        <w:t>proceduri pentru prevenirea accesului neautorizat</w:t>
      </w:r>
      <w:r w:rsidRPr="000E5DD6">
        <w:rPr>
          <w:rFonts w:ascii="Times New Roman" w:hAnsi="Times New Roman" w:cs="Times New Roman"/>
          <w:color w:val="000000" w:themeColor="text1"/>
          <w:sz w:val="28"/>
          <w:szCs w:val="28"/>
          <w:lang w:val="ro-MD"/>
        </w:rPr>
        <w:t xml:space="preserve"> la precursori de explozivi;</w:t>
      </w:r>
    </w:p>
    <w:p w14:paraId="4A24A72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g) </w:t>
      </w:r>
      <w:r w:rsidRPr="000E5DD6">
        <w:rPr>
          <w:rFonts w:ascii="Times New Roman" w:hAnsi="Times New Roman" w:cs="Times New Roman"/>
          <w:b/>
          <w:bCs/>
          <w:color w:val="000000" w:themeColor="text1"/>
          <w:sz w:val="28"/>
          <w:szCs w:val="28"/>
          <w:lang w:val="ro-MD"/>
        </w:rPr>
        <w:t>măsuri de securitate fizică și digitală</w:t>
      </w:r>
      <w:r w:rsidRPr="000E5DD6">
        <w:rPr>
          <w:rFonts w:ascii="Times New Roman" w:hAnsi="Times New Roman" w:cs="Times New Roman"/>
          <w:color w:val="000000" w:themeColor="text1"/>
          <w:sz w:val="28"/>
          <w:szCs w:val="28"/>
          <w:lang w:val="ro-MD"/>
        </w:rPr>
        <w:t xml:space="preserve"> privind depozitarea, evidențele și documentele relevante;</w:t>
      </w:r>
    </w:p>
    <w:p w14:paraId="7B2CD41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h) </w:t>
      </w:r>
      <w:r w:rsidRPr="000E5DD6">
        <w:rPr>
          <w:rFonts w:ascii="Times New Roman" w:hAnsi="Times New Roman" w:cs="Times New Roman"/>
          <w:b/>
          <w:bCs/>
          <w:color w:val="000000" w:themeColor="text1"/>
          <w:sz w:val="28"/>
          <w:szCs w:val="28"/>
          <w:lang w:val="ro-MD"/>
        </w:rPr>
        <w:t>proceduri de instruire periodică a personalului</w:t>
      </w:r>
      <w:r w:rsidRPr="000E5DD6">
        <w:rPr>
          <w:rFonts w:ascii="Times New Roman" w:hAnsi="Times New Roman" w:cs="Times New Roman"/>
          <w:color w:val="000000" w:themeColor="text1"/>
          <w:sz w:val="28"/>
          <w:szCs w:val="28"/>
          <w:lang w:val="ro-MD"/>
        </w:rPr>
        <w:t xml:space="preserve"> care manipulează sau comercializează precursori de explozivi;</w:t>
      </w:r>
    </w:p>
    <w:p w14:paraId="01D233A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i) </w:t>
      </w:r>
      <w:r w:rsidRPr="000E5DD6">
        <w:rPr>
          <w:rFonts w:ascii="Times New Roman" w:hAnsi="Times New Roman" w:cs="Times New Roman"/>
          <w:b/>
          <w:bCs/>
          <w:color w:val="000000" w:themeColor="text1"/>
          <w:sz w:val="28"/>
          <w:szCs w:val="28"/>
          <w:lang w:val="ro-MD"/>
        </w:rPr>
        <w:t>mecanisme de revizuire și actualizare</w:t>
      </w:r>
      <w:r w:rsidRPr="000E5DD6">
        <w:rPr>
          <w:rFonts w:ascii="Times New Roman" w:hAnsi="Times New Roman" w:cs="Times New Roman"/>
          <w:color w:val="000000" w:themeColor="text1"/>
          <w:sz w:val="28"/>
          <w:szCs w:val="28"/>
          <w:lang w:val="ro-MD"/>
        </w:rPr>
        <w:t xml:space="preserve"> periodică a procedurilor interne.</w:t>
      </w:r>
    </w:p>
    <w:p w14:paraId="7815574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Procedurile interne trebuie să fie adaptate dimensiunii și naturii activității operatorului economic, precum și riscurilor asociate.</w:t>
      </w:r>
    </w:p>
    <w:p w14:paraId="65C21A0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Operatorii economici asigură instruirea inițială și periodică a personalului propriu privind aplicarea procedurilor interne, identificarea tranzacțiilor suspecte și obligațiile legale în domeniu.</w:t>
      </w:r>
    </w:p>
    <w:p w14:paraId="626E8524" w14:textId="6889E18A" w:rsidR="00237F48" w:rsidRPr="000E5DD6" w:rsidRDefault="00E2621B" w:rsidP="00237F48">
      <w:pPr>
        <w:spacing w:after="0"/>
        <w:ind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(5) IPM, ANSA, </w:t>
      </w:r>
      <w:r w:rsidR="00237F48" w:rsidRPr="000E5DD6">
        <w:rPr>
          <w:rFonts w:ascii="Times New Roman" w:hAnsi="Times New Roman" w:cs="Times New Roman"/>
          <w:color w:val="000000" w:themeColor="text1"/>
          <w:sz w:val="28"/>
          <w:szCs w:val="28"/>
          <w:lang w:val="ro-MD"/>
        </w:rPr>
        <w:t>ANSP</w:t>
      </w:r>
      <w:r>
        <w:rPr>
          <w:rFonts w:ascii="Times New Roman" w:hAnsi="Times New Roman" w:cs="Times New Roman"/>
          <w:color w:val="000000" w:themeColor="text1"/>
          <w:sz w:val="28"/>
          <w:szCs w:val="28"/>
          <w:lang w:val="ro-MD"/>
        </w:rPr>
        <w:t xml:space="preserve"> și AMDM</w:t>
      </w:r>
      <w:r w:rsidR="00237F48" w:rsidRPr="000E5DD6">
        <w:rPr>
          <w:rFonts w:ascii="Times New Roman" w:hAnsi="Times New Roman" w:cs="Times New Roman"/>
          <w:color w:val="000000" w:themeColor="text1"/>
          <w:sz w:val="28"/>
          <w:szCs w:val="28"/>
          <w:lang w:val="ro-MD"/>
        </w:rPr>
        <w:t xml:space="preserve"> exercită, în limitele competențelor lor, atribuții de verificare în ceea ce privește procedurile interne ale operatorilor economici.</w:t>
      </w:r>
    </w:p>
    <w:p w14:paraId="44F6B229" w14:textId="225517DB"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(6) </w:t>
      </w:r>
      <w:r w:rsidR="00B31E84" w:rsidRPr="000E5DD6">
        <w:rPr>
          <w:rFonts w:ascii="Times New Roman" w:hAnsi="Times New Roman" w:cs="Times New Roman"/>
          <w:color w:val="000000" w:themeColor="text1"/>
          <w:sz w:val="28"/>
          <w:szCs w:val="28"/>
          <w:lang w:val="ro-MD"/>
        </w:rPr>
        <w:t xml:space="preserve">Ministerul Afacerilor Interne </w:t>
      </w:r>
      <w:r w:rsidR="006134BD" w:rsidRPr="000E5DD6">
        <w:rPr>
          <w:rFonts w:ascii="Times New Roman" w:hAnsi="Times New Roman" w:cs="Times New Roman"/>
          <w:color w:val="000000" w:themeColor="text1"/>
          <w:sz w:val="28"/>
          <w:szCs w:val="28"/>
          <w:lang w:val="ro-MD"/>
        </w:rPr>
        <w:t xml:space="preserve">(în continuare – </w:t>
      </w:r>
      <w:r w:rsidRPr="000E5DD6">
        <w:rPr>
          <w:rFonts w:ascii="Times New Roman" w:hAnsi="Times New Roman" w:cs="Times New Roman"/>
          <w:color w:val="000000" w:themeColor="text1"/>
          <w:sz w:val="28"/>
          <w:szCs w:val="28"/>
          <w:lang w:val="ro-MD"/>
        </w:rPr>
        <w:t>MAI</w:t>
      </w:r>
      <w:r w:rsidR="006134BD" w:rsidRPr="000E5DD6">
        <w:rPr>
          <w:rFonts w:ascii="Times New Roman" w:hAnsi="Times New Roman" w:cs="Times New Roman"/>
          <w:color w:val="000000" w:themeColor="text1"/>
          <w:sz w:val="28"/>
          <w:szCs w:val="28"/>
          <w:lang w:val="ro-MD"/>
        </w:rPr>
        <w:t>)</w:t>
      </w:r>
      <w:r w:rsidR="008C0BF0" w:rsidRPr="000E5DD6">
        <w:rPr>
          <w:rFonts w:ascii="Times New Roman" w:hAnsi="Times New Roman" w:cs="Times New Roman"/>
          <w:color w:val="000000" w:themeColor="text1"/>
          <w:sz w:val="28"/>
          <w:szCs w:val="28"/>
          <w:lang w:val="ro-MD"/>
        </w:rPr>
        <w:t xml:space="preserve"> prin intermediul autorităților din subordine</w:t>
      </w:r>
      <w:r w:rsidR="006134BD" w:rsidRPr="000E5DD6">
        <w:rPr>
          <w:rFonts w:ascii="Times New Roman" w:hAnsi="Times New Roman" w:cs="Times New Roman"/>
          <w:color w:val="000000" w:themeColor="text1"/>
          <w:sz w:val="28"/>
          <w:szCs w:val="28"/>
          <w:lang w:val="ro-MD"/>
        </w:rPr>
        <w:t xml:space="preserve"> competente</w:t>
      </w:r>
      <w:r w:rsidRPr="000E5DD6">
        <w:rPr>
          <w:rFonts w:ascii="Times New Roman" w:hAnsi="Times New Roman" w:cs="Times New Roman"/>
          <w:color w:val="000000" w:themeColor="text1"/>
          <w:sz w:val="28"/>
          <w:szCs w:val="28"/>
          <w:lang w:val="ro-MD"/>
        </w:rPr>
        <w:t xml:space="preserve"> poate solicita, în contextul prevenirii sau investigării unor infracțiuni, acces la procedurile interne și la informațiile relevante, cu respectarea legislației privind protecția datelor cu caracter personal.</w:t>
      </w:r>
    </w:p>
    <w:p w14:paraId="471DA0F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(7) În cazul instituțiilor medico-sanitare publice și private, procedurile interne prevăzute de prezentul articol se adaptează la specificul activității medicale și pot integra procedurile existente în domeniul siguranței chimice, controlului infecțiilor, managementului riscurilor biologice și protecției sănătății personalului.</w:t>
      </w:r>
    </w:p>
    <w:p w14:paraId="56B4136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(8) Procedurile interne deja aprobate și aplicate în temeiul legislației din domeniul sănătății publice, siguranței chimice sau activității de laborator sunt recunoscute ca echivalente, în măsura în care acoperă cerințele prevăzute de prezentul articol.</w:t>
      </w:r>
    </w:p>
    <w:p w14:paraId="5559CFDA"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7187D22E" w14:textId="06DD8FAE"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1</w:t>
      </w:r>
      <w:r w:rsidR="00637C25" w:rsidRPr="000E5DD6">
        <w:rPr>
          <w:rFonts w:ascii="Times New Roman" w:hAnsi="Times New Roman" w:cs="Times New Roman"/>
          <w:b/>
          <w:color w:val="000000" w:themeColor="text1"/>
          <w:sz w:val="28"/>
          <w:szCs w:val="28"/>
          <w:lang w:val="ro-MD"/>
        </w:rPr>
        <w:t>3</w:t>
      </w:r>
      <w:r w:rsidRPr="000E5DD6">
        <w:rPr>
          <w:rFonts w:ascii="Times New Roman" w:hAnsi="Times New Roman" w:cs="Times New Roman"/>
          <w:b/>
          <w:color w:val="000000" w:themeColor="text1"/>
          <w:sz w:val="28"/>
          <w:szCs w:val="28"/>
          <w:lang w:val="ro-MD"/>
        </w:rPr>
        <w:t>. Verificarea scopului legitim al achiziției</w:t>
      </w:r>
    </w:p>
    <w:p w14:paraId="029735D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(1) În cazul achiziției de precursori de explozivi reglementați, operatorul economic solicită cumpărătorului informații privind utilizarea legitimă a substanței.</w:t>
      </w:r>
    </w:p>
    <w:p w14:paraId="7DF80CD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Operatorul economic solicită cumpărătorului completarea unei Declarații de utilizare simplificate, prin care acesta confirmă pe proprie răspundere scopul legitim al achiziției, conform modelului aprobat prin hotărâre de Guvern.</w:t>
      </w:r>
    </w:p>
    <w:p w14:paraId="3012126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Operatorul economic poate solicita documente justificative suplimentare atunci când:</w:t>
      </w:r>
    </w:p>
    <w:p w14:paraId="405949C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cantitățile solicitate depășesc volumul obișnuit pentru utilizarea declarată;</w:t>
      </w:r>
    </w:p>
    <w:p w14:paraId="3C70D00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cumpărătorul nu poate explica clar scopul utilizării;</w:t>
      </w:r>
    </w:p>
    <w:p w14:paraId="4EEA84B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există inconsecvențe între activitatea declarată și substanța solicitată;</w:t>
      </w:r>
    </w:p>
    <w:p w14:paraId="15F28CA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apar alte suspiciuni obiective privind utilizarea ilicită.</w:t>
      </w:r>
    </w:p>
    <w:p w14:paraId="150B3F5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(4) Operatorul economic refuză furnizarea substanței și raportează tentativa ca tranzacție suspectă atunci când: </w:t>
      </w:r>
    </w:p>
    <w:p w14:paraId="6B89771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a) cumpărătorul nu poate preciza clar utilizarea preconizată; </w:t>
      </w:r>
    </w:p>
    <w:p w14:paraId="13AABE0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b) cumpărătorul refuză să prezinte actul de identitate; </w:t>
      </w:r>
    </w:p>
    <w:p w14:paraId="18497C3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cantitatea solicitată este neobișnuit de mare pentru un uz casnic sau privat.</w:t>
      </w:r>
    </w:p>
    <w:p w14:paraId="563044F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p>
    <w:p w14:paraId="14D2ADE5" w14:textId="7CDDBEA1"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637C25" w:rsidRPr="000E5DD6">
        <w:rPr>
          <w:rFonts w:ascii="Times New Roman" w:hAnsi="Times New Roman" w:cs="Times New Roman"/>
          <w:b/>
          <w:color w:val="000000" w:themeColor="text1"/>
          <w:sz w:val="28"/>
          <w:szCs w:val="28"/>
          <w:lang w:val="ro-MD"/>
        </w:rPr>
        <w:t xml:space="preserve">14 </w:t>
      </w:r>
      <w:r w:rsidRPr="000E5DD6">
        <w:rPr>
          <w:rFonts w:ascii="Times New Roman" w:hAnsi="Times New Roman" w:cs="Times New Roman"/>
          <w:b/>
          <w:color w:val="000000" w:themeColor="text1"/>
          <w:sz w:val="28"/>
          <w:szCs w:val="28"/>
          <w:lang w:val="ro-MD"/>
        </w:rPr>
        <w:t>. Regimul evidenței tranzacțiilor și raportarea în Registru</w:t>
      </w:r>
      <w:r w:rsidR="00637C25" w:rsidRPr="000E5DD6">
        <w:rPr>
          <w:rFonts w:ascii="Times New Roman" w:hAnsi="Times New Roman" w:cs="Times New Roman"/>
          <w:b/>
          <w:color w:val="000000" w:themeColor="text1"/>
          <w:sz w:val="28"/>
          <w:szCs w:val="28"/>
          <w:lang w:val="ro-MD"/>
        </w:rPr>
        <w:t>l de stat al operațiunilor cu precursori de explozivi</w:t>
      </w:r>
    </w:p>
    <w:p w14:paraId="7165EED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sunt obligați să țină o evidență a tuturor tranzacțiilor cu precursori de explozivi reglementați.</w:t>
      </w:r>
    </w:p>
    <w:p w14:paraId="6E87FD2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Evidența include cel puțin următoarele date:</w:t>
      </w:r>
    </w:p>
    <w:p w14:paraId="7208902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data tranzacției;</w:t>
      </w:r>
    </w:p>
    <w:p w14:paraId="4D8FC65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denumirea precursorului și concentrația;</w:t>
      </w:r>
    </w:p>
    <w:p w14:paraId="1FB805A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cantitatea furnizată;</w:t>
      </w:r>
    </w:p>
    <w:p w14:paraId="71BD33D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numele și prenumele persoanei care efectuează achiziția sau denumirea persoanei juridice;</w:t>
      </w:r>
    </w:p>
    <w:p w14:paraId="027B12C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datele de contact ale cumpărătorului;</w:t>
      </w:r>
    </w:p>
    <w:p w14:paraId="468C3B6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scopul declarat al utilizării;</w:t>
      </w:r>
    </w:p>
    <w:p w14:paraId="0CCEBEF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g) numărul actului de identitate sau, după caz, al certificatului/deciziei de înregistrare.</w:t>
      </w:r>
    </w:p>
    <w:p w14:paraId="728132E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Evidența poate fi ținută în format fizic sau electronic.</w:t>
      </w:r>
    </w:p>
    <w:p w14:paraId="618B40C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Datele privind tranzacțiile cu precursori de explozivi reglementați sunt integrate în Registrul de stat al operațiunilor cu precursori de explozivi, în scopul asigurării trasabilității pe întreg lanțul de aprovizionare.</w:t>
      </w:r>
    </w:p>
    <w:p w14:paraId="36400EC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(5) Evidențele se păstrează timp de minimum 5 ani și se prezintă la solicitarea IPM.</w:t>
      </w:r>
    </w:p>
    <w:p w14:paraId="5284640D"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3BFF2C8D" w14:textId="61E71E12"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637C25" w:rsidRPr="000E5DD6">
        <w:rPr>
          <w:rFonts w:ascii="Times New Roman" w:hAnsi="Times New Roman" w:cs="Times New Roman"/>
          <w:b/>
          <w:color w:val="000000" w:themeColor="text1"/>
          <w:sz w:val="28"/>
          <w:szCs w:val="28"/>
          <w:lang w:val="ro-MD"/>
        </w:rPr>
        <w:t>15</w:t>
      </w:r>
      <w:r w:rsidRPr="000E5DD6">
        <w:rPr>
          <w:rFonts w:ascii="Times New Roman" w:hAnsi="Times New Roman" w:cs="Times New Roman"/>
          <w:b/>
          <w:color w:val="000000" w:themeColor="text1"/>
          <w:sz w:val="28"/>
          <w:szCs w:val="28"/>
          <w:lang w:val="ro-MD"/>
        </w:rPr>
        <w:t>. Obligațiile platformelor de comerț electronic</w:t>
      </w:r>
    </w:p>
    <w:p w14:paraId="475CF14B" w14:textId="77777777"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t>(1) Furnizorii de piețe online sunt obligați să implementeze următoarele măsuri specifice:</w:t>
      </w:r>
    </w:p>
    <w:p w14:paraId="53A19C71" w14:textId="703BC55A"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lastRenderedPageBreak/>
        <w:t>a) să solicite operatorilor economici care listează precursori de explozivi reglementați furnizarea informațiilor necesare pentru identificarea acestora, inclusiv numărul de înregistrare în Registrul de stat prevăzut la art. 3</w:t>
      </w:r>
      <w:r w:rsidR="006727F3" w:rsidRPr="000E5DD6">
        <w:rPr>
          <w:color w:val="000000" w:themeColor="text1"/>
          <w:sz w:val="28"/>
          <w:szCs w:val="28"/>
          <w:lang w:val="ro-MD"/>
        </w:rPr>
        <w:t>4,</w:t>
      </w:r>
      <w:r w:rsidRPr="000E5DD6">
        <w:rPr>
          <w:color w:val="000000" w:themeColor="text1"/>
          <w:sz w:val="28"/>
          <w:szCs w:val="28"/>
          <w:lang w:val="ro-MD"/>
        </w:rPr>
        <w:t xml:space="preserve"> înainte de a le permite utilizarea platformei pentru astfel de tranzacții;</w:t>
      </w:r>
    </w:p>
    <w:p w14:paraId="79FB7EDA" w14:textId="1B1C732C"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t xml:space="preserve">b) să adapteze interfața online astfel încât să permită operatorilor economici să își îndeplinească obligațiile de informare a cumpărătorilor și de colectare a declarațiilor prevăzute la art. </w:t>
      </w:r>
      <w:r w:rsidR="006727F3" w:rsidRPr="000E5DD6">
        <w:rPr>
          <w:color w:val="000000" w:themeColor="text1"/>
          <w:sz w:val="28"/>
          <w:szCs w:val="28"/>
          <w:lang w:val="ro-MD"/>
        </w:rPr>
        <w:t xml:space="preserve">24 </w:t>
      </w:r>
      <w:r w:rsidRPr="000E5DD6">
        <w:rPr>
          <w:color w:val="000000" w:themeColor="text1"/>
          <w:sz w:val="28"/>
          <w:szCs w:val="28"/>
          <w:lang w:val="ro-MD"/>
        </w:rPr>
        <w:t xml:space="preserve">și </w:t>
      </w:r>
      <w:r w:rsidR="00477E09" w:rsidRPr="000E5DD6">
        <w:rPr>
          <w:color w:val="000000" w:themeColor="text1"/>
          <w:sz w:val="28"/>
          <w:szCs w:val="28"/>
          <w:lang w:val="ro-MD"/>
        </w:rPr>
        <w:t>13</w:t>
      </w:r>
      <w:r w:rsidRPr="000E5DD6">
        <w:rPr>
          <w:color w:val="000000" w:themeColor="text1"/>
          <w:sz w:val="28"/>
          <w:szCs w:val="28"/>
          <w:lang w:val="ro-MD"/>
        </w:rPr>
        <w:t>;</w:t>
      </w:r>
    </w:p>
    <w:p w14:paraId="403E6F4D" w14:textId="77777777"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t>c) să afișeze avertizări vizibile pentru utilizatori cu privire la restricțiile legale de achiziție a precursorilor de explozivi restricționați de către publicul larg;</w:t>
      </w:r>
    </w:p>
    <w:p w14:paraId="3640AB6C" w14:textId="77777777"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t>d) să instituie mecanisme accesibile care să permită autorităților competente sau utilizatorilor să notifice prezența unor listări de produse neconforme, asigurând eliminarea acestora în termen de 24 de ore de la primirea unei notificări motivate.</w:t>
      </w:r>
    </w:p>
    <w:p w14:paraId="69FD2EE4" w14:textId="65D92687"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t xml:space="preserve">(2) Furnizorii de piețe online implementează măsuri rezonabile și proporționale pentru detectarea tranzacțiilor suspecte, prin utilizarea unor indicatori de risc adaptați mediului digital, și raportează orice tentativă identificată către Punctul Național de Contact în conformitate cu art. </w:t>
      </w:r>
      <w:r w:rsidR="006F4CCE" w:rsidRPr="000E5DD6">
        <w:rPr>
          <w:color w:val="000000" w:themeColor="text1"/>
          <w:sz w:val="28"/>
          <w:szCs w:val="28"/>
          <w:lang w:val="ro-MD"/>
        </w:rPr>
        <w:t>29</w:t>
      </w:r>
      <w:r w:rsidRPr="000E5DD6">
        <w:rPr>
          <w:color w:val="000000" w:themeColor="text1"/>
          <w:sz w:val="28"/>
          <w:szCs w:val="28"/>
          <w:lang w:val="ro-MD"/>
        </w:rPr>
        <w:t>.</w:t>
      </w:r>
    </w:p>
    <w:p w14:paraId="30FCC6CF" w14:textId="0793EBC6" w:rsidR="00237F48" w:rsidRPr="000E5DD6" w:rsidRDefault="00237F48" w:rsidP="00237F48">
      <w:pPr>
        <w:pStyle w:val="NormalWeb"/>
        <w:spacing w:before="0" w:beforeAutospacing="0" w:after="0" w:afterAutospacing="0"/>
        <w:ind w:firstLine="567"/>
        <w:jc w:val="both"/>
        <w:rPr>
          <w:color w:val="000000" w:themeColor="text1"/>
          <w:sz w:val="28"/>
          <w:szCs w:val="28"/>
          <w:lang w:val="ro-MD"/>
        </w:rPr>
      </w:pPr>
      <w:r w:rsidRPr="000E5DD6">
        <w:rPr>
          <w:color w:val="000000" w:themeColor="text1"/>
          <w:sz w:val="28"/>
          <w:szCs w:val="28"/>
          <w:lang w:val="ro-MD"/>
        </w:rPr>
        <w:t>(3) Controlul exercitat de IPM</w:t>
      </w:r>
      <w:r w:rsidR="00E2621B">
        <w:rPr>
          <w:color w:val="000000" w:themeColor="text1"/>
          <w:sz w:val="28"/>
          <w:szCs w:val="28"/>
          <w:lang w:val="ro-MD"/>
        </w:rPr>
        <w:t xml:space="preserve">, ANSA, </w:t>
      </w:r>
      <w:r w:rsidR="006134BD" w:rsidRPr="000E5DD6">
        <w:rPr>
          <w:color w:val="000000" w:themeColor="text1"/>
          <w:sz w:val="28"/>
          <w:szCs w:val="28"/>
          <w:lang w:val="ro-MD"/>
        </w:rPr>
        <w:t>ANSP</w:t>
      </w:r>
      <w:r w:rsidR="00E2621B">
        <w:rPr>
          <w:color w:val="000000" w:themeColor="text1"/>
          <w:sz w:val="28"/>
          <w:szCs w:val="28"/>
          <w:lang w:val="ro-MD"/>
        </w:rPr>
        <w:t xml:space="preserve"> și AMDM</w:t>
      </w:r>
      <w:r w:rsidRPr="000E5DD6">
        <w:rPr>
          <w:color w:val="000000" w:themeColor="text1"/>
          <w:sz w:val="28"/>
          <w:szCs w:val="28"/>
          <w:lang w:val="ro-MD"/>
        </w:rPr>
        <w:t xml:space="preserve"> asupra furnizorilor de piețe online se limitează la verificarea existenței și funcționalității mecanismelor de diligență, raportare și cooperare prevăzute de prezentul articol. </w:t>
      </w:r>
    </w:p>
    <w:p w14:paraId="6C63AED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sidDel="00010541">
        <w:rPr>
          <w:rFonts w:ascii="Times New Roman" w:hAnsi="Times New Roman" w:cs="Times New Roman"/>
          <w:color w:val="000000" w:themeColor="text1"/>
          <w:sz w:val="28"/>
          <w:szCs w:val="28"/>
          <w:lang w:val="ro-MD"/>
        </w:rPr>
        <w:t xml:space="preserve"> </w:t>
      </w:r>
    </w:p>
    <w:p w14:paraId="47375E6C" w14:textId="09A009F1"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EF0A74" w:rsidRPr="000E5DD6">
        <w:rPr>
          <w:rFonts w:ascii="Times New Roman" w:hAnsi="Times New Roman" w:cs="Times New Roman"/>
          <w:b/>
          <w:color w:val="000000" w:themeColor="text1"/>
          <w:sz w:val="28"/>
          <w:szCs w:val="28"/>
          <w:lang w:val="ro-MD"/>
        </w:rPr>
        <w:t>16</w:t>
      </w:r>
      <w:r w:rsidRPr="000E5DD6">
        <w:rPr>
          <w:rFonts w:ascii="Times New Roman" w:hAnsi="Times New Roman" w:cs="Times New Roman"/>
          <w:b/>
          <w:color w:val="000000" w:themeColor="text1"/>
          <w:sz w:val="28"/>
          <w:szCs w:val="28"/>
          <w:lang w:val="ro-MD"/>
        </w:rPr>
        <w:t>. Etichetarea și informarea cumpărătorilor</w:t>
      </w:r>
    </w:p>
    <w:p w14:paraId="322E39DD" w14:textId="2A49579E"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Precursorii de explozivi reglementați se plasează pe piață numai dacă sunt etichetați în conformitate cu cerințele privind clasificarea, etichetarea și ambalarea substanțelor și amestecurilor, aprobate de Guvern.</w:t>
      </w:r>
    </w:p>
    <w:p w14:paraId="326EAAF4" w14:textId="22D6CB1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Operatorii economici trebuie să pună la dispoziția cumpărătorilor informații privind riscurile și obligațiile legale aferente precursorilor reglementați.</w:t>
      </w:r>
    </w:p>
    <w:p w14:paraId="5AA11A0C" w14:textId="253B30D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71711C2B" w14:textId="3D8DF982"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EF0A74" w:rsidRPr="000E5DD6">
        <w:rPr>
          <w:rFonts w:ascii="Times New Roman" w:hAnsi="Times New Roman" w:cs="Times New Roman"/>
          <w:b/>
          <w:color w:val="000000" w:themeColor="text1"/>
          <w:sz w:val="28"/>
          <w:szCs w:val="28"/>
          <w:lang w:val="ro-MD"/>
        </w:rPr>
        <w:t>17</w:t>
      </w:r>
      <w:r w:rsidRPr="000E5DD6">
        <w:rPr>
          <w:rFonts w:ascii="Times New Roman" w:hAnsi="Times New Roman" w:cs="Times New Roman"/>
          <w:b/>
          <w:color w:val="000000" w:themeColor="text1"/>
          <w:sz w:val="28"/>
          <w:szCs w:val="28"/>
          <w:lang w:val="ro-MD"/>
        </w:rPr>
        <w:t>. Interdicția furnizării în volum sau frecvență nejustificată</w:t>
      </w:r>
    </w:p>
    <w:p w14:paraId="1B52875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nu pot furniza precursori de explozivi reglementați în cantități, concentrații sau frecvențe nejustificate raportat la activitatea declarată a cumpărătorului.</w:t>
      </w:r>
    </w:p>
    <w:p w14:paraId="481F203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Operatorul economic are obligația să refuze tranzacția dacă există suspiciuni obiective privind:</w:t>
      </w:r>
    </w:p>
    <w:p w14:paraId="6D23073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neconcordanța evidentă și justificabilă în mod obiectiv dintre cantitatea solicitată și utilizarea declarată, raportată la natura activității desfășurate de cumpărător;</w:t>
      </w:r>
    </w:p>
    <w:p w14:paraId="73D895C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riscul de deturnare a substanței;</w:t>
      </w:r>
    </w:p>
    <w:p w14:paraId="56F6FA8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comportamente sau circumstanțe suspecte ale cumpărătorului.</w:t>
      </w:r>
    </w:p>
    <w:p w14:paraId="5BF654BA"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141D402F" w14:textId="2CBFD69C"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EF0A74" w:rsidRPr="000E5DD6">
        <w:rPr>
          <w:rFonts w:ascii="Times New Roman" w:hAnsi="Times New Roman" w:cs="Times New Roman"/>
          <w:b/>
          <w:color w:val="000000" w:themeColor="text1"/>
          <w:sz w:val="28"/>
          <w:szCs w:val="28"/>
          <w:lang w:val="ro-MD"/>
        </w:rPr>
        <w:t>18</w:t>
      </w:r>
      <w:r w:rsidRPr="000E5DD6">
        <w:rPr>
          <w:rFonts w:ascii="Times New Roman" w:hAnsi="Times New Roman" w:cs="Times New Roman"/>
          <w:b/>
          <w:color w:val="000000" w:themeColor="text1"/>
          <w:sz w:val="28"/>
          <w:szCs w:val="28"/>
          <w:lang w:val="ro-MD"/>
        </w:rPr>
        <w:t>. Accesul autorităților competente la evidențele operatorilor</w:t>
      </w:r>
    </w:p>
    <w:p w14:paraId="41341208" w14:textId="05A2C56B"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(1) IPM, ANSA și ANSP au dreptul de a solicita evidențele prevăzute la art. </w:t>
      </w:r>
      <w:r w:rsidR="00477E09" w:rsidRPr="000E5DD6">
        <w:rPr>
          <w:rFonts w:ascii="Times New Roman" w:hAnsi="Times New Roman" w:cs="Times New Roman"/>
          <w:color w:val="000000" w:themeColor="text1"/>
          <w:sz w:val="28"/>
          <w:szCs w:val="28"/>
          <w:lang w:val="ro-MD"/>
        </w:rPr>
        <w:t>14</w:t>
      </w:r>
      <w:r w:rsidRPr="000E5DD6">
        <w:rPr>
          <w:rFonts w:ascii="Times New Roman" w:hAnsi="Times New Roman" w:cs="Times New Roman"/>
          <w:color w:val="000000" w:themeColor="text1"/>
          <w:sz w:val="28"/>
          <w:szCs w:val="28"/>
          <w:lang w:val="ro-MD"/>
        </w:rPr>
        <w:t xml:space="preserve"> în cadrul atribuțiilor lor de supraveghere a pieței.</w:t>
      </w:r>
    </w:p>
    <w:p w14:paraId="05A49746" w14:textId="4295B76E"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 xml:space="preserve">(2) MAI poate solicita evidențele prevăzute la art. </w:t>
      </w:r>
      <w:r w:rsidR="00477E09" w:rsidRPr="000E5DD6">
        <w:rPr>
          <w:rFonts w:ascii="Times New Roman" w:hAnsi="Times New Roman" w:cs="Times New Roman"/>
          <w:color w:val="000000" w:themeColor="text1"/>
          <w:sz w:val="28"/>
          <w:szCs w:val="28"/>
          <w:lang w:val="ro-MD"/>
        </w:rPr>
        <w:t>14</w:t>
      </w:r>
      <w:r w:rsidRPr="000E5DD6">
        <w:rPr>
          <w:rFonts w:ascii="Times New Roman" w:hAnsi="Times New Roman" w:cs="Times New Roman"/>
          <w:color w:val="000000" w:themeColor="text1"/>
          <w:sz w:val="28"/>
          <w:szCs w:val="28"/>
          <w:lang w:val="ro-MD"/>
        </w:rPr>
        <w:t xml:space="preserve"> exclusiv în contextul prevenției, descoperirii sau investigării unor infracțiuni, precum și în cadrul activităților desfășurate de Punctul Național de Contact privind tranzacțiile suspecte.</w:t>
      </w:r>
    </w:p>
    <w:p w14:paraId="164C0E2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Datele sunt furnizate cu respectarea legislației privind protecția datelor cu caracter personal.</w:t>
      </w:r>
    </w:p>
    <w:p w14:paraId="42201D4A" w14:textId="77777777" w:rsidR="00237F48" w:rsidRPr="000E5DD6" w:rsidRDefault="00237F48" w:rsidP="00237F48">
      <w:pPr>
        <w:spacing w:after="0"/>
        <w:rPr>
          <w:rFonts w:ascii="Times New Roman" w:hAnsi="Times New Roman" w:cs="Times New Roman"/>
          <w:b/>
          <w:color w:val="000000" w:themeColor="text1"/>
          <w:sz w:val="28"/>
          <w:szCs w:val="28"/>
          <w:lang w:val="ro-MD"/>
        </w:rPr>
      </w:pPr>
    </w:p>
    <w:p w14:paraId="65107C0B"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CAPITOLUL III</w:t>
      </w:r>
    </w:p>
    <w:p w14:paraId="44739BDF"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REGIMUL PRECURSORILOR DE EXPLOZIVI RESTRICȚIONAȚI</w:t>
      </w:r>
    </w:p>
    <w:p w14:paraId="222F86BE"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7CDB322B" w14:textId="04AACF61" w:rsidR="00237F48" w:rsidRPr="000E5DD6" w:rsidRDefault="00237F48" w:rsidP="000E5DD6">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D06B63" w:rsidRPr="000E5DD6">
        <w:rPr>
          <w:rFonts w:ascii="Times New Roman" w:hAnsi="Times New Roman" w:cs="Times New Roman"/>
          <w:b/>
          <w:color w:val="000000" w:themeColor="text1"/>
          <w:sz w:val="28"/>
          <w:szCs w:val="28"/>
          <w:lang w:val="ro-MD"/>
        </w:rPr>
        <w:t>19</w:t>
      </w:r>
      <w:r w:rsidRPr="000E5DD6">
        <w:rPr>
          <w:rFonts w:ascii="Times New Roman" w:hAnsi="Times New Roman" w:cs="Times New Roman"/>
          <w:b/>
          <w:color w:val="000000" w:themeColor="text1"/>
          <w:sz w:val="28"/>
          <w:szCs w:val="28"/>
          <w:lang w:val="ro-MD"/>
        </w:rPr>
        <w:t>. Interdicția plasării pe piață către publicul larg</w:t>
      </w:r>
    </w:p>
    <w:p w14:paraId="00209B6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Plasarea pe piață, introducerea pe piață sau furnizarea, cu titlu oneros sau gratuit, a precursorilor de explozivi restricționați către publicul larg este interzisă.</w:t>
      </w:r>
    </w:p>
    <w:p w14:paraId="7DF5802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Guvernul stabilește, prin hotărâre, lista precursorilor de explozivi restricționați, concentrațiile maxime admise, precum și formele de prezentare pentru care se aplică interdicția prevăzută la alin. (1).</w:t>
      </w:r>
    </w:p>
    <w:p w14:paraId="4E43111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Operatorii economici sunt obligați să asigure implementarea măsurilor interne necesare pentru a preveni furnizarea precursorilor de explozivi restricționați către publicul larg.</w:t>
      </w:r>
    </w:p>
    <w:p w14:paraId="7DF2B5C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(4) Prin derogare de la prevederile alin. (1) - (3) se admite punerea la dispoziția unei persoane din rândul publicului larg a unor precursori de explozivi </w:t>
      </w:r>
      <w:proofErr w:type="spellStart"/>
      <w:r w:rsidRPr="000E5DD6">
        <w:rPr>
          <w:rFonts w:ascii="Times New Roman" w:hAnsi="Times New Roman" w:cs="Times New Roman"/>
          <w:color w:val="000000" w:themeColor="text1"/>
          <w:sz w:val="28"/>
          <w:szCs w:val="28"/>
          <w:lang w:val="ro-MD"/>
        </w:rPr>
        <w:t>restricționațiîn</w:t>
      </w:r>
      <w:proofErr w:type="spellEnd"/>
      <w:r w:rsidRPr="000E5DD6">
        <w:rPr>
          <w:rFonts w:ascii="Times New Roman" w:hAnsi="Times New Roman" w:cs="Times New Roman"/>
          <w:color w:val="000000" w:themeColor="text1"/>
          <w:sz w:val="28"/>
          <w:szCs w:val="28"/>
          <w:lang w:val="ro-MD"/>
        </w:rPr>
        <w:t xml:space="preserve"> cazul când verifică pentru fiecare tranzacție dovada identității și licența/permisul respectivei persoane din rândul publicului larg în scop de activitatea agricolă.</w:t>
      </w:r>
    </w:p>
    <w:p w14:paraId="54208B20" w14:textId="77777777" w:rsidR="003738A4" w:rsidRPr="000E5DD6" w:rsidRDefault="003738A4" w:rsidP="00237F48">
      <w:pPr>
        <w:spacing w:after="0"/>
        <w:ind w:firstLine="567"/>
        <w:jc w:val="both"/>
        <w:rPr>
          <w:rFonts w:ascii="Times New Roman" w:hAnsi="Times New Roman" w:cs="Times New Roman"/>
          <w:color w:val="000000" w:themeColor="text1"/>
          <w:sz w:val="28"/>
          <w:szCs w:val="28"/>
          <w:lang w:val="ro-MD"/>
        </w:rPr>
      </w:pPr>
    </w:p>
    <w:p w14:paraId="6334961E" w14:textId="4F308335"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 </w:t>
      </w:r>
      <w:r w:rsidR="00D06B63" w:rsidRPr="000E5DD6">
        <w:rPr>
          <w:rFonts w:ascii="Times New Roman" w:hAnsi="Times New Roman" w:cs="Times New Roman"/>
          <w:b/>
          <w:color w:val="000000" w:themeColor="text1"/>
          <w:sz w:val="28"/>
          <w:szCs w:val="28"/>
          <w:lang w:val="ro-MD"/>
        </w:rPr>
        <w:t>20</w:t>
      </w:r>
      <w:r w:rsidRPr="000E5DD6">
        <w:rPr>
          <w:rFonts w:ascii="Times New Roman" w:hAnsi="Times New Roman" w:cs="Times New Roman"/>
          <w:b/>
          <w:color w:val="000000" w:themeColor="text1"/>
          <w:sz w:val="28"/>
          <w:szCs w:val="28"/>
          <w:lang w:val="ro-MD"/>
        </w:rPr>
        <w:t>. Procedura de eliberare a licențelor</w:t>
      </w:r>
    </w:p>
    <w:p w14:paraId="736FDC6E" w14:textId="77777777" w:rsidR="00237F48" w:rsidRPr="000E5DD6" w:rsidRDefault="00237F48" w:rsidP="00237F48">
      <w:pPr>
        <w:pStyle w:val="Listparagraf"/>
        <w:numPr>
          <w:ilvl w:val="0"/>
          <w:numId w:val="3"/>
        </w:numPr>
        <w:tabs>
          <w:tab w:val="left" w:pos="0"/>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 xml:space="preserve">Procedura de eliberare a licențelor care să permită punerea la dispoziție, deținerea ori utilizarea de către persoane din rândul publicului larg a anumitor precursori de explozivi restricționați în concentrații care nu depășesc valorile-limită superioare corespunzătoare stabilite de Guvern și modelul acestora se aprobă de către Guvern doar în scop de activitatea </w:t>
      </w:r>
      <w:proofErr w:type="spellStart"/>
      <w:r w:rsidRPr="000E5DD6">
        <w:rPr>
          <w:rFonts w:ascii="Times New Roman" w:hAnsi="Times New Roman" w:cs="Times New Roman"/>
          <w:bCs/>
          <w:color w:val="000000" w:themeColor="text1"/>
          <w:sz w:val="28"/>
          <w:szCs w:val="28"/>
          <w:lang w:val="ro-MD"/>
        </w:rPr>
        <w:t>gricolă</w:t>
      </w:r>
      <w:proofErr w:type="spellEnd"/>
      <w:r w:rsidRPr="000E5DD6">
        <w:rPr>
          <w:rFonts w:ascii="Times New Roman" w:hAnsi="Times New Roman" w:cs="Times New Roman"/>
          <w:bCs/>
          <w:color w:val="000000" w:themeColor="text1"/>
          <w:sz w:val="28"/>
          <w:szCs w:val="28"/>
          <w:lang w:val="ro-MD"/>
        </w:rPr>
        <w:t>.</w:t>
      </w:r>
    </w:p>
    <w:p w14:paraId="25685881" w14:textId="77777777" w:rsidR="00237F48" w:rsidRPr="000E5DD6" w:rsidRDefault="00237F48" w:rsidP="00237F48">
      <w:pPr>
        <w:pStyle w:val="Listparagraf"/>
        <w:numPr>
          <w:ilvl w:val="0"/>
          <w:numId w:val="3"/>
        </w:numPr>
        <w:tabs>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În temeiul acestei proceduri de eliberare a licențelor, o persoană din rândul publicului larg obține și, la cerere, prezintă o licență pentru achiziționarea, deținerea sau utilizarea de precursori de explozivi restricționați în scop de activitate agricolă. </w:t>
      </w:r>
    </w:p>
    <w:p w14:paraId="2F18201C" w14:textId="6D202936" w:rsidR="00237F48" w:rsidRPr="000E5DD6" w:rsidRDefault="00237F48" w:rsidP="00237F48">
      <w:pPr>
        <w:pStyle w:val="Listparagraf"/>
        <w:numPr>
          <w:ilvl w:val="0"/>
          <w:numId w:val="3"/>
        </w:numPr>
        <w:tabs>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O astfel de licență este eliberată de către Agenția Servicii Publice</w:t>
      </w:r>
      <w:r w:rsidR="006C653A" w:rsidRPr="000E5DD6">
        <w:rPr>
          <w:rFonts w:ascii="Times New Roman" w:hAnsi="Times New Roman" w:cs="Times New Roman"/>
          <w:bCs/>
          <w:color w:val="000000" w:themeColor="text1"/>
          <w:sz w:val="28"/>
          <w:szCs w:val="28"/>
          <w:lang w:val="ro-MD"/>
        </w:rPr>
        <w:t xml:space="preserve"> </w:t>
      </w:r>
      <w:r w:rsidR="00004A3E" w:rsidRPr="000E5DD6">
        <w:rPr>
          <w:rFonts w:ascii="Times New Roman" w:hAnsi="Times New Roman" w:cs="Times New Roman"/>
          <w:bCs/>
          <w:color w:val="000000" w:themeColor="text1"/>
          <w:sz w:val="28"/>
          <w:szCs w:val="28"/>
          <w:lang w:val="ro-MD"/>
        </w:rPr>
        <w:t>(</w:t>
      </w:r>
      <w:r w:rsidR="006C653A" w:rsidRPr="000E5DD6">
        <w:rPr>
          <w:rFonts w:ascii="Times New Roman" w:hAnsi="Times New Roman" w:cs="Times New Roman"/>
          <w:bCs/>
          <w:color w:val="000000" w:themeColor="text1"/>
          <w:sz w:val="28"/>
          <w:szCs w:val="28"/>
          <w:lang w:val="ro-MD"/>
        </w:rPr>
        <w:t>în continuare – ASP),</w:t>
      </w:r>
      <w:r w:rsidR="00E75CE1" w:rsidRPr="000E5DD6">
        <w:rPr>
          <w:rFonts w:ascii="Times New Roman" w:hAnsi="Times New Roman" w:cs="Times New Roman"/>
          <w:bCs/>
          <w:color w:val="000000" w:themeColor="text1"/>
          <w:sz w:val="28"/>
          <w:szCs w:val="28"/>
          <w:lang w:val="ro-MD"/>
        </w:rPr>
        <w:t xml:space="preserve"> potrivit art. 4 alin. (</w:t>
      </w:r>
      <w:r w:rsidR="006C653A" w:rsidRPr="000E5DD6">
        <w:rPr>
          <w:rFonts w:ascii="Times New Roman" w:hAnsi="Times New Roman" w:cs="Times New Roman"/>
          <w:bCs/>
          <w:color w:val="000000" w:themeColor="text1"/>
          <w:sz w:val="28"/>
          <w:szCs w:val="28"/>
          <w:lang w:val="ro-MD"/>
        </w:rPr>
        <w:t>4)</w:t>
      </w:r>
      <w:r w:rsidRPr="000E5DD6">
        <w:rPr>
          <w:rFonts w:ascii="Times New Roman" w:hAnsi="Times New Roman" w:cs="Times New Roman"/>
          <w:bCs/>
          <w:color w:val="000000" w:themeColor="text1"/>
          <w:sz w:val="28"/>
          <w:szCs w:val="28"/>
          <w:lang w:val="ro-MD"/>
        </w:rPr>
        <w:t xml:space="preserve">, ulterior recepționării avizelor de la MAI, </w:t>
      </w:r>
      <w:r w:rsidR="00004A3E" w:rsidRPr="000E5DD6">
        <w:rPr>
          <w:rFonts w:ascii="Times New Roman" w:hAnsi="Times New Roman" w:cs="Times New Roman"/>
          <w:bCs/>
          <w:color w:val="000000" w:themeColor="text1"/>
          <w:sz w:val="28"/>
          <w:szCs w:val="28"/>
          <w:lang w:val="ro-MD"/>
        </w:rPr>
        <w:t xml:space="preserve">IPM, </w:t>
      </w:r>
      <w:r w:rsidR="00E2621B">
        <w:rPr>
          <w:rFonts w:ascii="Times New Roman" w:hAnsi="Times New Roman" w:cs="Times New Roman"/>
          <w:bCs/>
          <w:color w:val="000000" w:themeColor="text1"/>
          <w:sz w:val="28"/>
          <w:szCs w:val="28"/>
          <w:lang w:val="ro-MD"/>
        </w:rPr>
        <w:t xml:space="preserve">INST, ANSA, </w:t>
      </w:r>
      <w:r w:rsidR="002A1226" w:rsidRPr="000E5DD6">
        <w:rPr>
          <w:rFonts w:ascii="Times New Roman" w:hAnsi="Times New Roman" w:cs="Times New Roman"/>
          <w:bCs/>
          <w:color w:val="000000" w:themeColor="text1"/>
          <w:sz w:val="28"/>
          <w:szCs w:val="28"/>
          <w:lang w:val="ro-MD"/>
        </w:rPr>
        <w:t xml:space="preserve">ANSP </w:t>
      </w:r>
      <w:r w:rsidR="00E2621B">
        <w:rPr>
          <w:rFonts w:ascii="Times New Roman" w:hAnsi="Times New Roman" w:cs="Times New Roman"/>
          <w:bCs/>
          <w:color w:val="000000" w:themeColor="text1"/>
          <w:sz w:val="28"/>
          <w:szCs w:val="28"/>
          <w:lang w:val="ro-MD"/>
        </w:rPr>
        <w:t xml:space="preserve">și AMDM </w:t>
      </w:r>
      <w:r w:rsidRPr="000E5DD6">
        <w:rPr>
          <w:rFonts w:ascii="Times New Roman" w:hAnsi="Times New Roman" w:cs="Times New Roman"/>
          <w:bCs/>
          <w:color w:val="000000" w:themeColor="text1"/>
          <w:sz w:val="28"/>
          <w:szCs w:val="28"/>
          <w:lang w:val="ro-MD"/>
        </w:rPr>
        <w:t>pentru elucidarea potențialelor riscuri de securitate, de siguranță industrială, neconformitate cu normele de siguranță chimică și</w:t>
      </w:r>
      <w:r w:rsidR="007234F4" w:rsidRPr="000E5DD6">
        <w:rPr>
          <w:rFonts w:ascii="Times New Roman" w:hAnsi="Times New Roman" w:cs="Times New Roman"/>
          <w:bCs/>
          <w:color w:val="000000" w:themeColor="text1"/>
          <w:sz w:val="28"/>
          <w:szCs w:val="28"/>
          <w:lang w:val="ro-MD"/>
        </w:rPr>
        <w:t xml:space="preserve"> validarea scopului legitim</w:t>
      </w:r>
      <w:r w:rsidRPr="000E5DD6">
        <w:rPr>
          <w:rFonts w:ascii="Times New Roman" w:hAnsi="Times New Roman" w:cs="Times New Roman"/>
          <w:bCs/>
          <w:color w:val="000000" w:themeColor="text1"/>
          <w:sz w:val="28"/>
          <w:szCs w:val="28"/>
          <w:lang w:val="ro-MD"/>
        </w:rPr>
        <w:t xml:space="preserve"> </w:t>
      </w:r>
      <w:r w:rsidR="007234F4" w:rsidRPr="000E5DD6">
        <w:rPr>
          <w:rFonts w:ascii="Times New Roman" w:hAnsi="Times New Roman" w:cs="Times New Roman"/>
          <w:bCs/>
          <w:color w:val="000000" w:themeColor="text1"/>
          <w:sz w:val="28"/>
          <w:szCs w:val="28"/>
          <w:lang w:val="ro-MD"/>
        </w:rPr>
        <w:t>pentru</w:t>
      </w:r>
      <w:r w:rsidRPr="000E5DD6">
        <w:rPr>
          <w:rFonts w:ascii="Times New Roman" w:hAnsi="Times New Roman" w:cs="Times New Roman"/>
          <w:bCs/>
          <w:color w:val="000000" w:themeColor="text1"/>
          <w:sz w:val="28"/>
          <w:szCs w:val="28"/>
          <w:lang w:val="ro-MD"/>
        </w:rPr>
        <w:t xml:space="preserve"> precursor</w:t>
      </w:r>
      <w:r w:rsidR="007234F4" w:rsidRPr="000E5DD6">
        <w:rPr>
          <w:rFonts w:ascii="Times New Roman" w:hAnsi="Times New Roman" w:cs="Times New Roman"/>
          <w:bCs/>
          <w:color w:val="000000" w:themeColor="text1"/>
          <w:sz w:val="28"/>
          <w:szCs w:val="28"/>
          <w:lang w:val="ro-MD"/>
        </w:rPr>
        <w:t>ul</w:t>
      </w:r>
      <w:r w:rsidRPr="000E5DD6">
        <w:rPr>
          <w:rFonts w:ascii="Times New Roman" w:hAnsi="Times New Roman" w:cs="Times New Roman"/>
          <w:bCs/>
          <w:color w:val="000000" w:themeColor="text1"/>
          <w:sz w:val="28"/>
          <w:szCs w:val="28"/>
          <w:lang w:val="ro-MD"/>
        </w:rPr>
        <w:t xml:space="preserve"> de exploziv restricționat </w:t>
      </w:r>
      <w:r w:rsidR="007234F4" w:rsidRPr="000E5DD6">
        <w:rPr>
          <w:rFonts w:ascii="Times New Roman" w:hAnsi="Times New Roman" w:cs="Times New Roman"/>
          <w:bCs/>
          <w:color w:val="000000" w:themeColor="text1"/>
          <w:sz w:val="28"/>
          <w:szCs w:val="28"/>
          <w:lang w:val="ro-MD"/>
        </w:rPr>
        <w:t>care urmează</w:t>
      </w:r>
      <w:r w:rsidRPr="000E5DD6">
        <w:rPr>
          <w:rFonts w:ascii="Times New Roman" w:hAnsi="Times New Roman" w:cs="Times New Roman"/>
          <w:bCs/>
          <w:color w:val="000000" w:themeColor="text1"/>
          <w:sz w:val="28"/>
          <w:szCs w:val="28"/>
          <w:lang w:val="ro-MD"/>
        </w:rPr>
        <w:t xml:space="preserve"> a fi achiziționat, introdus, deținut sau utilizat.</w:t>
      </w:r>
    </w:p>
    <w:p w14:paraId="7F8637B8" w14:textId="77777777" w:rsidR="003738A4" w:rsidRPr="000E5DD6" w:rsidRDefault="003738A4" w:rsidP="000E5DD6">
      <w:pPr>
        <w:pStyle w:val="Listparagraf"/>
        <w:tabs>
          <w:tab w:val="left" w:pos="993"/>
        </w:tabs>
        <w:spacing w:after="0"/>
        <w:ind w:left="567"/>
        <w:jc w:val="both"/>
        <w:rPr>
          <w:rFonts w:ascii="Times New Roman" w:hAnsi="Times New Roman" w:cs="Times New Roman"/>
          <w:bCs/>
          <w:color w:val="000000" w:themeColor="text1"/>
          <w:sz w:val="28"/>
          <w:szCs w:val="28"/>
          <w:lang w:val="ro-MD"/>
        </w:rPr>
      </w:pPr>
    </w:p>
    <w:p w14:paraId="4B94A471" w14:textId="45F7DD13" w:rsidR="00237F48" w:rsidRPr="000E5DD6" w:rsidRDefault="00237F48" w:rsidP="00237F48">
      <w:pPr>
        <w:pStyle w:val="Listparagraf"/>
        <w:spacing w:after="0"/>
        <w:ind w:left="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 </w:t>
      </w:r>
      <w:r w:rsidR="00D06B63" w:rsidRPr="000E5DD6">
        <w:rPr>
          <w:rFonts w:ascii="Times New Roman" w:hAnsi="Times New Roman" w:cs="Times New Roman"/>
          <w:b/>
          <w:color w:val="000000" w:themeColor="text1"/>
          <w:sz w:val="28"/>
          <w:szCs w:val="28"/>
          <w:lang w:val="ro-MD"/>
        </w:rPr>
        <w:t>21</w:t>
      </w:r>
      <w:r w:rsidRPr="000E5DD6">
        <w:rPr>
          <w:rFonts w:ascii="Times New Roman" w:hAnsi="Times New Roman" w:cs="Times New Roman"/>
          <w:b/>
          <w:color w:val="000000" w:themeColor="text1"/>
          <w:sz w:val="28"/>
          <w:szCs w:val="28"/>
          <w:lang w:val="ro-MD"/>
        </w:rPr>
        <w:t>. Condițiile privind eliberarea licenței</w:t>
      </w:r>
    </w:p>
    <w:p w14:paraId="20756DD3" w14:textId="03D988FE" w:rsidR="00237F48" w:rsidRPr="000E5DD6" w:rsidRDefault="00237F48" w:rsidP="0097432A">
      <w:pPr>
        <w:pStyle w:val="Listparagraf"/>
        <w:numPr>
          <w:ilvl w:val="0"/>
          <w:numId w:val="7"/>
        </w:numPr>
        <w:tabs>
          <w:tab w:val="left" w:pos="709"/>
          <w:tab w:val="left" w:pos="1134"/>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lastRenderedPageBreak/>
        <w:t xml:space="preserve">La examinarea </w:t>
      </w:r>
      <w:r w:rsidR="007234F4" w:rsidRPr="000E5DD6">
        <w:rPr>
          <w:rFonts w:ascii="Times New Roman" w:hAnsi="Times New Roman" w:cs="Times New Roman"/>
          <w:bCs/>
          <w:color w:val="000000" w:themeColor="text1"/>
          <w:sz w:val="28"/>
          <w:szCs w:val="28"/>
          <w:lang w:val="ro-MD"/>
        </w:rPr>
        <w:t xml:space="preserve">cererii </w:t>
      </w:r>
      <w:r w:rsidRPr="000E5DD6">
        <w:rPr>
          <w:rFonts w:ascii="Times New Roman" w:hAnsi="Times New Roman" w:cs="Times New Roman"/>
          <w:bCs/>
          <w:color w:val="000000" w:themeColor="text1"/>
          <w:sz w:val="28"/>
          <w:szCs w:val="28"/>
          <w:lang w:val="ro-MD"/>
        </w:rPr>
        <w:t>de eliberare</w:t>
      </w:r>
      <w:r w:rsidR="007234F4" w:rsidRPr="000E5DD6">
        <w:rPr>
          <w:rFonts w:ascii="Times New Roman" w:hAnsi="Times New Roman" w:cs="Times New Roman"/>
          <w:bCs/>
          <w:color w:val="000000" w:themeColor="text1"/>
          <w:sz w:val="28"/>
          <w:szCs w:val="28"/>
          <w:lang w:val="ro-MD"/>
        </w:rPr>
        <w:t xml:space="preserve"> </w:t>
      </w:r>
      <w:r w:rsidRPr="000E5DD6">
        <w:rPr>
          <w:rFonts w:ascii="Times New Roman" w:hAnsi="Times New Roman" w:cs="Times New Roman"/>
          <w:bCs/>
          <w:color w:val="000000" w:themeColor="text1"/>
          <w:sz w:val="28"/>
          <w:szCs w:val="28"/>
          <w:lang w:val="ro-MD"/>
        </w:rPr>
        <w:t xml:space="preserve">a unei licențe, </w:t>
      </w:r>
      <w:r w:rsidR="00004A3E" w:rsidRPr="000E5DD6">
        <w:rPr>
          <w:rFonts w:ascii="Times New Roman" w:hAnsi="Times New Roman" w:cs="Times New Roman"/>
          <w:bCs/>
          <w:color w:val="000000" w:themeColor="text1"/>
          <w:sz w:val="28"/>
          <w:szCs w:val="28"/>
          <w:lang w:val="ro-MD"/>
        </w:rPr>
        <w:t>ASP</w:t>
      </w:r>
      <w:r w:rsidR="007234F4" w:rsidRPr="000E5DD6">
        <w:rPr>
          <w:rFonts w:ascii="Times New Roman" w:hAnsi="Times New Roman" w:cs="Times New Roman"/>
          <w:bCs/>
          <w:color w:val="000000" w:themeColor="text1"/>
          <w:sz w:val="28"/>
          <w:szCs w:val="28"/>
          <w:lang w:val="ro-MD"/>
        </w:rPr>
        <w:t xml:space="preserve"> ia</w:t>
      </w:r>
      <w:r w:rsidRPr="000E5DD6">
        <w:rPr>
          <w:rFonts w:ascii="Times New Roman" w:hAnsi="Times New Roman" w:cs="Times New Roman"/>
          <w:bCs/>
          <w:color w:val="000000" w:themeColor="text1"/>
          <w:sz w:val="28"/>
          <w:szCs w:val="28"/>
          <w:lang w:val="ro-MD"/>
        </w:rPr>
        <w:t xml:space="preserve"> în considerare toate circumstanțele relevante, în special:</w:t>
      </w:r>
    </w:p>
    <w:p w14:paraId="54030B45" w14:textId="77777777" w:rsidR="00237F48" w:rsidRPr="000E5DD6" w:rsidRDefault="00237F48" w:rsidP="00237F48">
      <w:pPr>
        <w:pStyle w:val="Listparagraf"/>
        <w:numPr>
          <w:ilvl w:val="0"/>
          <w:numId w:val="5"/>
        </w:numPr>
        <w:tabs>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nevoia de un precursor de exploziv care poate fi demonstrată și legitimitatea utilizării preconizate a acestuia;</w:t>
      </w:r>
    </w:p>
    <w:p w14:paraId="13D44B2F" w14:textId="77777777" w:rsidR="00237F48" w:rsidRPr="000E5DD6" w:rsidRDefault="00237F48" w:rsidP="00237F48">
      <w:pPr>
        <w:pStyle w:val="Listparagraf"/>
        <w:numPr>
          <w:ilvl w:val="0"/>
          <w:numId w:val="5"/>
        </w:numPr>
        <w:tabs>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disponibilitatea precursorului de exploziv restricționat în concentrații mai mici sau a unor substanțe alternative cu un efect similar;</w:t>
      </w:r>
    </w:p>
    <w:p w14:paraId="5254F9E1" w14:textId="2D75EF79" w:rsidR="00237F48" w:rsidRPr="000E5DD6" w:rsidRDefault="00237F48" w:rsidP="00237F48">
      <w:pPr>
        <w:pStyle w:val="Listparagraf"/>
        <w:numPr>
          <w:ilvl w:val="0"/>
          <w:numId w:val="5"/>
        </w:numPr>
        <w:tabs>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istoricul solicitantului, inclusiv informații despre condamnările penale anterioare ale solicitantului;</w:t>
      </w:r>
    </w:p>
    <w:p w14:paraId="59C157A0" w14:textId="77777777" w:rsidR="00D06B63" w:rsidRPr="000E5DD6" w:rsidRDefault="00237F48" w:rsidP="00D06B63">
      <w:pPr>
        <w:pStyle w:val="Listparagraf"/>
        <w:numPr>
          <w:ilvl w:val="0"/>
          <w:numId w:val="5"/>
        </w:numPr>
        <w:tabs>
          <w:tab w:val="left" w:pos="993"/>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modalitățile de depozitare care au fost propuse pentru a se asigura că precursorul de explozivi restricționat este depozitat în siguranță.</w:t>
      </w:r>
    </w:p>
    <w:p w14:paraId="0B7974F1" w14:textId="7217EFBE" w:rsidR="00237F48" w:rsidRPr="000E5DD6" w:rsidRDefault="00004A3E" w:rsidP="0097432A">
      <w:pPr>
        <w:pStyle w:val="Listparagraf"/>
        <w:numPr>
          <w:ilvl w:val="0"/>
          <w:numId w:val="7"/>
        </w:numPr>
        <w:tabs>
          <w:tab w:val="left" w:pos="1134"/>
        </w:tabs>
        <w:spacing w:after="0"/>
        <w:ind w:left="0"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ASP</w:t>
      </w:r>
      <w:r w:rsidR="00930DF4" w:rsidRPr="000E5DD6">
        <w:rPr>
          <w:rFonts w:ascii="Times New Roman" w:hAnsi="Times New Roman" w:cs="Times New Roman"/>
          <w:bCs/>
          <w:color w:val="000000" w:themeColor="text1"/>
          <w:sz w:val="28"/>
          <w:szCs w:val="28"/>
          <w:lang w:val="ro-MD"/>
        </w:rPr>
        <w:t xml:space="preserve"> </w:t>
      </w:r>
      <w:r w:rsidR="00237F48" w:rsidRPr="000E5DD6">
        <w:rPr>
          <w:rFonts w:ascii="Times New Roman" w:hAnsi="Times New Roman" w:cs="Times New Roman"/>
          <w:bCs/>
          <w:color w:val="000000" w:themeColor="text1"/>
          <w:sz w:val="28"/>
          <w:szCs w:val="28"/>
          <w:lang w:val="ro-MD"/>
        </w:rPr>
        <w:t>refuză eliberarea licențe</w:t>
      </w:r>
      <w:r w:rsidR="00930DF4" w:rsidRPr="000E5DD6">
        <w:rPr>
          <w:rFonts w:ascii="Times New Roman" w:hAnsi="Times New Roman" w:cs="Times New Roman"/>
          <w:bCs/>
          <w:color w:val="000000" w:themeColor="text1"/>
          <w:sz w:val="28"/>
          <w:szCs w:val="28"/>
          <w:lang w:val="ro-MD"/>
        </w:rPr>
        <w:t>i</w:t>
      </w:r>
      <w:r w:rsidR="00237F48" w:rsidRPr="000E5DD6">
        <w:rPr>
          <w:rFonts w:ascii="Times New Roman" w:hAnsi="Times New Roman" w:cs="Times New Roman"/>
          <w:bCs/>
          <w:color w:val="000000" w:themeColor="text1"/>
          <w:sz w:val="28"/>
          <w:szCs w:val="28"/>
          <w:lang w:val="ro-MD"/>
        </w:rPr>
        <w:t xml:space="preserve"> dacă are </w:t>
      </w:r>
      <w:r w:rsidR="00930DF4" w:rsidRPr="000E5DD6">
        <w:rPr>
          <w:rFonts w:ascii="Times New Roman" w:hAnsi="Times New Roman" w:cs="Times New Roman"/>
          <w:bCs/>
          <w:color w:val="000000" w:themeColor="text1"/>
          <w:sz w:val="28"/>
          <w:szCs w:val="28"/>
          <w:lang w:val="ro-MD"/>
        </w:rPr>
        <w:t xml:space="preserve">suspiciuni </w:t>
      </w:r>
      <w:r w:rsidR="00237F48" w:rsidRPr="000E5DD6">
        <w:rPr>
          <w:rFonts w:ascii="Times New Roman" w:hAnsi="Times New Roman" w:cs="Times New Roman"/>
          <w:bCs/>
          <w:color w:val="000000" w:themeColor="text1"/>
          <w:sz w:val="28"/>
          <w:szCs w:val="28"/>
          <w:lang w:val="ro-MD"/>
        </w:rPr>
        <w:t>rezonabile privind legitimitatea utilizării preconizate sau privind intențiile persoanei din rândul publicului larg de a utiliza precursorul de explozivi restricționat într-un scop legitim</w:t>
      </w:r>
      <w:r w:rsidR="00930DF4" w:rsidRPr="000E5DD6">
        <w:rPr>
          <w:rFonts w:ascii="Times New Roman" w:hAnsi="Times New Roman" w:cs="Times New Roman"/>
          <w:bCs/>
          <w:color w:val="000000" w:themeColor="text1"/>
          <w:sz w:val="28"/>
          <w:szCs w:val="28"/>
          <w:lang w:val="ro-MD"/>
        </w:rPr>
        <w:t>, în baza avizelor autorităților competente</w:t>
      </w:r>
      <w:r w:rsidR="00D06B63" w:rsidRPr="000E5DD6">
        <w:rPr>
          <w:rFonts w:ascii="Times New Roman" w:hAnsi="Times New Roman" w:cs="Times New Roman"/>
          <w:bCs/>
          <w:color w:val="000000" w:themeColor="text1"/>
          <w:sz w:val="28"/>
          <w:szCs w:val="28"/>
          <w:lang w:val="ro-MD"/>
        </w:rPr>
        <w:t>.</w:t>
      </w:r>
    </w:p>
    <w:p w14:paraId="69F5B653" w14:textId="77777777" w:rsidR="00930DF4" w:rsidRPr="000E5DD6" w:rsidRDefault="00D06B63" w:rsidP="0097432A">
      <w:pPr>
        <w:pStyle w:val="Listparagraf"/>
        <w:spacing w:after="0"/>
        <w:ind w:left="0" w:firstLine="567"/>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(3) </w:t>
      </w:r>
      <w:r w:rsidR="00237F48" w:rsidRPr="000E5DD6">
        <w:rPr>
          <w:rFonts w:ascii="Times New Roman" w:hAnsi="Times New Roman" w:cs="Times New Roman"/>
          <w:color w:val="000000" w:themeColor="text1"/>
          <w:sz w:val="28"/>
          <w:szCs w:val="28"/>
          <w:lang w:val="ro-MD"/>
        </w:rPr>
        <w:t>Licența</w:t>
      </w:r>
      <w:r w:rsidR="00930DF4" w:rsidRPr="000E5DD6">
        <w:rPr>
          <w:rFonts w:ascii="Times New Roman" w:hAnsi="Times New Roman" w:cs="Times New Roman"/>
          <w:color w:val="000000" w:themeColor="text1"/>
          <w:sz w:val="28"/>
          <w:szCs w:val="28"/>
          <w:lang w:val="ro-MD"/>
        </w:rPr>
        <w:t xml:space="preserve"> </w:t>
      </w:r>
      <w:r w:rsidR="00237F48" w:rsidRPr="000E5DD6">
        <w:rPr>
          <w:rFonts w:ascii="Times New Roman" w:hAnsi="Times New Roman" w:cs="Times New Roman"/>
          <w:color w:val="000000" w:themeColor="text1"/>
          <w:sz w:val="28"/>
          <w:szCs w:val="28"/>
          <w:lang w:val="ro-MD"/>
        </w:rPr>
        <w:t>precizează precursorii de explozivi restricționați pentru care a fost eliberată.</w:t>
      </w:r>
    </w:p>
    <w:p w14:paraId="7511D0BA" w14:textId="3CB1A935" w:rsidR="00237F48" w:rsidRPr="000E5DD6" w:rsidRDefault="00D06B63" w:rsidP="0097432A">
      <w:pPr>
        <w:pStyle w:val="Listparagraf"/>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w:t>
      </w:r>
      <w:r w:rsidR="004F5857" w:rsidRPr="000E5DD6">
        <w:rPr>
          <w:rFonts w:ascii="Times New Roman" w:hAnsi="Times New Roman" w:cs="Times New Roman"/>
          <w:color w:val="000000" w:themeColor="text1"/>
          <w:sz w:val="28"/>
          <w:szCs w:val="28"/>
          <w:lang w:val="ro-MD"/>
        </w:rPr>
        <w:t xml:space="preserve"> </w:t>
      </w:r>
      <w:r w:rsidR="00237F48" w:rsidRPr="000E5DD6">
        <w:rPr>
          <w:rFonts w:ascii="Times New Roman" w:hAnsi="Times New Roman" w:cs="Times New Roman"/>
          <w:bCs/>
          <w:color w:val="000000" w:themeColor="text1"/>
          <w:sz w:val="28"/>
          <w:szCs w:val="28"/>
          <w:lang w:val="ro-MD"/>
        </w:rPr>
        <w:t>Licența poate fi de utilizare unică sau multiplă, dar nu depășește valabilitatea de trei ani.</w:t>
      </w:r>
    </w:p>
    <w:p w14:paraId="47816E20" w14:textId="736A9B8F" w:rsidR="00237F48" w:rsidRPr="000E5DD6" w:rsidRDefault="004F5857" w:rsidP="0097432A">
      <w:pPr>
        <w:tabs>
          <w:tab w:val="left" w:pos="993"/>
        </w:tabs>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 xml:space="preserve">(5) </w:t>
      </w:r>
      <w:r w:rsidR="00237F48" w:rsidRPr="000E5DD6">
        <w:rPr>
          <w:rFonts w:ascii="Times New Roman" w:hAnsi="Times New Roman" w:cs="Times New Roman"/>
          <w:bCs/>
          <w:color w:val="000000" w:themeColor="text1"/>
          <w:sz w:val="28"/>
          <w:szCs w:val="28"/>
          <w:lang w:val="ro-MD"/>
        </w:rPr>
        <w:t xml:space="preserve">Până la expirarea licenței/permisului, </w:t>
      </w:r>
      <w:r w:rsidR="000B5007" w:rsidRPr="000E5DD6">
        <w:rPr>
          <w:rFonts w:ascii="Times New Roman" w:hAnsi="Times New Roman" w:cs="Times New Roman"/>
          <w:bCs/>
          <w:color w:val="000000" w:themeColor="text1"/>
          <w:sz w:val="28"/>
          <w:szCs w:val="28"/>
          <w:lang w:val="ro-MD"/>
        </w:rPr>
        <w:t>IPM, ANSP</w:t>
      </w:r>
      <w:r w:rsidR="00E2621B">
        <w:rPr>
          <w:rFonts w:ascii="Times New Roman" w:hAnsi="Times New Roman" w:cs="Times New Roman"/>
          <w:bCs/>
          <w:color w:val="000000" w:themeColor="text1"/>
          <w:sz w:val="28"/>
          <w:szCs w:val="28"/>
          <w:lang w:val="ro-MD"/>
        </w:rPr>
        <w:t xml:space="preserve">, </w:t>
      </w:r>
      <w:r w:rsidR="000B5007" w:rsidRPr="000E5DD6">
        <w:rPr>
          <w:rFonts w:ascii="Times New Roman" w:hAnsi="Times New Roman" w:cs="Times New Roman"/>
          <w:bCs/>
          <w:color w:val="000000" w:themeColor="text1"/>
          <w:sz w:val="28"/>
          <w:szCs w:val="28"/>
          <w:lang w:val="ro-MD"/>
        </w:rPr>
        <w:t>ANSA</w:t>
      </w:r>
      <w:r w:rsidR="00237F48" w:rsidRPr="000E5DD6">
        <w:rPr>
          <w:rFonts w:ascii="Times New Roman" w:hAnsi="Times New Roman" w:cs="Times New Roman"/>
          <w:bCs/>
          <w:color w:val="000000" w:themeColor="text1"/>
          <w:sz w:val="28"/>
          <w:szCs w:val="28"/>
          <w:lang w:val="ro-MD"/>
        </w:rPr>
        <w:t xml:space="preserve"> </w:t>
      </w:r>
      <w:r w:rsidR="00E2621B">
        <w:rPr>
          <w:rFonts w:ascii="Times New Roman" w:hAnsi="Times New Roman" w:cs="Times New Roman"/>
          <w:bCs/>
          <w:color w:val="000000" w:themeColor="text1"/>
          <w:sz w:val="28"/>
          <w:szCs w:val="28"/>
          <w:lang w:val="ro-MD"/>
        </w:rPr>
        <w:t xml:space="preserve">și AMDM </w:t>
      </w:r>
      <w:r w:rsidR="000B5007" w:rsidRPr="000E5DD6">
        <w:rPr>
          <w:rFonts w:ascii="Times New Roman" w:hAnsi="Times New Roman" w:cs="Times New Roman"/>
          <w:bCs/>
          <w:color w:val="000000" w:themeColor="text1"/>
          <w:sz w:val="28"/>
          <w:szCs w:val="28"/>
          <w:lang w:val="ro-MD"/>
        </w:rPr>
        <w:t xml:space="preserve">pot </w:t>
      </w:r>
      <w:r w:rsidR="00237F48" w:rsidRPr="000E5DD6">
        <w:rPr>
          <w:rFonts w:ascii="Times New Roman" w:hAnsi="Times New Roman" w:cs="Times New Roman"/>
          <w:bCs/>
          <w:color w:val="000000" w:themeColor="text1"/>
          <w:sz w:val="28"/>
          <w:szCs w:val="28"/>
          <w:lang w:val="ro-MD"/>
        </w:rPr>
        <w:t>solicita deținătorului licenței să demonstreze că îndeplinește în continuare condițiile pe baza cărora a fost eliberată licența/permisul.</w:t>
      </w:r>
    </w:p>
    <w:p w14:paraId="4B6A9385" w14:textId="58D3257D" w:rsidR="00237F48" w:rsidRPr="000E5DD6" w:rsidRDefault="004F5857" w:rsidP="0097432A">
      <w:pPr>
        <w:tabs>
          <w:tab w:val="left" w:pos="993"/>
        </w:tabs>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 xml:space="preserve">(6) </w:t>
      </w:r>
      <w:r w:rsidR="000B5007" w:rsidRPr="000E5DD6">
        <w:rPr>
          <w:rFonts w:ascii="Times New Roman" w:hAnsi="Times New Roman" w:cs="Times New Roman"/>
          <w:bCs/>
          <w:color w:val="000000" w:themeColor="text1"/>
          <w:sz w:val="28"/>
          <w:szCs w:val="28"/>
          <w:lang w:val="ro-MD"/>
        </w:rPr>
        <w:t>IPM</w:t>
      </w:r>
      <w:r w:rsidR="00E2621B">
        <w:rPr>
          <w:rFonts w:ascii="Times New Roman" w:hAnsi="Times New Roman" w:cs="Times New Roman"/>
          <w:bCs/>
          <w:color w:val="000000" w:themeColor="text1"/>
          <w:sz w:val="28"/>
          <w:szCs w:val="28"/>
          <w:lang w:val="ro-MD"/>
        </w:rPr>
        <w:t xml:space="preserve">, ANSP, </w:t>
      </w:r>
      <w:r w:rsidR="00102571" w:rsidRPr="000E5DD6">
        <w:rPr>
          <w:rFonts w:ascii="Times New Roman" w:hAnsi="Times New Roman" w:cs="Times New Roman"/>
          <w:bCs/>
          <w:color w:val="000000" w:themeColor="text1"/>
          <w:sz w:val="28"/>
          <w:szCs w:val="28"/>
          <w:lang w:val="ro-MD"/>
        </w:rPr>
        <w:t xml:space="preserve">ANSA </w:t>
      </w:r>
      <w:r w:rsidR="00E2621B">
        <w:rPr>
          <w:rFonts w:ascii="Times New Roman" w:hAnsi="Times New Roman" w:cs="Times New Roman"/>
          <w:bCs/>
          <w:color w:val="000000" w:themeColor="text1"/>
          <w:sz w:val="28"/>
          <w:szCs w:val="28"/>
          <w:lang w:val="ro-MD"/>
        </w:rPr>
        <w:t xml:space="preserve">și AMDM </w:t>
      </w:r>
      <w:r w:rsidR="00102571" w:rsidRPr="000E5DD6">
        <w:rPr>
          <w:rFonts w:ascii="Times New Roman" w:hAnsi="Times New Roman" w:cs="Times New Roman"/>
          <w:bCs/>
          <w:color w:val="000000" w:themeColor="text1"/>
          <w:sz w:val="28"/>
          <w:szCs w:val="28"/>
          <w:lang w:val="ro-MD"/>
        </w:rPr>
        <w:t>pot</w:t>
      </w:r>
      <w:r w:rsidR="00237F48" w:rsidRPr="000E5DD6">
        <w:rPr>
          <w:rFonts w:ascii="Times New Roman" w:hAnsi="Times New Roman" w:cs="Times New Roman"/>
          <w:bCs/>
          <w:color w:val="000000" w:themeColor="text1"/>
          <w:sz w:val="28"/>
          <w:szCs w:val="28"/>
          <w:lang w:val="ro-MD"/>
        </w:rPr>
        <w:t xml:space="preserve"> </w:t>
      </w:r>
      <w:r w:rsidR="00930DF4" w:rsidRPr="000E5DD6">
        <w:rPr>
          <w:rFonts w:ascii="Times New Roman" w:hAnsi="Times New Roman" w:cs="Times New Roman"/>
          <w:bCs/>
          <w:color w:val="000000" w:themeColor="text1"/>
          <w:sz w:val="28"/>
          <w:szCs w:val="28"/>
          <w:lang w:val="ro-MD"/>
        </w:rPr>
        <w:t xml:space="preserve">solicita </w:t>
      </w:r>
      <w:r w:rsidR="00AE0073" w:rsidRPr="000E5DD6">
        <w:rPr>
          <w:rFonts w:ascii="Times New Roman" w:hAnsi="Times New Roman" w:cs="Times New Roman"/>
          <w:bCs/>
          <w:color w:val="000000" w:themeColor="text1"/>
          <w:sz w:val="28"/>
          <w:szCs w:val="28"/>
          <w:lang w:val="ro-MD"/>
        </w:rPr>
        <w:t>ASP</w:t>
      </w:r>
      <w:r w:rsidR="00930DF4" w:rsidRPr="000E5DD6">
        <w:rPr>
          <w:rFonts w:ascii="Times New Roman" w:hAnsi="Times New Roman" w:cs="Times New Roman"/>
          <w:bCs/>
          <w:color w:val="000000" w:themeColor="text1"/>
          <w:sz w:val="28"/>
          <w:szCs w:val="28"/>
          <w:lang w:val="ro-MD"/>
        </w:rPr>
        <w:t xml:space="preserve"> </w:t>
      </w:r>
      <w:r w:rsidR="00237F48" w:rsidRPr="000E5DD6">
        <w:rPr>
          <w:rFonts w:ascii="Times New Roman" w:hAnsi="Times New Roman" w:cs="Times New Roman"/>
          <w:bCs/>
          <w:color w:val="000000" w:themeColor="text1"/>
          <w:sz w:val="28"/>
          <w:szCs w:val="28"/>
          <w:lang w:val="ro-MD"/>
        </w:rPr>
        <w:t>suspenda</w:t>
      </w:r>
      <w:r w:rsidR="00930DF4" w:rsidRPr="000E5DD6">
        <w:rPr>
          <w:rFonts w:ascii="Times New Roman" w:hAnsi="Times New Roman" w:cs="Times New Roman"/>
          <w:bCs/>
          <w:color w:val="000000" w:themeColor="text1"/>
          <w:sz w:val="28"/>
          <w:szCs w:val="28"/>
          <w:lang w:val="ro-MD"/>
        </w:rPr>
        <w:t>rea</w:t>
      </w:r>
      <w:r w:rsidR="00237F48" w:rsidRPr="000E5DD6">
        <w:rPr>
          <w:rFonts w:ascii="Times New Roman" w:hAnsi="Times New Roman" w:cs="Times New Roman"/>
          <w:bCs/>
          <w:color w:val="000000" w:themeColor="text1"/>
          <w:sz w:val="28"/>
          <w:szCs w:val="28"/>
          <w:lang w:val="ro-MD"/>
        </w:rPr>
        <w:t xml:space="preserve"> sau revoca</w:t>
      </w:r>
      <w:r w:rsidR="00930DF4" w:rsidRPr="000E5DD6">
        <w:rPr>
          <w:rFonts w:ascii="Times New Roman" w:hAnsi="Times New Roman" w:cs="Times New Roman"/>
          <w:bCs/>
          <w:color w:val="000000" w:themeColor="text1"/>
          <w:sz w:val="28"/>
          <w:szCs w:val="28"/>
          <w:lang w:val="ro-MD"/>
        </w:rPr>
        <w:t>rea</w:t>
      </w:r>
      <w:r w:rsidR="00237F48" w:rsidRPr="000E5DD6">
        <w:rPr>
          <w:rFonts w:ascii="Times New Roman" w:hAnsi="Times New Roman" w:cs="Times New Roman"/>
          <w:bCs/>
          <w:color w:val="000000" w:themeColor="text1"/>
          <w:sz w:val="28"/>
          <w:szCs w:val="28"/>
          <w:lang w:val="ro-MD"/>
        </w:rPr>
        <w:t xml:space="preserve"> licenț</w:t>
      </w:r>
      <w:r w:rsidR="00930DF4" w:rsidRPr="000E5DD6">
        <w:rPr>
          <w:rFonts w:ascii="Times New Roman" w:hAnsi="Times New Roman" w:cs="Times New Roman"/>
          <w:bCs/>
          <w:color w:val="000000" w:themeColor="text1"/>
          <w:sz w:val="28"/>
          <w:szCs w:val="28"/>
          <w:lang w:val="ro-MD"/>
        </w:rPr>
        <w:t>ei</w:t>
      </w:r>
      <w:r w:rsidR="00237F48" w:rsidRPr="000E5DD6">
        <w:rPr>
          <w:rFonts w:ascii="Times New Roman" w:hAnsi="Times New Roman" w:cs="Times New Roman"/>
          <w:bCs/>
          <w:color w:val="000000" w:themeColor="text1"/>
          <w:sz w:val="28"/>
          <w:szCs w:val="28"/>
          <w:lang w:val="ro-MD"/>
        </w:rPr>
        <w:t xml:space="preserve"> atunci când există </w:t>
      </w:r>
      <w:r w:rsidR="00B925CE" w:rsidRPr="000E5DD6">
        <w:rPr>
          <w:rFonts w:ascii="Times New Roman" w:hAnsi="Times New Roman" w:cs="Times New Roman"/>
          <w:bCs/>
          <w:color w:val="000000" w:themeColor="text1"/>
          <w:sz w:val="28"/>
          <w:szCs w:val="28"/>
          <w:lang w:val="ro-MD"/>
        </w:rPr>
        <w:t xml:space="preserve">suspiciuni </w:t>
      </w:r>
      <w:r w:rsidR="00237F48" w:rsidRPr="000E5DD6">
        <w:rPr>
          <w:rFonts w:ascii="Times New Roman" w:hAnsi="Times New Roman" w:cs="Times New Roman"/>
          <w:bCs/>
          <w:color w:val="000000" w:themeColor="text1"/>
          <w:sz w:val="28"/>
          <w:szCs w:val="28"/>
          <w:lang w:val="ro-MD"/>
        </w:rPr>
        <w:t>rezonabile de a crede că nu mai sunt îndeplinite condițiile pe baza cărora aceasta a fost eliberată. În acest caz</w:t>
      </w:r>
      <w:r w:rsidR="00930DF4" w:rsidRPr="000E5DD6">
        <w:rPr>
          <w:rFonts w:ascii="Times New Roman" w:hAnsi="Times New Roman" w:cs="Times New Roman"/>
          <w:bCs/>
          <w:color w:val="000000" w:themeColor="text1"/>
          <w:sz w:val="28"/>
          <w:szCs w:val="28"/>
          <w:lang w:val="ro-MD"/>
        </w:rPr>
        <w:t xml:space="preserve">, </w:t>
      </w:r>
      <w:r w:rsidR="00237F48" w:rsidRPr="000E5DD6">
        <w:rPr>
          <w:rFonts w:ascii="Times New Roman" w:hAnsi="Times New Roman" w:cs="Times New Roman"/>
          <w:bCs/>
          <w:color w:val="000000" w:themeColor="text1"/>
          <w:sz w:val="28"/>
          <w:szCs w:val="28"/>
          <w:lang w:val="ro-MD"/>
        </w:rPr>
        <w:t>se informează fără întârziere deținătorii licențelor cu privire la suspendarea sau revocarea licențelo</w:t>
      </w:r>
      <w:r w:rsidR="00930DF4" w:rsidRPr="000E5DD6">
        <w:rPr>
          <w:rFonts w:ascii="Times New Roman" w:hAnsi="Times New Roman" w:cs="Times New Roman"/>
          <w:bCs/>
          <w:color w:val="000000" w:themeColor="text1"/>
          <w:sz w:val="28"/>
          <w:szCs w:val="28"/>
          <w:lang w:val="ro-MD"/>
        </w:rPr>
        <w:t>r</w:t>
      </w:r>
      <w:r w:rsidR="00237F48" w:rsidRPr="000E5DD6">
        <w:rPr>
          <w:rFonts w:ascii="Times New Roman" w:hAnsi="Times New Roman" w:cs="Times New Roman"/>
          <w:bCs/>
          <w:color w:val="000000" w:themeColor="text1"/>
          <w:sz w:val="28"/>
          <w:szCs w:val="28"/>
          <w:lang w:val="ro-MD"/>
        </w:rPr>
        <w:t xml:space="preserve"> acestora, cu excepția cazului în care acest lucru ar pune în pericol investigațiile în curs.</w:t>
      </w:r>
    </w:p>
    <w:p w14:paraId="52AA439C" w14:textId="1E1EB955" w:rsidR="00237F48" w:rsidRPr="000E5DD6" w:rsidRDefault="004F5857" w:rsidP="0097432A">
      <w:pPr>
        <w:tabs>
          <w:tab w:val="left" w:pos="993"/>
        </w:tabs>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 xml:space="preserve">(7) </w:t>
      </w:r>
      <w:r w:rsidR="00237F48" w:rsidRPr="000E5DD6">
        <w:rPr>
          <w:rFonts w:ascii="Times New Roman" w:hAnsi="Times New Roman" w:cs="Times New Roman"/>
          <w:bCs/>
          <w:color w:val="000000" w:themeColor="text1"/>
          <w:sz w:val="28"/>
          <w:szCs w:val="28"/>
          <w:lang w:val="ro-MD"/>
        </w:rPr>
        <w:t xml:space="preserve">Căile de atac împotriva oricărei decizii a </w:t>
      </w:r>
      <w:r w:rsidR="00102571" w:rsidRPr="000E5DD6">
        <w:rPr>
          <w:rFonts w:ascii="Times New Roman" w:hAnsi="Times New Roman" w:cs="Times New Roman"/>
          <w:bCs/>
          <w:color w:val="000000" w:themeColor="text1"/>
          <w:sz w:val="28"/>
          <w:szCs w:val="28"/>
          <w:lang w:val="ro-MD"/>
        </w:rPr>
        <w:t>ASP</w:t>
      </w:r>
      <w:r w:rsidR="00237F48" w:rsidRPr="000E5DD6">
        <w:rPr>
          <w:rFonts w:ascii="Times New Roman" w:hAnsi="Times New Roman" w:cs="Times New Roman"/>
          <w:bCs/>
          <w:color w:val="000000" w:themeColor="text1"/>
          <w:sz w:val="28"/>
          <w:szCs w:val="28"/>
          <w:lang w:val="ro-MD"/>
        </w:rPr>
        <w:t xml:space="preserve">, precum și litigiile privind respectarea condițiilor licenței/permisului se soluționează conform Codului </w:t>
      </w:r>
      <w:r w:rsidR="00905B73" w:rsidRPr="000E5DD6">
        <w:rPr>
          <w:rFonts w:ascii="Times New Roman" w:hAnsi="Times New Roman" w:cs="Times New Roman"/>
          <w:bCs/>
          <w:color w:val="000000" w:themeColor="text1"/>
          <w:sz w:val="28"/>
          <w:szCs w:val="28"/>
          <w:lang w:val="ro-MD"/>
        </w:rPr>
        <w:t xml:space="preserve">administrativ </w:t>
      </w:r>
      <w:r w:rsidR="00237F48" w:rsidRPr="000E5DD6">
        <w:rPr>
          <w:rFonts w:ascii="Times New Roman" w:hAnsi="Times New Roman" w:cs="Times New Roman"/>
          <w:bCs/>
          <w:color w:val="000000" w:themeColor="text1"/>
          <w:sz w:val="28"/>
          <w:szCs w:val="28"/>
          <w:lang w:val="ro-MD"/>
        </w:rPr>
        <w:t xml:space="preserve">al Republicii </w:t>
      </w:r>
      <w:r w:rsidR="00102571" w:rsidRPr="000E5DD6">
        <w:rPr>
          <w:rFonts w:ascii="Times New Roman" w:hAnsi="Times New Roman" w:cs="Times New Roman"/>
          <w:bCs/>
          <w:color w:val="000000" w:themeColor="text1"/>
          <w:sz w:val="28"/>
          <w:szCs w:val="28"/>
          <w:lang w:val="ro-MD"/>
        </w:rPr>
        <w:t>Moldova</w:t>
      </w:r>
      <w:r w:rsidR="00237F48" w:rsidRPr="000E5DD6">
        <w:rPr>
          <w:rFonts w:ascii="Times New Roman" w:hAnsi="Times New Roman" w:cs="Times New Roman"/>
          <w:bCs/>
          <w:color w:val="000000" w:themeColor="text1"/>
          <w:sz w:val="28"/>
          <w:szCs w:val="28"/>
          <w:lang w:val="ro-MD"/>
        </w:rPr>
        <w:t xml:space="preserve"> nr. 116/2018.</w:t>
      </w:r>
    </w:p>
    <w:p w14:paraId="5B1479AA" w14:textId="77777777" w:rsidR="003738A4" w:rsidRPr="000E5DD6" w:rsidRDefault="003738A4" w:rsidP="0097432A">
      <w:pPr>
        <w:tabs>
          <w:tab w:val="left" w:pos="993"/>
        </w:tabs>
        <w:spacing w:after="0"/>
        <w:ind w:firstLine="567"/>
        <w:jc w:val="both"/>
        <w:rPr>
          <w:rFonts w:ascii="Times New Roman" w:hAnsi="Times New Roman" w:cs="Times New Roman"/>
          <w:bCs/>
          <w:color w:val="000000" w:themeColor="text1"/>
          <w:sz w:val="28"/>
          <w:szCs w:val="28"/>
          <w:lang w:val="ro-MD"/>
        </w:rPr>
      </w:pPr>
    </w:p>
    <w:p w14:paraId="68F09FE5" w14:textId="39B3F944"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930DF4" w:rsidRPr="000E5DD6">
        <w:rPr>
          <w:rFonts w:ascii="Times New Roman" w:hAnsi="Times New Roman" w:cs="Times New Roman"/>
          <w:b/>
          <w:color w:val="000000" w:themeColor="text1"/>
          <w:sz w:val="28"/>
          <w:szCs w:val="28"/>
          <w:lang w:val="ro-MD"/>
        </w:rPr>
        <w:t>22</w:t>
      </w:r>
      <w:r w:rsidRPr="000E5DD6">
        <w:rPr>
          <w:rFonts w:ascii="Times New Roman" w:hAnsi="Times New Roman" w:cs="Times New Roman"/>
          <w:b/>
          <w:color w:val="000000" w:themeColor="text1"/>
          <w:sz w:val="28"/>
          <w:szCs w:val="28"/>
          <w:lang w:val="ro-MD"/>
        </w:rPr>
        <w:t>. Oferta, publicitatea și prezentarea precursorilor de explozivi restricționați</w:t>
      </w:r>
    </w:p>
    <w:p w14:paraId="7233076E" w14:textId="28967748"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Se interzice promovarea, publicitatea sau prezentarea precursorilor de explozivi restricționați în moduri care pot induce în eroare publicul larg cu privire la dreptul de a-i achiziționa sau utiliza.</w:t>
      </w:r>
    </w:p>
    <w:p w14:paraId="2AB0EEB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Operatorii economici sunt obligați să includă în orice material informativ sau publicitar referitor la precursorii de explozivi restricționați o mențiune privind interdicția achiziției de către publicul larg.</w:t>
      </w:r>
    </w:p>
    <w:p w14:paraId="3B8C5749" w14:textId="3752109F" w:rsidR="003738A4" w:rsidRPr="00E2621B" w:rsidRDefault="00237F48" w:rsidP="00E2621B">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Platformele de comerț electronic trebuie să asigure mecanisme de filtrare și blocare a listărilor care oferă acces neautorizat publicului larg la precursori de explozivi restricționați.</w:t>
      </w:r>
    </w:p>
    <w:p w14:paraId="13F17736" w14:textId="28E8E23E"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lastRenderedPageBreak/>
        <w:t xml:space="preserve">Articolul </w:t>
      </w:r>
      <w:r w:rsidR="00930DF4" w:rsidRPr="000E5DD6">
        <w:rPr>
          <w:rFonts w:ascii="Times New Roman" w:hAnsi="Times New Roman" w:cs="Times New Roman"/>
          <w:b/>
          <w:color w:val="000000" w:themeColor="text1"/>
          <w:sz w:val="28"/>
          <w:szCs w:val="28"/>
          <w:lang w:val="ro-MD"/>
        </w:rPr>
        <w:t>23</w:t>
      </w:r>
      <w:r w:rsidRPr="000E5DD6">
        <w:rPr>
          <w:rFonts w:ascii="Times New Roman" w:hAnsi="Times New Roman" w:cs="Times New Roman"/>
          <w:b/>
          <w:color w:val="000000" w:themeColor="text1"/>
          <w:sz w:val="28"/>
          <w:szCs w:val="28"/>
          <w:lang w:val="ro-MD"/>
        </w:rPr>
        <w:t>. Obligativitatea verificării identității în procesul de vânzare</w:t>
      </w:r>
    </w:p>
    <w:p w14:paraId="31771BE6" w14:textId="77777777" w:rsidR="00237F48" w:rsidRPr="000E5DD6" w:rsidRDefault="00237F48" w:rsidP="00237F48">
      <w:pPr>
        <w:pStyle w:val="Listparagraf"/>
        <w:numPr>
          <w:ilvl w:val="0"/>
          <w:numId w:val="2"/>
        </w:numPr>
        <w:tabs>
          <w:tab w:val="left" w:pos="1134"/>
        </w:tabs>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Operatorul economic are obligația să verifice identitatea persoanei care solicită achiziția unui precursor de explozivi restricționat, în calitate de utilizator profesional sau a operatorului economic căruia îi pune la dispoziție precursorul respectiv.</w:t>
      </w:r>
    </w:p>
    <w:p w14:paraId="417612C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Operatorul economic este obligat să verifice, suplimentar, calitatea de utilizator profesional, prin solicitarea și analizarea următoarelor documente:</w:t>
      </w:r>
    </w:p>
    <w:p w14:paraId="69BA6BE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actul de identitate al reprezentantului;</w:t>
      </w:r>
    </w:p>
    <w:p w14:paraId="2FCA451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documentele care justifică activitatea profesională (extras din registrul de stat, certificat/decizie de înregistrare, certificat de competență profesională etc.);</w:t>
      </w:r>
    </w:p>
    <w:p w14:paraId="7DC8C0AA" w14:textId="084AC45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declarația pe propria răspundere a utilizatorului profesional privind scopul legitim al utilizării substanțelor</w:t>
      </w:r>
      <w:r w:rsidR="00905B73" w:rsidRPr="000E5DD6">
        <w:rPr>
          <w:rFonts w:ascii="Times New Roman" w:hAnsi="Times New Roman" w:cs="Times New Roman"/>
          <w:color w:val="000000" w:themeColor="text1"/>
          <w:sz w:val="28"/>
          <w:szCs w:val="28"/>
          <w:lang w:val="ro-MD"/>
        </w:rPr>
        <w:t>.</w:t>
      </w:r>
    </w:p>
    <w:p w14:paraId="1994470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Sub obligativitatea verificărilor nu cad cazurile în care o astfel de verificare pentru clientul potențial respectiv a avut loc deja într-o perioadă de un an înainte de data tranzacției respective, iar tranzacția nu diferă semnificativ față de tranzacțiile anterioare.</w:t>
      </w:r>
    </w:p>
    <w:p w14:paraId="68748D9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Operatorul economic refuză furnizarea precursorilor de explozivi restricționați în cazul în care:</w:t>
      </w:r>
    </w:p>
    <w:p w14:paraId="5A6985D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documentele furnizate sunt incomplete sau neconcludente;</w:t>
      </w:r>
    </w:p>
    <w:p w14:paraId="1D417A9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există suspiciuni rezonabile privind utilizarea substanței în scopuri ilicite;</w:t>
      </w:r>
    </w:p>
    <w:p w14:paraId="74084CF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persoana solicitantă nu poate demonstra calitatea de utilizator profesional sau de operator economic.</w:t>
      </w:r>
    </w:p>
    <w:p w14:paraId="7D7C96D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(5) Evidența verificărilor efectuate se consemnează de către operatorul economic care le-a efectuat.</w:t>
      </w:r>
    </w:p>
    <w:p w14:paraId="2FB36F2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(6) Prin derogare de la prevederile alin. (1) - (4), în cazul furnizării precursorilor de explozivi restricționați către instituții medico-sanitare, verificarea calității de utilizator profesional se realizează pe baza autorizației sanitare de funcționare sau a unui alt act permisiv echivalent.</w:t>
      </w:r>
    </w:p>
    <w:p w14:paraId="11BB014F" w14:textId="2221CC78"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(7) Un operator economic care pune la dispoziția unei persoane din rândul publicului larg un precursor de explozivi restricționat în conformitate cu articolul </w:t>
      </w:r>
      <w:r w:rsidR="00666AD0" w:rsidRPr="000E5DD6">
        <w:rPr>
          <w:rFonts w:ascii="Times New Roman" w:hAnsi="Times New Roman" w:cs="Times New Roman"/>
          <w:color w:val="000000" w:themeColor="text1"/>
          <w:sz w:val="28"/>
          <w:szCs w:val="28"/>
          <w:lang w:val="ro-MD"/>
        </w:rPr>
        <w:t>20</w:t>
      </w:r>
      <w:r w:rsidRPr="000E5DD6">
        <w:rPr>
          <w:rFonts w:ascii="Times New Roman" w:hAnsi="Times New Roman" w:cs="Times New Roman"/>
          <w:color w:val="000000" w:themeColor="text1"/>
          <w:sz w:val="28"/>
          <w:szCs w:val="28"/>
          <w:lang w:val="ro-MD"/>
        </w:rPr>
        <w:t xml:space="preserve"> verifică pentru fiecare tranzacție dovada identității și licența/permisul respectivei persoane din rândul publicului larg.</w:t>
      </w:r>
    </w:p>
    <w:p w14:paraId="4E2DEFA4"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534F4C68" w14:textId="06CD9770"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930DF4" w:rsidRPr="000E5DD6">
        <w:rPr>
          <w:rFonts w:ascii="Times New Roman" w:hAnsi="Times New Roman" w:cs="Times New Roman"/>
          <w:b/>
          <w:color w:val="000000" w:themeColor="text1"/>
          <w:sz w:val="28"/>
          <w:szCs w:val="28"/>
          <w:lang w:val="ro-MD"/>
        </w:rPr>
        <w:t>24</w:t>
      </w:r>
      <w:r w:rsidRPr="000E5DD6">
        <w:rPr>
          <w:rFonts w:ascii="Times New Roman" w:hAnsi="Times New Roman" w:cs="Times New Roman"/>
          <w:b/>
          <w:color w:val="000000" w:themeColor="text1"/>
          <w:sz w:val="28"/>
          <w:szCs w:val="28"/>
          <w:lang w:val="ro-MD"/>
        </w:rPr>
        <w:t>. Declarația utilizatorului profesional</w:t>
      </w:r>
    </w:p>
    <w:p w14:paraId="243305DA" w14:textId="6A2B0C4A"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(1) Furnizarea precursorilor de explozivi restricționați către utilizatorii profesionali este permisă numai </w:t>
      </w:r>
      <w:r w:rsidR="00930DF4" w:rsidRPr="000E5DD6">
        <w:rPr>
          <w:rFonts w:ascii="Times New Roman" w:hAnsi="Times New Roman" w:cs="Times New Roman"/>
          <w:color w:val="000000" w:themeColor="text1"/>
          <w:sz w:val="28"/>
          <w:szCs w:val="28"/>
          <w:lang w:val="ro-MD"/>
        </w:rPr>
        <w:t>în</w:t>
      </w:r>
      <w:r w:rsidRPr="000E5DD6">
        <w:rPr>
          <w:rFonts w:ascii="Times New Roman" w:hAnsi="Times New Roman" w:cs="Times New Roman"/>
          <w:color w:val="000000" w:themeColor="text1"/>
          <w:sz w:val="28"/>
          <w:szCs w:val="28"/>
          <w:lang w:val="ro-MD"/>
        </w:rPr>
        <w:t xml:space="preserve"> baza declarației utilizatorului profesional, conform modelului aprobat prin hotărâre de Guvern.</w:t>
      </w:r>
    </w:p>
    <w:p w14:paraId="54744E6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Declarația utilizatorului profesional trebuie să conțină cel puțin:</w:t>
      </w:r>
    </w:p>
    <w:p w14:paraId="0CF0362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datele de identificare ale operatorului economic și ale utilizatorului profesional;</w:t>
      </w:r>
    </w:p>
    <w:p w14:paraId="76598E1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descrierea activității profesionale și justificarea utilizării precursorilor;</w:t>
      </w:r>
    </w:p>
    <w:p w14:paraId="64ACFD1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tipul și cantitatea de substanțe solicitate;</w:t>
      </w:r>
    </w:p>
    <w:p w14:paraId="5B765B8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d) perioada estimată de utilizare;</w:t>
      </w:r>
    </w:p>
    <w:p w14:paraId="66A34E9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angajamentul privind utilizarea exclusiv în scopuri legitime;</w:t>
      </w:r>
    </w:p>
    <w:p w14:paraId="220C032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semnătura reprezentantului legal al utilizatorului profesional.</w:t>
      </w:r>
    </w:p>
    <w:p w14:paraId="41E1BD6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Operatorii economici păstrează declarațiile pe o perioadă de 18 luni, în formă fizică sau electronică.</w:t>
      </w:r>
    </w:p>
    <w:p w14:paraId="0C2B9773" w14:textId="014878DD"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Declarațiile utilizatorilor profesionali pot fi verificate de către IPM, ANSA</w:t>
      </w:r>
      <w:r w:rsidR="0098467B" w:rsidRPr="000E5DD6">
        <w:rPr>
          <w:rFonts w:ascii="Times New Roman" w:hAnsi="Times New Roman" w:cs="Times New Roman"/>
          <w:color w:val="000000" w:themeColor="text1"/>
          <w:sz w:val="28"/>
          <w:szCs w:val="28"/>
          <w:lang w:val="ro-MD"/>
        </w:rPr>
        <w:t xml:space="preserve"> </w:t>
      </w:r>
      <w:r w:rsidRPr="000E5DD6">
        <w:rPr>
          <w:rFonts w:ascii="Times New Roman" w:hAnsi="Times New Roman" w:cs="Times New Roman"/>
          <w:color w:val="000000" w:themeColor="text1"/>
          <w:sz w:val="28"/>
          <w:szCs w:val="28"/>
          <w:lang w:val="ro-MD"/>
        </w:rPr>
        <w:t>ANSP) în cadrul atribuțiilor acestora de supraveghere a pieței</w:t>
      </w:r>
      <w:r w:rsidR="0098467B" w:rsidRPr="000E5DD6">
        <w:rPr>
          <w:rFonts w:ascii="Times New Roman" w:hAnsi="Times New Roman" w:cs="Times New Roman"/>
          <w:color w:val="000000" w:themeColor="text1"/>
          <w:sz w:val="28"/>
          <w:szCs w:val="28"/>
          <w:lang w:val="ro-MD"/>
        </w:rPr>
        <w:t xml:space="preserve">. </w:t>
      </w:r>
    </w:p>
    <w:p w14:paraId="7F5DBC6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(5) În cazul instituțiilor medico-sanitare, declarația utilizatorului profesional poate fi înlocuită cu o declarație instituțională standardizată, semnată de conducătorul instituției sau de persoana responsabilă desemnată, conform modelului aprobat prin Hotărâre de Guvern.</w:t>
      </w:r>
    </w:p>
    <w:p w14:paraId="4A112936"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0F66D137" w14:textId="148ABA0B"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930DF4" w:rsidRPr="000E5DD6">
        <w:rPr>
          <w:rFonts w:ascii="Times New Roman" w:hAnsi="Times New Roman" w:cs="Times New Roman"/>
          <w:b/>
          <w:color w:val="000000" w:themeColor="text1"/>
          <w:sz w:val="28"/>
          <w:szCs w:val="28"/>
          <w:lang w:val="ro-MD"/>
        </w:rPr>
        <w:t>25</w:t>
      </w:r>
      <w:r w:rsidRPr="000E5DD6">
        <w:rPr>
          <w:rFonts w:ascii="Times New Roman" w:hAnsi="Times New Roman" w:cs="Times New Roman"/>
          <w:b/>
          <w:color w:val="000000" w:themeColor="text1"/>
          <w:sz w:val="28"/>
          <w:szCs w:val="28"/>
          <w:lang w:val="ro-MD"/>
        </w:rPr>
        <w:t>. Obligațiile utilizatorilor profesionali</w:t>
      </w:r>
    </w:p>
    <w:p w14:paraId="7674E13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Utilizatorii profesionali sunt obligați:</w:t>
      </w:r>
    </w:p>
    <w:p w14:paraId="7CF15B6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să utilizeze precursorii de explozivi restricționați exclusiv în scopurile declarate;</w:t>
      </w:r>
    </w:p>
    <w:p w14:paraId="524BE5C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să asigure stocarea și manipularea în condiții de siguranță;</w:t>
      </w:r>
    </w:p>
    <w:p w14:paraId="44BA735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să prevină accesul ilegal la substanțe;</w:t>
      </w:r>
    </w:p>
    <w:p w14:paraId="3FE769A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să informeze imediat autoritățile competente despre orice tranzacție suspectă, tentativă de achiziție suspectă sau dispariție;</w:t>
      </w:r>
    </w:p>
    <w:p w14:paraId="2BCC38F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să permită efectuarea controalelor de către autoritățile competente;</w:t>
      </w:r>
    </w:p>
    <w:p w14:paraId="54B1BEF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să păstreze evidența cantităților utilizate, comercializate sau eliminate.</w:t>
      </w:r>
    </w:p>
    <w:p w14:paraId="41F7A06F"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53D29D96" w14:textId="04956980"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930DF4" w:rsidRPr="000E5DD6">
        <w:rPr>
          <w:rFonts w:ascii="Times New Roman" w:hAnsi="Times New Roman" w:cs="Times New Roman"/>
          <w:b/>
          <w:color w:val="000000" w:themeColor="text1"/>
          <w:sz w:val="28"/>
          <w:szCs w:val="28"/>
          <w:lang w:val="ro-MD"/>
        </w:rPr>
        <w:t>26</w:t>
      </w:r>
      <w:r w:rsidRPr="000E5DD6">
        <w:rPr>
          <w:rFonts w:ascii="Times New Roman" w:hAnsi="Times New Roman" w:cs="Times New Roman"/>
          <w:b/>
          <w:color w:val="000000" w:themeColor="text1"/>
          <w:sz w:val="28"/>
          <w:szCs w:val="28"/>
          <w:lang w:val="ro-MD"/>
        </w:rPr>
        <w:t>. Regimul evidenței și trasabilității precursorilor de explozivi restricționați</w:t>
      </w:r>
    </w:p>
    <w:p w14:paraId="51F4667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și utilizatorii profesionali sunt obligați să țină o evidență strictă a precursorilor de explozivi restricționați, incluzând cel puțin:</w:t>
      </w:r>
    </w:p>
    <w:p w14:paraId="280C07C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denumirea substanței;</w:t>
      </w:r>
    </w:p>
    <w:p w14:paraId="70930C4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concentrația;</w:t>
      </w:r>
    </w:p>
    <w:p w14:paraId="544AAEF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cantitatea achiziționată, stocată și utilizată;</w:t>
      </w:r>
    </w:p>
    <w:p w14:paraId="5028574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data și sursa achiziției;</w:t>
      </w:r>
    </w:p>
    <w:p w14:paraId="36A86B0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datele de identificare ale beneficiarilor (unde este cazul).</w:t>
      </w:r>
    </w:p>
    <w:p w14:paraId="761E9C2B" w14:textId="6E1B5D50"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(2) Evidențele se păstrează </w:t>
      </w:r>
      <w:r w:rsidR="00930DF4" w:rsidRPr="000E5DD6">
        <w:rPr>
          <w:rFonts w:ascii="Times New Roman" w:hAnsi="Times New Roman" w:cs="Times New Roman"/>
          <w:color w:val="000000" w:themeColor="text1"/>
          <w:sz w:val="28"/>
          <w:szCs w:val="28"/>
          <w:lang w:val="ro-MD"/>
        </w:rPr>
        <w:t>pentru</w:t>
      </w:r>
      <w:r w:rsidRPr="000E5DD6">
        <w:rPr>
          <w:rFonts w:ascii="Times New Roman" w:hAnsi="Times New Roman" w:cs="Times New Roman"/>
          <w:color w:val="000000" w:themeColor="text1"/>
          <w:sz w:val="28"/>
          <w:szCs w:val="28"/>
          <w:lang w:val="ro-MD"/>
        </w:rPr>
        <w:t xml:space="preserve"> minimum 5 ani de la data ultimei operațiuni.</w:t>
      </w:r>
    </w:p>
    <w:p w14:paraId="0F5A1968" w14:textId="1BB8BBB0"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(3) Evidențele pot fi solicitate de către autoritățile competente și </w:t>
      </w:r>
      <w:r w:rsidR="00930DF4" w:rsidRPr="000E5DD6">
        <w:rPr>
          <w:rFonts w:ascii="Times New Roman" w:hAnsi="Times New Roman" w:cs="Times New Roman"/>
          <w:color w:val="000000" w:themeColor="text1"/>
          <w:sz w:val="28"/>
          <w:szCs w:val="28"/>
          <w:lang w:val="ro-MD"/>
        </w:rPr>
        <w:t>urmează a fi</w:t>
      </w:r>
      <w:r w:rsidRPr="000E5DD6">
        <w:rPr>
          <w:rFonts w:ascii="Times New Roman" w:hAnsi="Times New Roman" w:cs="Times New Roman"/>
          <w:color w:val="000000" w:themeColor="text1"/>
          <w:sz w:val="28"/>
          <w:szCs w:val="28"/>
          <w:lang w:val="ro-MD"/>
        </w:rPr>
        <w:t xml:space="preserve"> prezentate</w:t>
      </w:r>
      <w:r w:rsidR="000A79B2" w:rsidRPr="000E5DD6">
        <w:rPr>
          <w:rFonts w:ascii="Times New Roman" w:hAnsi="Times New Roman" w:cs="Times New Roman"/>
          <w:color w:val="000000" w:themeColor="text1"/>
          <w:sz w:val="28"/>
          <w:szCs w:val="28"/>
          <w:lang w:val="ro-MD"/>
        </w:rPr>
        <w:t xml:space="preserve"> </w:t>
      </w:r>
      <w:r w:rsidR="007E41FD" w:rsidRPr="000E5DD6">
        <w:rPr>
          <w:rFonts w:ascii="Times New Roman" w:hAnsi="Times New Roman" w:cs="Times New Roman"/>
          <w:color w:val="000000" w:themeColor="text1"/>
          <w:sz w:val="28"/>
          <w:szCs w:val="28"/>
          <w:lang w:val="ro-MD"/>
        </w:rPr>
        <w:t>în termen de 24 ore</w:t>
      </w:r>
      <w:r w:rsidR="000A79B2" w:rsidRPr="000E5DD6">
        <w:rPr>
          <w:rFonts w:ascii="Times New Roman" w:hAnsi="Times New Roman" w:cs="Times New Roman"/>
          <w:color w:val="000000" w:themeColor="text1"/>
          <w:sz w:val="28"/>
          <w:szCs w:val="28"/>
          <w:lang w:val="ro-MD"/>
        </w:rPr>
        <w:t>.</w:t>
      </w:r>
      <w:r w:rsidRPr="000E5DD6">
        <w:rPr>
          <w:rFonts w:ascii="Times New Roman" w:hAnsi="Times New Roman" w:cs="Times New Roman"/>
          <w:color w:val="000000" w:themeColor="text1"/>
          <w:sz w:val="28"/>
          <w:szCs w:val="28"/>
          <w:lang w:val="ro-MD"/>
        </w:rPr>
        <w:t xml:space="preserve"> </w:t>
      </w:r>
    </w:p>
    <w:p w14:paraId="60CD56FE" w14:textId="77777777" w:rsidR="00237F48" w:rsidRPr="000E5DD6" w:rsidRDefault="00237F48" w:rsidP="0097432A">
      <w:pPr>
        <w:spacing w:after="0"/>
        <w:jc w:val="both"/>
        <w:rPr>
          <w:rFonts w:ascii="Times New Roman" w:hAnsi="Times New Roman" w:cs="Times New Roman"/>
          <w:b/>
          <w:color w:val="000000" w:themeColor="text1"/>
          <w:sz w:val="28"/>
          <w:szCs w:val="28"/>
          <w:lang w:val="ro-MD"/>
        </w:rPr>
      </w:pPr>
    </w:p>
    <w:p w14:paraId="408F2CC2" w14:textId="00FFE2F5"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930DF4" w:rsidRPr="000E5DD6">
        <w:rPr>
          <w:rFonts w:ascii="Times New Roman" w:hAnsi="Times New Roman" w:cs="Times New Roman"/>
          <w:b/>
          <w:color w:val="000000" w:themeColor="text1"/>
          <w:sz w:val="28"/>
          <w:szCs w:val="28"/>
          <w:lang w:val="ro-MD"/>
        </w:rPr>
        <w:t>27</w:t>
      </w:r>
      <w:r w:rsidRPr="000E5DD6">
        <w:rPr>
          <w:rFonts w:ascii="Times New Roman" w:hAnsi="Times New Roman" w:cs="Times New Roman"/>
          <w:b/>
          <w:color w:val="000000" w:themeColor="text1"/>
          <w:sz w:val="28"/>
          <w:szCs w:val="28"/>
          <w:lang w:val="ro-MD"/>
        </w:rPr>
        <w:t>. Interdicția diluării artificiale și a manipulării în scopul eludării regimului legal</w:t>
      </w:r>
    </w:p>
    <w:p w14:paraId="4FB4EA30" w14:textId="1841979E"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(1) </w:t>
      </w:r>
      <w:r w:rsidR="00930DF4" w:rsidRPr="000E5DD6">
        <w:rPr>
          <w:rFonts w:ascii="Times New Roman" w:hAnsi="Times New Roman" w:cs="Times New Roman"/>
          <w:color w:val="000000" w:themeColor="text1"/>
          <w:sz w:val="28"/>
          <w:szCs w:val="28"/>
          <w:lang w:val="ro-MD"/>
        </w:rPr>
        <w:t>Se interzice</w:t>
      </w:r>
      <w:r w:rsidRPr="000E5DD6">
        <w:rPr>
          <w:rFonts w:ascii="Times New Roman" w:hAnsi="Times New Roman" w:cs="Times New Roman"/>
          <w:color w:val="000000" w:themeColor="text1"/>
          <w:sz w:val="28"/>
          <w:szCs w:val="28"/>
          <w:lang w:val="ro-MD"/>
        </w:rPr>
        <w:t xml:space="preserve"> diluarea, modificarea, amestecarea sau orice altă formă de manipulare a precursorilor de explozivi restricționați în scopul de a evita aplicarea prezentei legi.</w:t>
      </w:r>
    </w:p>
    <w:p w14:paraId="6A8919D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(2) Operatorii economici au obligația să prevină și să raporteze autorităților orice tentativă de eludare a regimului juridic.</w:t>
      </w:r>
    </w:p>
    <w:p w14:paraId="28B218B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p>
    <w:p w14:paraId="536BE240" w14:textId="2A9F5BC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5A0A40" w:rsidRPr="000E5DD6">
        <w:rPr>
          <w:rFonts w:ascii="Times New Roman" w:hAnsi="Times New Roman" w:cs="Times New Roman"/>
          <w:b/>
          <w:color w:val="000000" w:themeColor="text1"/>
          <w:sz w:val="28"/>
          <w:szCs w:val="28"/>
          <w:lang w:val="ro-MD"/>
        </w:rPr>
        <w:t>28</w:t>
      </w:r>
      <w:r w:rsidRPr="000E5DD6">
        <w:rPr>
          <w:rFonts w:ascii="Times New Roman" w:hAnsi="Times New Roman" w:cs="Times New Roman"/>
          <w:b/>
          <w:color w:val="000000" w:themeColor="text1"/>
          <w:sz w:val="28"/>
          <w:szCs w:val="28"/>
          <w:lang w:val="ro-MD"/>
        </w:rPr>
        <w:t>. Interdicția transferului</w:t>
      </w:r>
    </w:p>
    <w:p w14:paraId="6CD3980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Utilizatorii profesionali nu pot transfera precursorii de explozivi restricționați către terți care nu dețin calitatea de utilizator profesional.</w:t>
      </w:r>
    </w:p>
    <w:p w14:paraId="0C7D0CA8" w14:textId="08254AEC"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(2) Orice transfer se realizează doar cu efectuarea verificărilor obligatorii stabilite la art. </w:t>
      </w:r>
      <w:r w:rsidR="00666AD0" w:rsidRPr="000E5DD6">
        <w:rPr>
          <w:rFonts w:ascii="Times New Roman" w:hAnsi="Times New Roman" w:cs="Times New Roman"/>
          <w:color w:val="000000" w:themeColor="text1"/>
          <w:sz w:val="28"/>
          <w:szCs w:val="28"/>
          <w:lang w:val="ro-MD"/>
        </w:rPr>
        <w:t>21</w:t>
      </w:r>
      <w:r w:rsidRPr="000E5DD6">
        <w:rPr>
          <w:rFonts w:ascii="Times New Roman" w:hAnsi="Times New Roman" w:cs="Times New Roman"/>
          <w:color w:val="000000" w:themeColor="text1"/>
          <w:sz w:val="28"/>
          <w:szCs w:val="28"/>
          <w:lang w:val="ro-MD"/>
        </w:rPr>
        <w:t>.</w:t>
      </w:r>
    </w:p>
    <w:p w14:paraId="345B4C1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Transferul precursorilor de explozivi restricționați între instituțiile medico-sanitare publice sau private se realizează cu respectarea legislației din domeniul sănătății și a procedurilor interne aprobate, cu asigurarea trasabilității și evidenței documentare a transferurilor efectuate, fără aplicarea obligațiilor prevăzute pentru tranzacțiile comerciale.</w:t>
      </w:r>
    </w:p>
    <w:p w14:paraId="15571234" w14:textId="77777777" w:rsidR="00237F48" w:rsidRPr="000E5DD6" w:rsidRDefault="00237F48" w:rsidP="0097432A">
      <w:pPr>
        <w:spacing w:after="0"/>
        <w:rPr>
          <w:rFonts w:ascii="Times New Roman" w:hAnsi="Times New Roman" w:cs="Times New Roman"/>
          <w:b/>
          <w:color w:val="000000" w:themeColor="text1"/>
          <w:sz w:val="28"/>
          <w:szCs w:val="28"/>
          <w:lang w:val="ro-MD"/>
        </w:rPr>
      </w:pPr>
    </w:p>
    <w:p w14:paraId="48622450"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CAPITOLUL IV</w:t>
      </w:r>
    </w:p>
    <w:p w14:paraId="7817FF94"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RAPORTAREA TRANZACȚIILOR SUSPECTE, A DISPARIȚIILOR ȘI A SUSTRAGERILOR </w:t>
      </w:r>
    </w:p>
    <w:p w14:paraId="4BB4CDE5"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724BB137" w14:textId="5BCDD231"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2</w:t>
      </w:r>
      <w:r w:rsidR="005A0A40" w:rsidRPr="000E5DD6">
        <w:rPr>
          <w:rFonts w:ascii="Times New Roman" w:hAnsi="Times New Roman" w:cs="Times New Roman"/>
          <w:b/>
          <w:color w:val="000000" w:themeColor="text1"/>
          <w:sz w:val="28"/>
          <w:szCs w:val="28"/>
          <w:lang w:val="ro-MD"/>
        </w:rPr>
        <w:t>9</w:t>
      </w:r>
      <w:r w:rsidRPr="000E5DD6">
        <w:rPr>
          <w:rFonts w:ascii="Times New Roman" w:hAnsi="Times New Roman" w:cs="Times New Roman"/>
          <w:b/>
          <w:color w:val="000000" w:themeColor="text1"/>
          <w:sz w:val="28"/>
          <w:szCs w:val="28"/>
          <w:lang w:val="ro-MD"/>
        </w:rPr>
        <w:t>. Obligația de raportare a tranzacțiilor suspecte</w:t>
      </w:r>
    </w:p>
    <w:p w14:paraId="5CDA81D1" w14:textId="33F17BCA"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și utilizatorii profesionali sunt obligați să raporteze imediat, dar nu mai târziu de 24 de ore de la identificare, orice tranzacție suspectă sau tentativă de tranzacție suspectă privind precursorii de explozivi restricționați sau reglementați.</w:t>
      </w:r>
    </w:p>
    <w:p w14:paraId="45B30C1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Tranzacțiile suspecte includ, fără a se limita la:</w:t>
      </w:r>
    </w:p>
    <w:p w14:paraId="00E2933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achiziții neobișnuit de mari pentru profilul cumpărătorului;</w:t>
      </w:r>
    </w:p>
    <w:p w14:paraId="0F3555F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solicitări de substanțe în concentrații nejustificate;</w:t>
      </w:r>
    </w:p>
    <w:p w14:paraId="0C2F505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tentative de evitare a procedurilor de verificare sau a solicitării de documente;</w:t>
      </w:r>
    </w:p>
    <w:p w14:paraId="0E2A6274" w14:textId="02C30FB2"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comportamente, declarații sau întrebări care ridică îngrijorare privind utilizarea ilicită;</w:t>
      </w:r>
    </w:p>
    <w:p w14:paraId="0B0FBE7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achiziții repetate fără justificare;</w:t>
      </w:r>
    </w:p>
    <w:p w14:paraId="760BA86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utilizarea mijloacelor de plată neobișnuite sau anonime;</w:t>
      </w:r>
    </w:p>
    <w:p w14:paraId="3848313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g) orice alt element care, prin context, sugerează utilizarea în scopuri improprii.</w:t>
      </w:r>
    </w:p>
    <w:p w14:paraId="50C282EB" w14:textId="39268A30" w:rsidR="000A79B2" w:rsidRPr="000E5DD6" w:rsidRDefault="00237F48" w:rsidP="007244DE">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Raportarea se efectuează către</w:t>
      </w:r>
      <w:r w:rsidR="00BF06BA" w:rsidRPr="000E5DD6">
        <w:rPr>
          <w:rFonts w:ascii="Times New Roman" w:hAnsi="Times New Roman" w:cs="Times New Roman"/>
          <w:color w:val="000000" w:themeColor="text1"/>
          <w:sz w:val="28"/>
          <w:szCs w:val="28"/>
          <w:lang w:val="ro-MD"/>
        </w:rPr>
        <w:t xml:space="preserve"> </w:t>
      </w:r>
      <w:r w:rsidR="00CC1C81" w:rsidRPr="000E5DD6">
        <w:rPr>
          <w:rFonts w:ascii="Times New Roman" w:hAnsi="Times New Roman" w:cs="Times New Roman"/>
          <w:color w:val="000000" w:themeColor="text1"/>
          <w:sz w:val="28"/>
          <w:szCs w:val="28"/>
          <w:lang w:val="ro-MD"/>
        </w:rPr>
        <w:t>Punctul Național de Contact care diseminează informația către</w:t>
      </w:r>
      <w:r w:rsidR="00F47CFF">
        <w:rPr>
          <w:rFonts w:ascii="Times New Roman" w:hAnsi="Times New Roman" w:cs="Times New Roman"/>
          <w:color w:val="000000" w:themeColor="text1"/>
          <w:sz w:val="28"/>
          <w:szCs w:val="28"/>
          <w:lang w:val="ro-MD"/>
        </w:rPr>
        <w:t xml:space="preserve"> IPM, ANSA, </w:t>
      </w:r>
      <w:r w:rsidR="000A79B2" w:rsidRPr="000E5DD6">
        <w:rPr>
          <w:rFonts w:ascii="Times New Roman" w:hAnsi="Times New Roman" w:cs="Times New Roman"/>
          <w:color w:val="000000" w:themeColor="text1"/>
          <w:sz w:val="28"/>
          <w:szCs w:val="28"/>
          <w:lang w:val="ro-MD"/>
        </w:rPr>
        <w:t>ANSP</w:t>
      </w:r>
      <w:r w:rsidR="00F47CFF">
        <w:rPr>
          <w:rFonts w:ascii="Times New Roman" w:hAnsi="Times New Roman" w:cs="Times New Roman"/>
          <w:color w:val="000000" w:themeColor="text1"/>
          <w:sz w:val="28"/>
          <w:szCs w:val="28"/>
          <w:lang w:val="ro-MD"/>
        </w:rPr>
        <w:t xml:space="preserve"> și AMDM</w:t>
      </w:r>
      <w:r w:rsidR="00A33F65" w:rsidRPr="000E5DD6">
        <w:rPr>
          <w:rFonts w:ascii="Times New Roman" w:hAnsi="Times New Roman" w:cs="Times New Roman"/>
          <w:color w:val="000000" w:themeColor="text1"/>
          <w:sz w:val="28"/>
          <w:szCs w:val="28"/>
          <w:lang w:val="ro-MD"/>
        </w:rPr>
        <w:t>.</w:t>
      </w:r>
    </w:p>
    <w:p w14:paraId="2D635870" w14:textId="1904FF32"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(4) </w:t>
      </w:r>
      <w:r w:rsidR="00B411F6" w:rsidRPr="000E5DD6">
        <w:rPr>
          <w:rFonts w:ascii="Times New Roman" w:hAnsi="Times New Roman" w:cs="Times New Roman"/>
          <w:color w:val="000000" w:themeColor="text1"/>
          <w:sz w:val="28"/>
          <w:szCs w:val="28"/>
          <w:lang w:val="ro-MD"/>
        </w:rPr>
        <w:t>P</w:t>
      </w:r>
      <w:r w:rsidR="007244DE" w:rsidRPr="000E5DD6">
        <w:rPr>
          <w:rFonts w:ascii="Times New Roman" w:hAnsi="Times New Roman" w:cs="Times New Roman"/>
          <w:color w:val="000000" w:themeColor="text1"/>
          <w:sz w:val="28"/>
          <w:szCs w:val="28"/>
          <w:lang w:val="ro-MD"/>
        </w:rPr>
        <w:t xml:space="preserve">unctul </w:t>
      </w:r>
      <w:r w:rsidR="00B411F6" w:rsidRPr="000E5DD6">
        <w:rPr>
          <w:rFonts w:ascii="Times New Roman" w:hAnsi="Times New Roman" w:cs="Times New Roman"/>
          <w:color w:val="000000" w:themeColor="text1"/>
          <w:sz w:val="28"/>
          <w:szCs w:val="28"/>
          <w:lang w:val="ro-MD"/>
        </w:rPr>
        <w:t>N</w:t>
      </w:r>
      <w:r w:rsidR="007244DE" w:rsidRPr="000E5DD6">
        <w:rPr>
          <w:rFonts w:ascii="Times New Roman" w:hAnsi="Times New Roman" w:cs="Times New Roman"/>
          <w:color w:val="000000" w:themeColor="text1"/>
          <w:sz w:val="28"/>
          <w:szCs w:val="28"/>
          <w:lang w:val="ro-MD"/>
        </w:rPr>
        <w:t xml:space="preserve">ațional de </w:t>
      </w:r>
      <w:r w:rsidR="00B411F6" w:rsidRPr="000E5DD6">
        <w:rPr>
          <w:rFonts w:ascii="Times New Roman" w:hAnsi="Times New Roman" w:cs="Times New Roman"/>
          <w:color w:val="000000" w:themeColor="text1"/>
          <w:sz w:val="28"/>
          <w:szCs w:val="28"/>
          <w:lang w:val="ro-MD"/>
        </w:rPr>
        <w:t>C</w:t>
      </w:r>
      <w:r w:rsidR="007244DE" w:rsidRPr="000E5DD6">
        <w:rPr>
          <w:rFonts w:ascii="Times New Roman" w:hAnsi="Times New Roman" w:cs="Times New Roman"/>
          <w:color w:val="000000" w:themeColor="text1"/>
          <w:sz w:val="28"/>
          <w:szCs w:val="28"/>
          <w:lang w:val="ro-MD"/>
        </w:rPr>
        <w:t>ontact</w:t>
      </w:r>
      <w:r w:rsidR="00B411F6" w:rsidRPr="000E5DD6">
        <w:rPr>
          <w:rFonts w:ascii="Times New Roman" w:hAnsi="Times New Roman" w:cs="Times New Roman"/>
          <w:color w:val="000000" w:themeColor="text1"/>
          <w:sz w:val="28"/>
          <w:szCs w:val="28"/>
          <w:lang w:val="ro-MD"/>
        </w:rPr>
        <w:t xml:space="preserve"> </w:t>
      </w:r>
      <w:r w:rsidRPr="000E5DD6">
        <w:rPr>
          <w:rFonts w:ascii="Times New Roman" w:hAnsi="Times New Roman" w:cs="Times New Roman"/>
          <w:color w:val="000000" w:themeColor="text1"/>
          <w:sz w:val="28"/>
          <w:szCs w:val="28"/>
          <w:lang w:val="ro-MD"/>
        </w:rPr>
        <w:t>pune la dispoziția operatorilor economici formulare standardizate și instrucțiuni de raportare.</w:t>
      </w:r>
    </w:p>
    <w:p w14:paraId="574496D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(5) Procedura de raportare și modelul formularelor vor fi aprobate de către Guvern.</w:t>
      </w:r>
    </w:p>
    <w:p w14:paraId="7D5C250C"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5306473A" w14:textId="061100D0"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5A0A40" w:rsidRPr="000E5DD6">
        <w:rPr>
          <w:rFonts w:ascii="Times New Roman" w:hAnsi="Times New Roman" w:cs="Times New Roman"/>
          <w:b/>
          <w:color w:val="000000" w:themeColor="text1"/>
          <w:sz w:val="28"/>
          <w:szCs w:val="28"/>
          <w:lang w:val="ro-MD"/>
        </w:rPr>
        <w:t>30</w:t>
      </w:r>
      <w:r w:rsidRPr="000E5DD6">
        <w:rPr>
          <w:rFonts w:ascii="Times New Roman" w:hAnsi="Times New Roman" w:cs="Times New Roman"/>
          <w:b/>
          <w:color w:val="000000" w:themeColor="text1"/>
          <w:sz w:val="28"/>
          <w:szCs w:val="28"/>
          <w:lang w:val="ro-MD"/>
        </w:rPr>
        <w:t xml:space="preserve">. Obligația de raportare a disparițiilor și sustragerilor </w:t>
      </w:r>
    </w:p>
    <w:p w14:paraId="32E75E4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(1) Operatorii economici și utilizatorii profesionali raportează în termen de 24 de ore orice dispariție sau sustragere de precursori de explozivi, indiferent de cantitatea afectată.</w:t>
      </w:r>
    </w:p>
    <w:p w14:paraId="7C895991" w14:textId="41DB4B69" w:rsidR="00237F48" w:rsidRPr="000E5DD6" w:rsidRDefault="00237F48" w:rsidP="00C04AA9">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Raportarea se transmite imediat</w:t>
      </w:r>
      <w:r w:rsidR="00C04AA9" w:rsidRPr="000E5DD6">
        <w:rPr>
          <w:rFonts w:ascii="Times New Roman" w:hAnsi="Times New Roman" w:cs="Times New Roman"/>
          <w:color w:val="000000" w:themeColor="text1"/>
          <w:sz w:val="28"/>
          <w:szCs w:val="28"/>
          <w:lang w:val="ro-MD"/>
        </w:rPr>
        <w:t xml:space="preserve"> </w:t>
      </w:r>
      <w:r w:rsidRPr="000E5DD6">
        <w:rPr>
          <w:rFonts w:ascii="Times New Roman" w:hAnsi="Times New Roman" w:cs="Times New Roman"/>
          <w:color w:val="000000" w:themeColor="text1"/>
          <w:sz w:val="28"/>
          <w:szCs w:val="28"/>
          <w:lang w:val="ro-MD"/>
        </w:rPr>
        <w:t>către Punctul Național de Contact</w:t>
      </w:r>
      <w:r w:rsidR="00C04AA9" w:rsidRPr="000E5DD6">
        <w:rPr>
          <w:rFonts w:ascii="Times New Roman" w:hAnsi="Times New Roman" w:cs="Times New Roman"/>
          <w:color w:val="000000" w:themeColor="text1"/>
          <w:sz w:val="28"/>
          <w:szCs w:val="28"/>
          <w:lang w:val="ro-MD"/>
        </w:rPr>
        <w:t xml:space="preserve"> care diseminează informația</w:t>
      </w:r>
      <w:r w:rsidR="00836985" w:rsidRPr="000E5DD6">
        <w:rPr>
          <w:rFonts w:ascii="Times New Roman" w:hAnsi="Times New Roman" w:cs="Times New Roman"/>
          <w:color w:val="000000" w:themeColor="text1"/>
          <w:sz w:val="28"/>
          <w:szCs w:val="28"/>
          <w:lang w:val="ro-MD"/>
        </w:rPr>
        <w:t xml:space="preserve"> către I</w:t>
      </w:r>
      <w:r w:rsidR="00F47CFF">
        <w:rPr>
          <w:rFonts w:ascii="Times New Roman" w:hAnsi="Times New Roman" w:cs="Times New Roman"/>
          <w:color w:val="000000" w:themeColor="text1"/>
          <w:sz w:val="28"/>
          <w:szCs w:val="28"/>
          <w:lang w:val="ro-MD"/>
        </w:rPr>
        <w:t xml:space="preserve">PM, ANSA, </w:t>
      </w:r>
      <w:r w:rsidR="00836985" w:rsidRPr="000E5DD6">
        <w:rPr>
          <w:rFonts w:ascii="Times New Roman" w:hAnsi="Times New Roman" w:cs="Times New Roman"/>
          <w:color w:val="000000" w:themeColor="text1"/>
          <w:sz w:val="28"/>
          <w:szCs w:val="28"/>
          <w:lang w:val="ro-MD"/>
        </w:rPr>
        <w:t>ANSP</w:t>
      </w:r>
      <w:r w:rsidR="00F47CFF">
        <w:rPr>
          <w:rFonts w:ascii="Times New Roman" w:hAnsi="Times New Roman" w:cs="Times New Roman"/>
          <w:color w:val="000000" w:themeColor="text1"/>
          <w:sz w:val="28"/>
          <w:szCs w:val="28"/>
          <w:lang w:val="ro-MD"/>
        </w:rPr>
        <w:t xml:space="preserve"> și AMDM</w:t>
      </w:r>
      <w:r w:rsidR="00836985" w:rsidRPr="000E5DD6">
        <w:rPr>
          <w:rFonts w:ascii="Times New Roman" w:hAnsi="Times New Roman" w:cs="Times New Roman"/>
          <w:color w:val="000000" w:themeColor="text1"/>
          <w:sz w:val="28"/>
          <w:szCs w:val="28"/>
          <w:lang w:val="ro-MD"/>
        </w:rPr>
        <w:t>.</w:t>
      </w:r>
    </w:p>
    <w:p w14:paraId="090228F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Operatorii economici sunt obligați să păstreze evidențele incidentelor și măsurile adoptate pentru remediere.</w:t>
      </w:r>
    </w:p>
    <w:p w14:paraId="32EB8765" w14:textId="5558EFB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În situația în care disparițiile, sustragerile neautorizate sau alte incidente privind precursorii de explozivi implică sau pot implica riscuri de expunere chimică, contaminare ori afectare a sănătății populației sau a personalului medical, operatorii economici și instituțiile medico-sanitare au obligația de a informa, concomitent cu autoritățile prevăzute la alin. (</w:t>
      </w:r>
      <w:r w:rsidR="005A0A40" w:rsidRPr="000E5DD6">
        <w:rPr>
          <w:rFonts w:ascii="Times New Roman" w:hAnsi="Times New Roman" w:cs="Times New Roman"/>
          <w:color w:val="000000" w:themeColor="text1"/>
          <w:sz w:val="28"/>
          <w:szCs w:val="28"/>
          <w:lang w:val="ro-MD"/>
        </w:rPr>
        <w:t>2</w:t>
      </w:r>
      <w:r w:rsidRPr="000E5DD6">
        <w:rPr>
          <w:rFonts w:ascii="Times New Roman" w:hAnsi="Times New Roman" w:cs="Times New Roman"/>
          <w:color w:val="000000" w:themeColor="text1"/>
          <w:sz w:val="28"/>
          <w:szCs w:val="28"/>
          <w:lang w:val="ro-MD"/>
        </w:rPr>
        <w:t>), Ministerul Sănătății și ANSP.</w:t>
      </w:r>
    </w:p>
    <w:p w14:paraId="10B5EF7B"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2EB10798" w14:textId="1F124B58"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5A0A40" w:rsidRPr="000E5DD6">
        <w:rPr>
          <w:rFonts w:ascii="Times New Roman" w:hAnsi="Times New Roman" w:cs="Times New Roman"/>
          <w:b/>
          <w:color w:val="000000" w:themeColor="text1"/>
          <w:sz w:val="28"/>
          <w:szCs w:val="28"/>
          <w:lang w:val="ro-MD"/>
        </w:rPr>
        <w:t>31</w:t>
      </w:r>
      <w:r w:rsidRPr="000E5DD6">
        <w:rPr>
          <w:rFonts w:ascii="Times New Roman" w:hAnsi="Times New Roman" w:cs="Times New Roman"/>
          <w:b/>
          <w:color w:val="000000" w:themeColor="text1"/>
          <w:sz w:val="28"/>
          <w:szCs w:val="28"/>
          <w:lang w:val="ro-MD"/>
        </w:rPr>
        <w:t>. Identificarea și documentarea incidentelor</w:t>
      </w:r>
    </w:p>
    <w:p w14:paraId="587D17C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trebuie să dispună de proceduri interne care să permită identificarea rapidă a:</w:t>
      </w:r>
    </w:p>
    <w:p w14:paraId="5205102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tranzacțiilor suspecte;</w:t>
      </w:r>
    </w:p>
    <w:p w14:paraId="274A1F4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diferențelor de stoc;</w:t>
      </w:r>
    </w:p>
    <w:p w14:paraId="619EE8F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erorilor de manipulare;</w:t>
      </w:r>
    </w:p>
    <w:p w14:paraId="285B52F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accesului persoanelor neautorizate;</w:t>
      </w:r>
    </w:p>
    <w:p w14:paraId="5289EF3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riscurilor operaționale relevante.</w:t>
      </w:r>
    </w:p>
    <w:p w14:paraId="10AC1BD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Toate incidentele se documentează și se păstrează într-un registru dedicat, disponibil autorităților competente.</w:t>
      </w:r>
    </w:p>
    <w:p w14:paraId="35B55D7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Registrul incidentelor trebuie să conțină:</w:t>
      </w:r>
    </w:p>
    <w:p w14:paraId="09CFDEA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data și ora constatării;</w:t>
      </w:r>
    </w:p>
    <w:p w14:paraId="069D4B2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descrierea detaliată a incidentului;</w:t>
      </w:r>
    </w:p>
    <w:p w14:paraId="5B59615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cantitățile afectate;</w:t>
      </w:r>
    </w:p>
    <w:p w14:paraId="0EF7898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persoanele implicate sau aflate în proximitate;</w:t>
      </w:r>
    </w:p>
    <w:p w14:paraId="49644B8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măsurile imediate adoptate;</w:t>
      </w:r>
    </w:p>
    <w:p w14:paraId="27B3209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data transmiterii raportării către autoritățile competente.</w:t>
      </w:r>
    </w:p>
    <w:p w14:paraId="1DF5F57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p>
    <w:p w14:paraId="7FD6509B" w14:textId="2BFB0726"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 xml:space="preserve">Articolul </w:t>
      </w:r>
      <w:r w:rsidR="005A0A40" w:rsidRPr="000E5DD6">
        <w:rPr>
          <w:rFonts w:ascii="Times New Roman" w:hAnsi="Times New Roman" w:cs="Times New Roman"/>
          <w:b/>
          <w:color w:val="000000" w:themeColor="text1"/>
          <w:sz w:val="28"/>
          <w:szCs w:val="28"/>
          <w:lang w:val="ro-MD"/>
        </w:rPr>
        <w:t>32</w:t>
      </w:r>
      <w:r w:rsidRPr="000E5DD6">
        <w:rPr>
          <w:rFonts w:ascii="Times New Roman" w:hAnsi="Times New Roman" w:cs="Times New Roman"/>
          <w:b/>
          <w:color w:val="000000" w:themeColor="text1"/>
          <w:sz w:val="28"/>
          <w:szCs w:val="28"/>
          <w:lang w:val="ro-MD"/>
        </w:rPr>
        <w:t>. Modul de raportare și cooperare cu autoritățile</w:t>
      </w:r>
    </w:p>
    <w:p w14:paraId="5BDF58F8" w14:textId="24B59F1A"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Raportarea</w:t>
      </w:r>
      <w:r w:rsidRPr="000E5DD6">
        <w:rPr>
          <w:rFonts w:ascii="Times New Roman" w:hAnsi="Times New Roman" w:cs="Times New Roman"/>
          <w:color w:val="000000" w:themeColor="text1"/>
          <w:sz w:val="28"/>
          <w:szCs w:val="28"/>
          <w:lang w:val="en-US"/>
        </w:rPr>
        <w:t xml:space="preserve"> </w:t>
      </w:r>
      <w:r w:rsidRPr="000E5DD6">
        <w:rPr>
          <w:rFonts w:ascii="Times New Roman" w:hAnsi="Times New Roman" w:cs="Times New Roman"/>
          <w:color w:val="000000" w:themeColor="text1"/>
          <w:sz w:val="28"/>
          <w:szCs w:val="28"/>
          <w:lang w:val="ro-MD"/>
        </w:rPr>
        <w:t xml:space="preserve"> se efectuează prin </w:t>
      </w:r>
      <w:r w:rsidR="00836985" w:rsidRPr="000E5DD6">
        <w:rPr>
          <w:rFonts w:ascii="Times New Roman" w:hAnsi="Times New Roman" w:cs="Times New Roman"/>
          <w:color w:val="000000" w:themeColor="text1"/>
          <w:sz w:val="28"/>
          <w:szCs w:val="28"/>
          <w:lang w:val="ro-MD"/>
        </w:rPr>
        <w:t xml:space="preserve">următoarele </w:t>
      </w:r>
      <w:r w:rsidRPr="000E5DD6">
        <w:rPr>
          <w:rFonts w:ascii="Times New Roman" w:hAnsi="Times New Roman" w:cs="Times New Roman"/>
          <w:color w:val="000000" w:themeColor="text1"/>
          <w:sz w:val="28"/>
          <w:szCs w:val="28"/>
          <w:lang w:val="ro-MD"/>
        </w:rPr>
        <w:t>modalitățile:</w:t>
      </w:r>
    </w:p>
    <w:p w14:paraId="22651C4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platforme electronice dedicate;</w:t>
      </w:r>
    </w:p>
    <w:p w14:paraId="1BFB99A1" w14:textId="66A5801C"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linii telefonice specializate</w:t>
      </w:r>
      <w:r w:rsidR="00836985" w:rsidRPr="000E5DD6">
        <w:rPr>
          <w:rFonts w:ascii="Times New Roman" w:hAnsi="Times New Roman" w:cs="Times New Roman"/>
          <w:color w:val="000000" w:themeColor="text1"/>
          <w:sz w:val="28"/>
          <w:szCs w:val="28"/>
          <w:lang w:val="ro-MD"/>
        </w:rPr>
        <w:t>.</w:t>
      </w:r>
    </w:p>
    <w:p w14:paraId="51BD36DD" w14:textId="4A011356"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Punctul Național de Contact asigură disponibilitate 24/7 pentru recepționarea și prelucrarea alertelor.</w:t>
      </w:r>
    </w:p>
    <w:p w14:paraId="62EE9539" w14:textId="44DF4B3C" w:rsidR="00237F48" w:rsidRPr="000E5DD6" w:rsidRDefault="00F47CFF" w:rsidP="00237F48">
      <w:pPr>
        <w:spacing w:after="0"/>
        <w:ind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(3) IPM, ANSP, </w:t>
      </w:r>
      <w:r w:rsidR="00237F48" w:rsidRPr="000E5DD6">
        <w:rPr>
          <w:rFonts w:ascii="Times New Roman" w:hAnsi="Times New Roman" w:cs="Times New Roman"/>
          <w:color w:val="000000" w:themeColor="text1"/>
          <w:sz w:val="28"/>
          <w:szCs w:val="28"/>
          <w:lang w:val="ro-MD"/>
        </w:rPr>
        <w:t xml:space="preserve">ANSA </w:t>
      </w:r>
      <w:r>
        <w:rPr>
          <w:rFonts w:ascii="Times New Roman" w:hAnsi="Times New Roman" w:cs="Times New Roman"/>
          <w:color w:val="000000" w:themeColor="text1"/>
          <w:sz w:val="28"/>
          <w:szCs w:val="28"/>
          <w:lang w:val="ro-MD"/>
        </w:rPr>
        <w:t xml:space="preserve">și AMDM </w:t>
      </w:r>
      <w:r w:rsidR="00237F48" w:rsidRPr="000E5DD6">
        <w:rPr>
          <w:rFonts w:ascii="Times New Roman" w:hAnsi="Times New Roman" w:cs="Times New Roman"/>
          <w:color w:val="000000" w:themeColor="text1"/>
          <w:sz w:val="28"/>
          <w:szCs w:val="28"/>
          <w:lang w:val="ro-MD"/>
        </w:rPr>
        <w:t>au acces la informațiile relevante transmise Punctului Național de Contact, în măsura în care acestea sunt necesare pentru exercitarea atribuțiilor de supraveghere a pieței</w:t>
      </w:r>
      <w:r w:rsidR="00836985" w:rsidRPr="000E5DD6">
        <w:rPr>
          <w:rFonts w:ascii="Times New Roman" w:hAnsi="Times New Roman" w:cs="Times New Roman"/>
          <w:color w:val="000000" w:themeColor="text1"/>
          <w:sz w:val="28"/>
          <w:szCs w:val="28"/>
          <w:lang w:val="ro-MD"/>
        </w:rPr>
        <w:t xml:space="preserve"> și control</w:t>
      </w:r>
      <w:r w:rsidR="00237F48" w:rsidRPr="000E5DD6">
        <w:rPr>
          <w:rFonts w:ascii="Times New Roman" w:hAnsi="Times New Roman" w:cs="Times New Roman"/>
          <w:color w:val="000000" w:themeColor="text1"/>
          <w:sz w:val="28"/>
          <w:szCs w:val="28"/>
          <w:lang w:val="ro-MD"/>
        </w:rPr>
        <w:t>.</w:t>
      </w:r>
    </w:p>
    <w:p w14:paraId="75DF9CD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Operatorii economici cooperează cu autoritățile competente și pun la dispoziție informațiile necesare investigării sau evaluării riscurilor.</w:t>
      </w:r>
    </w:p>
    <w:p w14:paraId="1E911550" w14:textId="4274BE5C"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 xml:space="preserve">(5) ANSP, potrivit competențelor legale, </w:t>
      </w:r>
      <w:r w:rsidR="00C00D03" w:rsidRPr="000E5DD6">
        <w:rPr>
          <w:rFonts w:ascii="Times New Roman" w:hAnsi="Times New Roman" w:cs="Times New Roman"/>
          <w:color w:val="000000" w:themeColor="text1"/>
          <w:sz w:val="28"/>
          <w:szCs w:val="28"/>
          <w:lang w:val="ro-MD"/>
        </w:rPr>
        <w:t>este implicat</w:t>
      </w:r>
      <w:r w:rsidRPr="000E5DD6">
        <w:rPr>
          <w:rFonts w:ascii="Times New Roman" w:hAnsi="Times New Roman" w:cs="Times New Roman"/>
          <w:color w:val="000000" w:themeColor="text1"/>
          <w:sz w:val="28"/>
          <w:szCs w:val="28"/>
          <w:lang w:val="ro-MD"/>
        </w:rPr>
        <w:t xml:space="preserve"> în evaluarea, gestionarea și monitorizarea incidentelor care au impact sau potențial impact asupra sănătății publice, în cooperare cu autoritățile competente prevăzute de prezenta lege.</w:t>
      </w:r>
    </w:p>
    <w:p w14:paraId="3EEB67DE" w14:textId="0A46A599"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(6) ANSA potrivit competențelor legale, participă la gestionarea incidentelor care implică substanțe utilizate în agricultură.</w:t>
      </w:r>
    </w:p>
    <w:p w14:paraId="67FC8643" w14:textId="77777777" w:rsidR="00237F48" w:rsidRPr="000E5DD6" w:rsidRDefault="00237F48" w:rsidP="00237F48">
      <w:pPr>
        <w:spacing w:after="0"/>
        <w:jc w:val="both"/>
        <w:rPr>
          <w:rFonts w:ascii="Times New Roman" w:hAnsi="Times New Roman" w:cs="Times New Roman"/>
          <w:color w:val="000000" w:themeColor="text1"/>
          <w:sz w:val="28"/>
          <w:szCs w:val="28"/>
          <w:lang w:val="ro-MD"/>
        </w:rPr>
      </w:pPr>
    </w:p>
    <w:p w14:paraId="5DB7B7A4" w14:textId="45FE52AB"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b/>
          <w:color w:val="000000" w:themeColor="text1"/>
          <w:sz w:val="28"/>
          <w:szCs w:val="28"/>
          <w:lang w:val="ro-MD"/>
        </w:rPr>
        <w:t>Articolul 3</w:t>
      </w:r>
      <w:r w:rsidR="005A0A40" w:rsidRPr="000E5DD6">
        <w:rPr>
          <w:rFonts w:ascii="Times New Roman" w:hAnsi="Times New Roman" w:cs="Times New Roman"/>
          <w:b/>
          <w:color w:val="000000" w:themeColor="text1"/>
          <w:sz w:val="28"/>
          <w:szCs w:val="28"/>
          <w:lang w:val="ro-MD"/>
        </w:rPr>
        <w:t>3</w:t>
      </w:r>
      <w:r w:rsidRPr="000E5DD6">
        <w:rPr>
          <w:rFonts w:ascii="Times New Roman" w:hAnsi="Times New Roman" w:cs="Times New Roman"/>
          <w:b/>
          <w:color w:val="000000" w:themeColor="text1"/>
          <w:sz w:val="28"/>
          <w:szCs w:val="28"/>
          <w:lang w:val="ro-MD"/>
        </w:rPr>
        <w:t>. Protecția persoanelor care raportează</w:t>
      </w:r>
    </w:p>
    <w:p w14:paraId="6C0CFFB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nu pot sancționa sau prejudicia angajații care raportează de bună-credință incidente sau tranzacții suspecte.</w:t>
      </w:r>
    </w:p>
    <w:p w14:paraId="49BB1A5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Identitatea persoanelor care raportează este protejată în conformitate cu legislația privind protecția datelor cu caracter personal și avertizorii de integritate.</w:t>
      </w:r>
    </w:p>
    <w:p w14:paraId="1DEAACA0" w14:textId="77777777" w:rsidR="00237F48" w:rsidRPr="000E5DD6" w:rsidRDefault="00237F48" w:rsidP="00666AD0">
      <w:pPr>
        <w:spacing w:after="0"/>
        <w:jc w:val="both"/>
        <w:rPr>
          <w:rFonts w:ascii="Times New Roman" w:hAnsi="Times New Roman" w:cs="Times New Roman"/>
          <w:color w:val="000000" w:themeColor="text1"/>
          <w:sz w:val="28"/>
          <w:szCs w:val="28"/>
          <w:lang w:val="ro-MD"/>
        </w:rPr>
      </w:pPr>
    </w:p>
    <w:p w14:paraId="4EED28B3" w14:textId="48B63114" w:rsidR="00237F48" w:rsidRPr="000E5DD6" w:rsidRDefault="00237F48" w:rsidP="00237F48">
      <w:pPr>
        <w:spacing w:after="0"/>
        <w:ind w:firstLine="567"/>
        <w:jc w:val="both"/>
        <w:rPr>
          <w:rFonts w:ascii="Times New Roman" w:hAnsi="Times New Roman" w:cs="Times New Roman"/>
          <w:color w:val="000000" w:themeColor="text1"/>
          <w:sz w:val="28"/>
          <w:szCs w:val="28"/>
        </w:rPr>
      </w:pPr>
      <w:proofErr w:type="spellStart"/>
      <w:r w:rsidRPr="000E5DD6">
        <w:rPr>
          <w:rFonts w:ascii="Times New Roman" w:hAnsi="Times New Roman" w:cs="Times New Roman"/>
          <w:b/>
          <w:bCs/>
          <w:color w:val="000000" w:themeColor="text1"/>
          <w:sz w:val="28"/>
          <w:szCs w:val="28"/>
        </w:rPr>
        <w:t>Articolul</w:t>
      </w:r>
      <w:proofErr w:type="spellEnd"/>
      <w:r w:rsidRPr="000E5DD6">
        <w:rPr>
          <w:rFonts w:ascii="Times New Roman" w:hAnsi="Times New Roman" w:cs="Times New Roman"/>
          <w:b/>
          <w:bCs/>
          <w:color w:val="000000" w:themeColor="text1"/>
          <w:sz w:val="28"/>
          <w:szCs w:val="28"/>
        </w:rPr>
        <w:t xml:space="preserve"> 3</w:t>
      </w:r>
      <w:r w:rsidR="00ED0B6C" w:rsidRPr="000E5DD6">
        <w:rPr>
          <w:rFonts w:ascii="Times New Roman" w:hAnsi="Times New Roman" w:cs="Times New Roman"/>
          <w:b/>
          <w:bCs/>
          <w:color w:val="000000" w:themeColor="text1"/>
          <w:sz w:val="28"/>
          <w:szCs w:val="28"/>
        </w:rPr>
        <w:t>4</w:t>
      </w:r>
      <w:r w:rsidRPr="000E5DD6">
        <w:rPr>
          <w:rFonts w:ascii="Times New Roman" w:hAnsi="Times New Roman" w:cs="Times New Roman"/>
          <w:b/>
          <w:bCs/>
          <w:color w:val="000000" w:themeColor="text1"/>
          <w:sz w:val="28"/>
          <w:szCs w:val="28"/>
        </w:rPr>
        <w:t xml:space="preserve">. </w:t>
      </w:r>
      <w:proofErr w:type="spellStart"/>
      <w:r w:rsidRPr="000E5DD6">
        <w:rPr>
          <w:rFonts w:ascii="Times New Roman" w:hAnsi="Times New Roman" w:cs="Times New Roman"/>
          <w:b/>
          <w:bCs/>
          <w:color w:val="000000" w:themeColor="text1"/>
          <w:sz w:val="28"/>
          <w:szCs w:val="28"/>
        </w:rPr>
        <w:t>Registrul</w:t>
      </w:r>
      <w:proofErr w:type="spellEnd"/>
      <w:r w:rsidRPr="000E5DD6">
        <w:rPr>
          <w:rFonts w:ascii="Times New Roman" w:hAnsi="Times New Roman" w:cs="Times New Roman"/>
          <w:b/>
          <w:bCs/>
          <w:color w:val="000000" w:themeColor="text1"/>
          <w:sz w:val="28"/>
          <w:szCs w:val="28"/>
        </w:rPr>
        <w:t xml:space="preserve"> de stat al </w:t>
      </w:r>
      <w:proofErr w:type="spellStart"/>
      <w:r w:rsidRPr="000E5DD6">
        <w:rPr>
          <w:rFonts w:ascii="Times New Roman" w:hAnsi="Times New Roman" w:cs="Times New Roman"/>
          <w:b/>
          <w:bCs/>
          <w:color w:val="000000" w:themeColor="text1"/>
          <w:sz w:val="28"/>
          <w:szCs w:val="28"/>
        </w:rPr>
        <w:t>operațiunilor</w:t>
      </w:r>
      <w:proofErr w:type="spellEnd"/>
      <w:r w:rsidRPr="000E5DD6">
        <w:rPr>
          <w:rFonts w:ascii="Times New Roman" w:hAnsi="Times New Roman" w:cs="Times New Roman"/>
          <w:b/>
          <w:bCs/>
          <w:color w:val="000000" w:themeColor="text1"/>
          <w:sz w:val="28"/>
          <w:szCs w:val="28"/>
        </w:rPr>
        <w:t xml:space="preserve"> cu </w:t>
      </w:r>
      <w:proofErr w:type="spellStart"/>
      <w:r w:rsidRPr="000E5DD6">
        <w:rPr>
          <w:rFonts w:ascii="Times New Roman" w:hAnsi="Times New Roman" w:cs="Times New Roman"/>
          <w:b/>
          <w:bCs/>
          <w:color w:val="000000" w:themeColor="text1"/>
          <w:sz w:val="28"/>
          <w:szCs w:val="28"/>
        </w:rPr>
        <w:t>precursori</w:t>
      </w:r>
      <w:proofErr w:type="spellEnd"/>
      <w:r w:rsidRPr="000E5DD6">
        <w:rPr>
          <w:rFonts w:ascii="Times New Roman" w:hAnsi="Times New Roman" w:cs="Times New Roman"/>
          <w:b/>
          <w:bCs/>
          <w:color w:val="000000" w:themeColor="text1"/>
          <w:sz w:val="28"/>
          <w:szCs w:val="28"/>
        </w:rPr>
        <w:t xml:space="preserve"> de </w:t>
      </w:r>
      <w:proofErr w:type="spellStart"/>
      <w:r w:rsidRPr="000E5DD6">
        <w:rPr>
          <w:rFonts w:ascii="Times New Roman" w:hAnsi="Times New Roman" w:cs="Times New Roman"/>
          <w:b/>
          <w:bCs/>
          <w:color w:val="000000" w:themeColor="text1"/>
          <w:sz w:val="28"/>
          <w:szCs w:val="28"/>
        </w:rPr>
        <w:t>explozivi</w:t>
      </w:r>
      <w:proofErr w:type="spellEnd"/>
    </w:p>
    <w:p w14:paraId="7B3F4C2A" w14:textId="1085A6A2" w:rsidR="00237F48" w:rsidRPr="000E5DD6" w:rsidRDefault="00237F48" w:rsidP="0097432A">
      <w:pPr>
        <w:pStyle w:val="Listparagraf"/>
        <w:numPr>
          <w:ilvl w:val="0"/>
          <w:numId w:val="8"/>
        </w:numPr>
        <w:tabs>
          <w:tab w:val="left" w:pos="993"/>
        </w:tabs>
        <w:spacing w:after="0"/>
        <w:ind w:left="0" w:firstLine="567"/>
        <w:jc w:val="both"/>
        <w:rPr>
          <w:rFonts w:ascii="Times New Roman" w:hAnsi="Times New Roman" w:cs="Times New Roman"/>
          <w:color w:val="000000" w:themeColor="text1"/>
          <w:sz w:val="28"/>
          <w:szCs w:val="28"/>
        </w:rPr>
      </w:pPr>
      <w:proofErr w:type="spellStart"/>
      <w:r w:rsidRPr="000E5DD6">
        <w:rPr>
          <w:rFonts w:ascii="Times New Roman" w:hAnsi="Times New Roman" w:cs="Times New Roman"/>
          <w:color w:val="000000" w:themeColor="text1"/>
          <w:sz w:val="28"/>
          <w:szCs w:val="28"/>
        </w:rPr>
        <w:t>Registrul</w:t>
      </w:r>
      <w:proofErr w:type="spellEnd"/>
      <w:r w:rsidRPr="000E5DD6">
        <w:rPr>
          <w:rFonts w:ascii="Times New Roman" w:hAnsi="Times New Roman" w:cs="Times New Roman"/>
          <w:color w:val="000000" w:themeColor="text1"/>
          <w:sz w:val="28"/>
          <w:szCs w:val="28"/>
        </w:rPr>
        <w:t xml:space="preserve"> de stat al </w:t>
      </w:r>
      <w:proofErr w:type="spellStart"/>
      <w:r w:rsidRPr="000E5DD6">
        <w:rPr>
          <w:rFonts w:ascii="Times New Roman" w:hAnsi="Times New Roman" w:cs="Times New Roman"/>
          <w:color w:val="000000" w:themeColor="text1"/>
          <w:sz w:val="28"/>
          <w:szCs w:val="28"/>
        </w:rPr>
        <w:t>operațiunilor</w:t>
      </w:r>
      <w:proofErr w:type="spellEnd"/>
      <w:r w:rsidRPr="000E5DD6">
        <w:rPr>
          <w:rFonts w:ascii="Times New Roman" w:hAnsi="Times New Roman" w:cs="Times New Roman"/>
          <w:color w:val="000000" w:themeColor="text1"/>
          <w:sz w:val="28"/>
          <w:szCs w:val="28"/>
        </w:rPr>
        <w:t xml:space="preserve"> cu </w:t>
      </w:r>
      <w:proofErr w:type="spellStart"/>
      <w:r w:rsidRPr="000E5DD6">
        <w:rPr>
          <w:rFonts w:ascii="Times New Roman" w:hAnsi="Times New Roman" w:cs="Times New Roman"/>
          <w:color w:val="000000" w:themeColor="text1"/>
          <w:sz w:val="28"/>
          <w:szCs w:val="28"/>
        </w:rPr>
        <w:t>precursori</w:t>
      </w:r>
      <w:proofErr w:type="spellEnd"/>
      <w:r w:rsidRPr="000E5DD6">
        <w:rPr>
          <w:rFonts w:ascii="Times New Roman" w:hAnsi="Times New Roman" w:cs="Times New Roman"/>
          <w:color w:val="000000" w:themeColor="text1"/>
          <w:sz w:val="28"/>
          <w:szCs w:val="28"/>
        </w:rPr>
        <w:t xml:space="preserve"> de </w:t>
      </w:r>
      <w:proofErr w:type="spellStart"/>
      <w:r w:rsidRPr="000E5DD6">
        <w:rPr>
          <w:rFonts w:ascii="Times New Roman" w:hAnsi="Times New Roman" w:cs="Times New Roman"/>
          <w:color w:val="000000" w:themeColor="text1"/>
          <w:sz w:val="28"/>
          <w:szCs w:val="28"/>
        </w:rPr>
        <w:t>explozivi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reprezintă</w:t>
      </w:r>
      <w:proofErr w:type="spellEnd"/>
      <w:r w:rsidRPr="000E5DD6">
        <w:rPr>
          <w:rFonts w:ascii="Times New Roman" w:hAnsi="Times New Roman" w:cs="Times New Roman"/>
          <w:color w:val="000000" w:themeColor="text1"/>
          <w:sz w:val="28"/>
          <w:szCs w:val="28"/>
        </w:rPr>
        <w:t xml:space="preserve"> un </w:t>
      </w:r>
      <w:proofErr w:type="spellStart"/>
      <w:r w:rsidRPr="000E5DD6">
        <w:rPr>
          <w:rFonts w:ascii="Times New Roman" w:hAnsi="Times New Roman" w:cs="Times New Roman"/>
          <w:color w:val="000000" w:themeColor="text1"/>
          <w:sz w:val="28"/>
          <w:szCs w:val="28"/>
        </w:rPr>
        <w:t>sistem</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informațional</w:t>
      </w:r>
      <w:proofErr w:type="spellEnd"/>
      <w:r w:rsidRPr="000E5DD6">
        <w:rPr>
          <w:rFonts w:ascii="Times New Roman" w:hAnsi="Times New Roman" w:cs="Times New Roman"/>
          <w:color w:val="000000" w:themeColor="text1"/>
          <w:sz w:val="28"/>
          <w:szCs w:val="28"/>
        </w:rPr>
        <w:t xml:space="preserve"> care </w:t>
      </w:r>
      <w:proofErr w:type="spellStart"/>
      <w:r w:rsidRPr="000E5DD6">
        <w:rPr>
          <w:rFonts w:ascii="Times New Roman" w:hAnsi="Times New Roman" w:cs="Times New Roman"/>
          <w:color w:val="000000" w:themeColor="text1"/>
          <w:sz w:val="28"/>
          <w:szCs w:val="28"/>
        </w:rPr>
        <w:t>conține</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informația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necesară</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referitoare</w:t>
      </w:r>
      <w:proofErr w:type="spellEnd"/>
      <w:r w:rsidRPr="000E5DD6">
        <w:rPr>
          <w:rFonts w:ascii="Times New Roman" w:hAnsi="Times New Roman" w:cs="Times New Roman"/>
          <w:color w:val="000000" w:themeColor="text1"/>
          <w:sz w:val="28"/>
          <w:szCs w:val="28"/>
        </w:rPr>
        <w:t xml:space="preserve"> la </w:t>
      </w:r>
      <w:proofErr w:type="spellStart"/>
      <w:r w:rsidRPr="000E5DD6">
        <w:rPr>
          <w:rFonts w:ascii="Times New Roman" w:hAnsi="Times New Roman" w:cs="Times New Roman"/>
          <w:color w:val="000000" w:themeColor="text1"/>
          <w:sz w:val="28"/>
          <w:szCs w:val="28"/>
        </w:rPr>
        <w:t>identificarea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operatorilor</w:t>
      </w:r>
      <w:proofErr w:type="spellEnd"/>
      <w:r w:rsidRPr="000E5DD6">
        <w:rPr>
          <w:rFonts w:ascii="Times New Roman" w:hAnsi="Times New Roman" w:cs="Times New Roman"/>
          <w:color w:val="000000" w:themeColor="text1"/>
          <w:sz w:val="28"/>
          <w:szCs w:val="28"/>
        </w:rPr>
        <w:t xml:space="preserve"> economici, </w:t>
      </w:r>
      <w:proofErr w:type="spellStart"/>
      <w:r w:rsidRPr="000E5DD6">
        <w:rPr>
          <w:rFonts w:ascii="Times New Roman" w:hAnsi="Times New Roman" w:cs="Times New Roman"/>
          <w:color w:val="000000" w:themeColor="text1"/>
          <w:sz w:val="28"/>
          <w:szCs w:val="28"/>
        </w:rPr>
        <w:t>incidentele</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raportate</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în</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temeiul</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prezentei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legi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și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asigură</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monitorizarea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fluxurilor</w:t>
      </w:r>
      <w:proofErr w:type="spellEnd"/>
      <w:r w:rsidRPr="000E5DD6">
        <w:rPr>
          <w:rFonts w:ascii="Times New Roman" w:hAnsi="Times New Roman" w:cs="Times New Roman"/>
          <w:color w:val="000000" w:themeColor="text1"/>
          <w:sz w:val="28"/>
          <w:szCs w:val="28"/>
        </w:rPr>
        <w:t xml:space="preserve"> de </w:t>
      </w:r>
      <w:proofErr w:type="spellStart"/>
      <w:r w:rsidRPr="000E5DD6">
        <w:rPr>
          <w:rFonts w:ascii="Times New Roman" w:hAnsi="Times New Roman" w:cs="Times New Roman"/>
          <w:color w:val="000000" w:themeColor="text1"/>
          <w:sz w:val="28"/>
          <w:szCs w:val="28"/>
        </w:rPr>
        <w:t>precursori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și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anume</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plasarea</w:t>
      </w:r>
      <w:proofErr w:type="spellEnd"/>
      <w:r w:rsidRPr="000E5DD6">
        <w:rPr>
          <w:rFonts w:ascii="Times New Roman" w:hAnsi="Times New Roman" w:cs="Times New Roman"/>
          <w:color w:val="000000" w:themeColor="text1"/>
          <w:sz w:val="28"/>
          <w:szCs w:val="28"/>
        </w:rPr>
        <w:t xml:space="preserve"> pe </w:t>
      </w:r>
      <w:proofErr w:type="spellStart"/>
      <w:r w:rsidRPr="000E5DD6">
        <w:rPr>
          <w:rFonts w:ascii="Times New Roman" w:hAnsi="Times New Roman" w:cs="Times New Roman"/>
          <w:color w:val="000000" w:themeColor="text1"/>
          <w:sz w:val="28"/>
          <w:szCs w:val="28"/>
        </w:rPr>
        <w:t>piață</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introducerea</w:t>
      </w:r>
      <w:proofErr w:type="spellEnd"/>
      <w:r w:rsidRPr="000E5DD6">
        <w:rPr>
          <w:rFonts w:ascii="Times New Roman" w:hAnsi="Times New Roman" w:cs="Times New Roman"/>
          <w:color w:val="000000" w:themeColor="text1"/>
          <w:sz w:val="28"/>
          <w:szCs w:val="28"/>
        </w:rPr>
        <w:t xml:space="preserve"> pe </w:t>
      </w:r>
      <w:proofErr w:type="spellStart"/>
      <w:r w:rsidRPr="000E5DD6">
        <w:rPr>
          <w:rFonts w:ascii="Times New Roman" w:hAnsi="Times New Roman" w:cs="Times New Roman"/>
          <w:color w:val="000000" w:themeColor="text1"/>
          <w:sz w:val="28"/>
          <w:szCs w:val="28"/>
        </w:rPr>
        <w:t>piață</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deținerea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depozitarea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stocarea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utilizarea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distribuirea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producerea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introducerea</w:t>
      </w:r>
      <w:proofErr w:type="spellEnd"/>
      <w:r w:rsidRPr="000E5DD6">
        <w:rPr>
          <w:rFonts w:ascii="Times New Roman" w:hAnsi="Times New Roman" w:cs="Times New Roman"/>
          <w:color w:val="000000" w:themeColor="text1"/>
          <w:sz w:val="28"/>
          <w:szCs w:val="28"/>
        </w:rPr>
        <w:t xml:space="preserve"> pe/</w:t>
      </w:r>
      <w:proofErr w:type="spellStart"/>
      <w:r w:rsidRPr="000E5DD6">
        <w:rPr>
          <w:rFonts w:ascii="Times New Roman" w:hAnsi="Times New Roman" w:cs="Times New Roman"/>
          <w:color w:val="000000" w:themeColor="text1"/>
          <w:sz w:val="28"/>
          <w:szCs w:val="28"/>
        </w:rPr>
        <w:t>scoaterea</w:t>
      </w:r>
      <w:proofErr w:type="spellEnd"/>
      <w:r w:rsidRPr="000E5DD6">
        <w:rPr>
          <w:rFonts w:ascii="Times New Roman" w:hAnsi="Times New Roman" w:cs="Times New Roman"/>
          <w:color w:val="000000" w:themeColor="text1"/>
          <w:sz w:val="28"/>
          <w:szCs w:val="28"/>
        </w:rPr>
        <w:t xml:space="preserve"> de pe </w:t>
      </w:r>
      <w:proofErr w:type="spellStart"/>
      <w:r w:rsidRPr="000E5DD6">
        <w:rPr>
          <w:rFonts w:ascii="Times New Roman" w:hAnsi="Times New Roman" w:cs="Times New Roman"/>
          <w:color w:val="000000" w:themeColor="text1"/>
          <w:sz w:val="28"/>
          <w:szCs w:val="28"/>
        </w:rPr>
        <w:t>teritoriul</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vamal</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tranzitul</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și</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transportarea</w:t>
      </w:r>
      <w:proofErr w:type="spellEnd"/>
      <w:r w:rsidRPr="000E5DD6">
        <w:rPr>
          <w:rFonts w:ascii="Times New Roman" w:hAnsi="Times New Roman" w:cs="Times New Roman"/>
          <w:color w:val="000000" w:themeColor="text1"/>
          <w:sz w:val="28"/>
          <w:szCs w:val="28"/>
        </w:rPr>
        <w:t xml:space="preserve"> </w:t>
      </w:r>
      <w:proofErr w:type="spellStart"/>
      <w:r w:rsidRPr="000E5DD6">
        <w:rPr>
          <w:rFonts w:ascii="Times New Roman" w:hAnsi="Times New Roman" w:cs="Times New Roman"/>
          <w:color w:val="000000" w:themeColor="text1"/>
          <w:sz w:val="28"/>
          <w:szCs w:val="28"/>
        </w:rPr>
        <w:t>acestora</w:t>
      </w:r>
      <w:proofErr w:type="spellEnd"/>
      <w:r w:rsidRPr="000E5DD6">
        <w:rPr>
          <w:rFonts w:ascii="Times New Roman" w:hAnsi="Times New Roman" w:cs="Times New Roman"/>
          <w:color w:val="000000" w:themeColor="text1"/>
          <w:sz w:val="28"/>
          <w:szCs w:val="28"/>
        </w:rPr>
        <w:t>.</w:t>
      </w:r>
    </w:p>
    <w:p w14:paraId="4659F21A" w14:textId="3472FED0" w:rsidR="00237F48" w:rsidRPr="000E5DD6" w:rsidRDefault="00237F48" w:rsidP="00666AD0">
      <w:pPr>
        <w:pStyle w:val="Listparagraf"/>
        <w:numPr>
          <w:ilvl w:val="0"/>
          <w:numId w:val="8"/>
        </w:numPr>
        <w:tabs>
          <w:tab w:val="left" w:pos="1134"/>
        </w:tabs>
        <w:spacing w:after="0"/>
        <w:ind w:left="0" w:firstLine="709"/>
        <w:jc w:val="both"/>
        <w:rPr>
          <w:rFonts w:ascii="Times New Roman" w:hAnsi="Times New Roman" w:cs="Times New Roman"/>
          <w:color w:val="000000" w:themeColor="text1"/>
          <w:sz w:val="28"/>
          <w:szCs w:val="28"/>
        </w:rPr>
      </w:pPr>
      <w:r w:rsidRPr="000E5DD6">
        <w:rPr>
          <w:rFonts w:ascii="Times New Roman" w:hAnsi="Times New Roman" w:cs="Times New Roman"/>
          <w:color w:val="000000" w:themeColor="text1"/>
          <w:sz w:val="28"/>
          <w:szCs w:val="28"/>
          <w:lang w:val="ro-MD"/>
        </w:rPr>
        <w:t>INST</w:t>
      </w:r>
      <w:r w:rsidR="00FB320A" w:rsidRPr="000E5DD6">
        <w:rPr>
          <w:rFonts w:ascii="Times New Roman" w:hAnsi="Times New Roman" w:cs="Times New Roman"/>
          <w:color w:val="000000" w:themeColor="text1"/>
          <w:sz w:val="28"/>
          <w:szCs w:val="28"/>
          <w:lang w:val="ro-MD"/>
        </w:rPr>
        <w:t xml:space="preserve">, </w:t>
      </w:r>
      <w:r w:rsidR="00F47CFF">
        <w:rPr>
          <w:rFonts w:ascii="Times New Roman" w:hAnsi="Times New Roman" w:cs="Times New Roman"/>
          <w:color w:val="000000" w:themeColor="text1"/>
          <w:sz w:val="28"/>
          <w:szCs w:val="28"/>
          <w:lang w:val="ro-MD"/>
        </w:rPr>
        <w:t xml:space="preserve">IPM, ANSA, </w:t>
      </w:r>
      <w:r w:rsidR="005C3E28" w:rsidRPr="000E5DD6">
        <w:rPr>
          <w:rFonts w:ascii="Times New Roman" w:hAnsi="Times New Roman" w:cs="Times New Roman"/>
          <w:color w:val="000000" w:themeColor="text1"/>
          <w:sz w:val="28"/>
          <w:szCs w:val="28"/>
          <w:lang w:val="ro-MD"/>
        </w:rPr>
        <w:t>ANSP</w:t>
      </w:r>
      <w:r w:rsidRPr="000E5DD6">
        <w:rPr>
          <w:rFonts w:ascii="Times New Roman" w:hAnsi="Times New Roman" w:cs="Times New Roman"/>
          <w:color w:val="000000" w:themeColor="text1"/>
          <w:sz w:val="28"/>
          <w:szCs w:val="28"/>
          <w:lang w:val="ro-MD"/>
        </w:rPr>
        <w:t xml:space="preserve"> </w:t>
      </w:r>
      <w:r w:rsidR="00F47CFF">
        <w:rPr>
          <w:rFonts w:ascii="Times New Roman" w:hAnsi="Times New Roman" w:cs="Times New Roman"/>
          <w:color w:val="000000" w:themeColor="text1"/>
          <w:sz w:val="28"/>
          <w:szCs w:val="28"/>
          <w:lang w:val="ro-MD"/>
        </w:rPr>
        <w:t xml:space="preserve">și AMDM </w:t>
      </w:r>
      <w:proofErr w:type="spellStart"/>
      <w:r w:rsidR="00F47CFF">
        <w:rPr>
          <w:rFonts w:ascii="Times New Roman" w:hAnsi="Times New Roman" w:cs="Times New Roman"/>
          <w:color w:val="000000" w:themeColor="text1"/>
          <w:sz w:val="28"/>
          <w:szCs w:val="28"/>
        </w:rPr>
        <w:t>vor</w:t>
      </w:r>
      <w:proofErr w:type="spellEnd"/>
      <w:r w:rsidRPr="000E5DD6">
        <w:rPr>
          <w:rFonts w:ascii="Times New Roman" w:hAnsi="Times New Roman" w:cs="Times New Roman"/>
          <w:color w:val="000000" w:themeColor="text1"/>
          <w:sz w:val="28"/>
          <w:szCs w:val="28"/>
        </w:rPr>
        <w:t xml:space="preserve"> </w:t>
      </w:r>
      <w:r w:rsidRPr="000E5DD6">
        <w:rPr>
          <w:rFonts w:ascii="Times New Roman" w:hAnsi="Times New Roman" w:cs="Times New Roman"/>
          <w:color w:val="000000" w:themeColor="text1"/>
          <w:sz w:val="28"/>
          <w:szCs w:val="28"/>
          <w:lang w:val="ro-MD"/>
        </w:rPr>
        <w:t>notific</w:t>
      </w:r>
      <w:r w:rsidRPr="000E5DD6">
        <w:rPr>
          <w:rFonts w:ascii="Times New Roman" w:hAnsi="Times New Roman" w:cs="Times New Roman"/>
          <w:color w:val="000000" w:themeColor="text1"/>
          <w:sz w:val="28"/>
          <w:szCs w:val="28"/>
        </w:rPr>
        <w:t>a</w:t>
      </w:r>
      <w:r w:rsidRPr="000E5DD6">
        <w:rPr>
          <w:rFonts w:ascii="Times New Roman" w:hAnsi="Times New Roman" w:cs="Times New Roman"/>
          <w:color w:val="000000" w:themeColor="text1"/>
          <w:sz w:val="28"/>
          <w:szCs w:val="28"/>
          <w:lang w:val="ro-MD"/>
        </w:rPr>
        <w:t xml:space="preserve"> prin intermediul platformei guvernamentale de interoperabilitate Punctul Național de Contact despre orice operator economic autorizat să desfășoare activități cu explozivi și/sau precursori de explozivi pentru înregistrarea în Registru.</w:t>
      </w:r>
    </w:p>
    <w:p w14:paraId="03A99941" w14:textId="7377CC4E" w:rsidR="00237F48" w:rsidRPr="000E5DD6" w:rsidRDefault="00237F48" w:rsidP="0097432A">
      <w:pPr>
        <w:pStyle w:val="Listparagraf"/>
        <w:numPr>
          <w:ilvl w:val="0"/>
          <w:numId w:val="8"/>
        </w:numPr>
        <w:tabs>
          <w:tab w:val="left" w:pos="1134"/>
        </w:tabs>
        <w:spacing w:after="0"/>
        <w:ind w:left="0" w:firstLine="709"/>
        <w:jc w:val="both"/>
        <w:rPr>
          <w:rFonts w:ascii="Times New Roman" w:hAnsi="Times New Roman" w:cs="Times New Roman"/>
          <w:color w:val="000000" w:themeColor="text1"/>
          <w:sz w:val="28"/>
          <w:szCs w:val="28"/>
          <w:lang w:val="fr-FR"/>
        </w:rPr>
      </w:pPr>
      <w:proofErr w:type="spellStart"/>
      <w:r w:rsidRPr="000E5DD6">
        <w:rPr>
          <w:rFonts w:ascii="Times New Roman" w:hAnsi="Times New Roman" w:cs="Times New Roman"/>
          <w:color w:val="000000" w:themeColor="text1"/>
          <w:sz w:val="28"/>
          <w:szCs w:val="28"/>
          <w:lang w:val="fr-FR"/>
        </w:rPr>
        <w:t>Conceptul</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sistemului</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informațional</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și</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Regulamentul</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cu</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privire</w:t>
      </w:r>
      <w:proofErr w:type="spellEnd"/>
      <w:r w:rsidRPr="000E5DD6">
        <w:rPr>
          <w:rFonts w:ascii="Times New Roman" w:hAnsi="Times New Roman" w:cs="Times New Roman"/>
          <w:color w:val="000000" w:themeColor="text1"/>
          <w:sz w:val="28"/>
          <w:szCs w:val="28"/>
          <w:lang w:val="fr-FR"/>
        </w:rPr>
        <w:t xml:space="preserve"> la </w:t>
      </w:r>
      <w:proofErr w:type="spellStart"/>
      <w:r w:rsidRPr="000E5DD6">
        <w:rPr>
          <w:rFonts w:ascii="Times New Roman" w:hAnsi="Times New Roman" w:cs="Times New Roman"/>
          <w:color w:val="000000" w:themeColor="text1"/>
          <w:sz w:val="28"/>
          <w:szCs w:val="28"/>
          <w:lang w:val="fr-FR"/>
        </w:rPr>
        <w:t>modul</w:t>
      </w:r>
      <w:proofErr w:type="spellEnd"/>
      <w:r w:rsidRPr="000E5DD6">
        <w:rPr>
          <w:rFonts w:ascii="Times New Roman" w:hAnsi="Times New Roman" w:cs="Times New Roman"/>
          <w:color w:val="000000" w:themeColor="text1"/>
          <w:sz w:val="28"/>
          <w:szCs w:val="28"/>
          <w:lang w:val="fr-FR"/>
        </w:rPr>
        <w:t xml:space="preserve"> de </w:t>
      </w:r>
      <w:proofErr w:type="spellStart"/>
      <w:r w:rsidRPr="000E5DD6">
        <w:rPr>
          <w:rFonts w:ascii="Times New Roman" w:hAnsi="Times New Roman" w:cs="Times New Roman"/>
          <w:color w:val="000000" w:themeColor="text1"/>
          <w:sz w:val="28"/>
          <w:szCs w:val="28"/>
          <w:lang w:val="fr-FR"/>
        </w:rPr>
        <w:t>deținere</w:t>
      </w:r>
      <w:proofErr w:type="spellEnd"/>
      <w:r w:rsidRPr="000E5DD6">
        <w:rPr>
          <w:rFonts w:ascii="Times New Roman" w:hAnsi="Times New Roman" w:cs="Times New Roman"/>
          <w:color w:val="000000" w:themeColor="text1"/>
          <w:sz w:val="28"/>
          <w:szCs w:val="28"/>
          <w:lang w:val="fr-FR"/>
        </w:rPr>
        <w:t xml:space="preserve"> a </w:t>
      </w:r>
      <w:proofErr w:type="spellStart"/>
      <w:r w:rsidRPr="000E5DD6">
        <w:rPr>
          <w:rFonts w:ascii="Times New Roman" w:hAnsi="Times New Roman" w:cs="Times New Roman"/>
          <w:color w:val="000000" w:themeColor="text1"/>
          <w:sz w:val="28"/>
          <w:szCs w:val="28"/>
          <w:lang w:val="fr-FR"/>
        </w:rPr>
        <w:t>Registrului</w:t>
      </w:r>
      <w:proofErr w:type="spellEnd"/>
      <w:r w:rsidRPr="000E5DD6">
        <w:rPr>
          <w:rFonts w:ascii="Times New Roman" w:hAnsi="Times New Roman" w:cs="Times New Roman"/>
          <w:color w:val="000000" w:themeColor="text1"/>
          <w:sz w:val="28"/>
          <w:szCs w:val="28"/>
          <w:lang w:val="fr-FR"/>
        </w:rPr>
        <w:t xml:space="preserve"> de stat al </w:t>
      </w:r>
      <w:proofErr w:type="spellStart"/>
      <w:r w:rsidRPr="000E5DD6">
        <w:rPr>
          <w:rFonts w:ascii="Times New Roman" w:hAnsi="Times New Roman" w:cs="Times New Roman"/>
          <w:color w:val="000000" w:themeColor="text1"/>
          <w:sz w:val="28"/>
          <w:szCs w:val="28"/>
          <w:lang w:val="fr-FR"/>
        </w:rPr>
        <w:t>operațiunilor</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cu</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precursori</w:t>
      </w:r>
      <w:proofErr w:type="spellEnd"/>
      <w:r w:rsidRPr="000E5DD6">
        <w:rPr>
          <w:rFonts w:ascii="Times New Roman" w:hAnsi="Times New Roman" w:cs="Times New Roman"/>
          <w:color w:val="000000" w:themeColor="text1"/>
          <w:sz w:val="28"/>
          <w:szCs w:val="28"/>
          <w:lang w:val="fr-FR"/>
        </w:rPr>
        <w:t xml:space="preserve"> de </w:t>
      </w:r>
      <w:proofErr w:type="spellStart"/>
      <w:r w:rsidRPr="000E5DD6">
        <w:rPr>
          <w:rFonts w:ascii="Times New Roman" w:hAnsi="Times New Roman" w:cs="Times New Roman"/>
          <w:color w:val="000000" w:themeColor="text1"/>
          <w:sz w:val="28"/>
          <w:szCs w:val="28"/>
          <w:lang w:val="fr-FR"/>
        </w:rPr>
        <w:t>explozivi</w:t>
      </w:r>
      <w:proofErr w:type="spellEnd"/>
      <w:r w:rsidRPr="000E5DD6">
        <w:rPr>
          <w:rFonts w:ascii="Times New Roman" w:hAnsi="Times New Roman" w:cs="Times New Roman"/>
          <w:color w:val="000000" w:themeColor="text1"/>
          <w:sz w:val="28"/>
          <w:szCs w:val="28"/>
          <w:lang w:val="fr-FR"/>
        </w:rPr>
        <w:t xml:space="preserve"> se </w:t>
      </w:r>
      <w:proofErr w:type="spellStart"/>
      <w:r w:rsidRPr="000E5DD6">
        <w:rPr>
          <w:rFonts w:ascii="Times New Roman" w:hAnsi="Times New Roman" w:cs="Times New Roman"/>
          <w:color w:val="000000" w:themeColor="text1"/>
          <w:sz w:val="28"/>
          <w:szCs w:val="28"/>
          <w:lang w:val="fr-FR"/>
        </w:rPr>
        <w:t>aprobă</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prin</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hotărâre</w:t>
      </w:r>
      <w:proofErr w:type="spellEnd"/>
      <w:r w:rsidRPr="000E5DD6">
        <w:rPr>
          <w:rFonts w:ascii="Times New Roman" w:hAnsi="Times New Roman" w:cs="Times New Roman"/>
          <w:color w:val="000000" w:themeColor="text1"/>
          <w:sz w:val="28"/>
          <w:szCs w:val="28"/>
          <w:lang w:val="fr-FR"/>
        </w:rPr>
        <w:t xml:space="preserve"> de </w:t>
      </w:r>
      <w:proofErr w:type="spellStart"/>
      <w:r w:rsidRPr="000E5DD6">
        <w:rPr>
          <w:rFonts w:ascii="Times New Roman" w:hAnsi="Times New Roman" w:cs="Times New Roman"/>
          <w:color w:val="000000" w:themeColor="text1"/>
          <w:sz w:val="28"/>
          <w:szCs w:val="28"/>
          <w:lang w:val="fr-FR"/>
        </w:rPr>
        <w:t>Guvern</w:t>
      </w:r>
      <w:proofErr w:type="spellEnd"/>
      <w:r w:rsidRPr="000E5DD6">
        <w:rPr>
          <w:rFonts w:ascii="Times New Roman" w:hAnsi="Times New Roman" w:cs="Times New Roman"/>
          <w:color w:val="000000" w:themeColor="text1"/>
          <w:sz w:val="28"/>
          <w:szCs w:val="28"/>
          <w:lang w:val="fr-FR"/>
        </w:rPr>
        <w:t>.</w:t>
      </w:r>
    </w:p>
    <w:p w14:paraId="039FD798" w14:textId="77777777" w:rsidR="00237F48" w:rsidRPr="000E5DD6" w:rsidRDefault="00237F48" w:rsidP="000E5DD6">
      <w:pPr>
        <w:spacing w:after="0"/>
        <w:rPr>
          <w:rFonts w:ascii="Times New Roman" w:hAnsi="Times New Roman" w:cs="Times New Roman"/>
          <w:b/>
          <w:color w:val="000000" w:themeColor="text1"/>
          <w:sz w:val="28"/>
          <w:szCs w:val="28"/>
          <w:lang w:val="ro-MD"/>
        </w:rPr>
      </w:pPr>
    </w:p>
    <w:p w14:paraId="261E86A3"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CAPITOLUL V</w:t>
      </w:r>
    </w:p>
    <w:p w14:paraId="7C1FD954" w14:textId="77777777" w:rsidR="00237F48" w:rsidRPr="000E5DD6" w:rsidRDefault="00237F48" w:rsidP="00237F48">
      <w:pPr>
        <w:spacing w:after="0"/>
        <w:jc w:val="center"/>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PUNCTUL NAȚIONAL DE CONTACT ȘI COOPERAREA INTERINSTITUȚIONALĂ</w:t>
      </w:r>
    </w:p>
    <w:p w14:paraId="6CE15B9B" w14:textId="77777777"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p>
    <w:p w14:paraId="1C843F53" w14:textId="55E5C38C" w:rsidR="00237F48" w:rsidRPr="000E5DD6" w:rsidRDefault="00237F48" w:rsidP="00237F48">
      <w:pPr>
        <w:spacing w:after="0"/>
        <w:ind w:firstLine="567"/>
        <w:jc w:val="both"/>
        <w:rPr>
          <w:rFonts w:ascii="Times New Roman" w:hAnsi="Times New Roman" w:cs="Times New Roman"/>
          <w:b/>
          <w:color w:val="000000" w:themeColor="text1"/>
          <w:sz w:val="28"/>
          <w:szCs w:val="28"/>
          <w:lang w:val="ro-MD"/>
        </w:rPr>
      </w:pPr>
      <w:r w:rsidRPr="000E5DD6">
        <w:rPr>
          <w:rFonts w:ascii="Times New Roman" w:hAnsi="Times New Roman" w:cs="Times New Roman"/>
          <w:b/>
          <w:color w:val="000000" w:themeColor="text1"/>
          <w:sz w:val="28"/>
          <w:szCs w:val="28"/>
          <w:lang w:val="ro-MD"/>
        </w:rPr>
        <w:t>Articolul 3</w:t>
      </w:r>
      <w:r w:rsidR="00ED0B6C" w:rsidRPr="000E5DD6">
        <w:rPr>
          <w:rFonts w:ascii="Times New Roman" w:hAnsi="Times New Roman" w:cs="Times New Roman"/>
          <w:b/>
          <w:color w:val="000000" w:themeColor="text1"/>
          <w:sz w:val="28"/>
          <w:szCs w:val="28"/>
          <w:lang w:val="ro-MD"/>
        </w:rPr>
        <w:t>5</w:t>
      </w:r>
      <w:r w:rsidRPr="000E5DD6">
        <w:rPr>
          <w:rFonts w:ascii="Times New Roman" w:hAnsi="Times New Roman" w:cs="Times New Roman"/>
          <w:b/>
          <w:color w:val="000000" w:themeColor="text1"/>
          <w:sz w:val="28"/>
          <w:szCs w:val="28"/>
          <w:lang w:val="ro-MD"/>
        </w:rPr>
        <w:t xml:space="preserve">. Instituirea Punctului Național de Contact </w:t>
      </w:r>
    </w:p>
    <w:p w14:paraId="187E09E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Se instituie Punctul Național de Contact  privind precursorii de explozivi în cadrul MAI.</w:t>
      </w:r>
    </w:p>
    <w:p w14:paraId="364F9A78" w14:textId="65EBA66C"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(2) </w:t>
      </w:r>
      <w:r w:rsidR="00261DA8" w:rsidRPr="000E5DD6">
        <w:rPr>
          <w:rFonts w:ascii="Times New Roman" w:hAnsi="Times New Roman" w:cs="Times New Roman"/>
          <w:color w:val="000000" w:themeColor="text1"/>
          <w:sz w:val="28"/>
          <w:szCs w:val="28"/>
          <w:lang w:val="ro-MD"/>
        </w:rPr>
        <w:t>P</w:t>
      </w:r>
      <w:r w:rsidRPr="000E5DD6">
        <w:rPr>
          <w:rFonts w:ascii="Times New Roman" w:hAnsi="Times New Roman" w:cs="Times New Roman"/>
          <w:color w:val="000000" w:themeColor="text1"/>
          <w:sz w:val="28"/>
          <w:szCs w:val="28"/>
          <w:lang w:val="ro-MD"/>
        </w:rPr>
        <w:t>unctul Național de Contact funcționează ca punct unic de recepționare, analiză și transmitere a informațiilor referitoare la:</w:t>
      </w:r>
    </w:p>
    <w:p w14:paraId="26E5D17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tranzacțiile suspecte;</w:t>
      </w:r>
    </w:p>
    <w:p w14:paraId="59A1EDA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disparițiile și sustragerile ilegale de substanțe;</w:t>
      </w:r>
    </w:p>
    <w:p w14:paraId="3427836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incidente sau riscuri legate de precursorii de explozivi;</w:t>
      </w:r>
    </w:p>
    <w:p w14:paraId="6AE7D3F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alerte interne și internaționale;</w:t>
      </w:r>
    </w:p>
    <w:p w14:paraId="5ABA84C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cooperarea cu instituțiile omoloage din statele membre ale Uniunii Europene.</w:t>
      </w:r>
    </w:p>
    <w:p w14:paraId="4084204E" w14:textId="0B3B4438"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(3) Punctul Național de Contact asigură disponibilitate 24/7, prin mijloace electronice, telefonice și alte mijloace de comunicare securizate.</w:t>
      </w:r>
    </w:p>
    <w:p w14:paraId="27D826A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Organizarea și funcționarea Punctului Național de Contact se stabilesc prin hotărâre de Guvern.</w:t>
      </w:r>
    </w:p>
    <w:p w14:paraId="2A4FB819"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4F567258" w14:textId="7BB4DBDA"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3</w:t>
      </w:r>
      <w:r w:rsidR="00261DA8" w:rsidRPr="000E5DD6">
        <w:rPr>
          <w:rFonts w:ascii="Times New Roman" w:hAnsi="Times New Roman" w:cs="Times New Roman"/>
          <w:b/>
          <w:bCs/>
          <w:color w:val="000000" w:themeColor="text1"/>
          <w:sz w:val="28"/>
          <w:szCs w:val="28"/>
          <w:lang w:val="ro-MD"/>
        </w:rPr>
        <w:t>6</w:t>
      </w:r>
      <w:r w:rsidRPr="000E5DD6">
        <w:rPr>
          <w:rFonts w:ascii="Times New Roman" w:hAnsi="Times New Roman" w:cs="Times New Roman"/>
          <w:b/>
          <w:bCs/>
          <w:color w:val="000000" w:themeColor="text1"/>
          <w:sz w:val="28"/>
          <w:szCs w:val="28"/>
          <w:lang w:val="ro-MD"/>
        </w:rPr>
        <w:t xml:space="preserve">. Atribuțiile Punctului Național de Contact </w:t>
      </w:r>
    </w:p>
    <w:p w14:paraId="426D7CF3" w14:textId="64632D49"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Punctul Național de Contact are următoarele atribuții:</w:t>
      </w:r>
    </w:p>
    <w:p w14:paraId="7D5F4E1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recepționarea alertelor transmise de operatorii economici și utilizatorii profesionali;</w:t>
      </w:r>
    </w:p>
    <w:p w14:paraId="4C43C41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analiza informațiilor și evaluarea riscului privind tranzacțiile suspecte;</w:t>
      </w:r>
    </w:p>
    <w:p w14:paraId="5EC56F7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coordonarea măsurilor imediate de răspuns în caz de risc iminent;</w:t>
      </w:r>
    </w:p>
    <w:p w14:paraId="5751A695" w14:textId="0CF10A1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d) transmiterea </w:t>
      </w:r>
      <w:r w:rsidR="005C3E28" w:rsidRPr="000E5DD6">
        <w:rPr>
          <w:rFonts w:ascii="Times New Roman" w:hAnsi="Times New Roman" w:cs="Times New Roman"/>
          <w:color w:val="000000" w:themeColor="text1"/>
          <w:sz w:val="28"/>
          <w:szCs w:val="28"/>
          <w:lang w:val="ro-MD"/>
        </w:rPr>
        <w:t xml:space="preserve">informațiilor relevante </w:t>
      </w:r>
      <w:r w:rsidRPr="000E5DD6">
        <w:rPr>
          <w:rFonts w:ascii="Times New Roman" w:hAnsi="Times New Roman" w:cs="Times New Roman"/>
          <w:color w:val="000000" w:themeColor="text1"/>
          <w:sz w:val="28"/>
          <w:szCs w:val="28"/>
          <w:lang w:val="ro-MD"/>
        </w:rPr>
        <w:t>către</w:t>
      </w:r>
      <w:r w:rsidR="00007F96" w:rsidRPr="000E5DD6">
        <w:rPr>
          <w:rFonts w:ascii="Times New Roman" w:hAnsi="Times New Roman" w:cs="Times New Roman"/>
          <w:color w:val="000000" w:themeColor="text1"/>
          <w:sz w:val="28"/>
          <w:szCs w:val="28"/>
          <w:lang w:val="ro-MD"/>
        </w:rPr>
        <w:t xml:space="preserve"> </w:t>
      </w:r>
      <w:r w:rsidR="005C3E28" w:rsidRPr="000E5DD6">
        <w:rPr>
          <w:rFonts w:ascii="Times New Roman" w:hAnsi="Times New Roman" w:cs="Times New Roman"/>
          <w:color w:val="000000" w:themeColor="text1"/>
          <w:sz w:val="28"/>
          <w:szCs w:val="28"/>
          <w:lang w:val="ro-MD"/>
        </w:rPr>
        <w:t>autoritățile prevăzute</w:t>
      </w:r>
      <w:r w:rsidR="00007F96" w:rsidRPr="000E5DD6">
        <w:rPr>
          <w:rFonts w:ascii="Times New Roman" w:hAnsi="Times New Roman" w:cs="Times New Roman"/>
          <w:color w:val="000000" w:themeColor="text1"/>
          <w:sz w:val="28"/>
          <w:szCs w:val="28"/>
          <w:lang w:val="ro-MD"/>
        </w:rPr>
        <w:t xml:space="preserve"> </w:t>
      </w:r>
      <w:r w:rsidR="005C3E28" w:rsidRPr="000E5DD6">
        <w:rPr>
          <w:rFonts w:ascii="Times New Roman" w:hAnsi="Times New Roman" w:cs="Times New Roman"/>
          <w:color w:val="000000" w:themeColor="text1"/>
          <w:sz w:val="28"/>
          <w:szCs w:val="28"/>
          <w:lang w:val="ro-MD"/>
        </w:rPr>
        <w:t>la art. 4 alin (1)</w:t>
      </w:r>
      <w:r w:rsidR="00F47CFF">
        <w:rPr>
          <w:rFonts w:ascii="Times New Roman" w:hAnsi="Times New Roman" w:cs="Times New Roman"/>
          <w:color w:val="000000" w:themeColor="text1"/>
          <w:sz w:val="28"/>
          <w:szCs w:val="28"/>
          <w:lang w:val="ro-MD"/>
        </w:rPr>
        <w:t xml:space="preserve"> și către AMDM</w:t>
      </w:r>
      <w:r w:rsidR="005C3E28" w:rsidRPr="000E5DD6">
        <w:rPr>
          <w:rFonts w:ascii="Times New Roman" w:hAnsi="Times New Roman" w:cs="Times New Roman"/>
          <w:color w:val="000000" w:themeColor="text1"/>
          <w:sz w:val="28"/>
          <w:szCs w:val="28"/>
          <w:lang w:val="ro-MD"/>
        </w:rPr>
        <w:t xml:space="preserve">; </w:t>
      </w:r>
    </w:p>
    <w:p w14:paraId="72707C1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transmiterea alertelor către autoritățile administrative competente din subordinea MAI atunci când există indicii privind comiterea unei infracțiuni;</w:t>
      </w:r>
    </w:p>
    <w:p w14:paraId="60566A81" w14:textId="2D71CDA0"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f) schimbul de informații cu Serviciul Vamal și alte autorități relevante;</w:t>
      </w:r>
    </w:p>
    <w:p w14:paraId="6E40CE5F" w14:textId="1C5C793E"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g) cooperarea și schimbul de date cu instituțiile omoloage din statele membre ale Uniunii Europene</w:t>
      </w:r>
      <w:r w:rsidR="009D42FA" w:rsidRPr="000E5DD6">
        <w:rPr>
          <w:rFonts w:ascii="Times New Roman" w:hAnsi="Times New Roman" w:cs="Times New Roman"/>
          <w:color w:val="000000" w:themeColor="text1"/>
          <w:sz w:val="28"/>
          <w:szCs w:val="28"/>
          <w:lang w:val="ro-MD"/>
        </w:rPr>
        <w:t>;</w:t>
      </w:r>
    </w:p>
    <w:p w14:paraId="473A07D9" w14:textId="17D25219"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h) elaborarea, după necesitate, a ghidurilor și materialelor informative destinate operatorilor economici, exclusiv în domeniul cooperării operative dintre operatorii economici și Punctul Național de Contact</w:t>
      </w:r>
      <w:r w:rsidR="00261DA8" w:rsidRPr="000E5DD6">
        <w:rPr>
          <w:rFonts w:ascii="Times New Roman" w:hAnsi="Times New Roman" w:cs="Times New Roman"/>
          <w:color w:val="000000" w:themeColor="text1"/>
          <w:sz w:val="28"/>
          <w:szCs w:val="28"/>
          <w:lang w:val="ro-MD"/>
        </w:rPr>
        <w:t>,</w:t>
      </w:r>
      <w:r w:rsidRPr="000E5DD6">
        <w:rPr>
          <w:rFonts w:ascii="Times New Roman" w:hAnsi="Times New Roman" w:cs="Times New Roman"/>
          <w:color w:val="000000" w:themeColor="text1"/>
          <w:sz w:val="28"/>
          <w:szCs w:val="28"/>
          <w:lang w:val="ro-MD"/>
        </w:rPr>
        <w:t xml:space="preserve"> în special privind identificarea și raportarea tranzacțiilor suspecte;</w:t>
      </w:r>
    </w:p>
    <w:p w14:paraId="184BFB0F"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i) gestionarea, după caz, a unui sistem de evidență și analiză a incidentelor și notificărilor privind precursorii de explozivi, în scopul prevenirii utilizării lor ilicite;</w:t>
      </w:r>
    </w:p>
    <w:p w14:paraId="35EB1F2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j) elaborarea, în măsura în care este necesar sau solicitat de Guvern, a rapoartelor periodice privind implementarea mecanismului de alertare și cooperare cu operatorii economici și autoritățile competente.</w:t>
      </w:r>
    </w:p>
    <w:p w14:paraId="1816F78F"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4423DB00" w14:textId="7AA43C1B"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3</w:t>
      </w:r>
      <w:r w:rsidR="00261DA8" w:rsidRPr="000E5DD6">
        <w:rPr>
          <w:rFonts w:ascii="Times New Roman" w:hAnsi="Times New Roman" w:cs="Times New Roman"/>
          <w:b/>
          <w:bCs/>
          <w:color w:val="000000" w:themeColor="text1"/>
          <w:sz w:val="28"/>
          <w:szCs w:val="28"/>
          <w:lang w:val="ro-MD"/>
        </w:rPr>
        <w:t>7</w:t>
      </w:r>
      <w:r w:rsidRPr="000E5DD6">
        <w:rPr>
          <w:rFonts w:ascii="Times New Roman" w:hAnsi="Times New Roman" w:cs="Times New Roman"/>
          <w:b/>
          <w:bCs/>
          <w:color w:val="000000" w:themeColor="text1"/>
          <w:sz w:val="28"/>
          <w:szCs w:val="28"/>
          <w:lang w:val="ro-MD"/>
        </w:rPr>
        <w:t>. Cooperarea interinstituțională</w:t>
      </w:r>
    </w:p>
    <w:p w14:paraId="2E9575BA" w14:textId="3B31EF16"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MAI</w:t>
      </w:r>
      <w:r w:rsidR="00007F96" w:rsidRPr="000E5DD6">
        <w:rPr>
          <w:rFonts w:ascii="Times New Roman" w:hAnsi="Times New Roman" w:cs="Times New Roman"/>
          <w:color w:val="000000" w:themeColor="text1"/>
          <w:sz w:val="28"/>
          <w:szCs w:val="28"/>
          <w:lang w:val="ro-MD"/>
        </w:rPr>
        <w:t xml:space="preserve"> prin intermediul autorit</w:t>
      </w:r>
      <w:r w:rsidR="005C3E28" w:rsidRPr="000E5DD6">
        <w:rPr>
          <w:rFonts w:ascii="Times New Roman" w:hAnsi="Times New Roman" w:cs="Times New Roman"/>
          <w:color w:val="000000" w:themeColor="text1"/>
          <w:sz w:val="28"/>
          <w:szCs w:val="28"/>
          <w:lang w:val="ro-MD"/>
        </w:rPr>
        <w:t>ăților</w:t>
      </w:r>
      <w:r w:rsidR="00007F96" w:rsidRPr="000E5DD6">
        <w:rPr>
          <w:rFonts w:ascii="Times New Roman" w:hAnsi="Times New Roman" w:cs="Times New Roman"/>
          <w:color w:val="000000" w:themeColor="text1"/>
          <w:sz w:val="28"/>
          <w:szCs w:val="28"/>
          <w:lang w:val="ro-MD"/>
        </w:rPr>
        <w:t xml:space="preserve"> din subordine</w:t>
      </w:r>
      <w:r w:rsidR="005C3E28" w:rsidRPr="000E5DD6">
        <w:rPr>
          <w:rFonts w:ascii="Times New Roman" w:hAnsi="Times New Roman" w:cs="Times New Roman"/>
          <w:color w:val="000000" w:themeColor="text1"/>
          <w:sz w:val="28"/>
          <w:szCs w:val="28"/>
          <w:lang w:val="ro-MD"/>
        </w:rPr>
        <w:t xml:space="preserve"> competente</w:t>
      </w:r>
      <w:r w:rsidRPr="000E5DD6">
        <w:rPr>
          <w:rFonts w:ascii="Times New Roman" w:hAnsi="Times New Roman" w:cs="Times New Roman"/>
          <w:color w:val="000000" w:themeColor="text1"/>
          <w:sz w:val="28"/>
          <w:szCs w:val="28"/>
          <w:lang w:val="ro-MD"/>
        </w:rPr>
        <w:t xml:space="preserve">, IPM, ANSA, ANSP, </w:t>
      </w:r>
      <w:r w:rsidR="00F47CFF">
        <w:rPr>
          <w:rFonts w:ascii="Times New Roman" w:hAnsi="Times New Roman" w:cs="Times New Roman"/>
          <w:color w:val="000000" w:themeColor="text1"/>
          <w:sz w:val="28"/>
          <w:szCs w:val="28"/>
          <w:lang w:val="ro-MD"/>
        </w:rPr>
        <w:t xml:space="preserve">AMDM, </w:t>
      </w:r>
      <w:r w:rsidRPr="000E5DD6">
        <w:rPr>
          <w:rFonts w:ascii="Times New Roman" w:hAnsi="Times New Roman" w:cs="Times New Roman"/>
          <w:color w:val="000000" w:themeColor="text1"/>
          <w:sz w:val="28"/>
          <w:szCs w:val="28"/>
          <w:lang w:val="ro-MD"/>
        </w:rPr>
        <w:t>Serviciul Vamal și alte autorități competente cooperează în scopul prevenirii, identificării și contracarării utilizării ilicite a precursorilor de explozivi.</w:t>
      </w:r>
    </w:p>
    <w:p w14:paraId="36D23B8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Cooperarea interinstituțională include, cel puțin:</w:t>
      </w:r>
    </w:p>
    <w:p w14:paraId="3A42BDE1" w14:textId="62207614"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schimb sistematic de date și informații relevante privind regimul precursorilor</w:t>
      </w:r>
      <w:r w:rsidR="00261DA8" w:rsidRPr="000E5DD6">
        <w:rPr>
          <w:rFonts w:ascii="Times New Roman" w:hAnsi="Times New Roman" w:cs="Times New Roman"/>
          <w:color w:val="000000" w:themeColor="text1"/>
          <w:sz w:val="28"/>
          <w:szCs w:val="28"/>
          <w:lang w:val="ro-MD"/>
        </w:rPr>
        <w:t xml:space="preserve"> de explozivi</w:t>
      </w:r>
      <w:r w:rsidRPr="000E5DD6">
        <w:rPr>
          <w:rFonts w:ascii="Times New Roman" w:hAnsi="Times New Roman" w:cs="Times New Roman"/>
          <w:color w:val="000000" w:themeColor="text1"/>
          <w:sz w:val="28"/>
          <w:szCs w:val="28"/>
          <w:lang w:val="ro-MD"/>
        </w:rPr>
        <w:t>;</w:t>
      </w:r>
    </w:p>
    <w:p w14:paraId="2D7B22A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notificări reciproce imediate, realizate prin canale oficiale de comunicare, inclusiv prin sisteme informaționale, corespondență electronică sau alte mijloace operative, privind incidente, tranzacții suspecte ori riscuri identificate;</w:t>
      </w:r>
    </w:p>
    <w:p w14:paraId="67EE1AB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desfășurarea unor acțiuni comune de evaluare a riscului;</w:t>
      </w:r>
    </w:p>
    <w:p w14:paraId="3482DBF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consultări periodice privind aplicarea unitară a legislației;</w:t>
      </w:r>
    </w:p>
    <w:p w14:paraId="1B3D0FD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participarea la instruiri, simulări și exerciții comune de intervenție.</w:t>
      </w:r>
      <w:r w:rsidRPr="000E5DD6" w:rsidDel="003B0EC7">
        <w:rPr>
          <w:rFonts w:ascii="Times New Roman" w:hAnsi="Times New Roman" w:cs="Times New Roman"/>
          <w:color w:val="000000" w:themeColor="text1"/>
          <w:sz w:val="28"/>
          <w:szCs w:val="28"/>
          <w:lang w:val="ro-MD"/>
        </w:rPr>
        <w:t xml:space="preserve"> </w:t>
      </w:r>
    </w:p>
    <w:p w14:paraId="10944ED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 xml:space="preserve">(3) Schimbul de informații menționat la alin. (2) lit. a) și b) cuprinde, fără a se limita la: </w:t>
      </w:r>
    </w:p>
    <w:p w14:paraId="24A080D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detalii operative privind tranzacțiile suspecte și tentativele de achiziție;</w:t>
      </w:r>
    </w:p>
    <w:p w14:paraId="3C7C8F6D"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date referitoare la dispariții, sustrageri sau furturi de precursori;</w:t>
      </w:r>
    </w:p>
    <w:p w14:paraId="11972D1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informații tehnice, analitice și de laborator privind proprietățile chimice ale substanțelor;</w:t>
      </w:r>
    </w:p>
    <w:p w14:paraId="6FA921FE"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d) date statistice privind fluxurile comerciale și incidentele înregistrate la nivel național; </w:t>
      </w:r>
    </w:p>
    <w:p w14:paraId="468A034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alerte și bune practici primite de la instituțiile și organismele internaționale.</w:t>
      </w:r>
    </w:p>
    <w:p w14:paraId="37ACE4A8" w14:textId="7BE41EC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(4) Serviciul Vamal cooperează în mod specific cu</w:t>
      </w:r>
      <w:r w:rsidR="00FF73EC" w:rsidRPr="000E5DD6">
        <w:rPr>
          <w:rFonts w:ascii="Times New Roman" w:hAnsi="Times New Roman" w:cs="Times New Roman"/>
          <w:color w:val="000000" w:themeColor="text1"/>
          <w:sz w:val="28"/>
          <w:szCs w:val="28"/>
          <w:lang w:val="ro-MD"/>
        </w:rPr>
        <w:t xml:space="preserve"> ASP,</w:t>
      </w:r>
      <w:r w:rsidRPr="000E5DD6">
        <w:rPr>
          <w:rFonts w:ascii="Times New Roman" w:hAnsi="Times New Roman" w:cs="Times New Roman"/>
          <w:color w:val="000000" w:themeColor="text1"/>
          <w:sz w:val="28"/>
          <w:szCs w:val="28"/>
          <w:lang w:val="ro-MD"/>
        </w:rPr>
        <w:t xml:space="preserve"> IPM, ANSA</w:t>
      </w:r>
      <w:r w:rsidR="00F47CFF">
        <w:rPr>
          <w:rFonts w:ascii="Times New Roman" w:hAnsi="Times New Roman" w:cs="Times New Roman"/>
          <w:color w:val="000000" w:themeColor="text1"/>
          <w:sz w:val="28"/>
          <w:szCs w:val="28"/>
          <w:lang w:val="ro-MD"/>
        </w:rPr>
        <w:t>, AMDM</w:t>
      </w:r>
      <w:r w:rsidRPr="000E5DD6">
        <w:rPr>
          <w:rFonts w:ascii="Times New Roman" w:hAnsi="Times New Roman" w:cs="Times New Roman"/>
          <w:color w:val="000000" w:themeColor="text1"/>
          <w:sz w:val="28"/>
          <w:szCs w:val="28"/>
          <w:lang w:val="ro-MD"/>
        </w:rPr>
        <w:t xml:space="preserve"> și ANSP pentru verificarea conformității operatorilor economici implicați în introducerea pe/scoaterea de pe teritoriul vamal a precursorilor de explozivi, inclusiv prin schimbul de date referitoare la actele permisive deținute și regimurile vamale aplicate.</w:t>
      </w:r>
    </w:p>
    <w:p w14:paraId="7ECCD26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(5) Schimbul de informații se realizează prin mijloace securizate, cu respectarea strictă a legislației privind protecția datelor cu caracter personal și a secretului comercial.</w:t>
      </w:r>
    </w:p>
    <w:p w14:paraId="12B09D4D" w14:textId="598DC86D"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(6) Autoritățile competente pot încheia </w:t>
      </w:r>
      <w:r w:rsidR="00CE5E97" w:rsidRPr="000E5DD6">
        <w:rPr>
          <w:rFonts w:ascii="Times New Roman" w:hAnsi="Times New Roman" w:cs="Times New Roman"/>
          <w:color w:val="000000" w:themeColor="text1"/>
          <w:sz w:val="28"/>
          <w:szCs w:val="28"/>
          <w:lang w:val="ro-MD"/>
        </w:rPr>
        <w:t>acorduri</w:t>
      </w:r>
      <w:r w:rsidRPr="000E5DD6">
        <w:rPr>
          <w:rFonts w:ascii="Times New Roman" w:hAnsi="Times New Roman" w:cs="Times New Roman"/>
          <w:color w:val="000000" w:themeColor="text1"/>
          <w:sz w:val="28"/>
          <w:szCs w:val="28"/>
          <w:lang w:val="ro-MD"/>
        </w:rPr>
        <w:t xml:space="preserve"> pentru a detalia fluxurile informaționale și procedurile operative necesare aplicării eficiente a prezentei legi.</w:t>
      </w:r>
    </w:p>
    <w:p w14:paraId="1C8F4B65"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404C32EA" w14:textId="09A2CC6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3</w:t>
      </w:r>
      <w:r w:rsidR="00261DA8" w:rsidRPr="000E5DD6">
        <w:rPr>
          <w:rFonts w:ascii="Times New Roman" w:hAnsi="Times New Roman" w:cs="Times New Roman"/>
          <w:b/>
          <w:bCs/>
          <w:color w:val="000000" w:themeColor="text1"/>
          <w:sz w:val="28"/>
          <w:szCs w:val="28"/>
          <w:lang w:val="ro-MD"/>
        </w:rPr>
        <w:t>8</w:t>
      </w:r>
      <w:r w:rsidRPr="000E5DD6">
        <w:rPr>
          <w:rFonts w:ascii="Times New Roman" w:hAnsi="Times New Roman" w:cs="Times New Roman"/>
          <w:b/>
          <w:bCs/>
          <w:color w:val="000000" w:themeColor="text1"/>
          <w:sz w:val="28"/>
          <w:szCs w:val="28"/>
          <w:lang w:val="ro-MD"/>
        </w:rPr>
        <w:t>. Schimbul de informații</w:t>
      </w:r>
    </w:p>
    <w:p w14:paraId="464A10F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Schimbul de informații între autoritățile competente se realizează:</w:t>
      </w:r>
    </w:p>
    <w:p w14:paraId="2279213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prin mijloace securizate, stabilite prin acte normative subordonate;</w:t>
      </w:r>
    </w:p>
    <w:p w14:paraId="1BFC9DF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cu respectarea legislației privind protecția datelor cu caracter personal;</w:t>
      </w:r>
    </w:p>
    <w:p w14:paraId="4543E14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în conformitate cu standardele europene aplicabile în domeniul precursorilor de explozivi.</w:t>
      </w:r>
    </w:p>
    <w:p w14:paraId="5826E3A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Informațiile pot include:</w:t>
      </w:r>
    </w:p>
    <w:p w14:paraId="66F906C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detalii privind tranzacții suspecte;</w:t>
      </w:r>
    </w:p>
    <w:p w14:paraId="7A855967"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date privind dispariții sau sustrageri;</w:t>
      </w:r>
    </w:p>
    <w:p w14:paraId="68C3BA3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informații tehnice sau analitice privind precursorii de explozivi;</w:t>
      </w:r>
    </w:p>
    <w:p w14:paraId="37CB4B69"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date statistice;</w:t>
      </w:r>
    </w:p>
    <w:p w14:paraId="0D18D1E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e) alerte primite de la instituții internaționale.</w:t>
      </w:r>
    </w:p>
    <w:p w14:paraId="0C39BE86" w14:textId="458830CF"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(3) Schimbul de informații privind datele cu caracter personal se realizează doar </w:t>
      </w:r>
      <w:r w:rsidR="00261DA8" w:rsidRPr="000E5DD6">
        <w:rPr>
          <w:rFonts w:ascii="Times New Roman" w:hAnsi="Times New Roman" w:cs="Times New Roman"/>
          <w:color w:val="000000" w:themeColor="text1"/>
          <w:sz w:val="28"/>
          <w:szCs w:val="28"/>
          <w:lang w:val="ro-MD"/>
        </w:rPr>
        <w:t>în baza unui</w:t>
      </w:r>
      <w:r w:rsidRPr="000E5DD6">
        <w:rPr>
          <w:rFonts w:ascii="Times New Roman" w:hAnsi="Times New Roman" w:cs="Times New Roman"/>
          <w:color w:val="000000" w:themeColor="text1"/>
          <w:sz w:val="28"/>
          <w:szCs w:val="28"/>
          <w:lang w:val="ro-MD"/>
        </w:rPr>
        <w:t xml:space="preserve"> temei legal și în limita necesității.</w:t>
      </w:r>
    </w:p>
    <w:p w14:paraId="1E4EDD38"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52896C35" w14:textId="14C5412E"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3</w:t>
      </w:r>
      <w:r w:rsidR="00261DA8" w:rsidRPr="000E5DD6">
        <w:rPr>
          <w:rFonts w:ascii="Times New Roman" w:hAnsi="Times New Roman" w:cs="Times New Roman"/>
          <w:b/>
          <w:bCs/>
          <w:color w:val="000000" w:themeColor="text1"/>
          <w:sz w:val="28"/>
          <w:szCs w:val="28"/>
          <w:lang w:val="ro-MD"/>
        </w:rPr>
        <w:t>9</w:t>
      </w:r>
      <w:r w:rsidRPr="000E5DD6">
        <w:rPr>
          <w:rFonts w:ascii="Times New Roman" w:hAnsi="Times New Roman" w:cs="Times New Roman"/>
          <w:b/>
          <w:bCs/>
          <w:color w:val="000000" w:themeColor="text1"/>
          <w:sz w:val="28"/>
          <w:szCs w:val="28"/>
          <w:lang w:val="ro-MD"/>
        </w:rPr>
        <w:t>. Cooperarea cu Serviciul Vamal</w:t>
      </w:r>
    </w:p>
    <w:p w14:paraId="7D09164D" w14:textId="6E623C3A"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Serviciul Vamal monitorizează operațiunile de introducere pe/scoatere de pe teritoriul vamal și tranzit ale precursorilor de explozivi și transmite către Punctul Național de Contact informațiile relevante privind:</w:t>
      </w:r>
    </w:p>
    <w:p w14:paraId="60A97B2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riscuri de deturnare a substanțelor;</w:t>
      </w:r>
    </w:p>
    <w:p w14:paraId="60E5CE9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comportamente suspecte;</w:t>
      </w:r>
    </w:p>
    <w:p w14:paraId="355EF317" w14:textId="797EF49D" w:rsidR="00237F48" w:rsidRPr="00F47CFF" w:rsidRDefault="00237F48" w:rsidP="00F47CFF">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neconcordanțe între documentele declarate și mărfurile prezentate.</w:t>
      </w:r>
    </w:p>
    <w:p w14:paraId="16A08483" w14:textId="1EDFA149"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lastRenderedPageBreak/>
        <w:t xml:space="preserve">Articolul </w:t>
      </w:r>
      <w:r w:rsidR="00261DA8" w:rsidRPr="000E5DD6">
        <w:rPr>
          <w:rFonts w:ascii="Times New Roman" w:hAnsi="Times New Roman" w:cs="Times New Roman"/>
          <w:b/>
          <w:bCs/>
          <w:color w:val="000000" w:themeColor="text1"/>
          <w:sz w:val="28"/>
          <w:szCs w:val="28"/>
          <w:lang w:val="ro-MD"/>
        </w:rPr>
        <w:t>40</w:t>
      </w:r>
      <w:r w:rsidRPr="000E5DD6">
        <w:rPr>
          <w:rFonts w:ascii="Times New Roman" w:hAnsi="Times New Roman" w:cs="Times New Roman"/>
          <w:b/>
          <w:bCs/>
          <w:color w:val="000000" w:themeColor="text1"/>
          <w:sz w:val="28"/>
          <w:szCs w:val="28"/>
          <w:lang w:val="ro-MD"/>
        </w:rPr>
        <w:t>. Cooperarea cu autoritățile cu competențe în domeniul ordinii și securității statului</w:t>
      </w:r>
    </w:p>
    <w:p w14:paraId="2708503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Punctul Național de Contact transmite autorităților administrative competente din subordinea MAI informațiile care indică riscuri legate de:</w:t>
      </w:r>
    </w:p>
    <w:p w14:paraId="04F8F69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fabricarea ilicită de explozivi;</w:t>
      </w:r>
    </w:p>
    <w:p w14:paraId="5E17C3D5"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acțiuni teroriste sau pregătirea acestora;</w:t>
      </w:r>
    </w:p>
    <w:p w14:paraId="50C0B43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criminalitate organizată;</w:t>
      </w:r>
    </w:p>
    <w:p w14:paraId="0BCDB8A3"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utilizarea precursorilor în scopuri ilegale.</w:t>
      </w:r>
    </w:p>
    <w:p w14:paraId="6E30E9D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A</w:t>
      </w:r>
      <w:r w:rsidRPr="000E5DD6">
        <w:rPr>
          <w:rFonts w:ascii="Times New Roman" w:hAnsi="Times New Roman" w:cs="Times New Roman"/>
          <w:bCs/>
          <w:color w:val="000000" w:themeColor="text1"/>
          <w:sz w:val="28"/>
          <w:szCs w:val="28"/>
          <w:lang w:val="ro-MD"/>
        </w:rPr>
        <w:t xml:space="preserve">utoritățile cu competențe în domeniul ordinii și securității statului </w:t>
      </w:r>
      <w:r w:rsidRPr="000E5DD6">
        <w:rPr>
          <w:rFonts w:ascii="Times New Roman" w:hAnsi="Times New Roman" w:cs="Times New Roman"/>
          <w:color w:val="000000" w:themeColor="text1"/>
          <w:sz w:val="28"/>
          <w:szCs w:val="28"/>
          <w:lang w:val="ro-MD"/>
        </w:rPr>
        <w:t>pot utiliza aceste informații exclusiv în scopul prevenirii și investigării unor fapte ce constituie infracțiuni, cu respectarea legislației aplicabile.</w:t>
      </w:r>
    </w:p>
    <w:p w14:paraId="65884994"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387B967F" w14:textId="6EF71F92"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261DA8" w:rsidRPr="000E5DD6">
        <w:rPr>
          <w:rFonts w:ascii="Times New Roman" w:hAnsi="Times New Roman" w:cs="Times New Roman"/>
          <w:b/>
          <w:bCs/>
          <w:color w:val="000000" w:themeColor="text1"/>
          <w:sz w:val="28"/>
          <w:szCs w:val="28"/>
          <w:lang w:val="ro-MD"/>
        </w:rPr>
        <w:t>41</w:t>
      </w:r>
      <w:r w:rsidRPr="000E5DD6">
        <w:rPr>
          <w:rFonts w:ascii="Times New Roman" w:hAnsi="Times New Roman" w:cs="Times New Roman"/>
          <w:b/>
          <w:bCs/>
          <w:color w:val="000000" w:themeColor="text1"/>
          <w:sz w:val="28"/>
          <w:szCs w:val="28"/>
          <w:lang w:val="ro-MD"/>
        </w:rPr>
        <w:t>. Viabilitatea și interoperabilitatea sistemelor de raportare</w:t>
      </w:r>
    </w:p>
    <w:p w14:paraId="784956E8" w14:textId="435DDEF5"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MAI</w:t>
      </w:r>
      <w:r w:rsidR="00C00D03" w:rsidRPr="000E5DD6">
        <w:rPr>
          <w:rFonts w:ascii="Times New Roman" w:hAnsi="Times New Roman" w:cs="Times New Roman"/>
          <w:color w:val="000000" w:themeColor="text1"/>
          <w:sz w:val="28"/>
          <w:szCs w:val="28"/>
          <w:lang w:val="ro-MD"/>
        </w:rPr>
        <w:t xml:space="preserve"> prin intermediul autorităților din subordine competente,</w:t>
      </w:r>
      <w:r w:rsidRPr="000E5DD6">
        <w:rPr>
          <w:rFonts w:ascii="Times New Roman" w:hAnsi="Times New Roman" w:cs="Times New Roman"/>
          <w:color w:val="000000" w:themeColor="text1"/>
          <w:sz w:val="28"/>
          <w:szCs w:val="28"/>
          <w:lang w:val="ro-MD"/>
        </w:rPr>
        <w:t xml:space="preserve"> în colaborare cu Ministerul Mediului, Ministerul Sănătății, Ministerul Agricultu</w:t>
      </w:r>
      <w:r w:rsidR="00F47CFF">
        <w:rPr>
          <w:rFonts w:ascii="Times New Roman" w:hAnsi="Times New Roman" w:cs="Times New Roman"/>
          <w:color w:val="000000" w:themeColor="text1"/>
          <w:sz w:val="28"/>
          <w:szCs w:val="28"/>
          <w:lang w:val="ro-MD"/>
        </w:rPr>
        <w:t xml:space="preserve">rii și Industriei Alimentare, </w:t>
      </w:r>
      <w:r w:rsidRPr="000E5DD6">
        <w:rPr>
          <w:rFonts w:ascii="Times New Roman" w:hAnsi="Times New Roman" w:cs="Times New Roman"/>
          <w:color w:val="000000" w:themeColor="text1"/>
          <w:sz w:val="28"/>
          <w:szCs w:val="28"/>
          <w:lang w:val="ro-MD"/>
        </w:rPr>
        <w:t xml:space="preserve">Serviciul Vamal, </w:t>
      </w:r>
      <w:r w:rsidR="00C00D03" w:rsidRPr="000E5DD6">
        <w:rPr>
          <w:rFonts w:ascii="Times New Roman" w:hAnsi="Times New Roman" w:cs="Times New Roman"/>
          <w:color w:val="000000" w:themeColor="text1"/>
          <w:sz w:val="28"/>
          <w:szCs w:val="28"/>
          <w:lang w:val="ro-MD"/>
        </w:rPr>
        <w:t xml:space="preserve">IPM, </w:t>
      </w:r>
      <w:r w:rsidR="00060140" w:rsidRPr="000E5DD6">
        <w:rPr>
          <w:rFonts w:ascii="Times New Roman" w:hAnsi="Times New Roman" w:cs="Times New Roman"/>
          <w:color w:val="000000" w:themeColor="text1"/>
          <w:sz w:val="28"/>
          <w:szCs w:val="28"/>
          <w:lang w:val="ro-MD"/>
        </w:rPr>
        <w:t>ANSA</w:t>
      </w:r>
      <w:r w:rsidR="00F47CFF">
        <w:rPr>
          <w:rFonts w:ascii="Times New Roman" w:hAnsi="Times New Roman" w:cs="Times New Roman"/>
          <w:color w:val="000000" w:themeColor="text1"/>
          <w:sz w:val="28"/>
          <w:szCs w:val="28"/>
          <w:lang w:val="ro-MD"/>
        </w:rPr>
        <w:t>, AMDM</w:t>
      </w:r>
      <w:r w:rsidR="00060140" w:rsidRPr="000E5DD6">
        <w:rPr>
          <w:rFonts w:ascii="Times New Roman" w:hAnsi="Times New Roman" w:cs="Times New Roman"/>
          <w:color w:val="000000" w:themeColor="text1"/>
          <w:sz w:val="28"/>
          <w:szCs w:val="28"/>
          <w:lang w:val="ro-MD"/>
        </w:rPr>
        <w:t xml:space="preserve"> și ANSP </w:t>
      </w:r>
      <w:r w:rsidRPr="000E5DD6">
        <w:rPr>
          <w:rFonts w:ascii="Times New Roman" w:hAnsi="Times New Roman" w:cs="Times New Roman"/>
          <w:color w:val="000000" w:themeColor="text1"/>
          <w:sz w:val="28"/>
          <w:szCs w:val="28"/>
          <w:lang w:val="ro-MD"/>
        </w:rPr>
        <w:t>asigură interoperabilitatea platformelor de raportare, astfel încât datele să poată fi procesate rapid și eficient.</w:t>
      </w:r>
    </w:p>
    <w:p w14:paraId="3097FB24"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Sistemele de raportare trebuie să fie:</w:t>
      </w:r>
    </w:p>
    <w:p w14:paraId="518A6D78"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securizate;</w:t>
      </w:r>
    </w:p>
    <w:p w14:paraId="469662D2"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accesibile operatorilor economici;</w:t>
      </w:r>
    </w:p>
    <w:p w14:paraId="1259DE0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disponibile în regim 24/7;</w:t>
      </w:r>
    </w:p>
    <w:p w14:paraId="1CA817FA"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conforme standardelor internaționale aplicabile.</w:t>
      </w:r>
    </w:p>
    <w:p w14:paraId="77AC8C56"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Actualizarea tehnică a platformelor se efectuează periodic, în funcție de evoluțiile tehnice și legislative.</w:t>
      </w:r>
    </w:p>
    <w:p w14:paraId="18413345" w14:textId="22A40A9B" w:rsidR="00237F48" w:rsidRPr="000E5DD6" w:rsidRDefault="00237F48" w:rsidP="0097432A">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color w:val="000000" w:themeColor="text1"/>
          <w:sz w:val="28"/>
          <w:szCs w:val="28"/>
          <w:lang w:val="ro-MD"/>
        </w:rPr>
        <w:t>(4) Operatorii economici nu sunt obligați să furnizeze informații care pot fi obținute de autoritățile publice prin intermediul platformelor de interoperabilitate.</w:t>
      </w:r>
    </w:p>
    <w:p w14:paraId="11FD4DE9" w14:textId="77777777" w:rsidR="003738A4" w:rsidRPr="000E5DD6" w:rsidRDefault="003738A4" w:rsidP="00237F48">
      <w:pPr>
        <w:spacing w:after="0"/>
        <w:jc w:val="center"/>
        <w:rPr>
          <w:rFonts w:ascii="Times New Roman" w:hAnsi="Times New Roman" w:cs="Times New Roman"/>
          <w:b/>
          <w:bCs/>
          <w:color w:val="000000" w:themeColor="text1"/>
          <w:sz w:val="28"/>
          <w:szCs w:val="28"/>
          <w:lang w:val="ro-MD"/>
        </w:rPr>
      </w:pPr>
    </w:p>
    <w:p w14:paraId="1858A926" w14:textId="77777777" w:rsidR="00237F48" w:rsidRPr="000E5DD6" w:rsidRDefault="00237F48" w:rsidP="00237F48">
      <w:pPr>
        <w:spacing w:after="0"/>
        <w:jc w:val="center"/>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CAPITOLUL VI</w:t>
      </w:r>
    </w:p>
    <w:p w14:paraId="1C5DCA6F" w14:textId="77777777" w:rsidR="00237F48" w:rsidRPr="000E5DD6" w:rsidRDefault="00237F48" w:rsidP="00237F48">
      <w:pPr>
        <w:spacing w:after="0"/>
        <w:jc w:val="center"/>
        <w:rPr>
          <w:rFonts w:ascii="Times New Roman" w:hAnsi="Times New Roman" w:cs="Times New Roman"/>
          <w:color w:val="000000" w:themeColor="text1"/>
          <w:sz w:val="28"/>
          <w:szCs w:val="28"/>
          <w:lang w:val="ro-MD"/>
        </w:rPr>
      </w:pPr>
      <w:r w:rsidRPr="000E5DD6">
        <w:rPr>
          <w:rFonts w:ascii="Times New Roman" w:hAnsi="Times New Roman" w:cs="Times New Roman"/>
          <w:b/>
          <w:bCs/>
          <w:color w:val="000000" w:themeColor="text1"/>
          <w:sz w:val="28"/>
          <w:szCs w:val="28"/>
          <w:lang w:val="ro-MD"/>
        </w:rPr>
        <w:t>CONTROLUL DE STAT, INSPECȚIILE ȘI VERIFICAREA CONFORMITĂȚII</w:t>
      </w:r>
    </w:p>
    <w:p w14:paraId="552BBD92"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0A145B31" w14:textId="777A0B54"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Articolul 4</w:t>
      </w:r>
      <w:r w:rsidR="00261DA8" w:rsidRPr="000E5DD6">
        <w:rPr>
          <w:rFonts w:ascii="Times New Roman" w:hAnsi="Times New Roman" w:cs="Times New Roman"/>
          <w:b/>
          <w:bCs/>
          <w:color w:val="000000" w:themeColor="text1"/>
          <w:sz w:val="28"/>
          <w:szCs w:val="28"/>
          <w:lang w:val="ro-MD"/>
        </w:rPr>
        <w:t>2</w:t>
      </w:r>
      <w:r w:rsidRPr="000E5DD6">
        <w:rPr>
          <w:rFonts w:ascii="Times New Roman" w:hAnsi="Times New Roman" w:cs="Times New Roman"/>
          <w:b/>
          <w:bCs/>
          <w:color w:val="000000" w:themeColor="text1"/>
          <w:sz w:val="28"/>
          <w:szCs w:val="28"/>
          <w:lang w:val="ro-MD"/>
        </w:rPr>
        <w:t>. Autorit</w:t>
      </w:r>
      <w:r w:rsidR="00F25DE6" w:rsidRPr="000E5DD6">
        <w:rPr>
          <w:rFonts w:ascii="Times New Roman" w:hAnsi="Times New Roman" w:cs="Times New Roman"/>
          <w:b/>
          <w:bCs/>
          <w:color w:val="000000" w:themeColor="text1"/>
          <w:sz w:val="28"/>
          <w:szCs w:val="28"/>
          <w:lang w:val="ro-MD"/>
        </w:rPr>
        <w:t xml:space="preserve">ățile naționale de </w:t>
      </w:r>
      <w:r w:rsidR="0085673C" w:rsidRPr="000E5DD6">
        <w:rPr>
          <w:rFonts w:ascii="Times New Roman" w:hAnsi="Times New Roman" w:cs="Times New Roman"/>
          <w:b/>
          <w:bCs/>
          <w:color w:val="000000" w:themeColor="text1"/>
          <w:sz w:val="28"/>
          <w:szCs w:val="28"/>
          <w:lang w:val="ro-MD"/>
        </w:rPr>
        <w:t>control</w:t>
      </w:r>
      <w:r w:rsidR="00F25DE6" w:rsidRPr="000E5DD6">
        <w:rPr>
          <w:rFonts w:ascii="Times New Roman" w:hAnsi="Times New Roman" w:cs="Times New Roman"/>
          <w:b/>
          <w:bCs/>
          <w:color w:val="000000" w:themeColor="text1"/>
          <w:sz w:val="28"/>
          <w:szCs w:val="28"/>
          <w:lang w:val="ro-MD"/>
        </w:rPr>
        <w:t xml:space="preserve"> </w:t>
      </w:r>
    </w:p>
    <w:p w14:paraId="34EF9A58" w14:textId="50804070" w:rsidR="00F25DE6" w:rsidRPr="000E5DD6" w:rsidRDefault="009A3869" w:rsidP="000E5DD6">
      <w:pPr>
        <w:pStyle w:val="Listparagraf"/>
        <w:numPr>
          <w:ilvl w:val="0"/>
          <w:numId w:val="10"/>
        </w:numPr>
        <w:tabs>
          <w:tab w:val="left" w:pos="1134"/>
        </w:tabs>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Autori</w:t>
      </w:r>
      <w:r w:rsidR="00D763ED" w:rsidRPr="000E5DD6">
        <w:rPr>
          <w:rFonts w:ascii="Times New Roman" w:hAnsi="Times New Roman" w:cs="Times New Roman"/>
          <w:color w:val="000000" w:themeColor="text1"/>
          <w:sz w:val="28"/>
          <w:szCs w:val="28"/>
          <w:lang w:val="ro-MD"/>
        </w:rPr>
        <w:t xml:space="preserve">tățile </w:t>
      </w:r>
      <w:hyperlink r:id="rId8" w:history="1">
        <w:proofErr w:type="spellStart"/>
        <w:r w:rsidR="00D763ED" w:rsidRPr="000E5DD6">
          <w:rPr>
            <w:rStyle w:val="Hyperlink"/>
            <w:rFonts w:ascii="Times New Roman" w:hAnsi="Times New Roman" w:cs="Times New Roman"/>
            <w:color w:val="000000" w:themeColor="text1"/>
            <w:sz w:val="28"/>
            <w:szCs w:val="28"/>
            <w:u w:val="none"/>
          </w:rPr>
          <w:t>prevăzute</w:t>
        </w:r>
        <w:proofErr w:type="spellEnd"/>
        <w:r w:rsidR="00D763ED" w:rsidRPr="000E5DD6">
          <w:rPr>
            <w:rStyle w:val="Hyperlink"/>
            <w:rFonts w:ascii="Times New Roman" w:hAnsi="Times New Roman" w:cs="Times New Roman"/>
            <w:color w:val="000000" w:themeColor="text1"/>
            <w:sz w:val="28"/>
            <w:szCs w:val="28"/>
            <w:u w:val="none"/>
          </w:rPr>
          <w:t xml:space="preserve"> la art. 4 </w:t>
        </w:r>
        <w:proofErr w:type="spellStart"/>
        <w:r w:rsidR="00D763ED" w:rsidRPr="000E5DD6">
          <w:rPr>
            <w:rStyle w:val="Hyperlink"/>
            <w:rFonts w:ascii="Times New Roman" w:hAnsi="Times New Roman" w:cs="Times New Roman"/>
            <w:color w:val="000000" w:themeColor="text1"/>
            <w:sz w:val="28"/>
            <w:szCs w:val="28"/>
            <w:u w:val="none"/>
          </w:rPr>
          <w:t>alin</w:t>
        </w:r>
        <w:proofErr w:type="spellEnd"/>
        <w:r w:rsidR="00D763ED" w:rsidRPr="000E5DD6">
          <w:rPr>
            <w:rStyle w:val="Hyperlink"/>
            <w:rFonts w:ascii="Times New Roman" w:hAnsi="Times New Roman" w:cs="Times New Roman"/>
            <w:color w:val="000000" w:themeColor="text1"/>
            <w:sz w:val="28"/>
            <w:szCs w:val="28"/>
            <w:u w:val="none"/>
          </w:rPr>
          <w:t>. (</w:t>
        </w:r>
        <w:r w:rsidR="007E2EB1" w:rsidRPr="000E5DD6">
          <w:rPr>
            <w:rStyle w:val="Hyperlink"/>
            <w:rFonts w:ascii="Times New Roman" w:hAnsi="Times New Roman" w:cs="Times New Roman"/>
            <w:color w:val="000000" w:themeColor="text1"/>
            <w:sz w:val="28"/>
            <w:szCs w:val="28"/>
            <w:u w:val="none"/>
          </w:rPr>
          <w:t>1)</w:t>
        </w:r>
      </w:hyperlink>
      <w:r w:rsidR="007E2EB1" w:rsidRPr="000E5DD6">
        <w:rPr>
          <w:rFonts w:ascii="Times New Roman" w:hAnsi="Times New Roman" w:cs="Times New Roman"/>
          <w:color w:val="000000" w:themeColor="text1"/>
          <w:sz w:val="28"/>
          <w:szCs w:val="28"/>
          <w:lang w:val="ro-MD"/>
        </w:rPr>
        <w:t xml:space="preserve"> efectuează controlul de stat</w:t>
      </w:r>
      <w:r w:rsidR="006D7F1E" w:rsidRPr="000E5DD6">
        <w:rPr>
          <w:rFonts w:ascii="Times New Roman" w:hAnsi="Times New Roman" w:cs="Times New Roman"/>
          <w:color w:val="000000" w:themeColor="text1"/>
          <w:sz w:val="28"/>
          <w:szCs w:val="28"/>
          <w:lang w:val="ro-MD"/>
        </w:rPr>
        <w:t xml:space="preserve"> și supravegherea pieței</w:t>
      </w:r>
      <w:r w:rsidR="00F47CFF">
        <w:rPr>
          <w:rFonts w:ascii="Times New Roman" w:hAnsi="Times New Roman" w:cs="Times New Roman"/>
          <w:color w:val="000000" w:themeColor="text1"/>
          <w:sz w:val="28"/>
          <w:szCs w:val="28"/>
          <w:lang w:val="ro-MD"/>
        </w:rPr>
        <w:t>, iar AMDM numai controlul de stat</w:t>
      </w:r>
      <w:r w:rsidR="00F47CFF" w:rsidRPr="000E5DD6">
        <w:rPr>
          <w:rFonts w:ascii="Times New Roman" w:hAnsi="Times New Roman" w:cs="Times New Roman"/>
          <w:color w:val="000000" w:themeColor="text1"/>
          <w:sz w:val="28"/>
          <w:szCs w:val="28"/>
          <w:lang w:val="ro-MD"/>
        </w:rPr>
        <w:t xml:space="preserve"> </w:t>
      </w:r>
      <w:r w:rsidR="007E2EB1" w:rsidRPr="000E5DD6">
        <w:rPr>
          <w:rFonts w:ascii="Times New Roman" w:hAnsi="Times New Roman" w:cs="Times New Roman"/>
          <w:color w:val="000000" w:themeColor="text1"/>
          <w:sz w:val="28"/>
          <w:szCs w:val="28"/>
          <w:lang w:val="ro-MD"/>
        </w:rPr>
        <w:t xml:space="preserve">în </w:t>
      </w:r>
      <w:r w:rsidR="006D7F1E" w:rsidRPr="000E5DD6">
        <w:rPr>
          <w:rFonts w:ascii="Times New Roman" w:hAnsi="Times New Roman" w:cs="Times New Roman"/>
          <w:color w:val="000000" w:themeColor="text1"/>
          <w:sz w:val="28"/>
          <w:szCs w:val="28"/>
          <w:lang w:val="ro-MD"/>
        </w:rPr>
        <w:t>sensu</w:t>
      </w:r>
      <w:r w:rsidR="00644F4C" w:rsidRPr="000E5DD6">
        <w:rPr>
          <w:rFonts w:ascii="Times New Roman" w:hAnsi="Times New Roman" w:cs="Times New Roman"/>
          <w:color w:val="000000" w:themeColor="text1"/>
          <w:sz w:val="28"/>
          <w:szCs w:val="28"/>
          <w:lang w:val="ro-MD"/>
        </w:rPr>
        <w:t>l</w:t>
      </w:r>
      <w:r w:rsidR="007E2EB1" w:rsidRPr="000E5DD6">
        <w:rPr>
          <w:rFonts w:ascii="Times New Roman" w:hAnsi="Times New Roman" w:cs="Times New Roman"/>
          <w:color w:val="000000" w:themeColor="text1"/>
          <w:sz w:val="28"/>
          <w:szCs w:val="28"/>
          <w:lang w:val="ro-MD"/>
        </w:rPr>
        <w:t xml:space="preserve"> prezentei legi, asupra precursorilor de explozivi</w:t>
      </w:r>
      <w:r w:rsidR="00D329B7" w:rsidRPr="000E5DD6">
        <w:rPr>
          <w:rFonts w:ascii="Times New Roman" w:hAnsi="Times New Roman" w:cs="Times New Roman"/>
          <w:color w:val="000000" w:themeColor="text1"/>
          <w:sz w:val="28"/>
          <w:szCs w:val="28"/>
          <w:lang w:val="ro-MD"/>
        </w:rPr>
        <w:t xml:space="preserve"> prevăzuți la anexele nr. 1 și 2, </w:t>
      </w:r>
      <w:r w:rsidR="007E2EB1" w:rsidRPr="000E5DD6">
        <w:rPr>
          <w:rFonts w:ascii="Times New Roman" w:hAnsi="Times New Roman" w:cs="Times New Roman"/>
          <w:color w:val="000000" w:themeColor="text1"/>
          <w:sz w:val="28"/>
          <w:szCs w:val="28"/>
          <w:lang w:val="ro-MD"/>
        </w:rPr>
        <w:t>conform</w:t>
      </w:r>
      <w:r w:rsidR="00D329B7" w:rsidRPr="000E5DD6">
        <w:rPr>
          <w:rFonts w:ascii="Times New Roman" w:hAnsi="Times New Roman" w:cs="Times New Roman"/>
          <w:color w:val="000000" w:themeColor="text1"/>
          <w:sz w:val="28"/>
          <w:szCs w:val="28"/>
          <w:lang w:val="ro-MD"/>
        </w:rPr>
        <w:t xml:space="preserve"> domeniilor de competență.</w:t>
      </w:r>
    </w:p>
    <w:p w14:paraId="635C09AF" w14:textId="673CF772" w:rsidR="00EB1680" w:rsidRPr="000E5DD6" w:rsidRDefault="004B634C" w:rsidP="000E5DD6">
      <w:pPr>
        <w:pStyle w:val="Listparagraf"/>
        <w:numPr>
          <w:ilvl w:val="0"/>
          <w:numId w:val="10"/>
        </w:numPr>
        <w:tabs>
          <w:tab w:val="left" w:pos="1134"/>
        </w:tabs>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În urma controlului, autoritățile </w:t>
      </w:r>
      <w:hyperlink r:id="rId9" w:history="1">
        <w:r w:rsidRPr="000E5DD6">
          <w:rPr>
            <w:rStyle w:val="Hyperlink"/>
            <w:rFonts w:ascii="Times New Roman" w:hAnsi="Times New Roman" w:cs="Times New Roman"/>
            <w:color w:val="000000" w:themeColor="text1"/>
            <w:sz w:val="28"/>
            <w:szCs w:val="28"/>
            <w:u w:val="none"/>
            <w:lang w:val="ro-MD"/>
          </w:rPr>
          <w:t>prevăzute la art. 4 alin. (1)</w:t>
        </w:r>
      </w:hyperlink>
      <w:r w:rsidRPr="000E5DD6">
        <w:rPr>
          <w:rFonts w:ascii="Times New Roman" w:hAnsi="Times New Roman" w:cs="Times New Roman"/>
          <w:color w:val="000000" w:themeColor="text1"/>
          <w:sz w:val="28"/>
          <w:szCs w:val="28"/>
          <w:lang w:val="ro-MD"/>
        </w:rPr>
        <w:t xml:space="preserve"> pot dispune</w:t>
      </w:r>
      <w:r w:rsidR="0057154F" w:rsidRPr="000E5DD6">
        <w:rPr>
          <w:rFonts w:ascii="Times New Roman" w:hAnsi="Times New Roman" w:cs="Times New Roman"/>
          <w:color w:val="000000" w:themeColor="text1"/>
          <w:sz w:val="28"/>
          <w:szCs w:val="28"/>
          <w:lang w:val="ro-MD"/>
        </w:rPr>
        <w:t xml:space="preserve"> măsuri corespunzătoare care se consemnează</w:t>
      </w:r>
      <w:r w:rsidR="0060015C" w:rsidRPr="000E5DD6">
        <w:rPr>
          <w:rFonts w:ascii="Times New Roman" w:hAnsi="Times New Roman" w:cs="Times New Roman"/>
          <w:color w:val="000000" w:themeColor="text1"/>
          <w:sz w:val="28"/>
          <w:szCs w:val="28"/>
          <w:lang w:val="ro-MD"/>
        </w:rPr>
        <w:t xml:space="preserve"> în procesul-verbal de control.</w:t>
      </w:r>
    </w:p>
    <w:p w14:paraId="1C2DCF5E" w14:textId="0890D544" w:rsidR="0060015C" w:rsidRPr="000E5DD6" w:rsidRDefault="0060015C" w:rsidP="000E5DD6">
      <w:pPr>
        <w:pStyle w:val="Listparagraf"/>
        <w:numPr>
          <w:ilvl w:val="0"/>
          <w:numId w:val="10"/>
        </w:numPr>
        <w:tabs>
          <w:tab w:val="left" w:pos="1134"/>
        </w:tabs>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Operatorul economic poate contesta procesul-verbal în condițiile </w:t>
      </w:r>
      <w:r w:rsidR="008135F7" w:rsidRPr="000E5DD6">
        <w:rPr>
          <w:rFonts w:ascii="Times New Roman" w:hAnsi="Times New Roman" w:cs="Times New Roman"/>
          <w:color w:val="000000" w:themeColor="text1"/>
          <w:sz w:val="28"/>
          <w:szCs w:val="28"/>
          <w:lang w:val="ro-MD"/>
        </w:rPr>
        <w:t>Codului administrativ.</w:t>
      </w:r>
    </w:p>
    <w:p w14:paraId="2A1DAAA4" w14:textId="77777777" w:rsidR="00237F48" w:rsidRPr="000E5DD6" w:rsidRDefault="00237F48" w:rsidP="000E5DD6">
      <w:pPr>
        <w:spacing w:after="0"/>
        <w:jc w:val="both"/>
        <w:rPr>
          <w:rFonts w:ascii="Times New Roman" w:hAnsi="Times New Roman" w:cs="Times New Roman"/>
          <w:b/>
          <w:bCs/>
          <w:color w:val="000000" w:themeColor="text1"/>
          <w:sz w:val="28"/>
          <w:szCs w:val="28"/>
          <w:lang w:val="ro-MD"/>
        </w:rPr>
      </w:pPr>
    </w:p>
    <w:p w14:paraId="4F281677" w14:textId="3E9B786A"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lastRenderedPageBreak/>
        <w:t>Articolul 4</w:t>
      </w:r>
      <w:r w:rsidR="003738A4" w:rsidRPr="000E5DD6">
        <w:rPr>
          <w:rFonts w:ascii="Times New Roman" w:hAnsi="Times New Roman" w:cs="Times New Roman"/>
          <w:b/>
          <w:bCs/>
          <w:color w:val="000000" w:themeColor="text1"/>
          <w:sz w:val="28"/>
          <w:szCs w:val="28"/>
          <w:lang w:val="ro-MD"/>
        </w:rPr>
        <w:t>3</w:t>
      </w:r>
      <w:r w:rsidRPr="000E5DD6">
        <w:rPr>
          <w:rFonts w:ascii="Times New Roman" w:hAnsi="Times New Roman" w:cs="Times New Roman"/>
          <w:b/>
          <w:bCs/>
          <w:color w:val="000000" w:themeColor="text1"/>
          <w:sz w:val="28"/>
          <w:szCs w:val="28"/>
          <w:lang w:val="ro-MD"/>
        </w:rPr>
        <w:t>. Inspecțiile și verificările asupra precursorilor în tranzit</w:t>
      </w:r>
    </w:p>
    <w:p w14:paraId="4FF2B89C"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Regimul precursorilor aflați în tranzit prin Republica Moldova se supune prevederilor dispozițiilor finale și tranzitorii.</w:t>
      </w:r>
    </w:p>
    <w:p w14:paraId="2DA1094C" w14:textId="1109A07C"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Până la intrarea în vigoare a regimului complet aplicabil tranzitului, IPM, Serviciul Vamal</w:t>
      </w:r>
      <w:r w:rsidR="00911FF0" w:rsidRPr="000E5DD6">
        <w:rPr>
          <w:rFonts w:ascii="Times New Roman" w:hAnsi="Times New Roman" w:cs="Times New Roman"/>
          <w:color w:val="000000" w:themeColor="text1"/>
          <w:sz w:val="28"/>
          <w:szCs w:val="28"/>
          <w:lang w:val="ro-MD"/>
        </w:rPr>
        <w:t>, ANSP</w:t>
      </w:r>
      <w:r w:rsidR="00B60F29">
        <w:rPr>
          <w:rFonts w:ascii="Times New Roman" w:hAnsi="Times New Roman" w:cs="Times New Roman"/>
          <w:color w:val="000000" w:themeColor="text1"/>
          <w:sz w:val="28"/>
          <w:szCs w:val="28"/>
          <w:lang w:val="ro-MD"/>
        </w:rPr>
        <w:t>, AMDM</w:t>
      </w:r>
      <w:r w:rsidRPr="000E5DD6">
        <w:rPr>
          <w:rFonts w:ascii="Times New Roman" w:hAnsi="Times New Roman" w:cs="Times New Roman"/>
          <w:color w:val="000000" w:themeColor="text1"/>
          <w:sz w:val="28"/>
          <w:szCs w:val="28"/>
          <w:lang w:val="ro-MD"/>
        </w:rPr>
        <w:t xml:space="preserve"> și ANSA exercită atribuțiile prevăzute de legislația vamală, de protecția mediului și, după caz, de legislația în domeniul siguranței și conformității produselor utilizate în agricultură</w:t>
      </w:r>
      <w:r w:rsidR="00B60F29">
        <w:rPr>
          <w:rFonts w:ascii="Times New Roman" w:hAnsi="Times New Roman" w:cs="Times New Roman"/>
          <w:color w:val="000000" w:themeColor="text1"/>
          <w:sz w:val="28"/>
          <w:szCs w:val="28"/>
          <w:lang w:val="ro-MD"/>
        </w:rPr>
        <w:t xml:space="preserve"> și medicină</w:t>
      </w:r>
      <w:r w:rsidRPr="000E5DD6">
        <w:rPr>
          <w:rFonts w:ascii="Times New Roman" w:hAnsi="Times New Roman" w:cs="Times New Roman"/>
          <w:color w:val="000000" w:themeColor="text1"/>
          <w:sz w:val="28"/>
          <w:szCs w:val="28"/>
          <w:lang w:val="ro-MD"/>
        </w:rPr>
        <w:t>.</w:t>
      </w:r>
    </w:p>
    <w:p w14:paraId="15EE6D2C"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76DEEC2D" w14:textId="7F246498"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186F37" w:rsidRPr="000E5DD6">
        <w:rPr>
          <w:rFonts w:ascii="Times New Roman" w:hAnsi="Times New Roman" w:cs="Times New Roman"/>
          <w:b/>
          <w:bCs/>
          <w:color w:val="000000" w:themeColor="text1"/>
          <w:sz w:val="28"/>
          <w:szCs w:val="28"/>
          <w:lang w:val="ro-MD"/>
        </w:rPr>
        <w:t>4</w:t>
      </w:r>
      <w:r w:rsidR="003738A4" w:rsidRPr="000E5DD6">
        <w:rPr>
          <w:rFonts w:ascii="Times New Roman" w:hAnsi="Times New Roman" w:cs="Times New Roman"/>
          <w:b/>
          <w:bCs/>
          <w:color w:val="000000" w:themeColor="text1"/>
          <w:sz w:val="28"/>
          <w:szCs w:val="28"/>
          <w:lang w:val="ro-MD"/>
        </w:rPr>
        <w:t>4</w:t>
      </w:r>
      <w:r w:rsidRPr="000E5DD6">
        <w:rPr>
          <w:rFonts w:ascii="Times New Roman" w:hAnsi="Times New Roman" w:cs="Times New Roman"/>
          <w:b/>
          <w:bCs/>
          <w:color w:val="000000" w:themeColor="text1"/>
          <w:sz w:val="28"/>
          <w:szCs w:val="28"/>
          <w:lang w:val="ro-MD"/>
        </w:rPr>
        <w:t>. Cooperarea în materie de control</w:t>
      </w:r>
    </w:p>
    <w:p w14:paraId="61176737" w14:textId="10C295F4"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Autoritățile competente cooperează între ele pentru:</w:t>
      </w:r>
    </w:p>
    <w:p w14:paraId="59DFA656" w14:textId="6E44FE61"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schimbul de informații privind rezultatele controalelor;</w:t>
      </w:r>
    </w:p>
    <w:p w14:paraId="73FD06A8" w14:textId="0FC43833"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b) coordonarea acțiunilor pentru cazurile cu risc ridicat;</w:t>
      </w:r>
    </w:p>
    <w:p w14:paraId="4CF55DEE" w14:textId="7BE353CD"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c) participarea la controale comune, atunci când este necesar;</w:t>
      </w:r>
    </w:p>
    <w:p w14:paraId="7C2159E2" w14:textId="7CC2D11C"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d) consolidarea capacităților de control și analiză.</w:t>
      </w:r>
    </w:p>
    <w:p w14:paraId="6DB4951C" w14:textId="7EC8A199"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43C947E9" w14:textId="46D72D15"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186F37" w:rsidRPr="000E5DD6">
        <w:rPr>
          <w:rFonts w:ascii="Times New Roman" w:hAnsi="Times New Roman" w:cs="Times New Roman"/>
          <w:b/>
          <w:bCs/>
          <w:color w:val="000000" w:themeColor="text1"/>
          <w:sz w:val="28"/>
          <w:szCs w:val="28"/>
          <w:lang w:val="ro-MD"/>
        </w:rPr>
        <w:t>4</w:t>
      </w:r>
      <w:r w:rsidR="003738A4" w:rsidRPr="000E5DD6">
        <w:rPr>
          <w:rFonts w:ascii="Times New Roman" w:hAnsi="Times New Roman" w:cs="Times New Roman"/>
          <w:b/>
          <w:bCs/>
          <w:color w:val="000000" w:themeColor="text1"/>
          <w:sz w:val="28"/>
          <w:szCs w:val="28"/>
          <w:lang w:val="ro-MD"/>
        </w:rPr>
        <w:t>5</w:t>
      </w:r>
      <w:r w:rsidRPr="000E5DD6">
        <w:rPr>
          <w:rFonts w:ascii="Times New Roman" w:hAnsi="Times New Roman" w:cs="Times New Roman"/>
          <w:b/>
          <w:bCs/>
          <w:color w:val="000000" w:themeColor="text1"/>
          <w:sz w:val="28"/>
          <w:szCs w:val="28"/>
          <w:lang w:val="ro-MD"/>
        </w:rPr>
        <w:t>. Confidențialitatea și protecția informațiilor</w:t>
      </w:r>
    </w:p>
    <w:p w14:paraId="1BD88F7C" w14:textId="7F40D4F2"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Informațiile colectate în cadrul controalelor pot fi utilizate exclusiv în scopurile prevăzute de prezenta lege.</w:t>
      </w:r>
    </w:p>
    <w:p w14:paraId="5E0559B8" w14:textId="2F7DE7E1"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(2) Datele cu caracter personal sunt prelucrate cu respectarea legislației </w:t>
      </w:r>
      <w:r w:rsidR="00DE09BB" w:rsidRPr="000E5DD6">
        <w:rPr>
          <w:rFonts w:ascii="Times New Roman" w:hAnsi="Times New Roman" w:cs="Times New Roman"/>
          <w:color w:val="000000" w:themeColor="text1"/>
          <w:sz w:val="28"/>
          <w:szCs w:val="28"/>
          <w:lang w:val="ro-MD"/>
        </w:rPr>
        <w:t>privind protecția datelor cu caracter personal.</w:t>
      </w:r>
    </w:p>
    <w:p w14:paraId="0E4FC13D" w14:textId="794CBEB4"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(3) Inspectorii și autoritățile implicate au obligația de a păstra confidențialitatea informațiilor obținute în cadrul controalelor, cu excepția cazurilor în care acestea sunt solicitate de organele de urmărire penală sau alte autorități competente, conform legii.</w:t>
      </w:r>
    </w:p>
    <w:p w14:paraId="24B4E906"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p>
    <w:p w14:paraId="4B5C56EF" w14:textId="5B5BC323"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DE09BB" w:rsidRPr="000E5DD6">
        <w:rPr>
          <w:rFonts w:ascii="Times New Roman" w:hAnsi="Times New Roman" w:cs="Times New Roman"/>
          <w:b/>
          <w:bCs/>
          <w:color w:val="000000" w:themeColor="text1"/>
          <w:sz w:val="28"/>
          <w:szCs w:val="28"/>
          <w:lang w:val="ro-MD"/>
        </w:rPr>
        <w:t>4</w:t>
      </w:r>
      <w:r w:rsidR="003738A4" w:rsidRPr="000E5DD6">
        <w:rPr>
          <w:rFonts w:ascii="Times New Roman" w:hAnsi="Times New Roman" w:cs="Times New Roman"/>
          <w:b/>
          <w:bCs/>
          <w:color w:val="000000" w:themeColor="text1"/>
          <w:sz w:val="28"/>
          <w:szCs w:val="28"/>
          <w:lang w:val="ro-MD"/>
        </w:rPr>
        <w:t>6</w:t>
      </w:r>
      <w:r w:rsidRPr="000E5DD6">
        <w:rPr>
          <w:rFonts w:ascii="Times New Roman" w:hAnsi="Times New Roman" w:cs="Times New Roman"/>
          <w:b/>
          <w:bCs/>
          <w:color w:val="000000" w:themeColor="text1"/>
          <w:sz w:val="28"/>
          <w:szCs w:val="28"/>
          <w:lang w:val="ro-MD"/>
        </w:rPr>
        <w:t>. Raportarea cazurilor cu indicii infracționale către organele competente</w:t>
      </w:r>
    </w:p>
    <w:p w14:paraId="307FDACE" w14:textId="77777777" w:rsidR="00237F48" w:rsidRPr="000E5DD6" w:rsidRDefault="00237F48"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(1) În cazul în care, în exercitarea atribuțiilor sale, autoritatea competentă constată indicii că o faptă întrunește elementele unei infracțiuni, aceasta transmite neîntârziat materialele și informațiile relevante organelor de urmărire penală sau Procuraturii, conform competenței.</w:t>
      </w:r>
    </w:p>
    <w:p w14:paraId="33F9CB5B" w14:textId="77777777" w:rsidR="00237F48" w:rsidRPr="000E5DD6" w:rsidRDefault="00237F48" w:rsidP="00237F48">
      <w:pPr>
        <w:spacing w:after="0"/>
        <w:ind w:firstLine="567"/>
        <w:jc w:val="both"/>
        <w:rPr>
          <w:rFonts w:ascii="Times New Roman" w:hAnsi="Times New Roman" w:cs="Times New Roman"/>
          <w:bCs/>
          <w:color w:val="000000" w:themeColor="text1"/>
          <w:sz w:val="28"/>
          <w:szCs w:val="28"/>
          <w:lang w:val="ro-MD"/>
        </w:rPr>
      </w:pPr>
      <w:r w:rsidRPr="000E5DD6">
        <w:rPr>
          <w:rFonts w:ascii="Times New Roman" w:hAnsi="Times New Roman" w:cs="Times New Roman"/>
          <w:bCs/>
          <w:color w:val="000000" w:themeColor="text1"/>
          <w:sz w:val="28"/>
          <w:szCs w:val="28"/>
          <w:lang w:val="ro-MD"/>
        </w:rPr>
        <w:t>(2) Transmiterea materialelor se realizează împreună cu toate documentele, probele, constatările tehnice și circumstanțele relevante.</w:t>
      </w:r>
    </w:p>
    <w:p w14:paraId="3F620439" w14:textId="77777777" w:rsidR="00237F48" w:rsidRPr="000E5DD6" w:rsidRDefault="00237F48" w:rsidP="00237F48">
      <w:pPr>
        <w:spacing w:after="0"/>
        <w:jc w:val="both"/>
        <w:rPr>
          <w:rFonts w:ascii="Times New Roman" w:hAnsi="Times New Roman" w:cs="Times New Roman"/>
          <w:b/>
          <w:bCs/>
          <w:color w:val="000000" w:themeColor="text1"/>
          <w:sz w:val="28"/>
          <w:szCs w:val="28"/>
          <w:lang w:val="ro-MD"/>
        </w:rPr>
      </w:pPr>
    </w:p>
    <w:p w14:paraId="2E48D8B3" w14:textId="40ECBBE7" w:rsidR="00237F48" w:rsidRPr="000E5DD6" w:rsidRDefault="00237F48" w:rsidP="00237F48">
      <w:pPr>
        <w:spacing w:after="0"/>
        <w:jc w:val="center"/>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CAPITOLUL </w:t>
      </w:r>
      <w:r w:rsidR="00DE09BB" w:rsidRPr="000E5DD6">
        <w:rPr>
          <w:rFonts w:ascii="Times New Roman" w:hAnsi="Times New Roman" w:cs="Times New Roman"/>
          <w:b/>
          <w:bCs/>
          <w:color w:val="000000" w:themeColor="text1"/>
          <w:sz w:val="28"/>
          <w:szCs w:val="28"/>
          <w:lang w:val="ro-MD"/>
        </w:rPr>
        <w:t>VII</w:t>
      </w:r>
    </w:p>
    <w:p w14:paraId="3BAE0446" w14:textId="77777777" w:rsidR="00237F48" w:rsidRPr="000E5DD6" w:rsidRDefault="00237F48" w:rsidP="00237F48">
      <w:pPr>
        <w:spacing w:after="0"/>
        <w:jc w:val="center"/>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DISPOZIȚII FINALE ȘI TRANZITORII</w:t>
      </w:r>
    </w:p>
    <w:p w14:paraId="1DE6C294" w14:textId="77777777" w:rsidR="00237F48" w:rsidRPr="000E5DD6" w:rsidRDefault="00237F48" w:rsidP="00237F48">
      <w:pPr>
        <w:spacing w:after="0"/>
        <w:jc w:val="center"/>
        <w:rPr>
          <w:rFonts w:ascii="Times New Roman" w:hAnsi="Times New Roman" w:cs="Times New Roman"/>
          <w:color w:val="000000" w:themeColor="text1"/>
          <w:sz w:val="28"/>
          <w:szCs w:val="28"/>
          <w:lang w:val="ro-MD"/>
        </w:rPr>
      </w:pPr>
    </w:p>
    <w:p w14:paraId="38C376BE" w14:textId="1BE5571B" w:rsidR="00237F48" w:rsidRPr="000E5DD6" w:rsidRDefault="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2D23A6" w:rsidRPr="000E5DD6">
        <w:rPr>
          <w:rFonts w:ascii="Times New Roman" w:hAnsi="Times New Roman" w:cs="Times New Roman"/>
          <w:b/>
          <w:bCs/>
          <w:color w:val="000000" w:themeColor="text1"/>
          <w:sz w:val="28"/>
          <w:szCs w:val="28"/>
          <w:lang w:val="ro-MD"/>
        </w:rPr>
        <w:t>4</w:t>
      </w:r>
      <w:r w:rsidR="003738A4" w:rsidRPr="000E5DD6">
        <w:rPr>
          <w:rFonts w:ascii="Times New Roman" w:hAnsi="Times New Roman" w:cs="Times New Roman"/>
          <w:b/>
          <w:bCs/>
          <w:color w:val="000000" w:themeColor="text1"/>
          <w:sz w:val="28"/>
          <w:szCs w:val="28"/>
          <w:lang w:val="ro-MD"/>
        </w:rPr>
        <w:t>7</w:t>
      </w:r>
      <w:r w:rsidRPr="000E5DD6">
        <w:rPr>
          <w:rFonts w:ascii="Times New Roman" w:hAnsi="Times New Roman" w:cs="Times New Roman"/>
          <w:b/>
          <w:bCs/>
          <w:color w:val="000000" w:themeColor="text1"/>
          <w:sz w:val="28"/>
          <w:szCs w:val="28"/>
          <w:lang w:val="ro-MD"/>
        </w:rPr>
        <w:t>. Dispoziții finale</w:t>
      </w:r>
    </w:p>
    <w:p w14:paraId="3DAF1BBC" w14:textId="77777777" w:rsidR="00237F48" w:rsidRPr="000E5DD6" w:rsidRDefault="00237F48" w:rsidP="0097432A">
      <w:pPr>
        <w:pStyle w:val="Listparagraf"/>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(1) Prezenta lege intră în vigoare peste 12 </w:t>
      </w:r>
      <w:r w:rsidRPr="000E5DD6">
        <w:rPr>
          <w:rFonts w:ascii="Times New Roman" w:hAnsi="Times New Roman" w:cs="Times New Roman"/>
          <w:b/>
          <w:bCs/>
          <w:color w:val="000000" w:themeColor="text1"/>
          <w:sz w:val="28"/>
          <w:szCs w:val="28"/>
          <w:lang w:val="ro-MD"/>
        </w:rPr>
        <w:t>luni</w:t>
      </w:r>
      <w:r w:rsidRPr="000E5DD6">
        <w:rPr>
          <w:rFonts w:ascii="Times New Roman" w:hAnsi="Times New Roman" w:cs="Times New Roman"/>
          <w:color w:val="000000" w:themeColor="text1"/>
          <w:sz w:val="28"/>
          <w:szCs w:val="28"/>
          <w:lang w:val="ro-MD"/>
        </w:rPr>
        <w:t xml:space="preserve"> de la data publicării în Monitorul Oficial al Republicii Moldova.</w:t>
      </w:r>
    </w:p>
    <w:p w14:paraId="01C7C46E" w14:textId="77777777" w:rsidR="00237F48" w:rsidRPr="000E5DD6" w:rsidRDefault="00237F48" w:rsidP="0097432A">
      <w:pPr>
        <w:pStyle w:val="Listparagraf"/>
        <w:numPr>
          <w:ilvl w:val="0"/>
          <w:numId w:val="2"/>
        </w:numPr>
        <w:tabs>
          <w:tab w:val="left" w:pos="993"/>
        </w:tabs>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În termen de </w:t>
      </w:r>
      <w:r w:rsidRPr="000E5DD6">
        <w:rPr>
          <w:rFonts w:ascii="Times New Roman" w:hAnsi="Times New Roman" w:cs="Times New Roman"/>
          <w:b/>
          <w:bCs/>
          <w:color w:val="000000" w:themeColor="text1"/>
          <w:sz w:val="28"/>
          <w:szCs w:val="28"/>
          <w:lang w:val="ro-MD"/>
        </w:rPr>
        <w:t>6 luni</w:t>
      </w:r>
      <w:r w:rsidRPr="000E5DD6">
        <w:rPr>
          <w:rFonts w:ascii="Times New Roman" w:hAnsi="Times New Roman" w:cs="Times New Roman"/>
          <w:color w:val="000000" w:themeColor="text1"/>
          <w:sz w:val="28"/>
          <w:szCs w:val="28"/>
          <w:lang w:val="ro-MD"/>
        </w:rPr>
        <w:t xml:space="preserve"> de la data publicării prezentei legi în Monitorul Oficial al Republicii Moldova, Guvernul:</w:t>
      </w:r>
    </w:p>
    <w:p w14:paraId="551B8499" w14:textId="484B7A6E" w:rsidR="00237F48" w:rsidRPr="000E5DD6" w:rsidRDefault="00387A93" w:rsidP="000E5DD6">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lastRenderedPageBreak/>
        <w:t>1)</w:t>
      </w:r>
      <w:r w:rsidR="005B6A23" w:rsidRPr="000E5DD6">
        <w:rPr>
          <w:rFonts w:ascii="Times New Roman" w:hAnsi="Times New Roman" w:cs="Times New Roman"/>
          <w:color w:val="000000" w:themeColor="text1"/>
          <w:sz w:val="28"/>
          <w:szCs w:val="28"/>
          <w:lang w:val="ro-MD"/>
        </w:rPr>
        <w:t xml:space="preserve"> </w:t>
      </w:r>
      <w:r w:rsidR="0021183B" w:rsidRPr="000E5DD6">
        <w:rPr>
          <w:rFonts w:ascii="Times New Roman" w:hAnsi="Times New Roman" w:cs="Times New Roman"/>
          <w:color w:val="000000" w:themeColor="text1"/>
          <w:sz w:val="28"/>
          <w:szCs w:val="28"/>
          <w:lang w:val="ro-MD"/>
        </w:rPr>
        <w:t xml:space="preserve">la propunerea </w:t>
      </w:r>
      <w:r w:rsidR="00237F48" w:rsidRPr="000E5DD6">
        <w:rPr>
          <w:rFonts w:ascii="Times New Roman" w:hAnsi="Times New Roman" w:cs="Times New Roman"/>
          <w:color w:val="000000" w:themeColor="text1"/>
          <w:sz w:val="28"/>
          <w:szCs w:val="28"/>
          <w:lang w:val="ro-MD"/>
        </w:rPr>
        <w:t>Ministerului Afacerilor Interne va:</w:t>
      </w:r>
    </w:p>
    <w:p w14:paraId="1BBAB701" w14:textId="77777777" w:rsidR="00237F48" w:rsidRPr="000E5DD6" w:rsidRDefault="00237F48" w:rsidP="0097432A">
      <w:pPr>
        <w:pStyle w:val="Listparagraf"/>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a) aproba procedura de raportare a tranzacțiilor suspecte, disparițiilor și sustragerilor;</w:t>
      </w:r>
    </w:p>
    <w:p w14:paraId="650B5789" w14:textId="4CC50ED1" w:rsidR="00237F48" w:rsidRPr="000E5DD6" w:rsidRDefault="00237F48" w:rsidP="0097432A">
      <w:pPr>
        <w:pStyle w:val="Listparagraf"/>
        <w:spacing w:after="0"/>
        <w:ind w:left="0"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color w:val="000000" w:themeColor="text1"/>
          <w:sz w:val="28"/>
          <w:szCs w:val="28"/>
          <w:lang w:val="ro-MD"/>
        </w:rPr>
        <w:t>b) stabili modul de organizare și funcționare a Punctului Național de Contact</w:t>
      </w:r>
      <w:r w:rsidR="00DE09BB" w:rsidRPr="000E5DD6">
        <w:rPr>
          <w:rFonts w:ascii="Times New Roman" w:hAnsi="Times New Roman" w:cs="Times New Roman"/>
          <w:bCs/>
          <w:color w:val="000000" w:themeColor="text1"/>
          <w:sz w:val="28"/>
          <w:szCs w:val="28"/>
          <w:lang w:val="ro-MD"/>
        </w:rPr>
        <w:t>;</w:t>
      </w:r>
    </w:p>
    <w:p w14:paraId="5F3AB60F" w14:textId="07AEBB78" w:rsidR="00DE09BB" w:rsidRPr="000E5DD6" w:rsidRDefault="00DE09BB" w:rsidP="0097432A">
      <w:pPr>
        <w:pStyle w:val="Listparagraf"/>
        <w:spacing w:after="0"/>
        <w:ind w:left="0" w:firstLine="567"/>
        <w:jc w:val="both"/>
        <w:rPr>
          <w:rFonts w:ascii="Times New Roman" w:hAnsi="Times New Roman" w:cs="Times New Roman"/>
          <w:b/>
          <w:bCs/>
          <w:color w:val="000000" w:themeColor="text1"/>
          <w:sz w:val="28"/>
          <w:szCs w:val="28"/>
          <w:lang w:val="fr-FR"/>
        </w:rPr>
      </w:pPr>
      <w:r w:rsidRPr="000E5DD6">
        <w:rPr>
          <w:rFonts w:ascii="Times New Roman" w:hAnsi="Times New Roman" w:cs="Times New Roman"/>
          <w:color w:val="000000" w:themeColor="text1"/>
          <w:sz w:val="28"/>
          <w:szCs w:val="28"/>
          <w:lang w:val="ro-MD"/>
        </w:rPr>
        <w:t>c) aproba</w:t>
      </w:r>
      <w:r w:rsidRPr="000E5DD6">
        <w:rPr>
          <w:rFonts w:ascii="Times New Roman" w:hAnsi="Times New Roman" w:cs="Times New Roman"/>
          <w:b/>
          <w:bCs/>
          <w:color w:val="000000" w:themeColor="text1"/>
          <w:sz w:val="28"/>
          <w:szCs w:val="28"/>
          <w:lang w:val="ro-MD"/>
        </w:rPr>
        <w:t xml:space="preserve"> </w:t>
      </w:r>
      <w:proofErr w:type="spellStart"/>
      <w:r w:rsidRPr="000E5DD6">
        <w:rPr>
          <w:rFonts w:ascii="Times New Roman" w:hAnsi="Times New Roman" w:cs="Times New Roman"/>
          <w:color w:val="000000" w:themeColor="text1"/>
          <w:sz w:val="28"/>
          <w:szCs w:val="28"/>
          <w:lang w:val="fr-FR"/>
        </w:rPr>
        <w:t>Conceptul</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sistemului</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informațional</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și</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Regulamentul</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cu</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privire</w:t>
      </w:r>
      <w:proofErr w:type="spellEnd"/>
      <w:r w:rsidRPr="000E5DD6">
        <w:rPr>
          <w:rFonts w:ascii="Times New Roman" w:hAnsi="Times New Roman" w:cs="Times New Roman"/>
          <w:color w:val="000000" w:themeColor="text1"/>
          <w:sz w:val="28"/>
          <w:szCs w:val="28"/>
          <w:lang w:val="fr-FR"/>
        </w:rPr>
        <w:t xml:space="preserve"> la </w:t>
      </w:r>
      <w:proofErr w:type="spellStart"/>
      <w:r w:rsidRPr="000E5DD6">
        <w:rPr>
          <w:rFonts w:ascii="Times New Roman" w:hAnsi="Times New Roman" w:cs="Times New Roman"/>
          <w:color w:val="000000" w:themeColor="text1"/>
          <w:sz w:val="28"/>
          <w:szCs w:val="28"/>
          <w:lang w:val="fr-FR"/>
        </w:rPr>
        <w:t>modul</w:t>
      </w:r>
      <w:proofErr w:type="spellEnd"/>
      <w:r w:rsidRPr="000E5DD6">
        <w:rPr>
          <w:rFonts w:ascii="Times New Roman" w:hAnsi="Times New Roman" w:cs="Times New Roman"/>
          <w:color w:val="000000" w:themeColor="text1"/>
          <w:sz w:val="28"/>
          <w:szCs w:val="28"/>
          <w:lang w:val="fr-FR"/>
        </w:rPr>
        <w:t xml:space="preserve"> de </w:t>
      </w:r>
      <w:proofErr w:type="spellStart"/>
      <w:r w:rsidRPr="000E5DD6">
        <w:rPr>
          <w:rFonts w:ascii="Times New Roman" w:hAnsi="Times New Roman" w:cs="Times New Roman"/>
          <w:color w:val="000000" w:themeColor="text1"/>
          <w:sz w:val="28"/>
          <w:szCs w:val="28"/>
          <w:lang w:val="fr-FR"/>
        </w:rPr>
        <w:t>deținere</w:t>
      </w:r>
      <w:proofErr w:type="spellEnd"/>
      <w:r w:rsidRPr="000E5DD6">
        <w:rPr>
          <w:rFonts w:ascii="Times New Roman" w:hAnsi="Times New Roman" w:cs="Times New Roman"/>
          <w:color w:val="000000" w:themeColor="text1"/>
          <w:sz w:val="28"/>
          <w:szCs w:val="28"/>
          <w:lang w:val="fr-FR"/>
        </w:rPr>
        <w:t xml:space="preserve"> a </w:t>
      </w:r>
      <w:proofErr w:type="spellStart"/>
      <w:r w:rsidRPr="000E5DD6">
        <w:rPr>
          <w:rFonts w:ascii="Times New Roman" w:hAnsi="Times New Roman" w:cs="Times New Roman"/>
          <w:color w:val="000000" w:themeColor="text1"/>
          <w:sz w:val="28"/>
          <w:szCs w:val="28"/>
          <w:lang w:val="fr-FR"/>
        </w:rPr>
        <w:t>Registrului</w:t>
      </w:r>
      <w:proofErr w:type="spellEnd"/>
      <w:r w:rsidRPr="000E5DD6">
        <w:rPr>
          <w:rFonts w:ascii="Times New Roman" w:hAnsi="Times New Roman" w:cs="Times New Roman"/>
          <w:color w:val="000000" w:themeColor="text1"/>
          <w:sz w:val="28"/>
          <w:szCs w:val="28"/>
          <w:lang w:val="fr-FR"/>
        </w:rPr>
        <w:t xml:space="preserve"> de stat al </w:t>
      </w:r>
      <w:proofErr w:type="spellStart"/>
      <w:r w:rsidRPr="000E5DD6">
        <w:rPr>
          <w:rFonts w:ascii="Times New Roman" w:hAnsi="Times New Roman" w:cs="Times New Roman"/>
          <w:color w:val="000000" w:themeColor="text1"/>
          <w:sz w:val="28"/>
          <w:szCs w:val="28"/>
          <w:lang w:val="fr-FR"/>
        </w:rPr>
        <w:t>operațiunilor</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cu</w:t>
      </w:r>
      <w:proofErr w:type="spellEnd"/>
      <w:r w:rsidRPr="000E5DD6">
        <w:rPr>
          <w:rFonts w:ascii="Times New Roman" w:hAnsi="Times New Roman" w:cs="Times New Roman"/>
          <w:color w:val="000000" w:themeColor="text1"/>
          <w:sz w:val="28"/>
          <w:szCs w:val="28"/>
          <w:lang w:val="fr-FR"/>
        </w:rPr>
        <w:t xml:space="preserve"> </w:t>
      </w:r>
      <w:proofErr w:type="spellStart"/>
      <w:r w:rsidRPr="000E5DD6">
        <w:rPr>
          <w:rFonts w:ascii="Times New Roman" w:hAnsi="Times New Roman" w:cs="Times New Roman"/>
          <w:color w:val="000000" w:themeColor="text1"/>
          <w:sz w:val="28"/>
          <w:szCs w:val="28"/>
          <w:lang w:val="fr-FR"/>
        </w:rPr>
        <w:t>precursori</w:t>
      </w:r>
      <w:proofErr w:type="spellEnd"/>
      <w:r w:rsidRPr="000E5DD6">
        <w:rPr>
          <w:rFonts w:ascii="Times New Roman" w:hAnsi="Times New Roman" w:cs="Times New Roman"/>
          <w:color w:val="000000" w:themeColor="text1"/>
          <w:sz w:val="28"/>
          <w:szCs w:val="28"/>
          <w:lang w:val="fr-FR"/>
        </w:rPr>
        <w:t xml:space="preserve"> de </w:t>
      </w:r>
      <w:proofErr w:type="spellStart"/>
      <w:r w:rsidRPr="000E5DD6">
        <w:rPr>
          <w:rFonts w:ascii="Times New Roman" w:hAnsi="Times New Roman" w:cs="Times New Roman"/>
          <w:color w:val="000000" w:themeColor="text1"/>
          <w:sz w:val="28"/>
          <w:szCs w:val="28"/>
          <w:lang w:val="fr-FR"/>
        </w:rPr>
        <w:t>explozivi</w:t>
      </w:r>
      <w:proofErr w:type="spellEnd"/>
      <w:r w:rsidR="004C56EB" w:rsidRPr="000E5DD6">
        <w:rPr>
          <w:rFonts w:ascii="Times New Roman" w:hAnsi="Times New Roman" w:cs="Times New Roman"/>
          <w:color w:val="000000" w:themeColor="text1"/>
          <w:sz w:val="28"/>
          <w:szCs w:val="28"/>
          <w:lang w:val="fr-FR"/>
        </w:rPr>
        <w:t>;</w:t>
      </w:r>
    </w:p>
    <w:p w14:paraId="7F2A091E" w14:textId="12A49CB7" w:rsidR="00237F48" w:rsidRPr="000E5DD6" w:rsidRDefault="00387A93" w:rsidP="0097432A">
      <w:pPr>
        <w:pStyle w:val="Listparagraf"/>
        <w:spacing w:after="0"/>
        <w:ind w:left="0"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w:t>
      </w:r>
      <w:r w:rsidR="00237F48" w:rsidRPr="000E5DD6">
        <w:rPr>
          <w:rFonts w:ascii="Times New Roman" w:hAnsi="Times New Roman" w:cs="Times New Roman"/>
          <w:color w:val="000000" w:themeColor="text1"/>
          <w:sz w:val="28"/>
          <w:szCs w:val="28"/>
          <w:lang w:val="ro-MD"/>
        </w:rPr>
        <w:t>)</w:t>
      </w:r>
      <w:r w:rsidR="00237F48" w:rsidRPr="000E5DD6">
        <w:rPr>
          <w:rFonts w:ascii="Times New Roman" w:hAnsi="Times New Roman" w:cs="Times New Roman"/>
          <w:b/>
          <w:bCs/>
          <w:color w:val="000000" w:themeColor="text1"/>
          <w:sz w:val="28"/>
          <w:szCs w:val="28"/>
          <w:lang w:val="ro-MD"/>
        </w:rPr>
        <w:t xml:space="preserve"> </w:t>
      </w:r>
      <w:r w:rsidR="00237F48" w:rsidRPr="000E5DD6">
        <w:rPr>
          <w:rFonts w:ascii="Times New Roman" w:hAnsi="Times New Roman" w:cs="Times New Roman"/>
          <w:color w:val="000000" w:themeColor="text1"/>
          <w:sz w:val="28"/>
          <w:szCs w:val="28"/>
          <w:lang w:val="ro-MD"/>
        </w:rPr>
        <w:t xml:space="preserve">va prezenta Parlamentului un proiect de lege pentru modificarea și completarea Codului contravențional al Republicii Moldova și Codului penal al Republicii Moldova, în vederea stabilirii răspunderii corespunzătoare pentru încălcarea regimului precursorilor de explozivi. </w:t>
      </w:r>
    </w:p>
    <w:p w14:paraId="0AACC8C0" w14:textId="64FAB5D2"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(3) În termen de </w:t>
      </w:r>
      <w:r w:rsidR="00CE5E97" w:rsidRPr="000E5DD6">
        <w:rPr>
          <w:rFonts w:ascii="Times New Roman" w:hAnsi="Times New Roman" w:cs="Times New Roman"/>
          <w:b/>
          <w:bCs/>
          <w:color w:val="000000" w:themeColor="text1"/>
          <w:sz w:val="28"/>
          <w:szCs w:val="28"/>
          <w:lang w:val="ro-MD"/>
        </w:rPr>
        <w:t>6</w:t>
      </w:r>
      <w:r w:rsidRPr="000E5DD6">
        <w:rPr>
          <w:rFonts w:ascii="Times New Roman" w:hAnsi="Times New Roman" w:cs="Times New Roman"/>
          <w:b/>
          <w:bCs/>
          <w:color w:val="000000" w:themeColor="text1"/>
          <w:sz w:val="28"/>
          <w:szCs w:val="28"/>
          <w:lang w:val="ro-MD"/>
        </w:rPr>
        <w:t xml:space="preserve"> luni</w:t>
      </w:r>
      <w:r w:rsidRPr="000E5DD6">
        <w:rPr>
          <w:rFonts w:ascii="Times New Roman" w:hAnsi="Times New Roman" w:cs="Times New Roman"/>
          <w:color w:val="000000" w:themeColor="text1"/>
          <w:sz w:val="28"/>
          <w:szCs w:val="28"/>
          <w:lang w:val="ro-MD"/>
        </w:rPr>
        <w:t xml:space="preserve"> de la data publicării prezentei legi în Monitorul Oficial al Republicii Moldova, </w:t>
      </w:r>
      <w:r w:rsidR="00CE5E97" w:rsidRPr="000E5DD6">
        <w:rPr>
          <w:rFonts w:ascii="Times New Roman" w:hAnsi="Times New Roman" w:cs="Times New Roman"/>
          <w:color w:val="000000" w:themeColor="text1"/>
          <w:sz w:val="28"/>
          <w:szCs w:val="28"/>
          <w:lang w:val="ro-MD"/>
        </w:rPr>
        <w:t>ministerele</w:t>
      </w:r>
      <w:r w:rsidRPr="000E5DD6">
        <w:rPr>
          <w:rFonts w:ascii="Times New Roman" w:hAnsi="Times New Roman" w:cs="Times New Roman"/>
          <w:color w:val="000000" w:themeColor="text1"/>
          <w:sz w:val="28"/>
          <w:szCs w:val="28"/>
          <w:lang w:val="ro-MD"/>
        </w:rPr>
        <w:t xml:space="preserve"> vor aduce actele normative din domeniile lor de competență în concordanță cu prezenta lege, asigurând corelarea procedurilor interne, infrastructurii tehnice și fluxurilor informaționale cu noile cerințe stabilite.</w:t>
      </w:r>
    </w:p>
    <w:p w14:paraId="219E232D" w14:textId="77777777" w:rsidR="00237F48" w:rsidRPr="000E5DD6" w:rsidRDefault="00237F48" w:rsidP="00237F48">
      <w:pPr>
        <w:spacing w:after="0"/>
        <w:jc w:val="both"/>
        <w:rPr>
          <w:rFonts w:ascii="Times New Roman" w:hAnsi="Times New Roman" w:cs="Times New Roman"/>
          <w:b/>
          <w:bCs/>
          <w:color w:val="000000" w:themeColor="text1"/>
          <w:sz w:val="28"/>
          <w:szCs w:val="28"/>
          <w:lang w:val="ro-MD"/>
        </w:rPr>
      </w:pPr>
    </w:p>
    <w:p w14:paraId="4AB83C61" w14:textId="58554C98"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B4136F" w:rsidRPr="000E5DD6">
        <w:rPr>
          <w:rFonts w:ascii="Times New Roman" w:hAnsi="Times New Roman" w:cs="Times New Roman"/>
          <w:b/>
          <w:bCs/>
          <w:color w:val="000000" w:themeColor="text1"/>
          <w:sz w:val="28"/>
          <w:szCs w:val="28"/>
          <w:lang w:val="ro-MD"/>
        </w:rPr>
        <w:t>4</w:t>
      </w:r>
      <w:r w:rsidR="003738A4" w:rsidRPr="000E5DD6">
        <w:rPr>
          <w:rFonts w:ascii="Times New Roman" w:hAnsi="Times New Roman" w:cs="Times New Roman"/>
          <w:b/>
          <w:bCs/>
          <w:color w:val="000000" w:themeColor="text1"/>
          <w:sz w:val="28"/>
          <w:szCs w:val="28"/>
          <w:lang w:val="ro-MD"/>
        </w:rPr>
        <w:t>8</w:t>
      </w:r>
      <w:r w:rsidRPr="000E5DD6">
        <w:rPr>
          <w:rFonts w:ascii="Times New Roman" w:hAnsi="Times New Roman" w:cs="Times New Roman"/>
          <w:b/>
          <w:bCs/>
          <w:color w:val="000000" w:themeColor="text1"/>
          <w:sz w:val="28"/>
          <w:szCs w:val="28"/>
          <w:lang w:val="ro-MD"/>
        </w:rPr>
        <w:t>. Dispoziții tranzitorii</w:t>
      </w:r>
    </w:p>
    <w:p w14:paraId="18F13693" w14:textId="7F038ED6"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Prevederile prezentei legi referitoare la precursorii de explozivi aflați în tranzit prin teritoriul Republicii Moldova se aplică din momentul aderării Republicii Moldova la Uniunea Europeană</w:t>
      </w:r>
      <w:r w:rsidR="002D23A6" w:rsidRPr="000E5DD6">
        <w:rPr>
          <w:rFonts w:ascii="Times New Roman" w:hAnsi="Times New Roman" w:cs="Times New Roman"/>
          <w:color w:val="000000" w:themeColor="text1"/>
          <w:sz w:val="28"/>
          <w:szCs w:val="28"/>
          <w:lang w:val="ro-MD"/>
        </w:rPr>
        <w:t>.</w:t>
      </w:r>
    </w:p>
    <w:p w14:paraId="78C75700"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Până la data aderării, operațiunile de tranzit ale precursorilor de explozivi se supun legislației vamale și legislației privind protecția mediului aplicabile la nivel național.</w:t>
      </w:r>
    </w:p>
    <w:p w14:paraId="1261A4A5" w14:textId="77777777" w:rsidR="00237F48" w:rsidRPr="000E5DD6" w:rsidRDefault="00237F48" w:rsidP="00237F48">
      <w:pPr>
        <w:spacing w:after="0"/>
        <w:jc w:val="both"/>
        <w:rPr>
          <w:rFonts w:ascii="Times New Roman" w:hAnsi="Times New Roman" w:cs="Times New Roman"/>
          <w:b/>
          <w:bCs/>
          <w:color w:val="000000" w:themeColor="text1"/>
          <w:sz w:val="28"/>
          <w:szCs w:val="28"/>
          <w:lang w:val="ro-MD"/>
        </w:rPr>
      </w:pPr>
    </w:p>
    <w:p w14:paraId="46F61B58" w14:textId="4A3D2BA3"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 xml:space="preserve">Articolul </w:t>
      </w:r>
      <w:r w:rsidR="003738A4" w:rsidRPr="000E5DD6">
        <w:rPr>
          <w:rFonts w:ascii="Times New Roman" w:hAnsi="Times New Roman" w:cs="Times New Roman"/>
          <w:b/>
          <w:bCs/>
          <w:color w:val="000000" w:themeColor="text1"/>
          <w:sz w:val="28"/>
          <w:szCs w:val="28"/>
          <w:lang w:val="ro-MD"/>
        </w:rPr>
        <w:t>49</w:t>
      </w:r>
      <w:r w:rsidRPr="000E5DD6">
        <w:rPr>
          <w:rFonts w:ascii="Times New Roman" w:hAnsi="Times New Roman" w:cs="Times New Roman"/>
          <w:b/>
          <w:bCs/>
          <w:color w:val="000000" w:themeColor="text1"/>
          <w:sz w:val="28"/>
          <w:szCs w:val="28"/>
          <w:lang w:val="ro-MD"/>
        </w:rPr>
        <w:t>. Dispoziții privind operatorii economici existenți</w:t>
      </w:r>
    </w:p>
    <w:p w14:paraId="6A83CACB"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(1) Operatorii economici care, la data intrării în vigoare a prezentei legi, desfășoară activități cu precursori de explozivi, sunt obligați:</w:t>
      </w:r>
    </w:p>
    <w:p w14:paraId="5D07C70E" w14:textId="76100829"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a) să se înregistreze în Registrul </w:t>
      </w:r>
      <w:r w:rsidR="00DE09BB" w:rsidRPr="000E5DD6">
        <w:rPr>
          <w:rFonts w:ascii="Times New Roman" w:hAnsi="Times New Roman" w:cs="Times New Roman"/>
          <w:color w:val="000000" w:themeColor="text1"/>
          <w:sz w:val="28"/>
          <w:szCs w:val="28"/>
          <w:lang w:val="ro-MD"/>
        </w:rPr>
        <w:t xml:space="preserve">de stat al operațiunilor cu precursori de explozivi  </w:t>
      </w:r>
      <w:r w:rsidRPr="000E5DD6">
        <w:rPr>
          <w:rFonts w:ascii="Times New Roman" w:hAnsi="Times New Roman" w:cs="Times New Roman"/>
          <w:color w:val="000000" w:themeColor="text1"/>
          <w:sz w:val="28"/>
          <w:szCs w:val="28"/>
          <w:lang w:val="ro-MD"/>
        </w:rPr>
        <w:t xml:space="preserve">în termen de </w:t>
      </w:r>
      <w:r w:rsidRPr="000E5DD6">
        <w:rPr>
          <w:rFonts w:ascii="Times New Roman" w:hAnsi="Times New Roman" w:cs="Times New Roman"/>
          <w:b/>
          <w:bCs/>
          <w:color w:val="000000" w:themeColor="text1"/>
          <w:sz w:val="28"/>
          <w:szCs w:val="28"/>
          <w:lang w:val="ro-MD"/>
        </w:rPr>
        <w:t>3 luni</w:t>
      </w:r>
      <w:r w:rsidRPr="000E5DD6">
        <w:rPr>
          <w:rFonts w:ascii="Times New Roman" w:hAnsi="Times New Roman" w:cs="Times New Roman"/>
          <w:color w:val="000000" w:themeColor="text1"/>
          <w:sz w:val="28"/>
          <w:szCs w:val="28"/>
          <w:lang w:val="ro-MD"/>
        </w:rPr>
        <w:t xml:space="preserve"> de la data intrării în vigoare a prezentei legi;</w:t>
      </w:r>
    </w:p>
    <w:p w14:paraId="0E6C40DA" w14:textId="27BFE468"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b) să elaboreze procedurile interne prevăzute la art. 18 în termen de </w:t>
      </w:r>
      <w:r w:rsidRPr="000E5DD6">
        <w:rPr>
          <w:rFonts w:ascii="Times New Roman" w:hAnsi="Times New Roman" w:cs="Times New Roman"/>
          <w:b/>
          <w:bCs/>
          <w:color w:val="000000" w:themeColor="text1"/>
          <w:sz w:val="28"/>
          <w:szCs w:val="28"/>
          <w:lang w:val="ro-MD"/>
        </w:rPr>
        <w:t>3 luni</w:t>
      </w:r>
      <w:r w:rsidRPr="000E5DD6">
        <w:rPr>
          <w:rFonts w:ascii="Times New Roman" w:hAnsi="Times New Roman" w:cs="Times New Roman"/>
          <w:color w:val="000000" w:themeColor="text1"/>
          <w:sz w:val="28"/>
          <w:szCs w:val="28"/>
          <w:lang w:val="ro-MD"/>
        </w:rPr>
        <w:t>;</w:t>
      </w:r>
    </w:p>
    <w:p w14:paraId="6A0099B9" w14:textId="27044955"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 xml:space="preserve">c) să își conformeze activitatea și infrastructura tehnică cerințelor prezentei legi în termen de </w:t>
      </w:r>
      <w:r w:rsidRPr="000E5DD6">
        <w:rPr>
          <w:rFonts w:ascii="Times New Roman" w:hAnsi="Times New Roman" w:cs="Times New Roman"/>
          <w:b/>
          <w:bCs/>
          <w:color w:val="000000" w:themeColor="text1"/>
          <w:sz w:val="28"/>
          <w:szCs w:val="28"/>
          <w:lang w:val="ro-MD"/>
        </w:rPr>
        <w:t>9 luni</w:t>
      </w:r>
      <w:r w:rsidRPr="000E5DD6">
        <w:rPr>
          <w:rFonts w:ascii="Times New Roman" w:hAnsi="Times New Roman" w:cs="Times New Roman"/>
          <w:color w:val="000000" w:themeColor="text1"/>
          <w:sz w:val="28"/>
          <w:szCs w:val="28"/>
          <w:lang w:val="ro-MD"/>
        </w:rPr>
        <w:t>.</w:t>
      </w:r>
    </w:p>
    <w:p w14:paraId="341646B1" w14:textId="77777777" w:rsidR="00237F48" w:rsidRPr="000E5DD6" w:rsidRDefault="00237F48" w:rsidP="00237F48">
      <w:pPr>
        <w:spacing w:after="0"/>
        <w:ind w:firstLine="567"/>
        <w:jc w:val="both"/>
        <w:rPr>
          <w:rFonts w:ascii="Times New Roman" w:hAnsi="Times New Roman" w:cs="Times New Roman"/>
          <w:color w:val="000000" w:themeColor="text1"/>
          <w:sz w:val="28"/>
          <w:szCs w:val="28"/>
          <w:lang w:val="ro-MD"/>
        </w:rPr>
      </w:pPr>
      <w:r w:rsidRPr="000E5DD6">
        <w:rPr>
          <w:rFonts w:ascii="Times New Roman" w:hAnsi="Times New Roman" w:cs="Times New Roman"/>
          <w:color w:val="000000" w:themeColor="text1"/>
          <w:sz w:val="28"/>
          <w:szCs w:val="28"/>
          <w:lang w:val="ro-MD"/>
        </w:rPr>
        <w:t>(2) Neîndeplinirea prevederilor alin. (1) constituie încălcare a legislației și se sancționează conform Codului contravențional, după adoptarea modificărilor corespunzătoare.</w:t>
      </w:r>
    </w:p>
    <w:p w14:paraId="55A2D123"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highlight w:val="yellow"/>
          <w:lang w:val="ro-MD"/>
        </w:rPr>
      </w:pPr>
    </w:p>
    <w:p w14:paraId="623E0793"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highlight w:val="yellow"/>
          <w:lang w:val="ro-MD"/>
        </w:rPr>
      </w:pPr>
    </w:p>
    <w:p w14:paraId="00B586C5" w14:textId="77777777" w:rsidR="00237F48" w:rsidRPr="000E5DD6" w:rsidRDefault="00237F48" w:rsidP="00237F48">
      <w:pPr>
        <w:spacing w:after="0"/>
        <w:ind w:firstLine="567"/>
        <w:jc w:val="both"/>
        <w:rPr>
          <w:rFonts w:ascii="Times New Roman" w:hAnsi="Times New Roman" w:cs="Times New Roman"/>
          <w:b/>
          <w:bCs/>
          <w:color w:val="000000" w:themeColor="text1"/>
          <w:sz w:val="28"/>
          <w:szCs w:val="28"/>
          <w:lang w:val="ro-MD"/>
        </w:rPr>
      </w:pPr>
      <w:r w:rsidRPr="000E5DD6">
        <w:rPr>
          <w:rFonts w:ascii="Times New Roman" w:hAnsi="Times New Roman" w:cs="Times New Roman"/>
          <w:b/>
          <w:bCs/>
          <w:color w:val="000000" w:themeColor="text1"/>
          <w:sz w:val="28"/>
          <w:szCs w:val="28"/>
          <w:lang w:val="ro-MD"/>
        </w:rPr>
        <w:t>Președintele Parlamentului                                                             Igor GROSU</w:t>
      </w:r>
    </w:p>
    <w:p w14:paraId="2C161F54" w14:textId="77777777" w:rsidR="005B6A23" w:rsidRPr="000E5DD6" w:rsidRDefault="005B6A23" w:rsidP="000E5DD6">
      <w:pPr>
        <w:jc w:val="right"/>
        <w:rPr>
          <w:rFonts w:ascii="Times New Roman" w:hAnsi="Times New Roman" w:cs="Times New Roman"/>
          <w:color w:val="000000" w:themeColor="text1"/>
          <w:sz w:val="24"/>
          <w:szCs w:val="24"/>
          <w:lang w:val="ro-RO"/>
        </w:rPr>
      </w:pPr>
    </w:p>
    <w:p w14:paraId="67BCA078" w14:textId="77777777" w:rsidR="005B6A23" w:rsidRPr="000E5DD6" w:rsidRDefault="005B6A23" w:rsidP="000E5DD6">
      <w:pPr>
        <w:jc w:val="right"/>
        <w:rPr>
          <w:rFonts w:ascii="Times New Roman" w:hAnsi="Times New Roman" w:cs="Times New Roman"/>
          <w:color w:val="000000" w:themeColor="text1"/>
          <w:sz w:val="24"/>
          <w:szCs w:val="24"/>
          <w:lang w:val="ro-RO"/>
        </w:rPr>
      </w:pPr>
    </w:p>
    <w:p w14:paraId="4A651C52" w14:textId="77777777" w:rsidR="005B6A23" w:rsidRPr="000E5DD6" w:rsidRDefault="005B6A23" w:rsidP="000E5DD6">
      <w:pPr>
        <w:jc w:val="right"/>
        <w:rPr>
          <w:rFonts w:ascii="Times New Roman" w:hAnsi="Times New Roman" w:cs="Times New Roman"/>
          <w:color w:val="000000" w:themeColor="text1"/>
          <w:sz w:val="24"/>
          <w:szCs w:val="24"/>
          <w:lang w:val="ro-RO"/>
        </w:rPr>
      </w:pPr>
    </w:p>
    <w:p w14:paraId="473D239A" w14:textId="77777777" w:rsidR="005B6A23" w:rsidRPr="000E5DD6" w:rsidRDefault="005B6A23" w:rsidP="00B60F29">
      <w:pPr>
        <w:rPr>
          <w:rFonts w:ascii="Times New Roman" w:hAnsi="Times New Roman" w:cs="Times New Roman"/>
          <w:color w:val="000000" w:themeColor="text1"/>
          <w:sz w:val="24"/>
          <w:szCs w:val="24"/>
          <w:lang w:val="ro-RO"/>
        </w:rPr>
      </w:pPr>
    </w:p>
    <w:p w14:paraId="21A539F6" w14:textId="77777777" w:rsidR="00F91B73" w:rsidRPr="000E5DD6" w:rsidRDefault="00F91B73" w:rsidP="000E5DD6">
      <w:pPr>
        <w:jc w:val="right"/>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lastRenderedPageBreak/>
        <w:t xml:space="preserve">Anexa nr. 1 </w:t>
      </w:r>
    </w:p>
    <w:p w14:paraId="49930522" w14:textId="77777777" w:rsidR="00F91B73" w:rsidRPr="000E5DD6" w:rsidRDefault="00F91B73" w:rsidP="00F91B73">
      <w:pPr>
        <w:ind w:left="5670" w:hanging="141"/>
        <w:jc w:val="both"/>
        <w:rPr>
          <w:rFonts w:ascii="Times New Roman" w:hAnsi="Times New Roman" w:cs="Times New Roman"/>
          <w:color w:val="000000" w:themeColor="text1"/>
          <w:sz w:val="24"/>
          <w:szCs w:val="24"/>
          <w:lang w:val="ro-RO"/>
        </w:rPr>
      </w:pPr>
    </w:p>
    <w:p w14:paraId="2838C8BD" w14:textId="77777777" w:rsidR="00F91B73" w:rsidRPr="000E5DD6" w:rsidRDefault="00F91B73" w:rsidP="00F91B73">
      <w:pPr>
        <w:jc w:val="center"/>
        <w:rPr>
          <w:rFonts w:ascii="Times New Roman" w:eastAsia="Times New Roman" w:hAnsi="Times New Roman" w:cs="Times New Roman"/>
          <w:b/>
          <w:bCs/>
          <w:color w:val="000000" w:themeColor="text1"/>
          <w:kern w:val="0"/>
          <w:sz w:val="28"/>
          <w:szCs w:val="28"/>
          <w:lang w:val="ro-RO" w:eastAsia="ru-RU"/>
          <w14:ligatures w14:val="none"/>
        </w:rPr>
      </w:pPr>
      <w:r w:rsidRPr="000E5DD6">
        <w:rPr>
          <w:rFonts w:ascii="Times New Roman" w:eastAsia="Times New Roman" w:hAnsi="Times New Roman" w:cs="Times New Roman"/>
          <w:b/>
          <w:bCs/>
          <w:color w:val="000000" w:themeColor="text1"/>
          <w:kern w:val="0"/>
          <w:sz w:val="28"/>
          <w:szCs w:val="28"/>
          <w:lang w:val="ro-RO" w:eastAsia="ru-RU"/>
          <w14:ligatures w14:val="none"/>
        </w:rPr>
        <w:t>Lista precursorilor de explozivi restricționați</w:t>
      </w:r>
    </w:p>
    <w:tbl>
      <w:tblPr>
        <w:tblStyle w:val="Tabelgril"/>
        <w:tblW w:w="0" w:type="auto"/>
        <w:tblInd w:w="-572" w:type="dxa"/>
        <w:tblLook w:val="04A0" w:firstRow="1" w:lastRow="0" w:firstColumn="1" w:lastColumn="0" w:noHBand="0" w:noVBand="1"/>
      </w:tblPr>
      <w:tblGrid>
        <w:gridCol w:w="499"/>
        <w:gridCol w:w="1537"/>
        <w:gridCol w:w="1475"/>
        <w:gridCol w:w="1424"/>
        <w:gridCol w:w="1627"/>
        <w:gridCol w:w="1565"/>
        <w:gridCol w:w="1789"/>
      </w:tblGrid>
      <w:tr w:rsidR="003738A4" w:rsidRPr="000E5DD6" w14:paraId="4EDC4BBC" w14:textId="4AEC0F15" w:rsidTr="005671A2">
        <w:tc>
          <w:tcPr>
            <w:tcW w:w="499" w:type="dxa"/>
          </w:tcPr>
          <w:p w14:paraId="2579B6E8" w14:textId="77777777" w:rsidR="005671A2" w:rsidRPr="000E5DD6" w:rsidRDefault="005671A2" w:rsidP="000E5DD6">
            <w:pPr>
              <w:jc w:val="center"/>
              <w:rPr>
                <w:rFonts w:ascii="Times New Roman" w:hAnsi="Times New Roman" w:cs="Times New Roman"/>
                <w:color w:val="000000" w:themeColor="text1"/>
                <w:lang w:val="ro-RO"/>
              </w:rPr>
            </w:pPr>
            <w:r w:rsidRPr="000E5DD6">
              <w:rPr>
                <w:rFonts w:ascii="Times New Roman" w:hAnsi="Times New Roman" w:cs="Times New Roman"/>
                <w:color w:val="000000" w:themeColor="text1"/>
                <w:lang w:val="ro-RO"/>
              </w:rPr>
              <w:t>Nr. d/o</w:t>
            </w:r>
          </w:p>
        </w:tc>
        <w:tc>
          <w:tcPr>
            <w:tcW w:w="1825" w:type="dxa"/>
          </w:tcPr>
          <w:p w14:paraId="496A9741" w14:textId="77777777" w:rsidR="005671A2" w:rsidRPr="000E5DD6" w:rsidRDefault="005671A2" w:rsidP="000E5DD6">
            <w:pPr>
              <w:jc w:val="center"/>
              <w:rPr>
                <w:rFonts w:ascii="Times New Roman" w:hAnsi="Times New Roman" w:cs="Times New Roman"/>
                <w:b/>
                <w:bCs/>
                <w:color w:val="000000" w:themeColor="text1"/>
                <w:lang w:val="en-US"/>
              </w:rPr>
            </w:pPr>
            <w:proofErr w:type="spellStart"/>
            <w:r w:rsidRPr="000E5DD6">
              <w:rPr>
                <w:rFonts w:ascii="Times New Roman" w:hAnsi="Times New Roman" w:cs="Times New Roman"/>
                <w:b/>
                <w:bCs/>
                <w:color w:val="000000" w:themeColor="text1"/>
                <w:lang w:val="en-US"/>
              </w:rPr>
              <w:t>Denumirea</w:t>
            </w:r>
            <w:proofErr w:type="spellEnd"/>
            <w:r w:rsidRPr="000E5DD6">
              <w:rPr>
                <w:rFonts w:ascii="Times New Roman" w:hAnsi="Times New Roman" w:cs="Times New Roman"/>
                <w:b/>
                <w:bCs/>
                <w:color w:val="000000" w:themeColor="text1"/>
                <w:lang w:val="en-US"/>
              </w:rPr>
              <w:t xml:space="preserve"> </w:t>
            </w:r>
            <w:proofErr w:type="spellStart"/>
            <w:r w:rsidRPr="000E5DD6">
              <w:rPr>
                <w:rFonts w:ascii="Times New Roman" w:hAnsi="Times New Roman" w:cs="Times New Roman"/>
                <w:b/>
                <w:bCs/>
                <w:color w:val="000000" w:themeColor="text1"/>
                <w:lang w:val="en-US"/>
              </w:rPr>
              <w:t>substanței</w:t>
            </w:r>
            <w:proofErr w:type="spellEnd"/>
            <w:r w:rsidRPr="000E5DD6">
              <w:rPr>
                <w:rFonts w:ascii="Times New Roman" w:hAnsi="Times New Roman" w:cs="Times New Roman"/>
                <w:b/>
                <w:bCs/>
                <w:color w:val="000000" w:themeColor="text1"/>
                <w:lang w:val="en-US"/>
              </w:rPr>
              <w:t xml:space="preserve"> </w:t>
            </w:r>
            <w:proofErr w:type="spellStart"/>
            <w:r w:rsidRPr="000E5DD6">
              <w:rPr>
                <w:rFonts w:ascii="Times New Roman" w:hAnsi="Times New Roman" w:cs="Times New Roman"/>
                <w:b/>
                <w:bCs/>
                <w:color w:val="000000" w:themeColor="text1"/>
                <w:lang w:val="en-US"/>
              </w:rPr>
              <w:t>și</w:t>
            </w:r>
            <w:proofErr w:type="spellEnd"/>
            <w:r w:rsidRPr="000E5DD6">
              <w:rPr>
                <w:rFonts w:ascii="Times New Roman" w:hAnsi="Times New Roman" w:cs="Times New Roman"/>
                <w:b/>
                <w:bCs/>
                <w:color w:val="000000" w:themeColor="text1"/>
                <w:lang w:val="en-US"/>
              </w:rPr>
              <w:t xml:space="preserve"> </w:t>
            </w:r>
            <w:proofErr w:type="spellStart"/>
            <w:r w:rsidRPr="000E5DD6">
              <w:rPr>
                <w:rFonts w:ascii="Times New Roman" w:hAnsi="Times New Roman" w:cs="Times New Roman"/>
                <w:b/>
                <w:bCs/>
                <w:color w:val="000000" w:themeColor="text1"/>
                <w:lang w:val="en-US"/>
              </w:rPr>
              <w:t>numărul</w:t>
            </w:r>
            <w:proofErr w:type="spellEnd"/>
            <w:r w:rsidRPr="000E5DD6">
              <w:rPr>
                <w:rFonts w:ascii="Times New Roman" w:hAnsi="Times New Roman" w:cs="Times New Roman"/>
                <w:b/>
                <w:bCs/>
                <w:color w:val="000000" w:themeColor="text1"/>
                <w:lang w:val="en-US"/>
              </w:rPr>
              <w:t xml:space="preserve"> de </w:t>
            </w:r>
            <w:proofErr w:type="spellStart"/>
            <w:r w:rsidRPr="000E5DD6">
              <w:rPr>
                <w:rFonts w:ascii="Times New Roman" w:hAnsi="Times New Roman" w:cs="Times New Roman"/>
                <w:b/>
                <w:bCs/>
                <w:color w:val="000000" w:themeColor="text1"/>
                <w:lang w:val="en-US"/>
              </w:rPr>
              <w:t>înre</w:t>
            </w:r>
            <w:proofErr w:type="spellEnd"/>
            <w:r w:rsidRPr="000E5DD6">
              <w:rPr>
                <w:rFonts w:ascii="Times New Roman" w:hAnsi="Times New Roman" w:cs="Times New Roman"/>
                <w:b/>
                <w:bCs/>
                <w:color w:val="000000" w:themeColor="text1"/>
                <w:lang w:val="en-US"/>
              </w:rPr>
              <w:t xml:space="preserve">­ </w:t>
            </w:r>
            <w:proofErr w:type="spellStart"/>
            <w:r w:rsidRPr="000E5DD6">
              <w:rPr>
                <w:rFonts w:ascii="Times New Roman" w:hAnsi="Times New Roman" w:cs="Times New Roman"/>
                <w:b/>
                <w:bCs/>
                <w:color w:val="000000" w:themeColor="text1"/>
                <w:lang w:val="en-US"/>
              </w:rPr>
              <w:t>gistrare</w:t>
            </w:r>
            <w:proofErr w:type="spellEnd"/>
            <w:r w:rsidRPr="000E5DD6">
              <w:rPr>
                <w:rFonts w:ascii="Times New Roman" w:hAnsi="Times New Roman" w:cs="Times New Roman"/>
                <w:b/>
                <w:bCs/>
                <w:color w:val="000000" w:themeColor="text1"/>
                <w:lang w:val="en-US"/>
              </w:rPr>
              <w:t xml:space="preserve"> al Chemical Abstracts Service (CAS RN)</w:t>
            </w:r>
          </w:p>
        </w:tc>
        <w:tc>
          <w:tcPr>
            <w:tcW w:w="1635" w:type="dxa"/>
          </w:tcPr>
          <w:p w14:paraId="19398291" w14:textId="77777777" w:rsidR="005671A2" w:rsidRPr="000E5DD6" w:rsidRDefault="005671A2" w:rsidP="000E5DD6">
            <w:pPr>
              <w:jc w:val="center"/>
              <w:rPr>
                <w:rFonts w:ascii="Times New Roman" w:hAnsi="Times New Roman" w:cs="Times New Roman"/>
                <w:b/>
                <w:bCs/>
                <w:color w:val="000000" w:themeColor="text1"/>
                <w:lang w:val="ro-RO"/>
              </w:rPr>
            </w:pPr>
            <w:proofErr w:type="spellStart"/>
            <w:r w:rsidRPr="000E5DD6">
              <w:rPr>
                <w:rFonts w:ascii="Times New Roman" w:hAnsi="Times New Roman" w:cs="Times New Roman"/>
                <w:b/>
                <w:bCs/>
                <w:color w:val="000000" w:themeColor="text1"/>
              </w:rPr>
              <w:t>Valoarea-limit</w:t>
            </w:r>
            <w:proofErr w:type="spellEnd"/>
            <w:r w:rsidRPr="000E5DD6">
              <w:rPr>
                <w:rFonts w:ascii="Times New Roman" w:hAnsi="Times New Roman" w:cs="Times New Roman"/>
                <w:b/>
                <w:bCs/>
                <w:color w:val="000000" w:themeColor="text1"/>
                <w:lang w:val="ro-RO"/>
              </w:rPr>
              <w:t>ă</w:t>
            </w:r>
          </w:p>
        </w:tc>
        <w:tc>
          <w:tcPr>
            <w:tcW w:w="1669" w:type="dxa"/>
          </w:tcPr>
          <w:p w14:paraId="4E52A202" w14:textId="77777777" w:rsidR="005671A2" w:rsidRPr="000E5DD6" w:rsidRDefault="005671A2" w:rsidP="000E5DD6">
            <w:pPr>
              <w:jc w:val="center"/>
              <w:rPr>
                <w:rFonts w:ascii="Times New Roman" w:hAnsi="Times New Roman" w:cs="Times New Roman"/>
                <w:b/>
                <w:bCs/>
                <w:color w:val="000000" w:themeColor="text1"/>
                <w:lang w:val="ro-RO"/>
              </w:rPr>
            </w:pPr>
            <w:r w:rsidRPr="000E5DD6">
              <w:rPr>
                <w:rFonts w:ascii="Times New Roman" w:hAnsi="Times New Roman" w:cs="Times New Roman"/>
                <w:b/>
                <w:bCs/>
                <w:color w:val="000000" w:themeColor="text1"/>
                <w:lang w:val="ro-RO"/>
              </w:rPr>
              <w:t>Valoarea-limită superioară în scopul acordării licenței în temeiul articolului 5 alineatul (3)</w:t>
            </w:r>
          </w:p>
        </w:tc>
        <w:tc>
          <w:tcPr>
            <w:tcW w:w="1711" w:type="dxa"/>
          </w:tcPr>
          <w:p w14:paraId="531DFC72" w14:textId="77777777" w:rsidR="005671A2" w:rsidRPr="000E5DD6" w:rsidRDefault="005671A2" w:rsidP="000E5DD6">
            <w:pPr>
              <w:jc w:val="center"/>
              <w:rPr>
                <w:rFonts w:ascii="Times New Roman" w:hAnsi="Times New Roman" w:cs="Times New Roman"/>
                <w:b/>
                <w:bCs/>
                <w:color w:val="000000" w:themeColor="text1"/>
                <w:lang w:val="fr-FR"/>
              </w:rPr>
            </w:pPr>
            <w:proofErr w:type="spellStart"/>
            <w:r w:rsidRPr="000E5DD6">
              <w:rPr>
                <w:rFonts w:ascii="Times New Roman" w:hAnsi="Times New Roman" w:cs="Times New Roman"/>
                <w:b/>
                <w:bCs/>
                <w:color w:val="000000" w:themeColor="text1"/>
                <w:lang w:val="fr-FR"/>
              </w:rPr>
              <w:t>Codul</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din</w:t>
            </w:r>
            <w:proofErr w:type="spellEnd"/>
            <w:r w:rsidRPr="000E5DD6">
              <w:rPr>
                <w:rFonts w:ascii="Times New Roman" w:hAnsi="Times New Roman" w:cs="Times New Roman"/>
                <w:b/>
                <w:bCs/>
                <w:color w:val="000000" w:themeColor="text1"/>
                <w:lang w:val="fr-FR"/>
              </w:rPr>
              <w:t xml:space="preserve"> Nomenclatura </w:t>
            </w:r>
            <w:proofErr w:type="spellStart"/>
            <w:r w:rsidRPr="000E5DD6">
              <w:rPr>
                <w:rFonts w:ascii="Times New Roman" w:hAnsi="Times New Roman" w:cs="Times New Roman"/>
                <w:b/>
                <w:bCs/>
                <w:color w:val="000000" w:themeColor="text1"/>
                <w:lang w:val="fr-FR"/>
              </w:rPr>
              <w:t>combinată</w:t>
            </w:r>
            <w:proofErr w:type="spellEnd"/>
            <w:r w:rsidRPr="000E5DD6">
              <w:rPr>
                <w:rFonts w:ascii="Times New Roman" w:hAnsi="Times New Roman" w:cs="Times New Roman"/>
                <w:b/>
                <w:bCs/>
                <w:color w:val="000000" w:themeColor="text1"/>
                <w:lang w:val="fr-FR"/>
              </w:rPr>
              <w:t xml:space="preserve"> (NC) </w:t>
            </w:r>
            <w:proofErr w:type="spellStart"/>
            <w:r w:rsidRPr="000E5DD6">
              <w:rPr>
                <w:rFonts w:ascii="Times New Roman" w:hAnsi="Times New Roman" w:cs="Times New Roman"/>
                <w:b/>
                <w:bCs/>
                <w:color w:val="000000" w:themeColor="text1"/>
                <w:lang w:val="fr-FR"/>
              </w:rPr>
              <w:t>pentru</w:t>
            </w:r>
            <w:proofErr w:type="spellEnd"/>
            <w:r w:rsidRPr="000E5DD6">
              <w:rPr>
                <w:rFonts w:ascii="Times New Roman" w:hAnsi="Times New Roman" w:cs="Times New Roman"/>
                <w:b/>
                <w:bCs/>
                <w:color w:val="000000" w:themeColor="text1"/>
                <w:lang w:val="fr-FR"/>
              </w:rPr>
              <w:t xml:space="preserve"> un </w:t>
            </w:r>
            <w:proofErr w:type="spellStart"/>
            <w:r w:rsidRPr="000E5DD6">
              <w:rPr>
                <w:rFonts w:ascii="Times New Roman" w:hAnsi="Times New Roman" w:cs="Times New Roman"/>
                <w:b/>
                <w:bCs/>
                <w:color w:val="000000" w:themeColor="text1"/>
                <w:lang w:val="fr-FR"/>
              </w:rPr>
              <w:t>compus</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separat</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definit</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chimic</w:t>
            </w:r>
            <w:proofErr w:type="spellEnd"/>
            <w:r w:rsidRPr="000E5DD6">
              <w:rPr>
                <w:rFonts w:ascii="Times New Roman" w:hAnsi="Times New Roman" w:cs="Times New Roman"/>
                <w:b/>
                <w:bCs/>
                <w:color w:val="000000" w:themeColor="text1"/>
                <w:lang w:val="fr-FR"/>
              </w:rPr>
              <w:t xml:space="preserve">, care </w:t>
            </w:r>
            <w:proofErr w:type="spellStart"/>
            <w:r w:rsidRPr="000E5DD6">
              <w:rPr>
                <w:rFonts w:ascii="Times New Roman" w:hAnsi="Times New Roman" w:cs="Times New Roman"/>
                <w:b/>
                <w:bCs/>
                <w:color w:val="000000" w:themeColor="text1"/>
                <w:lang w:val="fr-FR"/>
              </w:rPr>
              <w:t>înde</w:t>
            </w:r>
            <w:proofErr w:type="spellEnd"/>
            <w:r w:rsidRPr="000E5DD6">
              <w:rPr>
                <w:rFonts w:ascii="Times New Roman" w:hAnsi="Times New Roman" w:cs="Times New Roman"/>
                <w:b/>
                <w:bCs/>
                <w:color w:val="000000" w:themeColor="text1"/>
                <w:lang w:val="fr-FR"/>
              </w:rPr>
              <w:softHyphen/>
              <w:t xml:space="preserve"> </w:t>
            </w:r>
            <w:proofErr w:type="spellStart"/>
            <w:r w:rsidRPr="000E5DD6">
              <w:rPr>
                <w:rFonts w:ascii="Times New Roman" w:hAnsi="Times New Roman" w:cs="Times New Roman"/>
                <w:b/>
                <w:bCs/>
                <w:color w:val="000000" w:themeColor="text1"/>
                <w:lang w:val="fr-FR"/>
              </w:rPr>
              <w:t>plinește</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condițiile</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din</w:t>
            </w:r>
            <w:proofErr w:type="spellEnd"/>
            <w:r w:rsidRPr="000E5DD6">
              <w:rPr>
                <w:rFonts w:ascii="Times New Roman" w:hAnsi="Times New Roman" w:cs="Times New Roman"/>
                <w:b/>
                <w:bCs/>
                <w:color w:val="000000" w:themeColor="text1"/>
                <w:lang w:val="fr-FR"/>
              </w:rPr>
              <w:t xml:space="preserve"> nota 1 la </w:t>
            </w:r>
            <w:proofErr w:type="spellStart"/>
            <w:r w:rsidRPr="000E5DD6">
              <w:rPr>
                <w:rFonts w:ascii="Times New Roman" w:hAnsi="Times New Roman" w:cs="Times New Roman"/>
                <w:b/>
                <w:bCs/>
                <w:color w:val="000000" w:themeColor="text1"/>
                <w:lang w:val="fr-FR"/>
              </w:rPr>
              <w:t>capitolul</w:t>
            </w:r>
            <w:proofErr w:type="spellEnd"/>
            <w:r w:rsidRPr="000E5DD6">
              <w:rPr>
                <w:rFonts w:ascii="Times New Roman" w:hAnsi="Times New Roman" w:cs="Times New Roman"/>
                <w:b/>
                <w:bCs/>
                <w:color w:val="000000" w:themeColor="text1"/>
                <w:lang w:val="fr-FR"/>
              </w:rPr>
              <w:t xml:space="preserve"> 28, </w:t>
            </w:r>
            <w:proofErr w:type="spellStart"/>
            <w:r w:rsidRPr="000E5DD6">
              <w:rPr>
                <w:rFonts w:ascii="Times New Roman" w:hAnsi="Times New Roman" w:cs="Times New Roman"/>
                <w:b/>
                <w:bCs/>
                <w:color w:val="000000" w:themeColor="text1"/>
                <w:lang w:val="fr-FR"/>
              </w:rPr>
              <w:t>respectiv</w:t>
            </w:r>
            <w:proofErr w:type="spellEnd"/>
            <w:r w:rsidRPr="000E5DD6">
              <w:rPr>
                <w:rFonts w:ascii="Times New Roman" w:hAnsi="Times New Roman" w:cs="Times New Roman"/>
                <w:b/>
                <w:bCs/>
                <w:color w:val="000000" w:themeColor="text1"/>
                <w:lang w:val="fr-FR"/>
              </w:rPr>
              <w:t xml:space="preserve"> 29 </w:t>
            </w:r>
            <w:proofErr w:type="spellStart"/>
            <w:r w:rsidRPr="000E5DD6">
              <w:rPr>
                <w:rFonts w:ascii="Times New Roman" w:hAnsi="Times New Roman" w:cs="Times New Roman"/>
                <w:b/>
                <w:bCs/>
                <w:color w:val="000000" w:themeColor="text1"/>
                <w:lang w:val="fr-FR"/>
              </w:rPr>
              <w:t>din</w:t>
            </w:r>
            <w:proofErr w:type="spellEnd"/>
            <w:r w:rsidRPr="000E5DD6">
              <w:rPr>
                <w:rFonts w:ascii="Times New Roman" w:hAnsi="Times New Roman" w:cs="Times New Roman"/>
                <w:b/>
                <w:bCs/>
                <w:color w:val="000000" w:themeColor="text1"/>
                <w:lang w:val="fr-FR"/>
              </w:rPr>
              <w:t xml:space="preserve"> NC </w:t>
            </w:r>
            <w:r w:rsidRPr="000E5DD6">
              <w:rPr>
                <w:rFonts w:ascii="Times New Roman" w:hAnsi="Times New Roman" w:cs="Times New Roman"/>
                <w:b/>
                <w:bCs/>
                <w:color w:val="000000" w:themeColor="text1"/>
                <w:vertAlign w:val="superscript"/>
                <w:lang w:val="fr-FR"/>
              </w:rPr>
              <w:t>(</w:t>
            </w:r>
            <w:r w:rsidRPr="000E5DD6">
              <w:rPr>
                <w:rStyle w:val="Referinnotdesubsol"/>
                <w:rFonts w:ascii="Times New Roman" w:hAnsi="Times New Roman" w:cs="Times New Roman"/>
                <w:b/>
                <w:bCs/>
                <w:color w:val="000000" w:themeColor="text1"/>
                <w:lang w:val="en-US"/>
              </w:rPr>
              <w:footnoteReference w:id="1"/>
            </w:r>
            <w:r w:rsidRPr="000E5DD6">
              <w:rPr>
                <w:rFonts w:ascii="Times New Roman" w:hAnsi="Times New Roman" w:cs="Times New Roman"/>
                <w:b/>
                <w:bCs/>
                <w:color w:val="000000" w:themeColor="text1"/>
                <w:vertAlign w:val="superscript"/>
                <w:lang w:val="fr-FR"/>
              </w:rPr>
              <w:t>)</w:t>
            </w:r>
          </w:p>
        </w:tc>
        <w:tc>
          <w:tcPr>
            <w:tcW w:w="1569" w:type="dxa"/>
          </w:tcPr>
          <w:p w14:paraId="406A7376" w14:textId="77777777" w:rsidR="005671A2" w:rsidRPr="000E5DD6" w:rsidRDefault="005671A2" w:rsidP="000E5DD6">
            <w:pPr>
              <w:jc w:val="center"/>
              <w:rPr>
                <w:rFonts w:ascii="Times New Roman" w:hAnsi="Times New Roman" w:cs="Times New Roman"/>
                <w:b/>
                <w:bCs/>
                <w:color w:val="000000" w:themeColor="text1"/>
                <w:lang w:val="fr-FR"/>
              </w:rPr>
            </w:pPr>
            <w:proofErr w:type="spellStart"/>
            <w:r w:rsidRPr="000E5DD6">
              <w:rPr>
                <w:rFonts w:ascii="Times New Roman" w:hAnsi="Times New Roman" w:cs="Times New Roman"/>
                <w:b/>
                <w:bCs/>
                <w:color w:val="000000" w:themeColor="text1"/>
                <w:lang w:val="fr-FR"/>
              </w:rPr>
              <w:t>Codul</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din</w:t>
            </w:r>
            <w:proofErr w:type="spellEnd"/>
            <w:r w:rsidRPr="000E5DD6">
              <w:rPr>
                <w:rFonts w:ascii="Times New Roman" w:hAnsi="Times New Roman" w:cs="Times New Roman"/>
                <w:b/>
                <w:bCs/>
                <w:color w:val="000000" w:themeColor="text1"/>
                <w:lang w:val="fr-FR"/>
              </w:rPr>
              <w:t xml:space="preserve"> Nomenclatura </w:t>
            </w:r>
            <w:proofErr w:type="spellStart"/>
            <w:r w:rsidRPr="000E5DD6">
              <w:rPr>
                <w:rFonts w:ascii="Times New Roman" w:hAnsi="Times New Roman" w:cs="Times New Roman"/>
                <w:b/>
                <w:bCs/>
                <w:color w:val="000000" w:themeColor="text1"/>
                <w:lang w:val="fr-FR"/>
              </w:rPr>
              <w:t>combinată</w:t>
            </w:r>
            <w:proofErr w:type="spellEnd"/>
            <w:r w:rsidRPr="000E5DD6">
              <w:rPr>
                <w:rFonts w:ascii="Times New Roman" w:hAnsi="Times New Roman" w:cs="Times New Roman"/>
                <w:b/>
                <w:bCs/>
                <w:color w:val="000000" w:themeColor="text1"/>
                <w:lang w:val="fr-FR"/>
              </w:rPr>
              <w:t xml:space="preserve"> (NC) </w:t>
            </w:r>
            <w:proofErr w:type="spellStart"/>
            <w:r w:rsidRPr="000E5DD6">
              <w:rPr>
                <w:rFonts w:ascii="Times New Roman" w:hAnsi="Times New Roman" w:cs="Times New Roman"/>
                <w:b/>
                <w:bCs/>
                <w:color w:val="000000" w:themeColor="text1"/>
                <w:lang w:val="fr-FR"/>
              </w:rPr>
              <w:t>pentru</w:t>
            </w:r>
            <w:proofErr w:type="spellEnd"/>
            <w:r w:rsidRPr="000E5DD6">
              <w:rPr>
                <w:rFonts w:ascii="Times New Roman" w:hAnsi="Times New Roman" w:cs="Times New Roman"/>
                <w:b/>
                <w:bCs/>
                <w:color w:val="000000" w:themeColor="text1"/>
                <w:lang w:val="fr-FR"/>
              </w:rPr>
              <w:t xml:space="preserve"> un </w:t>
            </w:r>
            <w:proofErr w:type="spellStart"/>
            <w:r w:rsidRPr="000E5DD6">
              <w:rPr>
                <w:rFonts w:ascii="Times New Roman" w:hAnsi="Times New Roman" w:cs="Times New Roman"/>
                <w:b/>
                <w:bCs/>
                <w:color w:val="000000" w:themeColor="text1"/>
                <w:lang w:val="fr-FR"/>
              </w:rPr>
              <w:t>amestec</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fără</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constituenți</w:t>
            </w:r>
            <w:proofErr w:type="spellEnd"/>
            <w:r w:rsidRPr="000E5DD6">
              <w:rPr>
                <w:rFonts w:ascii="Times New Roman" w:hAnsi="Times New Roman" w:cs="Times New Roman"/>
                <w:b/>
                <w:bCs/>
                <w:color w:val="000000" w:themeColor="text1"/>
                <w:lang w:val="fr-FR"/>
              </w:rPr>
              <w:t xml:space="preserve"> (de </w:t>
            </w:r>
            <w:proofErr w:type="spellStart"/>
            <w:r w:rsidRPr="000E5DD6">
              <w:rPr>
                <w:rFonts w:ascii="Times New Roman" w:hAnsi="Times New Roman" w:cs="Times New Roman"/>
                <w:b/>
                <w:bCs/>
                <w:color w:val="000000" w:themeColor="text1"/>
                <w:lang w:val="fr-FR"/>
              </w:rPr>
              <w:t>exemplu</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mercur</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metale</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prețioase</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sau</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metale</w:t>
            </w:r>
            <w:proofErr w:type="spellEnd"/>
            <w:r w:rsidRPr="000E5DD6">
              <w:rPr>
                <w:rFonts w:ascii="Times New Roman" w:hAnsi="Times New Roman" w:cs="Times New Roman"/>
                <w:b/>
                <w:bCs/>
                <w:color w:val="000000" w:themeColor="text1"/>
                <w:lang w:val="fr-FR"/>
              </w:rPr>
              <w:t xml:space="preserve"> de </w:t>
            </w:r>
            <w:proofErr w:type="spellStart"/>
            <w:r w:rsidRPr="000E5DD6">
              <w:rPr>
                <w:rFonts w:ascii="Times New Roman" w:hAnsi="Times New Roman" w:cs="Times New Roman"/>
                <w:b/>
                <w:bCs/>
                <w:color w:val="000000" w:themeColor="text1"/>
                <w:lang w:val="fr-FR"/>
              </w:rPr>
              <w:t>pământuri</w:t>
            </w:r>
            <w:proofErr w:type="spellEnd"/>
            <w:r w:rsidRPr="000E5DD6">
              <w:rPr>
                <w:rFonts w:ascii="Times New Roman" w:hAnsi="Times New Roman" w:cs="Times New Roman"/>
                <w:b/>
                <w:bCs/>
                <w:color w:val="000000" w:themeColor="text1"/>
                <w:lang w:val="fr-FR"/>
              </w:rPr>
              <w:t xml:space="preserve"> rare </w:t>
            </w:r>
            <w:proofErr w:type="spellStart"/>
            <w:r w:rsidRPr="000E5DD6">
              <w:rPr>
                <w:rFonts w:ascii="Times New Roman" w:hAnsi="Times New Roman" w:cs="Times New Roman"/>
                <w:b/>
                <w:bCs/>
                <w:color w:val="000000" w:themeColor="text1"/>
                <w:lang w:val="fr-FR"/>
              </w:rPr>
              <w:t>ori</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substanțe</w:t>
            </w:r>
            <w:proofErr w:type="spellEnd"/>
            <w:r w:rsidRPr="000E5DD6">
              <w:rPr>
                <w:rFonts w:ascii="Times New Roman" w:hAnsi="Times New Roman" w:cs="Times New Roman"/>
                <w:b/>
                <w:bCs/>
                <w:color w:val="000000" w:themeColor="text1"/>
                <w:lang w:val="fr-FR"/>
              </w:rPr>
              <w:t xml:space="preserve"> radioactive) care </w:t>
            </w:r>
            <w:proofErr w:type="spellStart"/>
            <w:r w:rsidRPr="000E5DD6">
              <w:rPr>
                <w:rFonts w:ascii="Times New Roman" w:hAnsi="Times New Roman" w:cs="Times New Roman"/>
                <w:b/>
                <w:bCs/>
                <w:color w:val="000000" w:themeColor="text1"/>
                <w:lang w:val="fr-FR"/>
              </w:rPr>
              <w:t>ar</w:t>
            </w:r>
            <w:proofErr w:type="spellEnd"/>
            <w:r w:rsidRPr="000E5DD6">
              <w:rPr>
                <w:rFonts w:ascii="Times New Roman" w:hAnsi="Times New Roman" w:cs="Times New Roman"/>
                <w:b/>
                <w:bCs/>
                <w:color w:val="000000" w:themeColor="text1"/>
                <w:lang w:val="fr-FR"/>
              </w:rPr>
              <w:t xml:space="preserve"> duce la </w:t>
            </w:r>
            <w:proofErr w:type="spellStart"/>
            <w:r w:rsidRPr="000E5DD6">
              <w:rPr>
                <w:rFonts w:ascii="Times New Roman" w:hAnsi="Times New Roman" w:cs="Times New Roman"/>
                <w:b/>
                <w:bCs/>
                <w:color w:val="000000" w:themeColor="text1"/>
                <w:lang w:val="fr-FR"/>
              </w:rPr>
              <w:t>clasificarea</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sub</w:t>
            </w:r>
            <w:proofErr w:type="spellEnd"/>
            <w:r w:rsidRPr="000E5DD6">
              <w:rPr>
                <w:rFonts w:ascii="Times New Roman" w:hAnsi="Times New Roman" w:cs="Times New Roman"/>
                <w:b/>
                <w:bCs/>
                <w:color w:val="000000" w:themeColor="text1"/>
                <w:lang w:val="fr-FR"/>
              </w:rPr>
              <w:t xml:space="preserve"> un alt </w:t>
            </w:r>
            <w:proofErr w:type="spellStart"/>
            <w:r w:rsidRPr="000E5DD6">
              <w:rPr>
                <w:rFonts w:ascii="Times New Roman" w:hAnsi="Times New Roman" w:cs="Times New Roman"/>
                <w:b/>
                <w:bCs/>
                <w:color w:val="000000" w:themeColor="text1"/>
                <w:lang w:val="fr-FR"/>
              </w:rPr>
              <w:t>cod</w:t>
            </w:r>
            <w:proofErr w:type="spellEnd"/>
            <w:r w:rsidRPr="000E5DD6">
              <w:rPr>
                <w:rFonts w:ascii="Times New Roman" w:hAnsi="Times New Roman" w:cs="Times New Roman"/>
                <w:b/>
                <w:bCs/>
                <w:color w:val="000000" w:themeColor="text1"/>
                <w:lang w:val="fr-FR"/>
              </w:rPr>
              <w:t xml:space="preserve"> NC </w:t>
            </w:r>
            <w:r w:rsidRPr="000E5DD6">
              <w:rPr>
                <w:rFonts w:ascii="Times New Roman" w:hAnsi="Times New Roman" w:cs="Times New Roman"/>
                <w:b/>
                <w:bCs/>
                <w:color w:val="000000" w:themeColor="text1"/>
                <w:vertAlign w:val="superscript"/>
                <w:lang w:val="fr-FR"/>
              </w:rPr>
              <w:t>(1)</w:t>
            </w:r>
          </w:p>
        </w:tc>
        <w:tc>
          <w:tcPr>
            <w:tcW w:w="1008" w:type="dxa"/>
          </w:tcPr>
          <w:p w14:paraId="5D0B7EE8" w14:textId="2B218190" w:rsidR="005671A2" w:rsidRPr="000E5DD6" w:rsidRDefault="005671A2" w:rsidP="000E5DD6">
            <w:pPr>
              <w:jc w:val="center"/>
              <w:rPr>
                <w:rFonts w:ascii="Times New Roman" w:hAnsi="Times New Roman" w:cs="Times New Roman"/>
                <w:b/>
                <w:bCs/>
                <w:color w:val="000000" w:themeColor="text1"/>
                <w:lang w:val="fr-FR"/>
              </w:rPr>
            </w:pPr>
            <w:proofErr w:type="spellStart"/>
            <w:r w:rsidRPr="000E5DD6">
              <w:rPr>
                <w:rFonts w:ascii="Times New Roman" w:hAnsi="Times New Roman" w:cs="Times New Roman"/>
                <w:b/>
                <w:bCs/>
                <w:color w:val="000000" w:themeColor="text1"/>
                <w:lang w:val="fr-FR"/>
              </w:rPr>
              <w:t>Autoritatea</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responsabilă</w:t>
            </w:r>
            <w:proofErr w:type="spellEnd"/>
            <w:r w:rsidRPr="000E5DD6">
              <w:rPr>
                <w:rFonts w:ascii="Times New Roman" w:hAnsi="Times New Roman" w:cs="Times New Roman"/>
                <w:b/>
                <w:bCs/>
                <w:color w:val="000000" w:themeColor="text1"/>
                <w:lang w:val="fr-FR"/>
              </w:rPr>
              <w:t xml:space="preserve"> de </w:t>
            </w:r>
            <w:proofErr w:type="spellStart"/>
            <w:r w:rsidRPr="000E5DD6">
              <w:rPr>
                <w:rFonts w:ascii="Times New Roman" w:hAnsi="Times New Roman" w:cs="Times New Roman"/>
                <w:b/>
                <w:bCs/>
                <w:color w:val="000000" w:themeColor="text1"/>
                <w:lang w:val="fr-FR"/>
              </w:rPr>
              <w:t>supravegherea</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pieței</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și</w:t>
            </w:r>
            <w:proofErr w:type="spellEnd"/>
            <w:r w:rsidRPr="000E5DD6">
              <w:rPr>
                <w:rFonts w:ascii="Times New Roman" w:hAnsi="Times New Roman" w:cs="Times New Roman"/>
                <w:b/>
                <w:bCs/>
                <w:color w:val="000000" w:themeColor="text1"/>
                <w:lang w:val="fr-FR"/>
              </w:rPr>
              <w:t xml:space="preserve"> control de stat</w:t>
            </w:r>
          </w:p>
        </w:tc>
      </w:tr>
      <w:tr w:rsidR="003738A4" w:rsidRPr="000E5DD6" w14:paraId="7869991B" w14:textId="3538399B" w:rsidTr="005671A2">
        <w:tc>
          <w:tcPr>
            <w:tcW w:w="499" w:type="dxa"/>
          </w:tcPr>
          <w:p w14:paraId="74524B47"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1.</w:t>
            </w:r>
          </w:p>
        </w:tc>
        <w:tc>
          <w:tcPr>
            <w:tcW w:w="1825" w:type="dxa"/>
          </w:tcPr>
          <w:p w14:paraId="141ED6C9"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Acid</w:t>
            </w:r>
            <w:proofErr w:type="spellEnd"/>
            <w:r w:rsidRPr="000E5DD6">
              <w:rPr>
                <w:rFonts w:ascii="Times New Roman" w:hAnsi="Times New Roman" w:cs="Times New Roman"/>
                <w:color w:val="000000" w:themeColor="text1"/>
                <w:sz w:val="24"/>
                <w:szCs w:val="24"/>
              </w:rPr>
              <w:t xml:space="preserve"> </w:t>
            </w:r>
            <w:proofErr w:type="spellStart"/>
            <w:r w:rsidRPr="000E5DD6">
              <w:rPr>
                <w:rFonts w:ascii="Times New Roman" w:hAnsi="Times New Roman" w:cs="Times New Roman"/>
                <w:color w:val="000000" w:themeColor="text1"/>
                <w:sz w:val="24"/>
                <w:szCs w:val="24"/>
              </w:rPr>
              <w:t>azotic</w:t>
            </w:r>
            <w:proofErr w:type="spellEnd"/>
            <w:r w:rsidRPr="000E5DD6">
              <w:rPr>
                <w:rFonts w:ascii="Times New Roman" w:hAnsi="Times New Roman" w:cs="Times New Roman"/>
                <w:color w:val="000000" w:themeColor="text1"/>
                <w:sz w:val="24"/>
                <w:szCs w:val="24"/>
              </w:rPr>
              <w:t xml:space="preserve"> (CAS RN 7697-37-2)</w:t>
            </w:r>
          </w:p>
        </w:tc>
        <w:tc>
          <w:tcPr>
            <w:tcW w:w="1635" w:type="dxa"/>
          </w:tcPr>
          <w:p w14:paraId="7E229763"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3 % g/g</w:t>
            </w:r>
          </w:p>
        </w:tc>
        <w:tc>
          <w:tcPr>
            <w:tcW w:w="1669" w:type="dxa"/>
          </w:tcPr>
          <w:p w14:paraId="10169DEA"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10 % g/g</w:t>
            </w:r>
          </w:p>
        </w:tc>
        <w:tc>
          <w:tcPr>
            <w:tcW w:w="1711" w:type="dxa"/>
          </w:tcPr>
          <w:p w14:paraId="4EB4D1AE"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2808 00 00</w:t>
            </w:r>
          </w:p>
        </w:tc>
        <w:tc>
          <w:tcPr>
            <w:tcW w:w="1569" w:type="dxa"/>
          </w:tcPr>
          <w:p w14:paraId="09DCD87B"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4906B1EB" w14:textId="77777777" w:rsidR="005671A2" w:rsidRPr="000E5DD6" w:rsidRDefault="005671A2" w:rsidP="000E5DD6">
            <w:pPr>
              <w:jc w:val="center"/>
              <w:rPr>
                <w:rFonts w:ascii="Times New Roman" w:hAnsi="Times New Roman" w:cs="Times New Roman"/>
                <w:color w:val="000000" w:themeColor="text1"/>
                <w:sz w:val="24"/>
                <w:szCs w:val="24"/>
              </w:rPr>
            </w:pPr>
          </w:p>
        </w:tc>
      </w:tr>
      <w:tr w:rsidR="003738A4" w:rsidRPr="000E5DD6" w14:paraId="4A176EBC" w14:textId="245DBA7D" w:rsidTr="005671A2">
        <w:tc>
          <w:tcPr>
            <w:tcW w:w="499" w:type="dxa"/>
          </w:tcPr>
          <w:p w14:paraId="0623AA61"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2.</w:t>
            </w:r>
          </w:p>
        </w:tc>
        <w:tc>
          <w:tcPr>
            <w:tcW w:w="1825" w:type="dxa"/>
          </w:tcPr>
          <w:p w14:paraId="214C1199" w14:textId="77777777" w:rsidR="005671A2" w:rsidRPr="000E5DD6" w:rsidRDefault="005671A2"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Peroxid</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hidrogen</w:t>
            </w:r>
            <w:proofErr w:type="spellEnd"/>
            <w:r w:rsidRPr="000E5DD6">
              <w:rPr>
                <w:rFonts w:ascii="Times New Roman" w:hAnsi="Times New Roman" w:cs="Times New Roman"/>
                <w:color w:val="000000" w:themeColor="text1"/>
                <w:sz w:val="24"/>
                <w:szCs w:val="24"/>
                <w:lang w:val="fr-FR"/>
              </w:rPr>
              <w:t xml:space="preserve"> (CAS RN 7722-84-1)</w:t>
            </w:r>
          </w:p>
        </w:tc>
        <w:tc>
          <w:tcPr>
            <w:tcW w:w="1635" w:type="dxa"/>
          </w:tcPr>
          <w:p w14:paraId="7E4BE38F"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12 % g/g</w:t>
            </w:r>
          </w:p>
        </w:tc>
        <w:tc>
          <w:tcPr>
            <w:tcW w:w="1669" w:type="dxa"/>
          </w:tcPr>
          <w:p w14:paraId="4065E201"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35 % g/g</w:t>
            </w:r>
          </w:p>
        </w:tc>
        <w:tc>
          <w:tcPr>
            <w:tcW w:w="1711" w:type="dxa"/>
          </w:tcPr>
          <w:p w14:paraId="1F9C2059"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2847 00 00</w:t>
            </w:r>
          </w:p>
        </w:tc>
        <w:tc>
          <w:tcPr>
            <w:tcW w:w="1569" w:type="dxa"/>
          </w:tcPr>
          <w:p w14:paraId="4391C3F5"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3AC8047C" w14:textId="76B7D5C4" w:rsidR="005671A2" w:rsidRPr="000E5DD6" w:rsidRDefault="003738A4" w:rsidP="000E5DD6">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Agenția Națională pentru Sănătate Publică</w:t>
            </w:r>
          </w:p>
        </w:tc>
      </w:tr>
      <w:tr w:rsidR="003738A4" w:rsidRPr="000E5DD6" w14:paraId="71A98E3F" w14:textId="3A2EA1C4" w:rsidTr="005671A2">
        <w:tc>
          <w:tcPr>
            <w:tcW w:w="499" w:type="dxa"/>
          </w:tcPr>
          <w:p w14:paraId="00000F3F"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3.</w:t>
            </w:r>
          </w:p>
        </w:tc>
        <w:tc>
          <w:tcPr>
            <w:tcW w:w="1825" w:type="dxa"/>
          </w:tcPr>
          <w:p w14:paraId="1D559B69" w14:textId="77777777" w:rsidR="005671A2" w:rsidRPr="000E5DD6" w:rsidRDefault="005671A2" w:rsidP="000E5DD6">
            <w:pPr>
              <w:ind w:firstLine="6"/>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Acid</w:t>
            </w:r>
            <w:proofErr w:type="spellEnd"/>
            <w:r w:rsidRPr="000E5DD6">
              <w:rPr>
                <w:rFonts w:ascii="Times New Roman" w:hAnsi="Times New Roman" w:cs="Times New Roman"/>
                <w:color w:val="000000" w:themeColor="text1"/>
                <w:sz w:val="24"/>
                <w:szCs w:val="24"/>
              </w:rPr>
              <w:t xml:space="preserve"> </w:t>
            </w:r>
            <w:proofErr w:type="spellStart"/>
            <w:r w:rsidRPr="000E5DD6">
              <w:rPr>
                <w:rFonts w:ascii="Times New Roman" w:hAnsi="Times New Roman" w:cs="Times New Roman"/>
                <w:color w:val="000000" w:themeColor="text1"/>
                <w:sz w:val="24"/>
                <w:szCs w:val="24"/>
              </w:rPr>
              <w:t>sulfuric</w:t>
            </w:r>
            <w:proofErr w:type="spellEnd"/>
            <w:r w:rsidRPr="000E5DD6">
              <w:rPr>
                <w:rFonts w:ascii="Times New Roman" w:hAnsi="Times New Roman" w:cs="Times New Roman"/>
                <w:color w:val="000000" w:themeColor="text1"/>
                <w:sz w:val="24"/>
                <w:szCs w:val="24"/>
              </w:rPr>
              <w:t xml:space="preserve"> (CAS RN 7664-93-9)</w:t>
            </w:r>
          </w:p>
        </w:tc>
        <w:tc>
          <w:tcPr>
            <w:tcW w:w="1635" w:type="dxa"/>
          </w:tcPr>
          <w:p w14:paraId="7837D579"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15 % g/g</w:t>
            </w:r>
          </w:p>
        </w:tc>
        <w:tc>
          <w:tcPr>
            <w:tcW w:w="1669" w:type="dxa"/>
          </w:tcPr>
          <w:p w14:paraId="110571C7"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40 % g/g</w:t>
            </w:r>
          </w:p>
        </w:tc>
        <w:tc>
          <w:tcPr>
            <w:tcW w:w="1711" w:type="dxa"/>
          </w:tcPr>
          <w:p w14:paraId="18EAABA6"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e</w:t>
            </w:r>
            <w:r w:rsidRPr="000E5DD6">
              <w:rPr>
                <w:rFonts w:ascii="Times New Roman" w:hAnsi="Times New Roman" w:cs="Times New Roman"/>
                <w:color w:val="000000" w:themeColor="text1"/>
                <w:sz w:val="24"/>
                <w:szCs w:val="24"/>
              </w:rPr>
              <w:t>x 2807 00 00</w:t>
            </w:r>
          </w:p>
        </w:tc>
        <w:tc>
          <w:tcPr>
            <w:tcW w:w="1569" w:type="dxa"/>
          </w:tcPr>
          <w:p w14:paraId="7DC7B64C"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2A00BEBC" w14:textId="1E9785D6" w:rsidR="005671A2" w:rsidRPr="000E5DD6" w:rsidRDefault="003738A4"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lang w:val="en-US"/>
              </w:rPr>
              <w:t>Agenția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Medicamentului</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și</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Dispozitivelor</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Medicale</w:t>
            </w:r>
            <w:proofErr w:type="spellEnd"/>
          </w:p>
        </w:tc>
      </w:tr>
      <w:tr w:rsidR="003738A4" w:rsidRPr="000E5DD6" w14:paraId="2391E782" w14:textId="440EB969" w:rsidTr="005671A2">
        <w:tc>
          <w:tcPr>
            <w:tcW w:w="499" w:type="dxa"/>
          </w:tcPr>
          <w:p w14:paraId="10C304D8"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4.</w:t>
            </w:r>
          </w:p>
        </w:tc>
        <w:tc>
          <w:tcPr>
            <w:tcW w:w="1825" w:type="dxa"/>
          </w:tcPr>
          <w:p w14:paraId="249D92FC"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Nitrometan</w:t>
            </w:r>
            <w:proofErr w:type="spellEnd"/>
            <w:r w:rsidRPr="000E5DD6">
              <w:rPr>
                <w:rFonts w:ascii="Times New Roman" w:hAnsi="Times New Roman" w:cs="Times New Roman"/>
                <w:color w:val="000000" w:themeColor="text1"/>
                <w:sz w:val="24"/>
                <w:szCs w:val="24"/>
              </w:rPr>
              <w:t xml:space="preserve"> (CAS RN 75-52-5)</w:t>
            </w:r>
          </w:p>
        </w:tc>
        <w:tc>
          <w:tcPr>
            <w:tcW w:w="1635" w:type="dxa"/>
          </w:tcPr>
          <w:p w14:paraId="4C1C9015"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1</w:t>
            </w:r>
            <w:r w:rsidRPr="000E5DD6">
              <w:rPr>
                <w:rFonts w:ascii="Times New Roman" w:hAnsi="Times New Roman" w:cs="Times New Roman"/>
                <w:color w:val="000000" w:themeColor="text1"/>
                <w:sz w:val="24"/>
                <w:szCs w:val="24"/>
              </w:rPr>
              <w:t>6 % g/g</w:t>
            </w:r>
          </w:p>
        </w:tc>
        <w:tc>
          <w:tcPr>
            <w:tcW w:w="1669" w:type="dxa"/>
          </w:tcPr>
          <w:p w14:paraId="7ED05ADB"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100 % g/g</w:t>
            </w:r>
          </w:p>
        </w:tc>
        <w:tc>
          <w:tcPr>
            <w:tcW w:w="1711" w:type="dxa"/>
          </w:tcPr>
          <w:p w14:paraId="1A3A6C9C"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2904 20 00</w:t>
            </w:r>
          </w:p>
        </w:tc>
        <w:tc>
          <w:tcPr>
            <w:tcW w:w="1569" w:type="dxa"/>
          </w:tcPr>
          <w:p w14:paraId="4E65699F"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3824 99 92</w:t>
            </w:r>
          </w:p>
        </w:tc>
        <w:tc>
          <w:tcPr>
            <w:tcW w:w="1008" w:type="dxa"/>
          </w:tcPr>
          <w:p w14:paraId="03EBD15B" w14:textId="20BE9F89" w:rsidR="005671A2" w:rsidRPr="000E5DD6" w:rsidRDefault="003738A4" w:rsidP="000E5DD6">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Ministerul Mediului</w:t>
            </w:r>
          </w:p>
        </w:tc>
      </w:tr>
      <w:tr w:rsidR="003738A4" w:rsidRPr="000E5DD6" w14:paraId="09F96F97" w14:textId="5667B3C2" w:rsidTr="005671A2">
        <w:tc>
          <w:tcPr>
            <w:tcW w:w="499" w:type="dxa"/>
          </w:tcPr>
          <w:p w14:paraId="2F6B2B89"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5.</w:t>
            </w:r>
          </w:p>
        </w:tc>
        <w:tc>
          <w:tcPr>
            <w:tcW w:w="1825" w:type="dxa"/>
          </w:tcPr>
          <w:p w14:paraId="3D720149" w14:textId="07AA3B9B" w:rsidR="005671A2" w:rsidRPr="000E5DD6" w:rsidRDefault="003738A4" w:rsidP="000E5DD6">
            <w:pPr>
              <w:jc w:val="center"/>
              <w:rPr>
                <w:rFonts w:ascii="Times New Roman" w:hAnsi="Times New Roman" w:cs="Times New Roman"/>
                <w:color w:val="000000" w:themeColor="text1"/>
                <w:sz w:val="24"/>
                <w:szCs w:val="24"/>
                <w:lang w:val="fr-FR"/>
              </w:rPr>
            </w:pPr>
            <w:proofErr w:type="spellStart"/>
            <w:r>
              <w:rPr>
                <w:rFonts w:ascii="Times New Roman" w:hAnsi="Times New Roman" w:cs="Times New Roman"/>
                <w:color w:val="000000" w:themeColor="text1"/>
                <w:sz w:val="24"/>
                <w:szCs w:val="24"/>
                <w:lang w:val="fr-FR"/>
              </w:rPr>
              <w:t>N</w:t>
            </w:r>
            <w:r w:rsidR="005671A2" w:rsidRPr="000E5DD6">
              <w:rPr>
                <w:rFonts w:ascii="Times New Roman" w:hAnsi="Times New Roman" w:cs="Times New Roman"/>
                <w:color w:val="000000" w:themeColor="text1"/>
                <w:sz w:val="24"/>
                <w:szCs w:val="24"/>
                <w:lang w:val="fr-FR"/>
              </w:rPr>
              <w:t>itrat</w:t>
            </w:r>
            <w:proofErr w:type="spellEnd"/>
            <w:r w:rsidR="005671A2" w:rsidRPr="000E5DD6">
              <w:rPr>
                <w:rFonts w:ascii="Times New Roman" w:hAnsi="Times New Roman" w:cs="Times New Roman"/>
                <w:color w:val="000000" w:themeColor="text1"/>
                <w:sz w:val="24"/>
                <w:szCs w:val="24"/>
                <w:lang w:val="fr-FR"/>
              </w:rPr>
              <w:t xml:space="preserve"> de </w:t>
            </w:r>
            <w:proofErr w:type="spellStart"/>
            <w:r w:rsidR="005671A2" w:rsidRPr="000E5DD6">
              <w:rPr>
                <w:rFonts w:ascii="Times New Roman" w:hAnsi="Times New Roman" w:cs="Times New Roman"/>
                <w:color w:val="000000" w:themeColor="text1"/>
                <w:sz w:val="24"/>
                <w:szCs w:val="24"/>
                <w:lang w:val="fr-FR"/>
              </w:rPr>
              <w:t>amoniu</w:t>
            </w:r>
            <w:proofErr w:type="spellEnd"/>
            <w:r w:rsidR="005671A2" w:rsidRPr="000E5DD6">
              <w:rPr>
                <w:rFonts w:ascii="Times New Roman" w:hAnsi="Times New Roman" w:cs="Times New Roman"/>
                <w:color w:val="000000" w:themeColor="text1"/>
                <w:sz w:val="24"/>
                <w:szCs w:val="24"/>
                <w:lang w:val="fr-FR"/>
              </w:rPr>
              <w:t xml:space="preserve"> (CAS RN 6484-52-2)</w:t>
            </w:r>
          </w:p>
        </w:tc>
        <w:tc>
          <w:tcPr>
            <w:tcW w:w="1635" w:type="dxa"/>
          </w:tcPr>
          <w:p w14:paraId="59A8112E" w14:textId="77777777" w:rsidR="005671A2" w:rsidRPr="000E5DD6" w:rsidRDefault="005671A2" w:rsidP="000E5DD6">
            <w:pPr>
              <w:jc w:val="center"/>
              <w:rPr>
                <w:rFonts w:ascii="Times New Roman" w:hAnsi="Times New Roman" w:cs="Times New Roman"/>
                <w:color w:val="000000" w:themeColor="text1"/>
                <w:sz w:val="24"/>
                <w:szCs w:val="24"/>
                <w:lang w:val="en-US"/>
              </w:rPr>
            </w:pPr>
            <w:r w:rsidRPr="000E5DD6">
              <w:rPr>
                <w:rFonts w:ascii="Times New Roman" w:hAnsi="Times New Roman" w:cs="Times New Roman"/>
                <w:color w:val="000000" w:themeColor="text1"/>
                <w:sz w:val="24"/>
                <w:szCs w:val="24"/>
                <w:lang w:val="en-US"/>
              </w:rPr>
              <w:t xml:space="preserve">16 % g/g </w:t>
            </w:r>
            <w:proofErr w:type="spellStart"/>
            <w:r w:rsidRPr="000E5DD6">
              <w:rPr>
                <w:rFonts w:ascii="Times New Roman" w:hAnsi="Times New Roman" w:cs="Times New Roman"/>
                <w:color w:val="000000" w:themeColor="text1"/>
                <w:sz w:val="24"/>
                <w:szCs w:val="24"/>
                <w:lang w:val="en-US"/>
              </w:rPr>
              <w:t>azot</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având</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drept</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proveniență</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nitratul</w:t>
            </w:r>
            <w:proofErr w:type="spellEnd"/>
            <w:r w:rsidRPr="000E5DD6">
              <w:rPr>
                <w:rFonts w:ascii="Times New Roman" w:hAnsi="Times New Roman" w:cs="Times New Roman"/>
                <w:color w:val="000000" w:themeColor="text1"/>
                <w:sz w:val="24"/>
                <w:szCs w:val="24"/>
                <w:lang w:val="en-US"/>
              </w:rPr>
              <w:t xml:space="preserve"> de </w:t>
            </w:r>
            <w:proofErr w:type="spellStart"/>
            <w:r w:rsidRPr="000E5DD6">
              <w:rPr>
                <w:rFonts w:ascii="Times New Roman" w:hAnsi="Times New Roman" w:cs="Times New Roman"/>
                <w:color w:val="000000" w:themeColor="text1"/>
                <w:sz w:val="24"/>
                <w:szCs w:val="24"/>
                <w:lang w:val="en-US"/>
              </w:rPr>
              <w:t>amoniu</w:t>
            </w:r>
            <w:proofErr w:type="spellEnd"/>
            <w:r w:rsidRPr="000E5DD6">
              <w:rPr>
                <w:rFonts w:ascii="Times New Roman" w:hAnsi="Times New Roman" w:cs="Times New Roman"/>
                <w:color w:val="000000" w:themeColor="text1"/>
                <w:sz w:val="24"/>
                <w:szCs w:val="24"/>
                <w:lang w:val="en-US"/>
              </w:rPr>
              <w:t xml:space="preserve"> </w:t>
            </w:r>
            <w:r w:rsidRPr="000E5DD6">
              <w:rPr>
                <w:rFonts w:ascii="Times New Roman" w:hAnsi="Times New Roman" w:cs="Times New Roman"/>
                <w:color w:val="000000" w:themeColor="text1"/>
                <w:sz w:val="24"/>
                <w:szCs w:val="24"/>
                <w:vertAlign w:val="superscript"/>
                <w:lang w:val="en-US"/>
              </w:rPr>
              <w:t>(</w:t>
            </w:r>
            <w:r w:rsidRPr="000E5DD6">
              <w:rPr>
                <w:rStyle w:val="Referinnotdesubsol"/>
                <w:rFonts w:ascii="Times New Roman" w:hAnsi="Times New Roman" w:cs="Times New Roman"/>
                <w:color w:val="000000" w:themeColor="text1"/>
                <w:sz w:val="24"/>
                <w:szCs w:val="24"/>
                <w:lang w:val="en-US"/>
              </w:rPr>
              <w:footnoteReference w:id="2"/>
            </w:r>
            <w:r w:rsidRPr="000E5DD6">
              <w:rPr>
                <w:rFonts w:ascii="Times New Roman" w:hAnsi="Times New Roman" w:cs="Times New Roman"/>
                <w:color w:val="000000" w:themeColor="text1"/>
                <w:sz w:val="24"/>
                <w:szCs w:val="24"/>
                <w:vertAlign w:val="superscript"/>
                <w:lang w:val="en-US"/>
              </w:rPr>
              <w:t>)</w:t>
            </w:r>
          </w:p>
        </w:tc>
        <w:tc>
          <w:tcPr>
            <w:tcW w:w="1669" w:type="dxa"/>
          </w:tcPr>
          <w:p w14:paraId="1FA7EC60" w14:textId="470F5644" w:rsidR="005671A2" w:rsidRPr="000E5DD6" w:rsidRDefault="005671A2" w:rsidP="000E5DD6">
            <w:pPr>
              <w:jc w:val="center"/>
              <w:rPr>
                <w:rFonts w:ascii="Times New Roman" w:hAnsi="Times New Roman" w:cs="Times New Roman"/>
                <w:color w:val="000000" w:themeColor="text1"/>
                <w:sz w:val="24"/>
                <w:szCs w:val="24"/>
                <w:lang w:val="fr-FR"/>
              </w:rPr>
            </w:pPr>
            <w:r w:rsidRPr="000E5DD6">
              <w:rPr>
                <w:rFonts w:ascii="Times New Roman" w:hAnsi="Times New Roman" w:cs="Times New Roman"/>
                <w:color w:val="000000" w:themeColor="text1"/>
                <w:sz w:val="24"/>
                <w:szCs w:val="24"/>
                <w:lang w:val="fr-FR"/>
              </w:rPr>
              <w:t xml:space="preserve">Nu este </w:t>
            </w:r>
            <w:proofErr w:type="spellStart"/>
            <w:r w:rsidRPr="000E5DD6">
              <w:rPr>
                <w:rFonts w:ascii="Times New Roman" w:hAnsi="Times New Roman" w:cs="Times New Roman"/>
                <w:color w:val="000000" w:themeColor="text1"/>
                <w:sz w:val="24"/>
                <w:szCs w:val="24"/>
                <w:lang w:val="fr-FR"/>
              </w:rPr>
              <w:t>permisă</w:t>
            </w:r>
            <w:proofErr w:type="spellEnd"/>
            <w:r w:rsidRPr="000E5DD6">
              <w:rPr>
                <w:rFonts w:ascii="Times New Roman" w:hAnsi="Times New Roman" w:cs="Times New Roman"/>
                <w:color w:val="000000" w:themeColor="text1"/>
                <w:sz w:val="24"/>
                <w:szCs w:val="24"/>
                <w:lang w:val="fr-FR"/>
              </w:rPr>
              <w:t xml:space="preserve"> </w:t>
            </w:r>
            <w:proofErr w:type="spellStart"/>
            <w:r w:rsidRPr="000E5DD6">
              <w:rPr>
                <w:rFonts w:ascii="Times New Roman" w:hAnsi="Times New Roman" w:cs="Times New Roman"/>
                <w:color w:val="000000" w:themeColor="text1"/>
                <w:sz w:val="24"/>
                <w:szCs w:val="24"/>
                <w:lang w:val="fr-FR"/>
              </w:rPr>
              <w:t>acordarea</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licenț</w:t>
            </w:r>
            <w:r w:rsidR="00306375">
              <w:rPr>
                <w:rFonts w:ascii="Times New Roman" w:hAnsi="Times New Roman" w:cs="Times New Roman"/>
                <w:color w:val="000000" w:themeColor="text1"/>
                <w:sz w:val="24"/>
                <w:szCs w:val="24"/>
                <w:lang w:val="fr-FR"/>
              </w:rPr>
              <w:t>ă</w:t>
            </w:r>
            <w:proofErr w:type="spellEnd"/>
          </w:p>
        </w:tc>
        <w:tc>
          <w:tcPr>
            <w:tcW w:w="1711" w:type="dxa"/>
          </w:tcPr>
          <w:p w14:paraId="0823F07A"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3</w:t>
            </w:r>
            <w:r w:rsidRPr="000E5DD6">
              <w:rPr>
                <w:rFonts w:ascii="Times New Roman" w:hAnsi="Times New Roman" w:cs="Times New Roman"/>
                <w:color w:val="000000" w:themeColor="text1"/>
                <w:sz w:val="24"/>
                <w:szCs w:val="24"/>
              </w:rPr>
              <w:t>102 30 10 (</w:t>
            </w:r>
            <w:proofErr w:type="spellStart"/>
            <w:r w:rsidRPr="000E5DD6">
              <w:rPr>
                <w:rFonts w:ascii="Times New Roman" w:hAnsi="Times New Roman" w:cs="Times New Roman"/>
                <w:color w:val="000000" w:themeColor="text1"/>
                <w:sz w:val="24"/>
                <w:szCs w:val="24"/>
              </w:rPr>
              <w:t>în</w:t>
            </w:r>
            <w:proofErr w:type="spellEnd"/>
            <w:r w:rsidRPr="000E5DD6">
              <w:rPr>
                <w:rFonts w:ascii="Times New Roman" w:hAnsi="Times New Roman" w:cs="Times New Roman"/>
                <w:color w:val="000000" w:themeColor="text1"/>
                <w:sz w:val="24"/>
                <w:szCs w:val="24"/>
              </w:rPr>
              <w:t xml:space="preserve"> </w:t>
            </w:r>
            <w:proofErr w:type="spellStart"/>
            <w:r w:rsidRPr="000E5DD6">
              <w:rPr>
                <w:rFonts w:ascii="Times New Roman" w:hAnsi="Times New Roman" w:cs="Times New Roman"/>
                <w:color w:val="000000" w:themeColor="text1"/>
                <w:sz w:val="24"/>
                <w:szCs w:val="24"/>
              </w:rPr>
              <w:t>soluție</w:t>
            </w:r>
            <w:proofErr w:type="spellEnd"/>
            <w:r w:rsidRPr="000E5DD6">
              <w:rPr>
                <w:rFonts w:ascii="Times New Roman" w:hAnsi="Times New Roman" w:cs="Times New Roman"/>
                <w:color w:val="000000" w:themeColor="text1"/>
                <w:sz w:val="24"/>
                <w:szCs w:val="24"/>
              </w:rPr>
              <w:t xml:space="preserve"> </w:t>
            </w:r>
            <w:proofErr w:type="spellStart"/>
            <w:r w:rsidRPr="000E5DD6">
              <w:rPr>
                <w:rFonts w:ascii="Times New Roman" w:hAnsi="Times New Roman" w:cs="Times New Roman"/>
                <w:color w:val="000000" w:themeColor="text1"/>
                <w:sz w:val="24"/>
                <w:szCs w:val="24"/>
              </w:rPr>
              <w:t>apoasă</w:t>
            </w:r>
            <w:proofErr w:type="spellEnd"/>
            <w:r w:rsidRPr="000E5DD6">
              <w:rPr>
                <w:rFonts w:ascii="Times New Roman" w:hAnsi="Times New Roman" w:cs="Times New Roman"/>
                <w:color w:val="000000" w:themeColor="text1"/>
                <w:sz w:val="24"/>
                <w:szCs w:val="24"/>
              </w:rPr>
              <w:t>) 3102 30 90 (</w:t>
            </w:r>
            <w:proofErr w:type="spellStart"/>
            <w:r w:rsidRPr="000E5DD6">
              <w:rPr>
                <w:rFonts w:ascii="Times New Roman" w:hAnsi="Times New Roman" w:cs="Times New Roman"/>
                <w:color w:val="000000" w:themeColor="text1"/>
                <w:sz w:val="24"/>
                <w:szCs w:val="24"/>
              </w:rPr>
              <w:t>altele</w:t>
            </w:r>
            <w:proofErr w:type="spellEnd"/>
            <w:r w:rsidRPr="000E5DD6">
              <w:rPr>
                <w:rFonts w:ascii="Times New Roman" w:hAnsi="Times New Roman" w:cs="Times New Roman"/>
                <w:color w:val="000000" w:themeColor="text1"/>
                <w:sz w:val="24"/>
                <w:szCs w:val="24"/>
              </w:rPr>
              <w:t>)</w:t>
            </w:r>
          </w:p>
        </w:tc>
        <w:tc>
          <w:tcPr>
            <w:tcW w:w="1569" w:type="dxa"/>
          </w:tcPr>
          <w:p w14:paraId="65CD2460"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6367ECDF" w14:textId="40A84373" w:rsidR="005671A2" w:rsidRPr="000E5DD6" w:rsidRDefault="003738A4" w:rsidP="000E5DD6">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Agenția Națională pentru Siguranța Alimentelor</w:t>
            </w:r>
          </w:p>
        </w:tc>
      </w:tr>
      <w:tr w:rsidR="003738A4" w:rsidRPr="000E5DD6" w14:paraId="7915D9D5" w14:textId="396C52BF" w:rsidTr="005671A2">
        <w:tc>
          <w:tcPr>
            <w:tcW w:w="499" w:type="dxa"/>
          </w:tcPr>
          <w:p w14:paraId="413A98DF"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6.</w:t>
            </w:r>
          </w:p>
        </w:tc>
        <w:tc>
          <w:tcPr>
            <w:tcW w:w="1825" w:type="dxa"/>
          </w:tcPr>
          <w:p w14:paraId="00077284" w14:textId="77777777" w:rsidR="005671A2" w:rsidRPr="000E5DD6" w:rsidRDefault="005671A2"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Clorat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potasiu</w:t>
            </w:r>
            <w:proofErr w:type="spellEnd"/>
            <w:r w:rsidRPr="000E5DD6">
              <w:rPr>
                <w:rFonts w:ascii="Times New Roman" w:hAnsi="Times New Roman" w:cs="Times New Roman"/>
                <w:color w:val="000000" w:themeColor="text1"/>
                <w:sz w:val="24"/>
                <w:szCs w:val="24"/>
                <w:lang w:val="fr-FR"/>
              </w:rPr>
              <w:t xml:space="preserve"> (CAS </w:t>
            </w:r>
            <w:r w:rsidRPr="000E5DD6">
              <w:rPr>
                <w:rFonts w:ascii="Times New Roman" w:hAnsi="Times New Roman" w:cs="Times New Roman"/>
                <w:color w:val="000000" w:themeColor="text1"/>
                <w:sz w:val="24"/>
                <w:szCs w:val="24"/>
                <w:lang w:val="fr-FR"/>
              </w:rPr>
              <w:lastRenderedPageBreak/>
              <w:t>RN 3811-04-9)</w:t>
            </w:r>
          </w:p>
        </w:tc>
        <w:tc>
          <w:tcPr>
            <w:tcW w:w="1635" w:type="dxa"/>
          </w:tcPr>
          <w:p w14:paraId="38C0DAB7"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lastRenderedPageBreak/>
              <w:t>40 % g/g</w:t>
            </w:r>
          </w:p>
        </w:tc>
        <w:tc>
          <w:tcPr>
            <w:tcW w:w="1669" w:type="dxa"/>
          </w:tcPr>
          <w:p w14:paraId="59937120" w14:textId="2A90AF13" w:rsidR="005671A2" w:rsidRPr="000E5DD6" w:rsidRDefault="005671A2" w:rsidP="000E5DD6">
            <w:pPr>
              <w:jc w:val="center"/>
              <w:rPr>
                <w:rFonts w:ascii="Times New Roman" w:hAnsi="Times New Roman" w:cs="Times New Roman"/>
                <w:color w:val="000000" w:themeColor="text1"/>
                <w:sz w:val="24"/>
                <w:szCs w:val="24"/>
                <w:lang w:val="fr-FR"/>
              </w:rPr>
            </w:pPr>
            <w:r w:rsidRPr="000E5DD6">
              <w:rPr>
                <w:rFonts w:ascii="Times New Roman" w:hAnsi="Times New Roman" w:cs="Times New Roman"/>
                <w:color w:val="000000" w:themeColor="text1"/>
                <w:sz w:val="24"/>
                <w:szCs w:val="24"/>
                <w:lang w:val="fr-FR"/>
              </w:rPr>
              <w:t xml:space="preserve">Nu este </w:t>
            </w:r>
            <w:proofErr w:type="spellStart"/>
            <w:r w:rsidRPr="000E5DD6">
              <w:rPr>
                <w:rFonts w:ascii="Times New Roman" w:hAnsi="Times New Roman" w:cs="Times New Roman"/>
                <w:color w:val="000000" w:themeColor="text1"/>
                <w:sz w:val="24"/>
                <w:szCs w:val="24"/>
                <w:lang w:val="fr-FR"/>
              </w:rPr>
              <w:t>permisă</w:t>
            </w:r>
            <w:proofErr w:type="spellEnd"/>
            <w:r w:rsidRPr="000E5DD6">
              <w:rPr>
                <w:rFonts w:ascii="Times New Roman" w:hAnsi="Times New Roman" w:cs="Times New Roman"/>
                <w:color w:val="000000" w:themeColor="text1"/>
                <w:sz w:val="24"/>
                <w:szCs w:val="24"/>
                <w:lang w:val="fr-FR"/>
              </w:rPr>
              <w:t xml:space="preserve"> </w:t>
            </w:r>
            <w:proofErr w:type="spellStart"/>
            <w:r w:rsidRPr="000E5DD6">
              <w:rPr>
                <w:rFonts w:ascii="Times New Roman" w:hAnsi="Times New Roman" w:cs="Times New Roman"/>
                <w:color w:val="000000" w:themeColor="text1"/>
                <w:sz w:val="24"/>
                <w:szCs w:val="24"/>
                <w:lang w:val="fr-FR"/>
              </w:rPr>
              <w:lastRenderedPageBreak/>
              <w:t>acordarea</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licen</w:t>
            </w:r>
            <w:r w:rsidR="00306375">
              <w:rPr>
                <w:rFonts w:ascii="Times New Roman" w:hAnsi="Times New Roman" w:cs="Times New Roman"/>
                <w:color w:val="000000" w:themeColor="text1"/>
                <w:sz w:val="24"/>
                <w:szCs w:val="24"/>
                <w:lang w:val="fr-FR"/>
              </w:rPr>
              <w:t>ță</w:t>
            </w:r>
            <w:proofErr w:type="spellEnd"/>
          </w:p>
        </w:tc>
        <w:tc>
          <w:tcPr>
            <w:tcW w:w="1711" w:type="dxa"/>
          </w:tcPr>
          <w:p w14:paraId="0867CD84"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lastRenderedPageBreak/>
              <w:t>e</w:t>
            </w:r>
            <w:r w:rsidRPr="000E5DD6">
              <w:rPr>
                <w:rFonts w:ascii="Times New Roman" w:hAnsi="Times New Roman" w:cs="Times New Roman"/>
                <w:color w:val="000000" w:themeColor="text1"/>
                <w:sz w:val="24"/>
                <w:szCs w:val="24"/>
              </w:rPr>
              <w:t>x 2829 19 00</w:t>
            </w:r>
          </w:p>
        </w:tc>
        <w:tc>
          <w:tcPr>
            <w:tcW w:w="1569" w:type="dxa"/>
          </w:tcPr>
          <w:p w14:paraId="11440238"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0BAF3119" w14:textId="28E670BE" w:rsidR="005671A2" w:rsidRPr="000E5DD6" w:rsidRDefault="00580947" w:rsidP="000E5DD6">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Ministerul Mediului</w:t>
            </w:r>
          </w:p>
        </w:tc>
      </w:tr>
      <w:tr w:rsidR="003738A4" w:rsidRPr="000E5DD6" w14:paraId="376DBB50" w14:textId="7FC90AA9" w:rsidTr="005671A2">
        <w:tc>
          <w:tcPr>
            <w:tcW w:w="499" w:type="dxa"/>
          </w:tcPr>
          <w:p w14:paraId="5652C91F"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7.</w:t>
            </w:r>
          </w:p>
        </w:tc>
        <w:tc>
          <w:tcPr>
            <w:tcW w:w="1825" w:type="dxa"/>
          </w:tcPr>
          <w:p w14:paraId="40FA9722" w14:textId="77777777" w:rsidR="005671A2" w:rsidRPr="000E5DD6" w:rsidRDefault="005671A2"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Perclorat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potasiu</w:t>
            </w:r>
            <w:proofErr w:type="spellEnd"/>
            <w:r w:rsidRPr="000E5DD6">
              <w:rPr>
                <w:rFonts w:ascii="Times New Roman" w:hAnsi="Times New Roman" w:cs="Times New Roman"/>
                <w:color w:val="000000" w:themeColor="text1"/>
                <w:sz w:val="24"/>
                <w:szCs w:val="24"/>
                <w:lang w:val="fr-FR"/>
              </w:rPr>
              <w:t xml:space="preserve"> (CAS RN 7778-74-7</w:t>
            </w:r>
          </w:p>
        </w:tc>
        <w:tc>
          <w:tcPr>
            <w:tcW w:w="1635" w:type="dxa"/>
          </w:tcPr>
          <w:p w14:paraId="6884CA44"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40 % g/g</w:t>
            </w:r>
          </w:p>
        </w:tc>
        <w:tc>
          <w:tcPr>
            <w:tcW w:w="1669" w:type="dxa"/>
          </w:tcPr>
          <w:p w14:paraId="49508784" w14:textId="0B993735" w:rsidR="005671A2" w:rsidRPr="000E5DD6" w:rsidRDefault="005671A2" w:rsidP="000E5DD6">
            <w:pPr>
              <w:jc w:val="center"/>
              <w:rPr>
                <w:rFonts w:ascii="Times New Roman" w:hAnsi="Times New Roman" w:cs="Times New Roman"/>
                <w:color w:val="000000" w:themeColor="text1"/>
                <w:sz w:val="24"/>
                <w:szCs w:val="24"/>
                <w:lang w:val="fr-FR"/>
              </w:rPr>
            </w:pPr>
            <w:r w:rsidRPr="000E5DD6">
              <w:rPr>
                <w:rFonts w:ascii="Times New Roman" w:hAnsi="Times New Roman" w:cs="Times New Roman"/>
                <w:color w:val="000000" w:themeColor="text1"/>
                <w:sz w:val="24"/>
                <w:szCs w:val="24"/>
                <w:lang w:val="fr-FR"/>
              </w:rPr>
              <w:t xml:space="preserve">Nu este </w:t>
            </w:r>
            <w:proofErr w:type="spellStart"/>
            <w:r w:rsidRPr="000E5DD6">
              <w:rPr>
                <w:rFonts w:ascii="Times New Roman" w:hAnsi="Times New Roman" w:cs="Times New Roman"/>
                <w:color w:val="000000" w:themeColor="text1"/>
                <w:sz w:val="24"/>
                <w:szCs w:val="24"/>
                <w:lang w:val="fr-FR"/>
              </w:rPr>
              <w:t>permisă</w:t>
            </w:r>
            <w:proofErr w:type="spellEnd"/>
            <w:r w:rsidRPr="000E5DD6">
              <w:rPr>
                <w:rFonts w:ascii="Times New Roman" w:hAnsi="Times New Roman" w:cs="Times New Roman"/>
                <w:color w:val="000000" w:themeColor="text1"/>
                <w:sz w:val="24"/>
                <w:szCs w:val="24"/>
                <w:lang w:val="fr-FR"/>
              </w:rPr>
              <w:t xml:space="preserve"> </w:t>
            </w:r>
            <w:proofErr w:type="spellStart"/>
            <w:r w:rsidRPr="000E5DD6">
              <w:rPr>
                <w:rFonts w:ascii="Times New Roman" w:hAnsi="Times New Roman" w:cs="Times New Roman"/>
                <w:color w:val="000000" w:themeColor="text1"/>
                <w:sz w:val="24"/>
                <w:szCs w:val="24"/>
                <w:lang w:val="fr-FR"/>
              </w:rPr>
              <w:t>acordarea</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licenț</w:t>
            </w:r>
            <w:r w:rsidR="00306375">
              <w:rPr>
                <w:rFonts w:ascii="Times New Roman" w:hAnsi="Times New Roman" w:cs="Times New Roman"/>
                <w:color w:val="000000" w:themeColor="text1"/>
                <w:sz w:val="24"/>
                <w:szCs w:val="24"/>
                <w:lang w:val="fr-FR"/>
              </w:rPr>
              <w:t>ă</w:t>
            </w:r>
            <w:proofErr w:type="spellEnd"/>
          </w:p>
        </w:tc>
        <w:tc>
          <w:tcPr>
            <w:tcW w:w="1711" w:type="dxa"/>
          </w:tcPr>
          <w:p w14:paraId="316BB39D"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2829 90 10</w:t>
            </w:r>
          </w:p>
        </w:tc>
        <w:tc>
          <w:tcPr>
            <w:tcW w:w="1569" w:type="dxa"/>
          </w:tcPr>
          <w:p w14:paraId="0BD64DA7"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5EAAEFE7" w14:textId="77777777" w:rsidR="005671A2" w:rsidRPr="000E5DD6" w:rsidRDefault="005671A2" w:rsidP="000E5DD6">
            <w:pPr>
              <w:jc w:val="center"/>
              <w:rPr>
                <w:rFonts w:ascii="Times New Roman" w:hAnsi="Times New Roman" w:cs="Times New Roman"/>
                <w:color w:val="000000" w:themeColor="text1"/>
                <w:sz w:val="24"/>
                <w:szCs w:val="24"/>
              </w:rPr>
            </w:pPr>
          </w:p>
        </w:tc>
      </w:tr>
      <w:tr w:rsidR="003738A4" w:rsidRPr="000E5DD6" w14:paraId="3564EB0F" w14:textId="4C1D2A12" w:rsidTr="005671A2">
        <w:tc>
          <w:tcPr>
            <w:tcW w:w="499" w:type="dxa"/>
          </w:tcPr>
          <w:p w14:paraId="07B7B605"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8.</w:t>
            </w:r>
          </w:p>
        </w:tc>
        <w:tc>
          <w:tcPr>
            <w:tcW w:w="1825" w:type="dxa"/>
          </w:tcPr>
          <w:p w14:paraId="2DCE9C02" w14:textId="77777777" w:rsidR="005671A2" w:rsidRPr="000E5DD6" w:rsidRDefault="005671A2"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Clorat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sodiu</w:t>
            </w:r>
            <w:proofErr w:type="spellEnd"/>
            <w:r w:rsidRPr="000E5DD6">
              <w:rPr>
                <w:rFonts w:ascii="Times New Roman" w:hAnsi="Times New Roman" w:cs="Times New Roman"/>
                <w:color w:val="000000" w:themeColor="text1"/>
                <w:sz w:val="24"/>
                <w:szCs w:val="24"/>
                <w:lang w:val="fr-FR"/>
              </w:rPr>
              <w:t xml:space="preserve"> (CAS RN 7775-09-9)</w:t>
            </w:r>
          </w:p>
        </w:tc>
        <w:tc>
          <w:tcPr>
            <w:tcW w:w="1635" w:type="dxa"/>
          </w:tcPr>
          <w:p w14:paraId="6A43C96C"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40 % g/g</w:t>
            </w:r>
          </w:p>
        </w:tc>
        <w:tc>
          <w:tcPr>
            <w:tcW w:w="1669" w:type="dxa"/>
          </w:tcPr>
          <w:p w14:paraId="45932620" w14:textId="0FE7B4CA" w:rsidR="005671A2" w:rsidRPr="000E5DD6" w:rsidRDefault="005671A2" w:rsidP="000E5DD6">
            <w:pPr>
              <w:jc w:val="center"/>
              <w:rPr>
                <w:rFonts w:ascii="Times New Roman" w:hAnsi="Times New Roman" w:cs="Times New Roman"/>
                <w:color w:val="000000" w:themeColor="text1"/>
                <w:sz w:val="24"/>
                <w:szCs w:val="24"/>
                <w:lang w:val="fr-FR"/>
              </w:rPr>
            </w:pPr>
            <w:r w:rsidRPr="000E5DD6">
              <w:rPr>
                <w:rFonts w:ascii="Times New Roman" w:hAnsi="Times New Roman" w:cs="Times New Roman"/>
                <w:color w:val="000000" w:themeColor="text1"/>
                <w:sz w:val="24"/>
                <w:szCs w:val="24"/>
                <w:lang w:val="fr-FR"/>
              </w:rPr>
              <w:t xml:space="preserve">Nu este </w:t>
            </w:r>
            <w:proofErr w:type="spellStart"/>
            <w:r w:rsidRPr="000E5DD6">
              <w:rPr>
                <w:rFonts w:ascii="Times New Roman" w:hAnsi="Times New Roman" w:cs="Times New Roman"/>
                <w:color w:val="000000" w:themeColor="text1"/>
                <w:sz w:val="24"/>
                <w:szCs w:val="24"/>
                <w:lang w:val="fr-FR"/>
              </w:rPr>
              <w:t>permisă</w:t>
            </w:r>
            <w:proofErr w:type="spellEnd"/>
            <w:r w:rsidRPr="000E5DD6">
              <w:rPr>
                <w:rFonts w:ascii="Times New Roman" w:hAnsi="Times New Roman" w:cs="Times New Roman"/>
                <w:color w:val="000000" w:themeColor="text1"/>
                <w:sz w:val="24"/>
                <w:szCs w:val="24"/>
                <w:lang w:val="fr-FR"/>
              </w:rPr>
              <w:t xml:space="preserve"> </w:t>
            </w:r>
            <w:proofErr w:type="spellStart"/>
            <w:r w:rsidRPr="000E5DD6">
              <w:rPr>
                <w:rFonts w:ascii="Times New Roman" w:hAnsi="Times New Roman" w:cs="Times New Roman"/>
                <w:color w:val="000000" w:themeColor="text1"/>
                <w:sz w:val="24"/>
                <w:szCs w:val="24"/>
                <w:lang w:val="fr-FR"/>
              </w:rPr>
              <w:t>acordarea</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licenț</w:t>
            </w:r>
            <w:r w:rsidR="00306375">
              <w:rPr>
                <w:rFonts w:ascii="Times New Roman" w:hAnsi="Times New Roman" w:cs="Times New Roman"/>
                <w:color w:val="000000" w:themeColor="text1"/>
                <w:sz w:val="24"/>
                <w:szCs w:val="24"/>
                <w:lang w:val="fr-FR"/>
              </w:rPr>
              <w:t>ă</w:t>
            </w:r>
            <w:proofErr w:type="spellEnd"/>
          </w:p>
        </w:tc>
        <w:tc>
          <w:tcPr>
            <w:tcW w:w="1711" w:type="dxa"/>
          </w:tcPr>
          <w:p w14:paraId="392A7710"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2829 11 00</w:t>
            </w:r>
          </w:p>
        </w:tc>
        <w:tc>
          <w:tcPr>
            <w:tcW w:w="1569" w:type="dxa"/>
          </w:tcPr>
          <w:p w14:paraId="2D2667B2"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15E3BFC5" w14:textId="6BDA43E9" w:rsidR="005671A2" w:rsidRPr="000E5DD6" w:rsidRDefault="00580947" w:rsidP="000E5DD6">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Ministerul Mediului</w:t>
            </w:r>
          </w:p>
        </w:tc>
      </w:tr>
      <w:tr w:rsidR="003738A4" w:rsidRPr="000E5DD6" w14:paraId="1DE7DC40" w14:textId="5FADF3F4" w:rsidTr="005671A2">
        <w:tc>
          <w:tcPr>
            <w:tcW w:w="499" w:type="dxa"/>
          </w:tcPr>
          <w:p w14:paraId="7B9A7EA7"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9.</w:t>
            </w:r>
          </w:p>
        </w:tc>
        <w:tc>
          <w:tcPr>
            <w:tcW w:w="1825" w:type="dxa"/>
          </w:tcPr>
          <w:p w14:paraId="70F9D58F" w14:textId="77777777" w:rsidR="005671A2" w:rsidRPr="000E5DD6" w:rsidRDefault="005671A2"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Perclorat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sodiu</w:t>
            </w:r>
            <w:proofErr w:type="spellEnd"/>
            <w:r w:rsidRPr="000E5DD6">
              <w:rPr>
                <w:rFonts w:ascii="Times New Roman" w:hAnsi="Times New Roman" w:cs="Times New Roman"/>
                <w:color w:val="000000" w:themeColor="text1"/>
                <w:sz w:val="24"/>
                <w:szCs w:val="24"/>
                <w:lang w:val="fr-FR"/>
              </w:rPr>
              <w:t xml:space="preserve"> (CAS RN 7601-89-0)</w:t>
            </w:r>
          </w:p>
        </w:tc>
        <w:tc>
          <w:tcPr>
            <w:tcW w:w="1635" w:type="dxa"/>
          </w:tcPr>
          <w:p w14:paraId="3B82C9C2" w14:textId="77777777" w:rsidR="005671A2" w:rsidRPr="000E5DD6" w:rsidRDefault="005671A2"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40 % g/g</w:t>
            </w:r>
          </w:p>
        </w:tc>
        <w:tc>
          <w:tcPr>
            <w:tcW w:w="1669" w:type="dxa"/>
          </w:tcPr>
          <w:p w14:paraId="2382E63A" w14:textId="326D40FA" w:rsidR="005671A2" w:rsidRPr="000E5DD6" w:rsidRDefault="005671A2" w:rsidP="000E5DD6">
            <w:pPr>
              <w:jc w:val="center"/>
              <w:rPr>
                <w:rFonts w:ascii="Times New Roman" w:hAnsi="Times New Roman" w:cs="Times New Roman"/>
                <w:color w:val="000000" w:themeColor="text1"/>
                <w:sz w:val="24"/>
                <w:szCs w:val="24"/>
                <w:lang w:val="fr-FR"/>
              </w:rPr>
            </w:pPr>
            <w:r w:rsidRPr="000E5DD6">
              <w:rPr>
                <w:rFonts w:ascii="Times New Roman" w:hAnsi="Times New Roman" w:cs="Times New Roman"/>
                <w:color w:val="000000" w:themeColor="text1"/>
                <w:sz w:val="24"/>
                <w:szCs w:val="24"/>
                <w:lang w:val="fr-FR"/>
              </w:rPr>
              <w:t xml:space="preserve">Nu este </w:t>
            </w:r>
            <w:proofErr w:type="spellStart"/>
            <w:r w:rsidRPr="000E5DD6">
              <w:rPr>
                <w:rFonts w:ascii="Times New Roman" w:hAnsi="Times New Roman" w:cs="Times New Roman"/>
                <w:color w:val="000000" w:themeColor="text1"/>
                <w:sz w:val="24"/>
                <w:szCs w:val="24"/>
                <w:lang w:val="fr-FR"/>
              </w:rPr>
              <w:t>permisă</w:t>
            </w:r>
            <w:proofErr w:type="spellEnd"/>
            <w:r w:rsidRPr="000E5DD6">
              <w:rPr>
                <w:rFonts w:ascii="Times New Roman" w:hAnsi="Times New Roman" w:cs="Times New Roman"/>
                <w:color w:val="000000" w:themeColor="text1"/>
                <w:sz w:val="24"/>
                <w:szCs w:val="24"/>
                <w:lang w:val="fr-FR"/>
              </w:rPr>
              <w:t xml:space="preserve"> </w:t>
            </w:r>
            <w:proofErr w:type="spellStart"/>
            <w:r w:rsidRPr="000E5DD6">
              <w:rPr>
                <w:rFonts w:ascii="Times New Roman" w:hAnsi="Times New Roman" w:cs="Times New Roman"/>
                <w:color w:val="000000" w:themeColor="text1"/>
                <w:sz w:val="24"/>
                <w:szCs w:val="24"/>
                <w:lang w:val="fr-FR"/>
              </w:rPr>
              <w:t>acordarea</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licenț</w:t>
            </w:r>
            <w:r w:rsidR="00306375">
              <w:rPr>
                <w:rFonts w:ascii="Times New Roman" w:hAnsi="Times New Roman" w:cs="Times New Roman"/>
                <w:color w:val="000000" w:themeColor="text1"/>
                <w:sz w:val="24"/>
                <w:szCs w:val="24"/>
                <w:lang w:val="fr-FR"/>
              </w:rPr>
              <w:t>ă</w:t>
            </w:r>
            <w:proofErr w:type="spellEnd"/>
          </w:p>
        </w:tc>
        <w:tc>
          <w:tcPr>
            <w:tcW w:w="1711" w:type="dxa"/>
          </w:tcPr>
          <w:p w14:paraId="6FC7153C"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2829 90 10</w:t>
            </w:r>
          </w:p>
        </w:tc>
        <w:tc>
          <w:tcPr>
            <w:tcW w:w="1569" w:type="dxa"/>
          </w:tcPr>
          <w:p w14:paraId="43869AA7" w14:textId="77777777" w:rsidR="005671A2" w:rsidRPr="000E5DD6" w:rsidRDefault="005671A2"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008" w:type="dxa"/>
          </w:tcPr>
          <w:p w14:paraId="2F74C5F0" w14:textId="77777777" w:rsidR="005671A2" w:rsidRPr="000E5DD6" w:rsidRDefault="005671A2" w:rsidP="000E5DD6">
            <w:pPr>
              <w:jc w:val="center"/>
              <w:rPr>
                <w:rFonts w:ascii="Times New Roman" w:hAnsi="Times New Roman" w:cs="Times New Roman"/>
                <w:color w:val="000000" w:themeColor="text1"/>
                <w:sz w:val="24"/>
                <w:szCs w:val="24"/>
              </w:rPr>
            </w:pPr>
          </w:p>
        </w:tc>
      </w:tr>
    </w:tbl>
    <w:p w14:paraId="62F94616" w14:textId="77777777" w:rsidR="00F91B73" w:rsidRPr="000E5DD6" w:rsidRDefault="00F91B73" w:rsidP="00F91B73">
      <w:pPr>
        <w:rPr>
          <w:rFonts w:ascii="Times New Roman" w:hAnsi="Times New Roman" w:cs="Times New Roman"/>
          <w:color w:val="000000" w:themeColor="text1"/>
          <w:sz w:val="24"/>
          <w:szCs w:val="24"/>
          <w:lang w:val="ro-RO"/>
        </w:rPr>
      </w:pPr>
    </w:p>
    <w:p w14:paraId="100294BC" w14:textId="77777777" w:rsidR="00F91B73" w:rsidRPr="000E5DD6" w:rsidRDefault="00F91B73" w:rsidP="00F91B73">
      <w:pPr>
        <w:rPr>
          <w:rFonts w:ascii="Times New Roman" w:hAnsi="Times New Roman" w:cs="Times New Roman"/>
          <w:color w:val="000000" w:themeColor="text1"/>
          <w:sz w:val="24"/>
          <w:szCs w:val="24"/>
          <w:lang w:val="ro-RO"/>
        </w:rPr>
      </w:pPr>
    </w:p>
    <w:p w14:paraId="4E10A280" w14:textId="77777777" w:rsidR="00F91B73" w:rsidRPr="000E5DD6" w:rsidRDefault="00F91B73" w:rsidP="00F91B73">
      <w:pPr>
        <w:rPr>
          <w:rFonts w:ascii="Times New Roman" w:hAnsi="Times New Roman" w:cs="Times New Roman"/>
          <w:color w:val="000000" w:themeColor="text1"/>
          <w:sz w:val="24"/>
          <w:szCs w:val="24"/>
          <w:lang w:val="ro-RO"/>
        </w:rPr>
      </w:pPr>
    </w:p>
    <w:p w14:paraId="6F36D6CC" w14:textId="77777777" w:rsidR="00F91B73" w:rsidRPr="000E5DD6" w:rsidRDefault="00F91B73" w:rsidP="00F91B73">
      <w:pPr>
        <w:rPr>
          <w:rFonts w:ascii="Times New Roman" w:hAnsi="Times New Roman" w:cs="Times New Roman"/>
          <w:color w:val="000000" w:themeColor="text1"/>
          <w:sz w:val="24"/>
          <w:szCs w:val="24"/>
          <w:lang w:val="ro-RO"/>
        </w:rPr>
      </w:pPr>
    </w:p>
    <w:p w14:paraId="25DB4932" w14:textId="77777777" w:rsidR="00F91B73" w:rsidRPr="000E5DD6" w:rsidRDefault="00F91B73" w:rsidP="00F91B73">
      <w:pPr>
        <w:rPr>
          <w:rFonts w:ascii="Times New Roman" w:hAnsi="Times New Roman" w:cs="Times New Roman"/>
          <w:color w:val="000000" w:themeColor="text1"/>
          <w:sz w:val="24"/>
          <w:szCs w:val="24"/>
          <w:lang w:val="ro-RO"/>
        </w:rPr>
      </w:pPr>
    </w:p>
    <w:p w14:paraId="6893CB05" w14:textId="77777777" w:rsidR="00F91B73" w:rsidRPr="000E5DD6" w:rsidRDefault="00F91B73" w:rsidP="00F91B73">
      <w:pPr>
        <w:rPr>
          <w:rFonts w:ascii="Times New Roman" w:hAnsi="Times New Roman" w:cs="Times New Roman"/>
          <w:color w:val="000000" w:themeColor="text1"/>
          <w:sz w:val="24"/>
          <w:szCs w:val="24"/>
          <w:lang w:val="ro-RO"/>
        </w:rPr>
      </w:pPr>
    </w:p>
    <w:p w14:paraId="08E06014" w14:textId="77777777" w:rsidR="00F91B73" w:rsidRPr="000E5DD6" w:rsidRDefault="00F91B73" w:rsidP="00F91B73">
      <w:pPr>
        <w:rPr>
          <w:rFonts w:ascii="Times New Roman" w:hAnsi="Times New Roman" w:cs="Times New Roman"/>
          <w:color w:val="000000" w:themeColor="text1"/>
          <w:sz w:val="24"/>
          <w:szCs w:val="24"/>
          <w:lang w:val="ro-RO"/>
        </w:rPr>
      </w:pPr>
    </w:p>
    <w:p w14:paraId="22D289E7" w14:textId="77777777" w:rsidR="00F91B73" w:rsidRPr="000E5DD6" w:rsidRDefault="00F91B73" w:rsidP="00F91B73">
      <w:pPr>
        <w:rPr>
          <w:rFonts w:ascii="Times New Roman" w:hAnsi="Times New Roman" w:cs="Times New Roman"/>
          <w:color w:val="000000" w:themeColor="text1"/>
          <w:sz w:val="24"/>
          <w:szCs w:val="24"/>
          <w:lang w:val="ro-RO"/>
        </w:rPr>
      </w:pPr>
    </w:p>
    <w:p w14:paraId="020123F6" w14:textId="77777777" w:rsidR="00F91B73" w:rsidRPr="000E5DD6" w:rsidRDefault="00F91B73" w:rsidP="00F91B73">
      <w:pPr>
        <w:rPr>
          <w:rFonts w:ascii="Times New Roman" w:hAnsi="Times New Roman" w:cs="Times New Roman"/>
          <w:color w:val="000000" w:themeColor="text1"/>
          <w:sz w:val="24"/>
          <w:szCs w:val="24"/>
          <w:lang w:val="ro-RO"/>
        </w:rPr>
      </w:pPr>
    </w:p>
    <w:p w14:paraId="00CD3AF6" w14:textId="77777777" w:rsidR="00F91B73" w:rsidRPr="000E5DD6" w:rsidRDefault="00F91B73" w:rsidP="00F91B73">
      <w:pPr>
        <w:rPr>
          <w:rFonts w:ascii="Times New Roman" w:hAnsi="Times New Roman" w:cs="Times New Roman"/>
          <w:color w:val="000000" w:themeColor="text1"/>
          <w:sz w:val="24"/>
          <w:szCs w:val="24"/>
          <w:lang w:val="ro-RO"/>
        </w:rPr>
      </w:pPr>
    </w:p>
    <w:p w14:paraId="5C5B9163" w14:textId="77777777" w:rsidR="00F91B73" w:rsidRPr="000E5DD6" w:rsidRDefault="00F91B73" w:rsidP="00F91B73">
      <w:pPr>
        <w:rPr>
          <w:rFonts w:ascii="Times New Roman" w:hAnsi="Times New Roman" w:cs="Times New Roman"/>
          <w:color w:val="000000" w:themeColor="text1"/>
          <w:sz w:val="24"/>
          <w:szCs w:val="24"/>
          <w:lang w:val="ro-RO"/>
        </w:rPr>
      </w:pPr>
    </w:p>
    <w:p w14:paraId="3FE55F45" w14:textId="77777777" w:rsidR="00F91B73" w:rsidRPr="000E5DD6" w:rsidRDefault="00F91B73" w:rsidP="00F91B73">
      <w:pPr>
        <w:rPr>
          <w:rFonts w:ascii="Times New Roman" w:hAnsi="Times New Roman" w:cs="Times New Roman"/>
          <w:color w:val="000000" w:themeColor="text1"/>
          <w:sz w:val="24"/>
          <w:szCs w:val="24"/>
          <w:lang w:val="ro-RO"/>
        </w:rPr>
      </w:pPr>
    </w:p>
    <w:p w14:paraId="5D84BEC5" w14:textId="77777777" w:rsidR="00F91B73" w:rsidRPr="000E5DD6" w:rsidRDefault="00F91B73" w:rsidP="00F91B73">
      <w:pPr>
        <w:rPr>
          <w:rFonts w:ascii="Times New Roman" w:hAnsi="Times New Roman" w:cs="Times New Roman"/>
          <w:color w:val="000000" w:themeColor="text1"/>
          <w:sz w:val="24"/>
          <w:szCs w:val="24"/>
          <w:lang w:val="ro-RO"/>
        </w:rPr>
      </w:pPr>
    </w:p>
    <w:p w14:paraId="1F654AE5" w14:textId="77777777" w:rsidR="00186D7A" w:rsidRPr="000E5DD6" w:rsidRDefault="00186D7A" w:rsidP="00F91B73">
      <w:pPr>
        <w:rPr>
          <w:rFonts w:ascii="Times New Roman" w:hAnsi="Times New Roman" w:cs="Times New Roman"/>
          <w:color w:val="000000" w:themeColor="text1"/>
          <w:sz w:val="24"/>
          <w:szCs w:val="24"/>
          <w:lang w:val="ro-RO"/>
        </w:rPr>
      </w:pPr>
    </w:p>
    <w:p w14:paraId="0B73B3DF" w14:textId="77777777" w:rsidR="00186D7A" w:rsidRPr="000E5DD6" w:rsidRDefault="00186D7A" w:rsidP="00F91B73">
      <w:pPr>
        <w:rPr>
          <w:rFonts w:ascii="Times New Roman" w:hAnsi="Times New Roman" w:cs="Times New Roman"/>
          <w:color w:val="000000" w:themeColor="text1"/>
          <w:sz w:val="24"/>
          <w:szCs w:val="24"/>
          <w:lang w:val="ro-RO"/>
        </w:rPr>
      </w:pPr>
    </w:p>
    <w:p w14:paraId="6875E029" w14:textId="77777777" w:rsidR="00186D7A" w:rsidRPr="000E5DD6" w:rsidRDefault="00186D7A" w:rsidP="00F91B73">
      <w:pPr>
        <w:rPr>
          <w:rFonts w:ascii="Times New Roman" w:hAnsi="Times New Roman" w:cs="Times New Roman"/>
          <w:color w:val="000000" w:themeColor="text1"/>
          <w:sz w:val="24"/>
          <w:szCs w:val="24"/>
          <w:lang w:val="ro-RO"/>
        </w:rPr>
      </w:pPr>
    </w:p>
    <w:p w14:paraId="5FBF869E" w14:textId="77777777" w:rsidR="00186D7A" w:rsidRPr="000E5DD6" w:rsidRDefault="00186D7A" w:rsidP="00F91B73">
      <w:pPr>
        <w:rPr>
          <w:rFonts w:ascii="Times New Roman" w:hAnsi="Times New Roman" w:cs="Times New Roman"/>
          <w:color w:val="000000" w:themeColor="text1"/>
          <w:sz w:val="24"/>
          <w:szCs w:val="24"/>
          <w:lang w:val="ro-RO"/>
        </w:rPr>
      </w:pPr>
    </w:p>
    <w:p w14:paraId="229B6805" w14:textId="77777777" w:rsidR="00186D7A" w:rsidRPr="000E5DD6" w:rsidRDefault="00186D7A" w:rsidP="00F91B73">
      <w:pPr>
        <w:rPr>
          <w:rFonts w:ascii="Times New Roman" w:hAnsi="Times New Roman" w:cs="Times New Roman"/>
          <w:color w:val="000000" w:themeColor="text1"/>
          <w:sz w:val="24"/>
          <w:szCs w:val="24"/>
          <w:lang w:val="ro-RO"/>
        </w:rPr>
      </w:pPr>
    </w:p>
    <w:p w14:paraId="3761205C" w14:textId="77777777" w:rsidR="00186D7A" w:rsidRPr="000E5DD6" w:rsidRDefault="00186D7A" w:rsidP="00F91B73">
      <w:pPr>
        <w:rPr>
          <w:rFonts w:ascii="Times New Roman" w:hAnsi="Times New Roman" w:cs="Times New Roman"/>
          <w:color w:val="000000" w:themeColor="text1"/>
          <w:sz w:val="24"/>
          <w:szCs w:val="24"/>
          <w:lang w:val="ro-RO"/>
        </w:rPr>
      </w:pPr>
    </w:p>
    <w:p w14:paraId="2F84E095" w14:textId="77777777" w:rsidR="00186D7A" w:rsidRPr="000E5DD6" w:rsidRDefault="00186D7A" w:rsidP="00F91B73">
      <w:pPr>
        <w:rPr>
          <w:rFonts w:ascii="Times New Roman" w:hAnsi="Times New Roman" w:cs="Times New Roman"/>
          <w:color w:val="000000" w:themeColor="text1"/>
          <w:sz w:val="24"/>
          <w:szCs w:val="24"/>
          <w:lang w:val="ro-RO"/>
        </w:rPr>
      </w:pPr>
    </w:p>
    <w:p w14:paraId="22AF478D" w14:textId="77777777" w:rsidR="00186D7A" w:rsidRPr="000E5DD6" w:rsidRDefault="00186D7A" w:rsidP="00F91B73">
      <w:pPr>
        <w:rPr>
          <w:rFonts w:ascii="Times New Roman" w:hAnsi="Times New Roman" w:cs="Times New Roman"/>
          <w:color w:val="000000" w:themeColor="text1"/>
          <w:sz w:val="24"/>
          <w:szCs w:val="24"/>
          <w:lang w:val="ro-RO"/>
        </w:rPr>
      </w:pPr>
    </w:p>
    <w:p w14:paraId="058B4A7A" w14:textId="77777777" w:rsidR="00186D7A" w:rsidRPr="000E5DD6" w:rsidRDefault="00186D7A" w:rsidP="00F91B73">
      <w:pPr>
        <w:rPr>
          <w:rFonts w:ascii="Times New Roman" w:hAnsi="Times New Roman" w:cs="Times New Roman"/>
          <w:color w:val="000000" w:themeColor="text1"/>
          <w:sz w:val="24"/>
          <w:szCs w:val="24"/>
          <w:lang w:val="ro-RO"/>
        </w:rPr>
      </w:pPr>
    </w:p>
    <w:p w14:paraId="1C845A31" w14:textId="77777777" w:rsidR="00F91B73" w:rsidRPr="000E5DD6" w:rsidRDefault="00F91B73" w:rsidP="00F91B73">
      <w:pPr>
        <w:rPr>
          <w:rFonts w:ascii="Times New Roman" w:hAnsi="Times New Roman" w:cs="Times New Roman"/>
          <w:color w:val="000000" w:themeColor="text1"/>
          <w:sz w:val="24"/>
          <w:szCs w:val="24"/>
          <w:lang w:val="ro-RO"/>
        </w:rPr>
      </w:pPr>
    </w:p>
    <w:p w14:paraId="29DD6A1D" w14:textId="77777777" w:rsidR="00F91B73" w:rsidRPr="000E5DD6" w:rsidRDefault="00F91B73" w:rsidP="00F91B73">
      <w:pPr>
        <w:ind w:left="5670" w:firstLine="2552"/>
        <w:jc w:val="both"/>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lastRenderedPageBreak/>
        <w:t xml:space="preserve">Anexa nr. 2 </w:t>
      </w:r>
    </w:p>
    <w:p w14:paraId="6A00371F" w14:textId="77777777" w:rsidR="00F91B73" w:rsidRPr="000E5DD6" w:rsidRDefault="00F91B73" w:rsidP="00F91B73">
      <w:pPr>
        <w:rPr>
          <w:rFonts w:ascii="Times New Roman" w:hAnsi="Times New Roman" w:cs="Times New Roman"/>
          <w:color w:val="000000" w:themeColor="text1"/>
          <w:sz w:val="24"/>
          <w:szCs w:val="24"/>
          <w:lang w:val="ro-RO"/>
        </w:rPr>
      </w:pPr>
    </w:p>
    <w:p w14:paraId="254F990C" w14:textId="77777777" w:rsidR="00F91B73" w:rsidRPr="000E5DD6" w:rsidRDefault="00F91B73" w:rsidP="00F91B73">
      <w:pPr>
        <w:spacing w:after="0"/>
        <w:jc w:val="center"/>
        <w:rPr>
          <w:rFonts w:ascii="Times New Roman" w:hAnsi="Times New Roman" w:cs="Times New Roman"/>
          <w:b/>
          <w:bCs/>
          <w:color w:val="000000" w:themeColor="text1"/>
          <w:sz w:val="28"/>
          <w:szCs w:val="28"/>
          <w:lang w:val="ro-RO"/>
        </w:rPr>
      </w:pPr>
      <w:r w:rsidRPr="000E5DD6">
        <w:rPr>
          <w:rFonts w:ascii="Times New Roman" w:hAnsi="Times New Roman" w:cs="Times New Roman"/>
          <w:b/>
          <w:bCs/>
          <w:color w:val="000000" w:themeColor="text1"/>
          <w:sz w:val="28"/>
          <w:szCs w:val="28"/>
          <w:lang w:val="ro-RO"/>
        </w:rPr>
        <w:t>Lista precursorilor de explozivi care trebuie raportați</w:t>
      </w:r>
    </w:p>
    <w:p w14:paraId="79AF33B4" w14:textId="77777777" w:rsidR="00F91B73" w:rsidRPr="000E5DD6" w:rsidRDefault="00F91B73" w:rsidP="00F91B73">
      <w:pPr>
        <w:spacing w:after="0"/>
        <w:rPr>
          <w:rFonts w:ascii="Times New Roman" w:hAnsi="Times New Roman" w:cs="Times New Roman"/>
          <w:color w:val="000000" w:themeColor="text1"/>
          <w:sz w:val="24"/>
          <w:szCs w:val="24"/>
          <w:lang w:val="ro-RO"/>
        </w:rPr>
      </w:pPr>
    </w:p>
    <w:tbl>
      <w:tblPr>
        <w:tblStyle w:val="Tabelgril"/>
        <w:tblW w:w="0" w:type="auto"/>
        <w:tblInd w:w="-714" w:type="dxa"/>
        <w:tblLook w:val="04A0" w:firstRow="1" w:lastRow="0" w:firstColumn="1" w:lastColumn="0" w:noHBand="0" w:noVBand="1"/>
      </w:tblPr>
      <w:tblGrid>
        <w:gridCol w:w="555"/>
        <w:gridCol w:w="2510"/>
        <w:gridCol w:w="2532"/>
        <w:gridCol w:w="2529"/>
        <w:gridCol w:w="1932"/>
      </w:tblGrid>
      <w:tr w:rsidR="003738A4" w:rsidRPr="000E5DD6" w14:paraId="225FB4FC" w14:textId="73F17BE1" w:rsidTr="003F58B3">
        <w:tc>
          <w:tcPr>
            <w:tcW w:w="555" w:type="dxa"/>
          </w:tcPr>
          <w:p w14:paraId="515F7222" w14:textId="77777777" w:rsidR="003F58B3" w:rsidRPr="000E5DD6" w:rsidRDefault="003F58B3" w:rsidP="000E5DD6">
            <w:pPr>
              <w:jc w:val="center"/>
              <w:rPr>
                <w:rFonts w:ascii="Times New Roman" w:hAnsi="Times New Roman" w:cs="Times New Roman"/>
                <w:b/>
                <w:bCs/>
                <w:color w:val="000000" w:themeColor="text1"/>
                <w:sz w:val="24"/>
                <w:szCs w:val="24"/>
                <w:lang w:val="ro-RO"/>
              </w:rPr>
            </w:pPr>
            <w:r w:rsidRPr="000E5DD6">
              <w:rPr>
                <w:rFonts w:ascii="Times New Roman" w:hAnsi="Times New Roman" w:cs="Times New Roman"/>
                <w:b/>
                <w:bCs/>
                <w:color w:val="000000" w:themeColor="text1"/>
                <w:sz w:val="24"/>
                <w:szCs w:val="24"/>
                <w:lang w:val="ro-RO"/>
              </w:rPr>
              <w:t>Nr. d/o</w:t>
            </w:r>
          </w:p>
        </w:tc>
        <w:tc>
          <w:tcPr>
            <w:tcW w:w="2510" w:type="dxa"/>
          </w:tcPr>
          <w:p w14:paraId="55AA5200" w14:textId="77777777" w:rsidR="003F58B3" w:rsidRPr="000E5DD6" w:rsidRDefault="003F58B3" w:rsidP="000E5DD6">
            <w:pPr>
              <w:jc w:val="center"/>
              <w:rPr>
                <w:rFonts w:ascii="Times New Roman" w:hAnsi="Times New Roman" w:cs="Times New Roman"/>
                <w:b/>
                <w:bCs/>
                <w:color w:val="000000" w:themeColor="text1"/>
                <w:sz w:val="24"/>
                <w:szCs w:val="24"/>
                <w:lang w:val="en-US"/>
              </w:rPr>
            </w:pPr>
            <w:proofErr w:type="spellStart"/>
            <w:r w:rsidRPr="000E5DD6">
              <w:rPr>
                <w:rFonts w:ascii="Times New Roman" w:hAnsi="Times New Roman" w:cs="Times New Roman"/>
                <w:b/>
                <w:bCs/>
                <w:color w:val="000000" w:themeColor="text1"/>
                <w:sz w:val="24"/>
                <w:szCs w:val="24"/>
                <w:lang w:val="en-US"/>
              </w:rPr>
              <w:t>Denumirea</w:t>
            </w:r>
            <w:proofErr w:type="spellEnd"/>
            <w:r w:rsidRPr="000E5DD6">
              <w:rPr>
                <w:rFonts w:ascii="Times New Roman" w:hAnsi="Times New Roman" w:cs="Times New Roman"/>
                <w:b/>
                <w:bCs/>
                <w:color w:val="000000" w:themeColor="text1"/>
                <w:sz w:val="24"/>
                <w:szCs w:val="24"/>
                <w:lang w:val="en-US"/>
              </w:rPr>
              <w:t xml:space="preserve"> </w:t>
            </w:r>
            <w:proofErr w:type="spellStart"/>
            <w:r w:rsidRPr="000E5DD6">
              <w:rPr>
                <w:rFonts w:ascii="Times New Roman" w:hAnsi="Times New Roman" w:cs="Times New Roman"/>
                <w:b/>
                <w:bCs/>
                <w:color w:val="000000" w:themeColor="text1"/>
                <w:sz w:val="24"/>
                <w:szCs w:val="24"/>
                <w:lang w:val="en-US"/>
              </w:rPr>
              <w:t>substanței</w:t>
            </w:r>
            <w:proofErr w:type="spellEnd"/>
            <w:r w:rsidRPr="000E5DD6">
              <w:rPr>
                <w:rFonts w:ascii="Times New Roman" w:hAnsi="Times New Roman" w:cs="Times New Roman"/>
                <w:b/>
                <w:bCs/>
                <w:color w:val="000000" w:themeColor="text1"/>
                <w:sz w:val="24"/>
                <w:szCs w:val="24"/>
                <w:lang w:val="en-US"/>
              </w:rPr>
              <w:t xml:space="preserve"> </w:t>
            </w:r>
            <w:proofErr w:type="spellStart"/>
            <w:r w:rsidRPr="000E5DD6">
              <w:rPr>
                <w:rFonts w:ascii="Times New Roman" w:hAnsi="Times New Roman" w:cs="Times New Roman"/>
                <w:b/>
                <w:bCs/>
                <w:color w:val="000000" w:themeColor="text1"/>
                <w:sz w:val="24"/>
                <w:szCs w:val="24"/>
                <w:lang w:val="en-US"/>
              </w:rPr>
              <w:t>și</w:t>
            </w:r>
            <w:proofErr w:type="spellEnd"/>
            <w:r w:rsidRPr="000E5DD6">
              <w:rPr>
                <w:rFonts w:ascii="Times New Roman" w:hAnsi="Times New Roman" w:cs="Times New Roman"/>
                <w:b/>
                <w:bCs/>
                <w:color w:val="000000" w:themeColor="text1"/>
                <w:sz w:val="24"/>
                <w:szCs w:val="24"/>
                <w:lang w:val="en-US"/>
              </w:rPr>
              <w:t xml:space="preserve"> </w:t>
            </w:r>
            <w:proofErr w:type="spellStart"/>
            <w:r w:rsidRPr="000E5DD6">
              <w:rPr>
                <w:rFonts w:ascii="Times New Roman" w:hAnsi="Times New Roman" w:cs="Times New Roman"/>
                <w:b/>
                <w:bCs/>
                <w:color w:val="000000" w:themeColor="text1"/>
                <w:sz w:val="24"/>
                <w:szCs w:val="24"/>
                <w:lang w:val="en-US"/>
              </w:rPr>
              <w:t>numărul</w:t>
            </w:r>
            <w:proofErr w:type="spellEnd"/>
            <w:r w:rsidRPr="000E5DD6">
              <w:rPr>
                <w:rFonts w:ascii="Times New Roman" w:hAnsi="Times New Roman" w:cs="Times New Roman"/>
                <w:b/>
                <w:bCs/>
                <w:color w:val="000000" w:themeColor="text1"/>
                <w:sz w:val="24"/>
                <w:szCs w:val="24"/>
                <w:lang w:val="en-US"/>
              </w:rPr>
              <w:t xml:space="preserve"> de </w:t>
            </w:r>
            <w:proofErr w:type="spellStart"/>
            <w:r w:rsidRPr="000E5DD6">
              <w:rPr>
                <w:rFonts w:ascii="Times New Roman" w:hAnsi="Times New Roman" w:cs="Times New Roman"/>
                <w:b/>
                <w:bCs/>
                <w:color w:val="000000" w:themeColor="text1"/>
                <w:sz w:val="24"/>
                <w:szCs w:val="24"/>
                <w:lang w:val="en-US"/>
              </w:rPr>
              <w:t>înregistrare</w:t>
            </w:r>
            <w:proofErr w:type="spellEnd"/>
            <w:r w:rsidRPr="000E5DD6">
              <w:rPr>
                <w:rFonts w:ascii="Times New Roman" w:hAnsi="Times New Roman" w:cs="Times New Roman"/>
                <w:b/>
                <w:bCs/>
                <w:color w:val="000000" w:themeColor="text1"/>
                <w:sz w:val="24"/>
                <w:szCs w:val="24"/>
                <w:lang w:val="en-US"/>
              </w:rPr>
              <w:t xml:space="preserve"> al Chemical Abstracts Service (CAS RN)</w:t>
            </w:r>
          </w:p>
        </w:tc>
        <w:tc>
          <w:tcPr>
            <w:tcW w:w="2532" w:type="dxa"/>
          </w:tcPr>
          <w:p w14:paraId="0218A711" w14:textId="77777777" w:rsidR="003F58B3" w:rsidRPr="000E5DD6" w:rsidRDefault="003F58B3" w:rsidP="000E5DD6">
            <w:pPr>
              <w:jc w:val="center"/>
              <w:rPr>
                <w:rFonts w:ascii="Times New Roman" w:hAnsi="Times New Roman" w:cs="Times New Roman"/>
                <w:b/>
                <w:bCs/>
                <w:color w:val="000000" w:themeColor="text1"/>
                <w:sz w:val="24"/>
                <w:szCs w:val="24"/>
                <w:lang w:val="fr-FR"/>
              </w:rPr>
            </w:pPr>
            <w:proofErr w:type="spellStart"/>
            <w:r w:rsidRPr="000E5DD6">
              <w:rPr>
                <w:rFonts w:ascii="Times New Roman" w:hAnsi="Times New Roman" w:cs="Times New Roman"/>
                <w:b/>
                <w:bCs/>
                <w:color w:val="000000" w:themeColor="text1"/>
                <w:sz w:val="24"/>
                <w:szCs w:val="24"/>
                <w:lang w:val="fr-FR"/>
              </w:rPr>
              <w:t>Codul</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din</w:t>
            </w:r>
            <w:proofErr w:type="spellEnd"/>
            <w:r w:rsidRPr="000E5DD6">
              <w:rPr>
                <w:rFonts w:ascii="Times New Roman" w:hAnsi="Times New Roman" w:cs="Times New Roman"/>
                <w:b/>
                <w:bCs/>
                <w:color w:val="000000" w:themeColor="text1"/>
                <w:sz w:val="24"/>
                <w:szCs w:val="24"/>
                <w:lang w:val="fr-FR"/>
              </w:rPr>
              <w:t xml:space="preserve"> Nomenclatura </w:t>
            </w:r>
            <w:proofErr w:type="spellStart"/>
            <w:r w:rsidRPr="000E5DD6">
              <w:rPr>
                <w:rFonts w:ascii="Times New Roman" w:hAnsi="Times New Roman" w:cs="Times New Roman"/>
                <w:b/>
                <w:bCs/>
                <w:color w:val="000000" w:themeColor="text1"/>
                <w:sz w:val="24"/>
                <w:szCs w:val="24"/>
                <w:lang w:val="fr-FR"/>
              </w:rPr>
              <w:t>combinată</w:t>
            </w:r>
            <w:proofErr w:type="spellEnd"/>
            <w:r w:rsidRPr="000E5DD6">
              <w:rPr>
                <w:rFonts w:ascii="Times New Roman" w:hAnsi="Times New Roman" w:cs="Times New Roman"/>
                <w:b/>
                <w:bCs/>
                <w:color w:val="000000" w:themeColor="text1"/>
                <w:sz w:val="24"/>
                <w:szCs w:val="24"/>
                <w:lang w:val="fr-FR"/>
              </w:rPr>
              <w:t xml:space="preserve"> (NC) </w:t>
            </w:r>
            <w:r w:rsidRPr="000E5DD6">
              <w:rPr>
                <w:rFonts w:ascii="Times New Roman" w:hAnsi="Times New Roman" w:cs="Times New Roman"/>
                <w:b/>
                <w:bCs/>
                <w:color w:val="000000" w:themeColor="text1"/>
                <w:sz w:val="24"/>
                <w:szCs w:val="24"/>
                <w:vertAlign w:val="superscript"/>
                <w:lang w:val="fr-FR"/>
              </w:rPr>
              <w:t>(</w:t>
            </w:r>
            <w:r w:rsidRPr="000E5DD6">
              <w:rPr>
                <w:rStyle w:val="Referinnotdesubsol"/>
                <w:rFonts w:ascii="Times New Roman" w:hAnsi="Times New Roman" w:cs="Times New Roman"/>
                <w:b/>
                <w:bCs/>
                <w:color w:val="000000" w:themeColor="text1"/>
                <w:sz w:val="24"/>
                <w:szCs w:val="24"/>
                <w:lang w:val="en-US"/>
              </w:rPr>
              <w:footnoteReference w:id="3"/>
            </w:r>
            <w:r w:rsidRPr="000E5DD6">
              <w:rPr>
                <w:rFonts w:ascii="Times New Roman" w:hAnsi="Times New Roman" w:cs="Times New Roman"/>
                <w:b/>
                <w:bCs/>
                <w:color w:val="000000" w:themeColor="text1"/>
                <w:sz w:val="24"/>
                <w:szCs w:val="24"/>
                <w:vertAlign w:val="superscript"/>
                <w:lang w:val="fr-FR"/>
              </w:rPr>
              <w:t>)</w:t>
            </w:r>
          </w:p>
        </w:tc>
        <w:tc>
          <w:tcPr>
            <w:tcW w:w="2529" w:type="dxa"/>
          </w:tcPr>
          <w:p w14:paraId="06CDDB38" w14:textId="77777777" w:rsidR="003F58B3" w:rsidRPr="000E5DD6" w:rsidRDefault="003F58B3" w:rsidP="000E5DD6">
            <w:pPr>
              <w:jc w:val="center"/>
              <w:rPr>
                <w:rFonts w:ascii="Times New Roman" w:hAnsi="Times New Roman" w:cs="Times New Roman"/>
                <w:b/>
                <w:bCs/>
                <w:color w:val="000000" w:themeColor="text1"/>
                <w:sz w:val="24"/>
                <w:szCs w:val="24"/>
                <w:lang w:val="fr-FR"/>
              </w:rPr>
            </w:pPr>
            <w:proofErr w:type="spellStart"/>
            <w:r w:rsidRPr="000E5DD6">
              <w:rPr>
                <w:rFonts w:ascii="Times New Roman" w:hAnsi="Times New Roman" w:cs="Times New Roman"/>
                <w:b/>
                <w:bCs/>
                <w:color w:val="000000" w:themeColor="text1"/>
                <w:sz w:val="24"/>
                <w:szCs w:val="24"/>
                <w:lang w:val="fr-FR"/>
              </w:rPr>
              <w:t>Codul</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din</w:t>
            </w:r>
            <w:proofErr w:type="spellEnd"/>
            <w:r w:rsidRPr="000E5DD6">
              <w:rPr>
                <w:rFonts w:ascii="Times New Roman" w:hAnsi="Times New Roman" w:cs="Times New Roman"/>
                <w:b/>
                <w:bCs/>
                <w:color w:val="000000" w:themeColor="text1"/>
                <w:sz w:val="24"/>
                <w:szCs w:val="24"/>
                <w:lang w:val="fr-FR"/>
              </w:rPr>
              <w:t xml:space="preserve"> Nomenclatura </w:t>
            </w:r>
            <w:proofErr w:type="spellStart"/>
            <w:r w:rsidRPr="000E5DD6">
              <w:rPr>
                <w:rFonts w:ascii="Times New Roman" w:hAnsi="Times New Roman" w:cs="Times New Roman"/>
                <w:b/>
                <w:bCs/>
                <w:color w:val="000000" w:themeColor="text1"/>
                <w:sz w:val="24"/>
                <w:szCs w:val="24"/>
                <w:lang w:val="fr-FR"/>
              </w:rPr>
              <w:t>combinată</w:t>
            </w:r>
            <w:proofErr w:type="spellEnd"/>
            <w:r w:rsidRPr="000E5DD6">
              <w:rPr>
                <w:rFonts w:ascii="Times New Roman" w:hAnsi="Times New Roman" w:cs="Times New Roman"/>
                <w:b/>
                <w:bCs/>
                <w:color w:val="000000" w:themeColor="text1"/>
                <w:sz w:val="24"/>
                <w:szCs w:val="24"/>
                <w:lang w:val="fr-FR"/>
              </w:rPr>
              <w:t xml:space="preserve"> (NC) </w:t>
            </w:r>
            <w:proofErr w:type="spellStart"/>
            <w:r w:rsidRPr="000E5DD6">
              <w:rPr>
                <w:rFonts w:ascii="Times New Roman" w:hAnsi="Times New Roman" w:cs="Times New Roman"/>
                <w:b/>
                <w:bCs/>
                <w:color w:val="000000" w:themeColor="text1"/>
                <w:sz w:val="24"/>
                <w:szCs w:val="24"/>
                <w:lang w:val="fr-FR"/>
              </w:rPr>
              <w:t>pentru</w:t>
            </w:r>
            <w:proofErr w:type="spellEnd"/>
            <w:r w:rsidRPr="000E5DD6">
              <w:rPr>
                <w:rFonts w:ascii="Times New Roman" w:hAnsi="Times New Roman" w:cs="Times New Roman"/>
                <w:b/>
                <w:bCs/>
                <w:color w:val="000000" w:themeColor="text1"/>
                <w:sz w:val="24"/>
                <w:szCs w:val="24"/>
                <w:lang w:val="fr-FR"/>
              </w:rPr>
              <w:t xml:space="preserve"> un </w:t>
            </w:r>
            <w:proofErr w:type="spellStart"/>
            <w:r w:rsidRPr="000E5DD6">
              <w:rPr>
                <w:rFonts w:ascii="Times New Roman" w:hAnsi="Times New Roman" w:cs="Times New Roman"/>
                <w:b/>
                <w:bCs/>
                <w:color w:val="000000" w:themeColor="text1"/>
                <w:sz w:val="24"/>
                <w:szCs w:val="24"/>
                <w:lang w:val="fr-FR"/>
              </w:rPr>
              <w:t>amestec</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fără</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constituenți</w:t>
            </w:r>
            <w:proofErr w:type="spellEnd"/>
            <w:r w:rsidRPr="000E5DD6">
              <w:rPr>
                <w:rFonts w:ascii="Times New Roman" w:hAnsi="Times New Roman" w:cs="Times New Roman"/>
                <w:b/>
                <w:bCs/>
                <w:color w:val="000000" w:themeColor="text1"/>
                <w:sz w:val="24"/>
                <w:szCs w:val="24"/>
                <w:lang w:val="fr-FR"/>
              </w:rPr>
              <w:t xml:space="preserve"> (de </w:t>
            </w:r>
            <w:proofErr w:type="spellStart"/>
            <w:r w:rsidRPr="000E5DD6">
              <w:rPr>
                <w:rFonts w:ascii="Times New Roman" w:hAnsi="Times New Roman" w:cs="Times New Roman"/>
                <w:b/>
                <w:bCs/>
                <w:color w:val="000000" w:themeColor="text1"/>
                <w:sz w:val="24"/>
                <w:szCs w:val="24"/>
                <w:lang w:val="fr-FR"/>
              </w:rPr>
              <w:t>exemplu</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mercur</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metale</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prețioase</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sau</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metale</w:t>
            </w:r>
            <w:proofErr w:type="spellEnd"/>
            <w:r w:rsidRPr="000E5DD6">
              <w:rPr>
                <w:rFonts w:ascii="Times New Roman" w:hAnsi="Times New Roman" w:cs="Times New Roman"/>
                <w:b/>
                <w:bCs/>
                <w:color w:val="000000" w:themeColor="text1"/>
                <w:sz w:val="24"/>
                <w:szCs w:val="24"/>
                <w:lang w:val="fr-FR"/>
              </w:rPr>
              <w:t xml:space="preserve"> de </w:t>
            </w:r>
            <w:proofErr w:type="spellStart"/>
            <w:r w:rsidRPr="000E5DD6">
              <w:rPr>
                <w:rFonts w:ascii="Times New Roman" w:hAnsi="Times New Roman" w:cs="Times New Roman"/>
                <w:b/>
                <w:bCs/>
                <w:color w:val="000000" w:themeColor="text1"/>
                <w:sz w:val="24"/>
                <w:szCs w:val="24"/>
                <w:lang w:val="fr-FR"/>
              </w:rPr>
              <w:t>pământuri</w:t>
            </w:r>
            <w:proofErr w:type="spellEnd"/>
            <w:r w:rsidRPr="000E5DD6">
              <w:rPr>
                <w:rFonts w:ascii="Times New Roman" w:hAnsi="Times New Roman" w:cs="Times New Roman"/>
                <w:b/>
                <w:bCs/>
                <w:color w:val="000000" w:themeColor="text1"/>
                <w:sz w:val="24"/>
                <w:szCs w:val="24"/>
                <w:lang w:val="fr-FR"/>
              </w:rPr>
              <w:t xml:space="preserve"> rare </w:t>
            </w:r>
            <w:proofErr w:type="spellStart"/>
            <w:r w:rsidRPr="000E5DD6">
              <w:rPr>
                <w:rFonts w:ascii="Times New Roman" w:hAnsi="Times New Roman" w:cs="Times New Roman"/>
                <w:b/>
                <w:bCs/>
                <w:color w:val="000000" w:themeColor="text1"/>
                <w:sz w:val="24"/>
                <w:szCs w:val="24"/>
                <w:lang w:val="fr-FR"/>
              </w:rPr>
              <w:t>ori</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substanțe</w:t>
            </w:r>
            <w:proofErr w:type="spellEnd"/>
            <w:r w:rsidRPr="000E5DD6">
              <w:rPr>
                <w:rFonts w:ascii="Times New Roman" w:hAnsi="Times New Roman" w:cs="Times New Roman"/>
                <w:b/>
                <w:bCs/>
                <w:color w:val="000000" w:themeColor="text1"/>
                <w:sz w:val="24"/>
                <w:szCs w:val="24"/>
                <w:lang w:val="fr-FR"/>
              </w:rPr>
              <w:t xml:space="preserve"> radioactive) care </w:t>
            </w:r>
            <w:proofErr w:type="spellStart"/>
            <w:r w:rsidRPr="000E5DD6">
              <w:rPr>
                <w:rFonts w:ascii="Times New Roman" w:hAnsi="Times New Roman" w:cs="Times New Roman"/>
                <w:b/>
                <w:bCs/>
                <w:color w:val="000000" w:themeColor="text1"/>
                <w:sz w:val="24"/>
                <w:szCs w:val="24"/>
                <w:lang w:val="fr-FR"/>
              </w:rPr>
              <w:t>ar</w:t>
            </w:r>
            <w:proofErr w:type="spellEnd"/>
            <w:r w:rsidRPr="000E5DD6">
              <w:rPr>
                <w:rFonts w:ascii="Times New Roman" w:hAnsi="Times New Roman" w:cs="Times New Roman"/>
                <w:b/>
                <w:bCs/>
                <w:color w:val="000000" w:themeColor="text1"/>
                <w:sz w:val="24"/>
                <w:szCs w:val="24"/>
                <w:lang w:val="fr-FR"/>
              </w:rPr>
              <w:t xml:space="preserve"> duce la </w:t>
            </w:r>
            <w:proofErr w:type="spellStart"/>
            <w:r w:rsidRPr="000E5DD6">
              <w:rPr>
                <w:rFonts w:ascii="Times New Roman" w:hAnsi="Times New Roman" w:cs="Times New Roman"/>
                <w:b/>
                <w:bCs/>
                <w:color w:val="000000" w:themeColor="text1"/>
                <w:sz w:val="24"/>
                <w:szCs w:val="24"/>
                <w:lang w:val="fr-FR"/>
              </w:rPr>
              <w:t>clasificarea</w:t>
            </w:r>
            <w:proofErr w:type="spellEnd"/>
            <w:r w:rsidRPr="000E5DD6">
              <w:rPr>
                <w:rFonts w:ascii="Times New Roman" w:hAnsi="Times New Roman" w:cs="Times New Roman"/>
                <w:b/>
                <w:bCs/>
                <w:color w:val="000000" w:themeColor="text1"/>
                <w:sz w:val="24"/>
                <w:szCs w:val="24"/>
                <w:lang w:val="fr-FR"/>
              </w:rPr>
              <w:t xml:space="preserve"> </w:t>
            </w:r>
            <w:proofErr w:type="spellStart"/>
            <w:r w:rsidRPr="000E5DD6">
              <w:rPr>
                <w:rFonts w:ascii="Times New Roman" w:hAnsi="Times New Roman" w:cs="Times New Roman"/>
                <w:b/>
                <w:bCs/>
                <w:color w:val="000000" w:themeColor="text1"/>
                <w:sz w:val="24"/>
                <w:szCs w:val="24"/>
                <w:lang w:val="fr-FR"/>
              </w:rPr>
              <w:t>sub</w:t>
            </w:r>
            <w:proofErr w:type="spellEnd"/>
            <w:r w:rsidRPr="000E5DD6">
              <w:rPr>
                <w:rFonts w:ascii="Times New Roman" w:hAnsi="Times New Roman" w:cs="Times New Roman"/>
                <w:b/>
                <w:bCs/>
                <w:color w:val="000000" w:themeColor="text1"/>
                <w:sz w:val="24"/>
                <w:szCs w:val="24"/>
                <w:lang w:val="fr-FR"/>
              </w:rPr>
              <w:t xml:space="preserve"> un alt </w:t>
            </w:r>
            <w:proofErr w:type="spellStart"/>
            <w:r w:rsidRPr="000E5DD6">
              <w:rPr>
                <w:rFonts w:ascii="Times New Roman" w:hAnsi="Times New Roman" w:cs="Times New Roman"/>
                <w:b/>
                <w:bCs/>
                <w:color w:val="000000" w:themeColor="text1"/>
                <w:sz w:val="24"/>
                <w:szCs w:val="24"/>
                <w:lang w:val="fr-FR"/>
              </w:rPr>
              <w:t>cod</w:t>
            </w:r>
            <w:proofErr w:type="spellEnd"/>
            <w:r w:rsidRPr="000E5DD6">
              <w:rPr>
                <w:rFonts w:ascii="Times New Roman" w:hAnsi="Times New Roman" w:cs="Times New Roman"/>
                <w:b/>
                <w:bCs/>
                <w:color w:val="000000" w:themeColor="text1"/>
                <w:sz w:val="24"/>
                <w:szCs w:val="24"/>
                <w:lang w:val="fr-FR"/>
              </w:rPr>
              <w:t xml:space="preserve"> NC </w:t>
            </w:r>
            <w:r w:rsidRPr="000E5DD6">
              <w:rPr>
                <w:rFonts w:ascii="Times New Roman" w:hAnsi="Times New Roman" w:cs="Times New Roman"/>
                <w:b/>
                <w:bCs/>
                <w:color w:val="000000" w:themeColor="text1"/>
                <w:sz w:val="24"/>
                <w:szCs w:val="24"/>
                <w:vertAlign w:val="superscript"/>
                <w:lang w:val="fr-FR"/>
              </w:rPr>
              <w:t>(1)</w:t>
            </w:r>
          </w:p>
        </w:tc>
        <w:tc>
          <w:tcPr>
            <w:tcW w:w="1932" w:type="dxa"/>
          </w:tcPr>
          <w:p w14:paraId="122A6D16" w14:textId="51322672" w:rsidR="003F58B3" w:rsidRPr="000E5DD6" w:rsidRDefault="003F58B3" w:rsidP="000E5DD6">
            <w:pPr>
              <w:jc w:val="center"/>
              <w:rPr>
                <w:rFonts w:ascii="Times New Roman" w:hAnsi="Times New Roman" w:cs="Times New Roman"/>
                <w:b/>
                <w:bCs/>
                <w:color w:val="000000" w:themeColor="text1"/>
                <w:sz w:val="24"/>
                <w:szCs w:val="24"/>
                <w:lang w:val="fr-FR"/>
              </w:rPr>
            </w:pPr>
            <w:proofErr w:type="spellStart"/>
            <w:r w:rsidRPr="000E5DD6">
              <w:rPr>
                <w:rFonts w:ascii="Times New Roman" w:hAnsi="Times New Roman" w:cs="Times New Roman"/>
                <w:b/>
                <w:bCs/>
                <w:color w:val="000000" w:themeColor="text1"/>
                <w:lang w:val="fr-FR"/>
              </w:rPr>
              <w:t>Autoritatea</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responsabilă</w:t>
            </w:r>
            <w:proofErr w:type="spellEnd"/>
            <w:r w:rsidRPr="000E5DD6">
              <w:rPr>
                <w:rFonts w:ascii="Times New Roman" w:hAnsi="Times New Roman" w:cs="Times New Roman"/>
                <w:b/>
                <w:bCs/>
                <w:color w:val="000000" w:themeColor="text1"/>
                <w:lang w:val="fr-FR"/>
              </w:rPr>
              <w:t xml:space="preserve"> de </w:t>
            </w:r>
            <w:proofErr w:type="spellStart"/>
            <w:r w:rsidRPr="000E5DD6">
              <w:rPr>
                <w:rFonts w:ascii="Times New Roman" w:hAnsi="Times New Roman" w:cs="Times New Roman"/>
                <w:b/>
                <w:bCs/>
                <w:color w:val="000000" w:themeColor="text1"/>
                <w:lang w:val="fr-FR"/>
              </w:rPr>
              <w:t>supravegherea</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pieței</w:t>
            </w:r>
            <w:proofErr w:type="spellEnd"/>
            <w:r w:rsidRPr="000E5DD6">
              <w:rPr>
                <w:rFonts w:ascii="Times New Roman" w:hAnsi="Times New Roman" w:cs="Times New Roman"/>
                <w:b/>
                <w:bCs/>
                <w:color w:val="000000" w:themeColor="text1"/>
                <w:lang w:val="fr-FR"/>
              </w:rPr>
              <w:t xml:space="preserve"> </w:t>
            </w:r>
            <w:proofErr w:type="spellStart"/>
            <w:r w:rsidRPr="000E5DD6">
              <w:rPr>
                <w:rFonts w:ascii="Times New Roman" w:hAnsi="Times New Roman" w:cs="Times New Roman"/>
                <w:b/>
                <w:bCs/>
                <w:color w:val="000000" w:themeColor="text1"/>
                <w:lang w:val="fr-FR"/>
              </w:rPr>
              <w:t>și</w:t>
            </w:r>
            <w:proofErr w:type="spellEnd"/>
            <w:r w:rsidRPr="000E5DD6">
              <w:rPr>
                <w:rFonts w:ascii="Times New Roman" w:hAnsi="Times New Roman" w:cs="Times New Roman"/>
                <w:b/>
                <w:bCs/>
                <w:color w:val="000000" w:themeColor="text1"/>
                <w:lang w:val="fr-FR"/>
              </w:rPr>
              <w:t xml:space="preserve"> control de stat</w:t>
            </w:r>
          </w:p>
        </w:tc>
      </w:tr>
      <w:tr w:rsidR="003738A4" w:rsidRPr="000E5DD6" w14:paraId="420142EB" w14:textId="72C8A0D3" w:rsidTr="003F58B3">
        <w:tc>
          <w:tcPr>
            <w:tcW w:w="555" w:type="dxa"/>
          </w:tcPr>
          <w:p w14:paraId="4CAEF683" w14:textId="24627B3B"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1.</w:t>
            </w:r>
          </w:p>
        </w:tc>
        <w:tc>
          <w:tcPr>
            <w:tcW w:w="2510" w:type="dxa"/>
          </w:tcPr>
          <w:p w14:paraId="6F33DB69"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Hexamină</w:t>
            </w:r>
            <w:proofErr w:type="spellEnd"/>
            <w:r w:rsidRPr="000E5DD6">
              <w:rPr>
                <w:rFonts w:ascii="Times New Roman" w:hAnsi="Times New Roman" w:cs="Times New Roman"/>
                <w:color w:val="000000" w:themeColor="text1"/>
                <w:sz w:val="24"/>
                <w:szCs w:val="24"/>
              </w:rPr>
              <w:t xml:space="preserve"> (CAS RN 100-97-0)</w:t>
            </w:r>
          </w:p>
        </w:tc>
        <w:tc>
          <w:tcPr>
            <w:tcW w:w="2532" w:type="dxa"/>
          </w:tcPr>
          <w:p w14:paraId="33754F2B" w14:textId="77777777" w:rsidR="003F58B3" w:rsidRPr="000E5DD6" w:rsidRDefault="003F58B3"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lang w:val="ro-RO"/>
              </w:rPr>
              <w:t>ex 2933 69 40</w:t>
            </w:r>
          </w:p>
        </w:tc>
        <w:tc>
          <w:tcPr>
            <w:tcW w:w="2529" w:type="dxa"/>
          </w:tcPr>
          <w:p w14:paraId="366B008F"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3824 99 93</w:t>
            </w:r>
          </w:p>
        </w:tc>
        <w:tc>
          <w:tcPr>
            <w:tcW w:w="1932" w:type="dxa"/>
          </w:tcPr>
          <w:p w14:paraId="15CEA861" w14:textId="1425C35E" w:rsidR="003F58B3" w:rsidRPr="000E5DD6" w:rsidRDefault="00580947" w:rsidP="000E5DD6">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Ministerul Sănătății</w:t>
            </w:r>
          </w:p>
        </w:tc>
      </w:tr>
      <w:tr w:rsidR="003738A4" w:rsidRPr="000E5DD6" w14:paraId="1C98C63F" w14:textId="6BAB7AF0" w:rsidTr="003F58B3">
        <w:tc>
          <w:tcPr>
            <w:tcW w:w="555" w:type="dxa"/>
          </w:tcPr>
          <w:p w14:paraId="45710A76" w14:textId="711E5A0D"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2.</w:t>
            </w:r>
          </w:p>
        </w:tc>
        <w:tc>
          <w:tcPr>
            <w:tcW w:w="2510" w:type="dxa"/>
          </w:tcPr>
          <w:p w14:paraId="1CAB2996"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Acetonă</w:t>
            </w:r>
            <w:proofErr w:type="spellEnd"/>
            <w:r w:rsidRPr="000E5DD6">
              <w:rPr>
                <w:rFonts w:ascii="Times New Roman" w:hAnsi="Times New Roman" w:cs="Times New Roman"/>
                <w:color w:val="000000" w:themeColor="text1"/>
                <w:sz w:val="24"/>
                <w:szCs w:val="24"/>
              </w:rPr>
              <w:t xml:space="preserve"> (CAS RN 67-64-1</w:t>
            </w:r>
            <w:r w:rsidRPr="000E5DD6">
              <w:rPr>
                <w:rFonts w:ascii="Times New Roman" w:hAnsi="Times New Roman" w:cs="Times New Roman"/>
                <w:color w:val="000000" w:themeColor="text1"/>
                <w:sz w:val="24"/>
                <w:szCs w:val="24"/>
                <w:lang w:val="ro-RO"/>
              </w:rPr>
              <w:t>)</w:t>
            </w:r>
          </w:p>
        </w:tc>
        <w:tc>
          <w:tcPr>
            <w:tcW w:w="2532" w:type="dxa"/>
          </w:tcPr>
          <w:p w14:paraId="6D67155D" w14:textId="77777777" w:rsidR="003F58B3" w:rsidRPr="000E5DD6" w:rsidRDefault="003F58B3"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2914 11 00</w:t>
            </w:r>
          </w:p>
        </w:tc>
        <w:tc>
          <w:tcPr>
            <w:tcW w:w="2529" w:type="dxa"/>
          </w:tcPr>
          <w:p w14:paraId="26AB81A1"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3824 99 92</w:t>
            </w:r>
          </w:p>
        </w:tc>
        <w:tc>
          <w:tcPr>
            <w:tcW w:w="1932" w:type="dxa"/>
          </w:tcPr>
          <w:p w14:paraId="276594AC" w14:textId="77777777" w:rsidR="00580947" w:rsidRPr="003C6FB8" w:rsidRDefault="00580947" w:rsidP="000E5DD6">
            <w:pPr>
              <w:jc w:val="center"/>
              <w:rPr>
                <w:rFonts w:ascii="Times New Roman" w:hAnsi="Times New Roman" w:cs="Times New Roman"/>
                <w:color w:val="000000" w:themeColor="text1"/>
                <w:sz w:val="24"/>
                <w:szCs w:val="24"/>
                <w:lang w:val="en-US"/>
              </w:rPr>
            </w:pPr>
            <w:r w:rsidRPr="003C6FB8">
              <w:rPr>
                <w:rFonts w:ascii="Times New Roman" w:hAnsi="Times New Roman" w:cs="Times New Roman"/>
                <w:color w:val="000000" w:themeColor="text1"/>
                <w:sz w:val="24"/>
                <w:szCs w:val="24"/>
                <w:lang w:val="en-US"/>
              </w:rPr>
              <w:t>Ministerul Sănătății</w:t>
            </w:r>
          </w:p>
          <w:p w14:paraId="2C9829FF" w14:textId="7F054659"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lang w:val="en-US"/>
              </w:rPr>
              <w:t>Agenția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Medicamentului</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și</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Dispozitivelor</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Medicale</w:t>
            </w:r>
            <w:proofErr w:type="spellEnd"/>
          </w:p>
        </w:tc>
      </w:tr>
      <w:tr w:rsidR="003738A4" w:rsidRPr="000E5DD6" w14:paraId="4901671A" w14:textId="76018597" w:rsidTr="003F58B3">
        <w:tc>
          <w:tcPr>
            <w:tcW w:w="555" w:type="dxa"/>
          </w:tcPr>
          <w:p w14:paraId="2BFA20AD"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3.</w:t>
            </w:r>
          </w:p>
        </w:tc>
        <w:tc>
          <w:tcPr>
            <w:tcW w:w="2510" w:type="dxa"/>
          </w:tcPr>
          <w:p w14:paraId="35C452C2" w14:textId="77777777" w:rsidR="003F58B3" w:rsidRPr="000E5DD6" w:rsidRDefault="003F58B3" w:rsidP="000E5DD6">
            <w:pPr>
              <w:tabs>
                <w:tab w:val="left" w:pos="2350"/>
              </w:tabs>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Azotat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potasiu</w:t>
            </w:r>
            <w:proofErr w:type="spellEnd"/>
            <w:r w:rsidRPr="000E5DD6">
              <w:rPr>
                <w:rFonts w:ascii="Times New Roman" w:hAnsi="Times New Roman" w:cs="Times New Roman"/>
                <w:color w:val="000000" w:themeColor="text1"/>
                <w:sz w:val="24"/>
                <w:szCs w:val="24"/>
                <w:lang w:val="fr-FR"/>
              </w:rPr>
              <w:t xml:space="preserve"> (CAS RN 7757-79-1</w:t>
            </w:r>
          </w:p>
        </w:tc>
        <w:tc>
          <w:tcPr>
            <w:tcW w:w="2532" w:type="dxa"/>
          </w:tcPr>
          <w:p w14:paraId="47A7A203" w14:textId="77777777" w:rsidR="003F58B3" w:rsidRPr="000E5DD6" w:rsidRDefault="003F58B3"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2834 21 00</w:t>
            </w:r>
          </w:p>
        </w:tc>
        <w:tc>
          <w:tcPr>
            <w:tcW w:w="2529" w:type="dxa"/>
          </w:tcPr>
          <w:p w14:paraId="04FF1626"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932" w:type="dxa"/>
          </w:tcPr>
          <w:p w14:paraId="336EF5CE" w14:textId="77777777" w:rsidR="003F58B3" w:rsidRPr="000E5DD6" w:rsidRDefault="003F58B3" w:rsidP="000E5DD6">
            <w:pPr>
              <w:jc w:val="center"/>
              <w:rPr>
                <w:rFonts w:ascii="Times New Roman" w:hAnsi="Times New Roman" w:cs="Times New Roman"/>
                <w:color w:val="000000" w:themeColor="text1"/>
                <w:sz w:val="24"/>
                <w:szCs w:val="24"/>
              </w:rPr>
            </w:pPr>
          </w:p>
        </w:tc>
      </w:tr>
      <w:tr w:rsidR="003738A4" w:rsidRPr="000E5DD6" w14:paraId="27DD12E4" w14:textId="4DFEC1EC" w:rsidTr="003F58B3">
        <w:tc>
          <w:tcPr>
            <w:tcW w:w="555" w:type="dxa"/>
          </w:tcPr>
          <w:p w14:paraId="55DD2C3B"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4.</w:t>
            </w:r>
          </w:p>
        </w:tc>
        <w:tc>
          <w:tcPr>
            <w:tcW w:w="2510" w:type="dxa"/>
          </w:tcPr>
          <w:p w14:paraId="20F6C0D5" w14:textId="77777777" w:rsidR="003F58B3" w:rsidRPr="000E5DD6" w:rsidRDefault="003F58B3" w:rsidP="000E5DD6">
            <w:pPr>
              <w:ind w:firstLine="34"/>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Azotat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sodiu</w:t>
            </w:r>
            <w:proofErr w:type="spellEnd"/>
            <w:r w:rsidRPr="000E5DD6">
              <w:rPr>
                <w:rFonts w:ascii="Times New Roman" w:hAnsi="Times New Roman" w:cs="Times New Roman"/>
                <w:color w:val="000000" w:themeColor="text1"/>
                <w:sz w:val="24"/>
                <w:szCs w:val="24"/>
                <w:lang w:val="fr-FR"/>
              </w:rPr>
              <w:t xml:space="preserve"> (CAS RN 7631-99-4)</w:t>
            </w:r>
          </w:p>
        </w:tc>
        <w:tc>
          <w:tcPr>
            <w:tcW w:w="2532" w:type="dxa"/>
          </w:tcPr>
          <w:p w14:paraId="35506659" w14:textId="77777777" w:rsidR="003F58B3" w:rsidRPr="000E5DD6" w:rsidRDefault="003F58B3" w:rsidP="000E5DD6">
            <w:pPr>
              <w:jc w:val="center"/>
              <w:rPr>
                <w:rFonts w:ascii="Times New Roman" w:hAnsi="Times New Roman" w:cs="Times New Roman"/>
                <w:color w:val="000000" w:themeColor="text1"/>
                <w:sz w:val="24"/>
                <w:szCs w:val="24"/>
                <w:lang w:val="ro-RO"/>
              </w:rPr>
            </w:pPr>
            <w:r w:rsidRPr="000E5DD6">
              <w:rPr>
                <w:rFonts w:ascii="Times New Roman" w:hAnsi="Times New Roman" w:cs="Times New Roman"/>
                <w:color w:val="000000" w:themeColor="text1"/>
                <w:sz w:val="24"/>
                <w:szCs w:val="24"/>
              </w:rPr>
              <w:t>3102 50 00</w:t>
            </w:r>
          </w:p>
        </w:tc>
        <w:tc>
          <w:tcPr>
            <w:tcW w:w="2529" w:type="dxa"/>
          </w:tcPr>
          <w:p w14:paraId="68733C4C"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932" w:type="dxa"/>
          </w:tcPr>
          <w:p w14:paraId="41625699" w14:textId="39E20D4B"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lang w:val="en-US"/>
              </w:rPr>
              <w:t>Agenția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Națională</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pentru</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Siguranța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Alimentelor</w:t>
            </w:r>
            <w:proofErr w:type="spellEnd"/>
          </w:p>
        </w:tc>
      </w:tr>
      <w:tr w:rsidR="003738A4" w:rsidRPr="000E5DD6" w14:paraId="596D16AE" w14:textId="61612FF2" w:rsidTr="003F58B3">
        <w:tc>
          <w:tcPr>
            <w:tcW w:w="555" w:type="dxa"/>
          </w:tcPr>
          <w:p w14:paraId="672A8227"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5.</w:t>
            </w:r>
          </w:p>
        </w:tc>
        <w:tc>
          <w:tcPr>
            <w:tcW w:w="2510" w:type="dxa"/>
          </w:tcPr>
          <w:p w14:paraId="64CFFD63" w14:textId="77777777" w:rsidR="003F58B3" w:rsidRPr="000E5DD6" w:rsidRDefault="003F58B3"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Azotat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calciu</w:t>
            </w:r>
            <w:proofErr w:type="spellEnd"/>
            <w:r w:rsidRPr="000E5DD6">
              <w:rPr>
                <w:rFonts w:ascii="Times New Roman" w:hAnsi="Times New Roman" w:cs="Times New Roman"/>
                <w:color w:val="000000" w:themeColor="text1"/>
                <w:sz w:val="24"/>
                <w:szCs w:val="24"/>
                <w:lang w:val="fr-FR"/>
              </w:rPr>
              <w:t xml:space="preserve"> (CAS RN 10124-37-5</w:t>
            </w:r>
          </w:p>
        </w:tc>
        <w:tc>
          <w:tcPr>
            <w:tcW w:w="2532" w:type="dxa"/>
          </w:tcPr>
          <w:p w14:paraId="1A38BC66"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2834 29 80</w:t>
            </w:r>
          </w:p>
        </w:tc>
        <w:tc>
          <w:tcPr>
            <w:tcW w:w="2529" w:type="dxa"/>
          </w:tcPr>
          <w:p w14:paraId="0DA04B15"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932" w:type="dxa"/>
          </w:tcPr>
          <w:p w14:paraId="687936AC" w14:textId="60D37899"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lang w:val="en-US"/>
              </w:rPr>
              <w:t>Agenția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Națională</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pentru</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Siguranța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Alimentelor</w:t>
            </w:r>
            <w:proofErr w:type="spellEnd"/>
          </w:p>
        </w:tc>
      </w:tr>
      <w:tr w:rsidR="003738A4" w:rsidRPr="000E5DD6" w14:paraId="22D502A7" w14:textId="4E41B763" w:rsidTr="003F58B3">
        <w:tc>
          <w:tcPr>
            <w:tcW w:w="555" w:type="dxa"/>
          </w:tcPr>
          <w:p w14:paraId="490BF7F0"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6.</w:t>
            </w:r>
          </w:p>
        </w:tc>
        <w:tc>
          <w:tcPr>
            <w:tcW w:w="2510" w:type="dxa"/>
          </w:tcPr>
          <w:p w14:paraId="6B338D26" w14:textId="77777777" w:rsidR="003F58B3" w:rsidRPr="000E5DD6" w:rsidRDefault="003F58B3" w:rsidP="000E5DD6">
            <w:pPr>
              <w:tabs>
                <w:tab w:val="left" w:pos="176"/>
              </w:tabs>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Nitrat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amoniu</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calciu</w:t>
            </w:r>
            <w:proofErr w:type="spellEnd"/>
            <w:r w:rsidRPr="000E5DD6">
              <w:rPr>
                <w:rFonts w:ascii="Times New Roman" w:hAnsi="Times New Roman" w:cs="Times New Roman"/>
                <w:color w:val="000000" w:themeColor="text1"/>
                <w:sz w:val="24"/>
                <w:szCs w:val="24"/>
                <w:lang w:val="fr-FR"/>
              </w:rPr>
              <w:t xml:space="preserve"> (CAS RN 15245-12-2</w:t>
            </w:r>
          </w:p>
        </w:tc>
        <w:tc>
          <w:tcPr>
            <w:tcW w:w="2532" w:type="dxa"/>
          </w:tcPr>
          <w:p w14:paraId="33BAD847"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3102 60 00</w:t>
            </w:r>
          </w:p>
        </w:tc>
        <w:tc>
          <w:tcPr>
            <w:tcW w:w="2529" w:type="dxa"/>
          </w:tcPr>
          <w:p w14:paraId="2207DDCF"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932" w:type="dxa"/>
          </w:tcPr>
          <w:p w14:paraId="4A25396B" w14:textId="58658D70"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lang w:val="en-US"/>
              </w:rPr>
              <w:t>Agenția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Națională</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pentru</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Siguranța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Alimentelor</w:t>
            </w:r>
            <w:proofErr w:type="spellEnd"/>
          </w:p>
        </w:tc>
      </w:tr>
      <w:tr w:rsidR="003738A4" w:rsidRPr="000E5DD6" w14:paraId="4790F3F3" w14:textId="03B4159A" w:rsidTr="003F58B3">
        <w:tc>
          <w:tcPr>
            <w:tcW w:w="555" w:type="dxa"/>
          </w:tcPr>
          <w:p w14:paraId="60D379D6"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7.</w:t>
            </w:r>
          </w:p>
        </w:tc>
        <w:tc>
          <w:tcPr>
            <w:tcW w:w="2510" w:type="dxa"/>
          </w:tcPr>
          <w:p w14:paraId="2BF5F749"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Magneziu</w:t>
            </w:r>
            <w:proofErr w:type="spellEnd"/>
            <w:r w:rsidRPr="000E5DD6">
              <w:rPr>
                <w:rFonts w:ascii="Times New Roman" w:hAnsi="Times New Roman" w:cs="Times New Roman"/>
                <w:color w:val="000000" w:themeColor="text1"/>
                <w:sz w:val="24"/>
                <w:szCs w:val="24"/>
              </w:rPr>
              <w:t xml:space="preserve">, </w:t>
            </w:r>
            <w:proofErr w:type="spellStart"/>
            <w:r w:rsidRPr="000E5DD6">
              <w:rPr>
                <w:rFonts w:ascii="Times New Roman" w:hAnsi="Times New Roman" w:cs="Times New Roman"/>
                <w:color w:val="000000" w:themeColor="text1"/>
                <w:sz w:val="24"/>
                <w:szCs w:val="24"/>
              </w:rPr>
              <w:t>pulberi</w:t>
            </w:r>
            <w:proofErr w:type="spellEnd"/>
            <w:r w:rsidRPr="000E5DD6">
              <w:rPr>
                <w:rFonts w:ascii="Times New Roman" w:hAnsi="Times New Roman" w:cs="Times New Roman"/>
                <w:color w:val="000000" w:themeColor="text1"/>
                <w:sz w:val="24"/>
                <w:szCs w:val="24"/>
              </w:rPr>
              <w:t xml:space="preserve"> (CAS RN 7439-95-4) </w:t>
            </w:r>
            <w:r w:rsidRPr="000E5DD6">
              <w:rPr>
                <w:rFonts w:ascii="Times New Roman" w:hAnsi="Times New Roman" w:cs="Times New Roman"/>
                <w:color w:val="000000" w:themeColor="text1"/>
                <w:sz w:val="24"/>
                <w:szCs w:val="24"/>
                <w:vertAlign w:val="superscript"/>
              </w:rPr>
              <w:t>(</w:t>
            </w:r>
            <w:r w:rsidRPr="000E5DD6">
              <w:rPr>
                <w:rStyle w:val="Referinnotdesubsol"/>
                <w:rFonts w:ascii="Times New Roman" w:hAnsi="Times New Roman" w:cs="Times New Roman"/>
                <w:color w:val="000000" w:themeColor="text1"/>
                <w:sz w:val="24"/>
                <w:szCs w:val="24"/>
              </w:rPr>
              <w:footnoteReference w:id="4"/>
            </w:r>
            <w:r w:rsidRPr="000E5DD6">
              <w:rPr>
                <w:rFonts w:ascii="Times New Roman" w:hAnsi="Times New Roman" w:cs="Times New Roman"/>
                <w:color w:val="000000" w:themeColor="text1"/>
                <w:sz w:val="24"/>
                <w:szCs w:val="24"/>
                <w:vertAlign w:val="superscript"/>
              </w:rPr>
              <w:t>) (</w:t>
            </w:r>
            <w:r w:rsidRPr="000E5DD6">
              <w:rPr>
                <w:rStyle w:val="Referinnotdesubsol"/>
                <w:rFonts w:ascii="Times New Roman" w:hAnsi="Times New Roman" w:cs="Times New Roman"/>
                <w:color w:val="000000" w:themeColor="text1"/>
                <w:sz w:val="24"/>
                <w:szCs w:val="24"/>
              </w:rPr>
              <w:footnoteReference w:id="5"/>
            </w:r>
            <w:r w:rsidRPr="000E5DD6">
              <w:rPr>
                <w:rFonts w:ascii="Times New Roman" w:hAnsi="Times New Roman" w:cs="Times New Roman"/>
                <w:color w:val="000000" w:themeColor="text1"/>
                <w:sz w:val="24"/>
                <w:szCs w:val="24"/>
                <w:vertAlign w:val="superscript"/>
              </w:rPr>
              <w:t>)</w:t>
            </w:r>
          </w:p>
        </w:tc>
        <w:tc>
          <w:tcPr>
            <w:tcW w:w="2532" w:type="dxa"/>
          </w:tcPr>
          <w:p w14:paraId="161C7E9E"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8104 30 00</w:t>
            </w:r>
          </w:p>
        </w:tc>
        <w:tc>
          <w:tcPr>
            <w:tcW w:w="2529" w:type="dxa"/>
          </w:tcPr>
          <w:p w14:paraId="5E3237BB" w14:textId="77777777" w:rsidR="003F58B3" w:rsidRPr="000E5DD6" w:rsidRDefault="003F58B3" w:rsidP="000E5DD6">
            <w:pPr>
              <w:jc w:val="center"/>
              <w:rPr>
                <w:rFonts w:ascii="Times New Roman" w:hAnsi="Times New Roman" w:cs="Times New Roman"/>
                <w:color w:val="000000" w:themeColor="text1"/>
                <w:sz w:val="24"/>
                <w:szCs w:val="24"/>
                <w:lang w:val="ro-RO"/>
              </w:rPr>
            </w:pPr>
          </w:p>
        </w:tc>
        <w:tc>
          <w:tcPr>
            <w:tcW w:w="1932" w:type="dxa"/>
          </w:tcPr>
          <w:p w14:paraId="2EAD5E3B" w14:textId="19B878C6"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shd w:val="clear" w:color="auto" w:fill="FFFFFF"/>
                <w:lang w:val="en-US"/>
              </w:rPr>
              <w:t>Comisia</w:t>
            </w:r>
            <w:proofErr w:type="spellEnd"/>
            <w:r w:rsidRPr="000E5DD6">
              <w:rPr>
                <w:rFonts w:ascii="Times New Roman" w:hAnsi="Times New Roman" w:cs="Times New Roman"/>
                <w:shd w:val="clear" w:color="auto" w:fill="FFFFFF"/>
                <w:lang w:val="en-US"/>
              </w:rPr>
              <w:t xml:space="preserve"> </w:t>
            </w:r>
            <w:proofErr w:type="spellStart"/>
            <w:r w:rsidRPr="000E5DD6">
              <w:rPr>
                <w:rFonts w:ascii="Times New Roman" w:hAnsi="Times New Roman" w:cs="Times New Roman"/>
                <w:shd w:val="clear" w:color="auto" w:fill="FFFFFF"/>
                <w:lang w:val="en-US"/>
              </w:rPr>
              <w:t>națională</w:t>
            </w:r>
            <w:proofErr w:type="spellEnd"/>
            <w:r w:rsidRPr="000E5DD6">
              <w:rPr>
                <w:rFonts w:ascii="Times New Roman" w:hAnsi="Times New Roman" w:cs="Times New Roman"/>
                <w:shd w:val="clear" w:color="auto" w:fill="FFFFFF"/>
                <w:lang w:val="en-US"/>
              </w:rPr>
              <w:t xml:space="preserve"> de control al </w:t>
            </w:r>
            <w:proofErr w:type="spellStart"/>
            <w:r w:rsidRPr="000E5DD6">
              <w:rPr>
                <w:rFonts w:ascii="Times New Roman" w:hAnsi="Times New Roman" w:cs="Times New Roman"/>
                <w:shd w:val="clear" w:color="auto" w:fill="FFFFFF"/>
                <w:lang w:val="en-US"/>
              </w:rPr>
              <w:t>comerțului</w:t>
            </w:r>
            <w:proofErr w:type="spellEnd"/>
            <w:r w:rsidRPr="000E5DD6">
              <w:rPr>
                <w:rFonts w:ascii="Times New Roman" w:hAnsi="Times New Roman" w:cs="Times New Roman"/>
                <w:shd w:val="clear" w:color="auto" w:fill="FFFFFF"/>
                <w:lang w:val="en-US"/>
              </w:rPr>
              <w:t xml:space="preserve"> cu </w:t>
            </w:r>
            <w:proofErr w:type="spellStart"/>
            <w:r w:rsidRPr="000E5DD6">
              <w:rPr>
                <w:rFonts w:ascii="Times New Roman" w:hAnsi="Times New Roman" w:cs="Times New Roman"/>
                <w:shd w:val="clear" w:color="auto" w:fill="FFFFFF"/>
                <w:lang w:val="en-US"/>
              </w:rPr>
              <w:t>mărfuri</w:t>
            </w:r>
            <w:proofErr w:type="spellEnd"/>
            <w:r w:rsidRPr="000E5DD6">
              <w:rPr>
                <w:rFonts w:ascii="Times New Roman" w:hAnsi="Times New Roman" w:cs="Times New Roman"/>
                <w:shd w:val="clear" w:color="auto" w:fill="FFFFFF"/>
                <w:lang w:val="en-US"/>
              </w:rPr>
              <w:t xml:space="preserve"> </w:t>
            </w:r>
            <w:proofErr w:type="spellStart"/>
            <w:r w:rsidRPr="000E5DD6">
              <w:rPr>
                <w:rFonts w:ascii="Times New Roman" w:hAnsi="Times New Roman" w:cs="Times New Roman"/>
                <w:shd w:val="clear" w:color="auto" w:fill="FFFFFF"/>
                <w:lang w:val="en-US"/>
              </w:rPr>
              <w:t>strategice</w:t>
            </w:r>
            <w:proofErr w:type="spellEnd"/>
          </w:p>
        </w:tc>
      </w:tr>
      <w:tr w:rsidR="003738A4" w:rsidRPr="000E5DD6" w14:paraId="7DEBB6DF" w14:textId="199E0A23" w:rsidTr="003F58B3">
        <w:tc>
          <w:tcPr>
            <w:tcW w:w="555" w:type="dxa"/>
          </w:tcPr>
          <w:p w14:paraId="1EEB8426"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t>8.</w:t>
            </w:r>
          </w:p>
        </w:tc>
        <w:tc>
          <w:tcPr>
            <w:tcW w:w="2510" w:type="dxa"/>
          </w:tcPr>
          <w:p w14:paraId="4C397B99" w14:textId="77777777" w:rsidR="003F58B3" w:rsidRPr="000E5DD6" w:rsidRDefault="003F58B3" w:rsidP="000E5DD6">
            <w:pPr>
              <w:jc w:val="center"/>
              <w:rPr>
                <w:rFonts w:ascii="Times New Roman" w:hAnsi="Times New Roman" w:cs="Times New Roman"/>
                <w:color w:val="000000" w:themeColor="text1"/>
                <w:sz w:val="24"/>
                <w:szCs w:val="24"/>
                <w:lang w:val="fr-FR"/>
              </w:rPr>
            </w:pPr>
            <w:proofErr w:type="spellStart"/>
            <w:r w:rsidRPr="000E5DD6">
              <w:rPr>
                <w:rFonts w:ascii="Times New Roman" w:hAnsi="Times New Roman" w:cs="Times New Roman"/>
                <w:color w:val="000000" w:themeColor="text1"/>
                <w:sz w:val="24"/>
                <w:szCs w:val="24"/>
                <w:lang w:val="fr-FR"/>
              </w:rPr>
              <w:t>Nitrat</w:t>
            </w:r>
            <w:proofErr w:type="spellEnd"/>
            <w:r w:rsidRPr="000E5DD6">
              <w:rPr>
                <w:rFonts w:ascii="Times New Roman" w:hAnsi="Times New Roman" w:cs="Times New Roman"/>
                <w:color w:val="000000" w:themeColor="text1"/>
                <w:sz w:val="24"/>
                <w:szCs w:val="24"/>
                <w:lang w:val="fr-FR"/>
              </w:rPr>
              <w:t xml:space="preserve"> de </w:t>
            </w:r>
            <w:proofErr w:type="spellStart"/>
            <w:r w:rsidRPr="000E5DD6">
              <w:rPr>
                <w:rFonts w:ascii="Times New Roman" w:hAnsi="Times New Roman" w:cs="Times New Roman"/>
                <w:color w:val="000000" w:themeColor="text1"/>
                <w:sz w:val="24"/>
                <w:szCs w:val="24"/>
                <w:lang w:val="fr-FR"/>
              </w:rPr>
              <w:t>magneziu</w:t>
            </w:r>
            <w:proofErr w:type="spellEnd"/>
            <w:r w:rsidRPr="000E5DD6">
              <w:rPr>
                <w:rFonts w:ascii="Times New Roman" w:hAnsi="Times New Roman" w:cs="Times New Roman"/>
                <w:color w:val="000000" w:themeColor="text1"/>
                <w:sz w:val="24"/>
                <w:szCs w:val="24"/>
                <w:lang w:val="fr-FR"/>
              </w:rPr>
              <w:t xml:space="preserve"> </w:t>
            </w:r>
            <w:proofErr w:type="spellStart"/>
            <w:r w:rsidRPr="000E5DD6">
              <w:rPr>
                <w:rFonts w:ascii="Times New Roman" w:hAnsi="Times New Roman" w:cs="Times New Roman"/>
                <w:color w:val="000000" w:themeColor="text1"/>
                <w:sz w:val="24"/>
                <w:szCs w:val="24"/>
                <w:lang w:val="fr-FR"/>
              </w:rPr>
              <w:t>hexahidrat</w:t>
            </w:r>
            <w:proofErr w:type="spellEnd"/>
            <w:r w:rsidRPr="000E5DD6">
              <w:rPr>
                <w:rFonts w:ascii="Times New Roman" w:hAnsi="Times New Roman" w:cs="Times New Roman"/>
                <w:color w:val="000000" w:themeColor="text1"/>
                <w:sz w:val="24"/>
                <w:szCs w:val="24"/>
                <w:lang w:val="fr-FR"/>
              </w:rPr>
              <w:t xml:space="preserve"> (CAS RN 13446-18-9)</w:t>
            </w:r>
          </w:p>
        </w:tc>
        <w:tc>
          <w:tcPr>
            <w:tcW w:w="2532" w:type="dxa"/>
          </w:tcPr>
          <w:p w14:paraId="54477599"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2834 29 80</w:t>
            </w:r>
          </w:p>
        </w:tc>
        <w:tc>
          <w:tcPr>
            <w:tcW w:w="2529" w:type="dxa"/>
          </w:tcPr>
          <w:p w14:paraId="54774054"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3824 99 96</w:t>
            </w:r>
          </w:p>
        </w:tc>
        <w:tc>
          <w:tcPr>
            <w:tcW w:w="1932" w:type="dxa"/>
          </w:tcPr>
          <w:p w14:paraId="5EF798AF" w14:textId="564B16D9"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lang w:val="en-US"/>
              </w:rPr>
              <w:t>Agenția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Națională</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pentru</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Siguranța</w:t>
            </w:r>
            <w:proofErr w:type="spellEnd"/>
            <w:r w:rsidRPr="000E5DD6">
              <w:rPr>
                <w:rFonts w:ascii="Times New Roman" w:hAnsi="Times New Roman" w:cs="Times New Roman"/>
                <w:color w:val="000000" w:themeColor="text1"/>
                <w:sz w:val="24"/>
                <w:szCs w:val="24"/>
                <w:lang w:val="en-US"/>
              </w:rPr>
              <w:t xml:space="preserve"> </w:t>
            </w:r>
            <w:proofErr w:type="spellStart"/>
            <w:r w:rsidRPr="000E5DD6">
              <w:rPr>
                <w:rFonts w:ascii="Times New Roman" w:hAnsi="Times New Roman" w:cs="Times New Roman"/>
                <w:color w:val="000000" w:themeColor="text1"/>
                <w:sz w:val="24"/>
                <w:szCs w:val="24"/>
                <w:lang w:val="en-US"/>
              </w:rPr>
              <w:t>Alimentelor</w:t>
            </w:r>
            <w:proofErr w:type="spellEnd"/>
          </w:p>
        </w:tc>
      </w:tr>
      <w:tr w:rsidR="003738A4" w:rsidRPr="000E5DD6" w14:paraId="751655F0" w14:textId="530F34B9" w:rsidTr="003F58B3">
        <w:tc>
          <w:tcPr>
            <w:tcW w:w="555" w:type="dxa"/>
          </w:tcPr>
          <w:p w14:paraId="56D3797A" w14:textId="77777777" w:rsidR="003F58B3" w:rsidRPr="000E5DD6" w:rsidRDefault="003F58B3" w:rsidP="000E5DD6">
            <w:pPr>
              <w:jc w:val="center"/>
              <w:rPr>
                <w:rFonts w:ascii="Times New Roman" w:hAnsi="Times New Roman" w:cs="Times New Roman"/>
                <w:bCs/>
                <w:color w:val="000000" w:themeColor="text1"/>
                <w:sz w:val="24"/>
                <w:szCs w:val="24"/>
                <w:lang w:val="ro-RO"/>
              </w:rPr>
            </w:pPr>
            <w:r w:rsidRPr="000E5DD6">
              <w:rPr>
                <w:rFonts w:ascii="Times New Roman" w:hAnsi="Times New Roman" w:cs="Times New Roman"/>
                <w:bCs/>
                <w:color w:val="000000" w:themeColor="text1"/>
                <w:sz w:val="24"/>
                <w:szCs w:val="24"/>
                <w:lang w:val="ro-RO"/>
              </w:rPr>
              <w:lastRenderedPageBreak/>
              <w:t>9.</w:t>
            </w:r>
          </w:p>
        </w:tc>
        <w:tc>
          <w:tcPr>
            <w:tcW w:w="2510" w:type="dxa"/>
          </w:tcPr>
          <w:p w14:paraId="09E82FE4" w14:textId="77777777" w:rsidR="003F58B3" w:rsidRPr="000E5DD6" w:rsidRDefault="003F58B3"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color w:val="000000" w:themeColor="text1"/>
                <w:sz w:val="24"/>
                <w:szCs w:val="24"/>
              </w:rPr>
              <w:t>Aluminiu</w:t>
            </w:r>
            <w:proofErr w:type="spellEnd"/>
            <w:r w:rsidRPr="000E5DD6">
              <w:rPr>
                <w:rFonts w:ascii="Times New Roman" w:hAnsi="Times New Roman" w:cs="Times New Roman"/>
                <w:color w:val="000000" w:themeColor="text1"/>
                <w:sz w:val="24"/>
                <w:szCs w:val="24"/>
              </w:rPr>
              <w:t xml:space="preserve">, </w:t>
            </w:r>
            <w:proofErr w:type="spellStart"/>
            <w:r w:rsidRPr="000E5DD6">
              <w:rPr>
                <w:rFonts w:ascii="Times New Roman" w:hAnsi="Times New Roman" w:cs="Times New Roman"/>
                <w:color w:val="000000" w:themeColor="text1"/>
                <w:sz w:val="24"/>
                <w:szCs w:val="24"/>
              </w:rPr>
              <w:t>pulberi</w:t>
            </w:r>
            <w:proofErr w:type="spellEnd"/>
            <w:r w:rsidRPr="000E5DD6">
              <w:rPr>
                <w:rFonts w:ascii="Times New Roman" w:hAnsi="Times New Roman" w:cs="Times New Roman"/>
                <w:color w:val="000000" w:themeColor="text1"/>
                <w:sz w:val="24"/>
                <w:szCs w:val="24"/>
              </w:rPr>
              <w:t xml:space="preserve"> (CAS RN 7429-90-5) </w:t>
            </w:r>
            <w:r w:rsidRPr="000E5DD6">
              <w:rPr>
                <w:rFonts w:ascii="Times New Roman" w:hAnsi="Times New Roman" w:cs="Times New Roman"/>
                <w:color w:val="000000" w:themeColor="text1"/>
                <w:sz w:val="24"/>
                <w:szCs w:val="24"/>
                <w:vertAlign w:val="superscript"/>
              </w:rPr>
              <w:t>(2) (3)</w:t>
            </w:r>
          </w:p>
        </w:tc>
        <w:tc>
          <w:tcPr>
            <w:tcW w:w="2532" w:type="dxa"/>
          </w:tcPr>
          <w:p w14:paraId="2B81E6E4" w14:textId="347199D6" w:rsidR="003F58B3" w:rsidRPr="000E5DD6" w:rsidRDefault="003F58B3" w:rsidP="000E5DD6">
            <w:pPr>
              <w:jc w:val="center"/>
              <w:rPr>
                <w:rFonts w:ascii="Times New Roman" w:hAnsi="Times New Roman" w:cs="Times New Roman"/>
                <w:color w:val="000000" w:themeColor="text1"/>
                <w:sz w:val="24"/>
                <w:szCs w:val="24"/>
              </w:rPr>
            </w:pPr>
            <w:r w:rsidRPr="000E5DD6">
              <w:rPr>
                <w:rFonts w:ascii="Times New Roman" w:hAnsi="Times New Roman" w:cs="Times New Roman"/>
                <w:color w:val="000000" w:themeColor="text1"/>
                <w:sz w:val="24"/>
                <w:szCs w:val="24"/>
              </w:rPr>
              <w:t>7603 10 00</w:t>
            </w:r>
          </w:p>
          <w:p w14:paraId="318380FC" w14:textId="77777777" w:rsidR="003F58B3" w:rsidRPr="000E5DD6" w:rsidRDefault="003F58B3" w:rsidP="000E5DD6">
            <w:pPr>
              <w:jc w:val="center"/>
              <w:rPr>
                <w:rFonts w:ascii="Times New Roman" w:hAnsi="Times New Roman" w:cs="Times New Roman"/>
                <w:color w:val="000000" w:themeColor="text1"/>
                <w:sz w:val="24"/>
                <w:szCs w:val="24"/>
                <w:lang w:val="ro-RO"/>
              </w:rPr>
            </w:pPr>
            <w:proofErr w:type="spellStart"/>
            <w:r w:rsidRPr="000E5DD6">
              <w:rPr>
                <w:rFonts w:ascii="Times New Roman" w:hAnsi="Times New Roman" w:cs="Times New Roman"/>
                <w:color w:val="000000" w:themeColor="text1"/>
                <w:sz w:val="24"/>
                <w:szCs w:val="24"/>
              </w:rPr>
              <w:t>ex</w:t>
            </w:r>
            <w:proofErr w:type="spellEnd"/>
            <w:r w:rsidRPr="000E5DD6">
              <w:rPr>
                <w:rFonts w:ascii="Times New Roman" w:hAnsi="Times New Roman" w:cs="Times New Roman"/>
                <w:color w:val="000000" w:themeColor="text1"/>
                <w:sz w:val="24"/>
                <w:szCs w:val="24"/>
              </w:rPr>
              <w:t xml:space="preserve"> 7603 20 00</w:t>
            </w:r>
          </w:p>
        </w:tc>
        <w:tc>
          <w:tcPr>
            <w:tcW w:w="2529" w:type="dxa"/>
          </w:tcPr>
          <w:p w14:paraId="1CF81A51" w14:textId="77777777" w:rsidR="003F58B3" w:rsidRPr="000E5DD6" w:rsidRDefault="003F58B3" w:rsidP="000E5DD6">
            <w:pPr>
              <w:jc w:val="center"/>
              <w:rPr>
                <w:rFonts w:ascii="Times New Roman" w:hAnsi="Times New Roman" w:cs="Times New Roman"/>
                <w:color w:val="000000" w:themeColor="text1"/>
                <w:sz w:val="24"/>
                <w:szCs w:val="24"/>
                <w:lang w:val="ro-RO"/>
              </w:rPr>
            </w:pPr>
          </w:p>
        </w:tc>
        <w:tc>
          <w:tcPr>
            <w:tcW w:w="1932" w:type="dxa"/>
          </w:tcPr>
          <w:p w14:paraId="09667BD8" w14:textId="54FDF3A8" w:rsidR="003F58B3" w:rsidRPr="000E5DD6" w:rsidRDefault="00580947" w:rsidP="000E5DD6">
            <w:pPr>
              <w:jc w:val="center"/>
              <w:rPr>
                <w:rFonts w:ascii="Times New Roman" w:hAnsi="Times New Roman" w:cs="Times New Roman"/>
                <w:color w:val="000000" w:themeColor="text1"/>
                <w:sz w:val="24"/>
                <w:szCs w:val="24"/>
                <w:lang w:val="en-US"/>
              </w:rPr>
            </w:pPr>
            <w:proofErr w:type="spellStart"/>
            <w:r w:rsidRPr="000E5DD6">
              <w:rPr>
                <w:rFonts w:ascii="Times New Roman" w:hAnsi="Times New Roman" w:cs="Times New Roman"/>
                <w:shd w:val="clear" w:color="auto" w:fill="FFFFFF"/>
                <w:lang w:val="en-US"/>
              </w:rPr>
              <w:t>Comisia</w:t>
            </w:r>
            <w:proofErr w:type="spellEnd"/>
            <w:r w:rsidRPr="000E5DD6">
              <w:rPr>
                <w:rFonts w:ascii="Times New Roman" w:hAnsi="Times New Roman" w:cs="Times New Roman"/>
                <w:shd w:val="clear" w:color="auto" w:fill="FFFFFF"/>
                <w:lang w:val="en-US"/>
              </w:rPr>
              <w:t xml:space="preserve"> </w:t>
            </w:r>
            <w:proofErr w:type="spellStart"/>
            <w:r w:rsidRPr="000E5DD6">
              <w:rPr>
                <w:rFonts w:ascii="Times New Roman" w:hAnsi="Times New Roman" w:cs="Times New Roman"/>
                <w:shd w:val="clear" w:color="auto" w:fill="FFFFFF"/>
                <w:lang w:val="en-US"/>
              </w:rPr>
              <w:t>națională</w:t>
            </w:r>
            <w:proofErr w:type="spellEnd"/>
            <w:r w:rsidRPr="000E5DD6">
              <w:rPr>
                <w:rFonts w:ascii="Times New Roman" w:hAnsi="Times New Roman" w:cs="Times New Roman"/>
                <w:shd w:val="clear" w:color="auto" w:fill="FFFFFF"/>
                <w:lang w:val="en-US"/>
              </w:rPr>
              <w:t xml:space="preserve"> de control al </w:t>
            </w:r>
            <w:proofErr w:type="spellStart"/>
            <w:r w:rsidRPr="000E5DD6">
              <w:rPr>
                <w:rFonts w:ascii="Times New Roman" w:hAnsi="Times New Roman" w:cs="Times New Roman"/>
                <w:shd w:val="clear" w:color="auto" w:fill="FFFFFF"/>
                <w:lang w:val="en-US"/>
              </w:rPr>
              <w:t>comerțului</w:t>
            </w:r>
            <w:proofErr w:type="spellEnd"/>
            <w:r w:rsidRPr="000E5DD6">
              <w:rPr>
                <w:rFonts w:ascii="Times New Roman" w:hAnsi="Times New Roman" w:cs="Times New Roman"/>
                <w:shd w:val="clear" w:color="auto" w:fill="FFFFFF"/>
                <w:lang w:val="en-US"/>
              </w:rPr>
              <w:t xml:space="preserve"> cu </w:t>
            </w:r>
            <w:proofErr w:type="spellStart"/>
            <w:r w:rsidRPr="000E5DD6">
              <w:rPr>
                <w:rFonts w:ascii="Times New Roman" w:hAnsi="Times New Roman" w:cs="Times New Roman"/>
                <w:shd w:val="clear" w:color="auto" w:fill="FFFFFF"/>
                <w:lang w:val="en-US"/>
              </w:rPr>
              <w:t>mărfuri</w:t>
            </w:r>
            <w:proofErr w:type="spellEnd"/>
            <w:r w:rsidRPr="000E5DD6">
              <w:rPr>
                <w:rFonts w:ascii="Times New Roman" w:hAnsi="Times New Roman" w:cs="Times New Roman"/>
                <w:shd w:val="clear" w:color="auto" w:fill="FFFFFF"/>
                <w:lang w:val="en-US"/>
              </w:rPr>
              <w:t xml:space="preserve"> </w:t>
            </w:r>
            <w:proofErr w:type="spellStart"/>
            <w:r w:rsidRPr="000E5DD6">
              <w:rPr>
                <w:rFonts w:ascii="Times New Roman" w:hAnsi="Times New Roman" w:cs="Times New Roman"/>
                <w:shd w:val="clear" w:color="auto" w:fill="FFFFFF"/>
                <w:lang w:val="en-US"/>
              </w:rPr>
              <w:t>strategice</w:t>
            </w:r>
            <w:proofErr w:type="spellEnd"/>
          </w:p>
        </w:tc>
      </w:tr>
    </w:tbl>
    <w:p w14:paraId="74EBC116" w14:textId="77777777" w:rsidR="00F91B73" w:rsidRPr="000E5DD6" w:rsidRDefault="00F91B73" w:rsidP="00F91B73">
      <w:pPr>
        <w:rPr>
          <w:rFonts w:ascii="Times New Roman" w:hAnsi="Times New Roman" w:cs="Times New Roman"/>
          <w:color w:val="000000" w:themeColor="text1"/>
          <w:sz w:val="24"/>
          <w:szCs w:val="24"/>
          <w:lang w:val="ro-RO"/>
        </w:rPr>
      </w:pPr>
    </w:p>
    <w:p w14:paraId="0A4F96FB" w14:textId="77777777" w:rsidR="00F91B73" w:rsidRPr="000E5DD6" w:rsidRDefault="00F91B73" w:rsidP="00C54BE5">
      <w:pPr>
        <w:spacing w:after="0"/>
        <w:jc w:val="both"/>
        <w:rPr>
          <w:rFonts w:ascii="Times New Roman" w:hAnsi="Times New Roman" w:cs="Times New Roman"/>
          <w:color w:val="000000" w:themeColor="text1"/>
          <w:sz w:val="28"/>
          <w:szCs w:val="28"/>
        </w:rPr>
      </w:pPr>
    </w:p>
    <w:sectPr w:rsidR="00F91B73" w:rsidRPr="000E5DD6" w:rsidSect="00C54BE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B259" w14:textId="77777777" w:rsidR="00C50339" w:rsidRDefault="00C50339" w:rsidP="00F91B73">
      <w:pPr>
        <w:spacing w:after="0" w:line="240" w:lineRule="auto"/>
      </w:pPr>
      <w:r>
        <w:separator/>
      </w:r>
    </w:p>
  </w:endnote>
  <w:endnote w:type="continuationSeparator" w:id="0">
    <w:p w14:paraId="439746A6" w14:textId="77777777" w:rsidR="00C50339" w:rsidRDefault="00C50339" w:rsidP="00F9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2F28" w14:textId="77777777" w:rsidR="00C50339" w:rsidRDefault="00C50339" w:rsidP="00F91B73">
      <w:pPr>
        <w:spacing w:after="0" w:line="240" w:lineRule="auto"/>
      </w:pPr>
      <w:r>
        <w:separator/>
      </w:r>
    </w:p>
  </w:footnote>
  <w:footnote w:type="continuationSeparator" w:id="0">
    <w:p w14:paraId="6B70FF96" w14:textId="77777777" w:rsidR="00C50339" w:rsidRDefault="00C50339" w:rsidP="00F91B73">
      <w:pPr>
        <w:spacing w:after="0" w:line="240" w:lineRule="auto"/>
      </w:pPr>
      <w:r>
        <w:continuationSeparator/>
      </w:r>
    </w:p>
  </w:footnote>
  <w:footnote w:id="1">
    <w:p w14:paraId="135B4E39" w14:textId="77777777" w:rsidR="003738A4" w:rsidRPr="000E5DD6" w:rsidRDefault="003738A4" w:rsidP="00F91B73">
      <w:pPr>
        <w:pStyle w:val="Textnotdesubsol"/>
        <w:jc w:val="both"/>
        <w:rPr>
          <w:rFonts w:ascii="Times New Roman" w:hAnsi="Times New Roman" w:cs="Times New Roman"/>
          <w:color w:val="000000" w:themeColor="text1"/>
          <w:lang w:val="fr-FR"/>
        </w:rPr>
      </w:pPr>
      <w:r w:rsidRPr="000E5DD6">
        <w:rPr>
          <w:rFonts w:ascii="Times New Roman" w:hAnsi="Times New Roman" w:cs="Times New Roman"/>
          <w:color w:val="000000" w:themeColor="text1"/>
          <w:vertAlign w:val="superscript"/>
          <w:lang w:val="fr-FR"/>
        </w:rPr>
        <w:t>(</w:t>
      </w:r>
      <w:r w:rsidRPr="000E5DD6">
        <w:rPr>
          <w:rStyle w:val="Referinnotdesubsol"/>
          <w:rFonts w:ascii="Times New Roman" w:hAnsi="Times New Roman" w:cs="Times New Roman"/>
          <w:color w:val="000000" w:themeColor="text1"/>
        </w:rPr>
        <w:footnoteRef/>
      </w:r>
      <w:r w:rsidRPr="000E5DD6">
        <w:rPr>
          <w:rFonts w:ascii="Times New Roman" w:hAnsi="Times New Roman" w:cs="Times New Roman"/>
          <w:color w:val="000000" w:themeColor="text1"/>
          <w:vertAlign w:val="superscript"/>
          <w:lang w:val="ro-RO"/>
        </w:rPr>
        <w:t>)</w:t>
      </w:r>
      <w:r w:rsidRPr="000E5DD6">
        <w:rPr>
          <w:rFonts w:ascii="Times New Roman" w:hAnsi="Times New Roman" w:cs="Times New Roman"/>
          <w:color w:val="000000" w:themeColor="text1"/>
          <w:lang w:val="ro-RO"/>
        </w:rPr>
        <w:t xml:space="preserve"> </w:t>
      </w:r>
      <w:r w:rsidRPr="000E5DD6">
        <w:rPr>
          <w:rFonts w:ascii="Times New Roman" w:hAnsi="Times New Roman" w:cs="Times New Roman"/>
          <w:color w:val="000000" w:themeColor="text1"/>
          <w:lang w:val="fr-FR"/>
        </w:rPr>
        <w:t>Regulamentul de punere în aplicare (UE) 2017/1925 al Comisiei (1). Ar trebui consultate modificările ulterioare aduse anexei I la Regulamentul (CEE) nr. 2658/87 al Consiliului (2) în ceea ce privește codurile NC actualizate.</w:t>
      </w:r>
    </w:p>
  </w:footnote>
  <w:footnote w:id="2">
    <w:p w14:paraId="30D4A378" w14:textId="02B348AA" w:rsidR="003738A4" w:rsidRPr="0052071D" w:rsidRDefault="003738A4" w:rsidP="00F91B73">
      <w:pPr>
        <w:pStyle w:val="Textnotdesubsol"/>
        <w:jc w:val="both"/>
        <w:rPr>
          <w:lang w:val="fr-FR"/>
        </w:rPr>
      </w:pPr>
      <w:r w:rsidRPr="000E5DD6">
        <w:rPr>
          <w:rFonts w:ascii="Times New Roman" w:hAnsi="Times New Roman" w:cs="Times New Roman"/>
          <w:color w:val="000000" w:themeColor="text1"/>
          <w:vertAlign w:val="superscript"/>
          <w:lang w:val="fr-FR"/>
        </w:rPr>
        <w:t>(</w:t>
      </w:r>
      <w:r w:rsidRPr="000E5DD6">
        <w:rPr>
          <w:rStyle w:val="Referinnotdesubsol"/>
          <w:rFonts w:ascii="Times New Roman" w:hAnsi="Times New Roman" w:cs="Times New Roman"/>
          <w:color w:val="000000" w:themeColor="text1"/>
        </w:rPr>
        <w:footnoteRef/>
      </w:r>
      <w:r w:rsidRPr="000E5DD6">
        <w:rPr>
          <w:rFonts w:ascii="Times New Roman" w:hAnsi="Times New Roman" w:cs="Times New Roman"/>
          <w:color w:val="000000" w:themeColor="text1"/>
          <w:vertAlign w:val="superscript"/>
          <w:lang w:val="fr-FR"/>
        </w:rPr>
        <w:t>)</w:t>
      </w:r>
      <w:r w:rsidRPr="000E5DD6">
        <w:rPr>
          <w:rFonts w:ascii="Times New Roman" w:hAnsi="Times New Roman" w:cs="Times New Roman"/>
          <w:color w:val="000000" w:themeColor="text1"/>
          <w:lang w:val="fr-FR"/>
        </w:rPr>
        <w:t xml:space="preserve"> 16 % g/g azot având drept proveniență nitratul de amoniu corespunde unui procent de 45,7 % nitrat de amoniu, îndepărtând impuritățil</w:t>
      </w:r>
      <w:r>
        <w:rPr>
          <w:rFonts w:ascii="Times New Roman" w:hAnsi="Times New Roman" w:cs="Times New Roman"/>
          <w:color w:val="000000" w:themeColor="text1"/>
          <w:lang w:val="fr-FR"/>
        </w:rPr>
        <w:t>e</w:t>
      </w:r>
    </w:p>
  </w:footnote>
  <w:footnote w:id="3">
    <w:p w14:paraId="6890065D" w14:textId="77777777" w:rsidR="003738A4" w:rsidRPr="000E5DD6" w:rsidRDefault="003738A4" w:rsidP="00F91B73">
      <w:pPr>
        <w:pStyle w:val="Textnotdesubsol"/>
        <w:jc w:val="both"/>
        <w:rPr>
          <w:rFonts w:ascii="Times New Roman" w:hAnsi="Times New Roman" w:cs="Times New Roman"/>
          <w:color w:val="000000" w:themeColor="text1"/>
          <w:lang w:val="fr-FR"/>
        </w:rPr>
      </w:pPr>
      <w:r w:rsidRPr="000E5DD6">
        <w:rPr>
          <w:rFonts w:ascii="Times New Roman" w:hAnsi="Times New Roman" w:cs="Times New Roman"/>
          <w:color w:val="000000" w:themeColor="text1"/>
          <w:vertAlign w:val="superscript"/>
          <w:lang w:val="fr-FR"/>
        </w:rPr>
        <w:t>(</w:t>
      </w:r>
      <w:r w:rsidRPr="000E5DD6">
        <w:rPr>
          <w:rStyle w:val="Referinnotdesubsol"/>
          <w:rFonts w:ascii="Times New Roman" w:hAnsi="Times New Roman" w:cs="Times New Roman"/>
          <w:color w:val="000000" w:themeColor="text1"/>
        </w:rPr>
        <w:footnoteRef/>
      </w:r>
      <w:r w:rsidRPr="000E5DD6">
        <w:rPr>
          <w:rFonts w:ascii="Times New Roman" w:hAnsi="Times New Roman" w:cs="Times New Roman"/>
          <w:color w:val="000000" w:themeColor="text1"/>
          <w:vertAlign w:val="superscript"/>
          <w:lang w:val="fr-FR"/>
        </w:rPr>
        <w:t>)</w:t>
      </w:r>
      <w:r w:rsidRPr="000E5DD6">
        <w:rPr>
          <w:rFonts w:ascii="Times New Roman" w:hAnsi="Times New Roman" w:cs="Times New Roman"/>
          <w:color w:val="000000" w:themeColor="text1"/>
          <w:lang w:val="fr-FR"/>
        </w:rPr>
        <w:t xml:space="preserve"> Regulamentul de punere în aplicare (UE) 2017/1925. Ar trebui consultate modificările ulterioare aduse anexei I la Regulamentul (CEE) nr. 2658/87 în ceea ce privește codurile NC actualizate.</w:t>
      </w:r>
    </w:p>
  </w:footnote>
  <w:footnote w:id="4">
    <w:p w14:paraId="7850FA78" w14:textId="77777777" w:rsidR="003738A4" w:rsidRPr="000E5DD6" w:rsidRDefault="003738A4" w:rsidP="00F91B73">
      <w:pPr>
        <w:pStyle w:val="Textnotdesubsol"/>
        <w:rPr>
          <w:color w:val="000000" w:themeColor="text1"/>
          <w:lang w:val="fr-FR"/>
        </w:rPr>
      </w:pPr>
      <w:r w:rsidRPr="000E5DD6">
        <w:rPr>
          <w:rFonts w:ascii="Times New Roman" w:hAnsi="Times New Roman" w:cs="Times New Roman"/>
          <w:color w:val="000000" w:themeColor="text1"/>
          <w:vertAlign w:val="superscript"/>
          <w:lang w:val="fr-FR"/>
        </w:rPr>
        <w:t>(</w:t>
      </w:r>
      <w:r w:rsidRPr="000E5DD6">
        <w:rPr>
          <w:rStyle w:val="Referinnotdesubsol"/>
          <w:rFonts w:ascii="Times New Roman" w:hAnsi="Times New Roman" w:cs="Times New Roman"/>
          <w:color w:val="000000" w:themeColor="text1"/>
        </w:rPr>
        <w:footnoteRef/>
      </w:r>
      <w:r w:rsidRPr="000E5DD6">
        <w:rPr>
          <w:rFonts w:ascii="Times New Roman" w:hAnsi="Times New Roman" w:cs="Times New Roman"/>
          <w:color w:val="000000" w:themeColor="text1"/>
          <w:vertAlign w:val="superscript"/>
          <w:lang w:val="fr-FR"/>
        </w:rPr>
        <w:t xml:space="preserve">) </w:t>
      </w:r>
      <w:r w:rsidRPr="000E5DD6">
        <w:rPr>
          <w:rFonts w:ascii="Times New Roman" w:hAnsi="Times New Roman" w:cs="Times New Roman"/>
          <w:color w:val="000000" w:themeColor="text1"/>
          <w:lang w:val="fr-FR"/>
        </w:rPr>
        <w:t xml:space="preserve">Cu o granulație mai mică de 200 </w:t>
      </w:r>
      <w:r w:rsidRPr="000E5DD6">
        <w:rPr>
          <w:rFonts w:ascii="Times New Roman" w:hAnsi="Times New Roman" w:cs="Times New Roman"/>
          <w:color w:val="000000" w:themeColor="text1"/>
        </w:rPr>
        <w:t>μ</w:t>
      </w:r>
      <w:r w:rsidRPr="000E5DD6">
        <w:rPr>
          <w:rFonts w:ascii="Times New Roman" w:hAnsi="Times New Roman" w:cs="Times New Roman"/>
          <w:color w:val="000000" w:themeColor="text1"/>
          <w:lang w:val="fr-FR"/>
        </w:rPr>
        <w:t>m.</w:t>
      </w:r>
    </w:p>
  </w:footnote>
  <w:footnote w:id="5">
    <w:p w14:paraId="55A5C1E2" w14:textId="77777777" w:rsidR="003738A4" w:rsidRPr="0052071D" w:rsidRDefault="003738A4" w:rsidP="00F91B73">
      <w:pPr>
        <w:pStyle w:val="Textnotdesubsol"/>
        <w:jc w:val="both"/>
        <w:rPr>
          <w:lang w:val="fr-FR"/>
        </w:rPr>
      </w:pPr>
      <w:r w:rsidRPr="000E5DD6">
        <w:rPr>
          <w:rFonts w:ascii="Times New Roman" w:hAnsi="Times New Roman" w:cs="Times New Roman"/>
          <w:color w:val="000000" w:themeColor="text1"/>
          <w:vertAlign w:val="superscript"/>
          <w:lang w:val="ro-RO"/>
        </w:rPr>
        <w:t>(</w:t>
      </w:r>
      <w:r w:rsidRPr="000E5DD6">
        <w:rPr>
          <w:rStyle w:val="Referinnotdesubsol"/>
          <w:rFonts w:ascii="Times New Roman" w:hAnsi="Times New Roman" w:cs="Times New Roman"/>
          <w:color w:val="000000" w:themeColor="text1"/>
          <w:lang w:val="ro-RO"/>
        </w:rPr>
        <w:t>3</w:t>
      </w:r>
      <w:r w:rsidRPr="000E5DD6">
        <w:rPr>
          <w:rFonts w:ascii="Times New Roman" w:hAnsi="Times New Roman" w:cs="Times New Roman"/>
          <w:color w:val="000000" w:themeColor="text1"/>
          <w:vertAlign w:val="superscript"/>
          <w:lang w:val="ro-RO"/>
        </w:rPr>
        <w:t>)</w:t>
      </w:r>
      <w:r w:rsidRPr="000E5DD6">
        <w:rPr>
          <w:rFonts w:ascii="Times New Roman" w:hAnsi="Times New Roman" w:cs="Times New Roman"/>
          <w:color w:val="000000" w:themeColor="text1"/>
          <w:lang w:val="ro-RO"/>
        </w:rPr>
        <w:t xml:space="preserve"> </w:t>
      </w:r>
      <w:r w:rsidRPr="000E5DD6">
        <w:rPr>
          <w:rFonts w:ascii="Times New Roman" w:hAnsi="Times New Roman" w:cs="Times New Roman"/>
          <w:color w:val="000000" w:themeColor="text1"/>
          <w:lang w:val="fr-FR"/>
        </w:rPr>
        <w:t>Ca substanță sau în amestecuri cu conținut de aluminiu sau de magneziu de 70 % g/g sau mai mult.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70F1"/>
    <w:multiLevelType w:val="hybridMultilevel"/>
    <w:tmpl w:val="93025362"/>
    <w:lvl w:ilvl="0" w:tplc="B4A80F26">
      <w:start w:val="1"/>
      <w:numFmt w:val="decimal"/>
      <w:lvlText w:val="(%1)"/>
      <w:lvlJc w:val="left"/>
      <w:pPr>
        <w:ind w:left="1059" w:hanging="49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D85F3E"/>
    <w:multiLevelType w:val="hybridMultilevel"/>
    <w:tmpl w:val="4EE4D40C"/>
    <w:lvl w:ilvl="0" w:tplc="96EA191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1EB65CFD"/>
    <w:multiLevelType w:val="hybridMultilevel"/>
    <w:tmpl w:val="1A14EA08"/>
    <w:lvl w:ilvl="0" w:tplc="B21A1558">
      <w:start w:val="1"/>
      <w:numFmt w:val="decimal"/>
      <w:lvlText w:val="(%1)"/>
      <w:lvlJc w:val="left"/>
      <w:pPr>
        <w:ind w:left="1011" w:hanging="444"/>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5B264B0"/>
    <w:multiLevelType w:val="hybridMultilevel"/>
    <w:tmpl w:val="0902DC10"/>
    <w:lvl w:ilvl="0" w:tplc="5956C26A">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5E614CE"/>
    <w:multiLevelType w:val="hybridMultilevel"/>
    <w:tmpl w:val="E3C0E7C4"/>
    <w:lvl w:ilvl="0" w:tplc="A160803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F34677A"/>
    <w:multiLevelType w:val="hybridMultilevel"/>
    <w:tmpl w:val="64269E4E"/>
    <w:lvl w:ilvl="0" w:tplc="9A1219B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41922F90"/>
    <w:multiLevelType w:val="hybridMultilevel"/>
    <w:tmpl w:val="2CD8DEC0"/>
    <w:lvl w:ilvl="0" w:tplc="D9A893E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50383686"/>
    <w:multiLevelType w:val="hybridMultilevel"/>
    <w:tmpl w:val="9FF87DF8"/>
    <w:lvl w:ilvl="0" w:tplc="F4CCFF4C">
      <w:start w:val="1"/>
      <w:numFmt w:val="decimal"/>
      <w:lvlText w:val="(%1)"/>
      <w:lvlJc w:val="left"/>
      <w:pPr>
        <w:ind w:left="1119" w:hanging="552"/>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2D02F1"/>
    <w:multiLevelType w:val="hybridMultilevel"/>
    <w:tmpl w:val="E3EA1450"/>
    <w:lvl w:ilvl="0" w:tplc="47F2A69A">
      <w:start w:val="1"/>
      <w:numFmt w:val="decimal"/>
      <w:lvlText w:val="(%1)"/>
      <w:lvlJc w:val="left"/>
      <w:pPr>
        <w:ind w:left="942" w:hanging="375"/>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66785F28"/>
    <w:multiLevelType w:val="hybridMultilevel"/>
    <w:tmpl w:val="9C0C01F2"/>
    <w:lvl w:ilvl="0" w:tplc="3D844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
  </w:num>
  <w:num w:numId="3">
    <w:abstractNumId w:val="6"/>
  </w:num>
  <w:num w:numId="4">
    <w:abstractNumId w:val="4"/>
  </w:num>
  <w:num w:numId="5">
    <w:abstractNumId w:val="3"/>
  </w:num>
  <w:num w:numId="6">
    <w:abstractNumId w:val="8"/>
  </w:num>
  <w:num w:numId="7">
    <w:abstractNumId w:val="1"/>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6F"/>
    <w:rsid w:val="00000486"/>
    <w:rsid w:val="00000E2B"/>
    <w:rsid w:val="00004A3E"/>
    <w:rsid w:val="00005B7D"/>
    <w:rsid w:val="00007F96"/>
    <w:rsid w:val="00010541"/>
    <w:rsid w:val="00010982"/>
    <w:rsid w:val="000367E9"/>
    <w:rsid w:val="00036E1C"/>
    <w:rsid w:val="00045231"/>
    <w:rsid w:val="00046517"/>
    <w:rsid w:val="0005201C"/>
    <w:rsid w:val="000571C7"/>
    <w:rsid w:val="00060140"/>
    <w:rsid w:val="00061AAC"/>
    <w:rsid w:val="00062611"/>
    <w:rsid w:val="00071A7C"/>
    <w:rsid w:val="00073584"/>
    <w:rsid w:val="000816CA"/>
    <w:rsid w:val="000836BF"/>
    <w:rsid w:val="0008436D"/>
    <w:rsid w:val="00086789"/>
    <w:rsid w:val="000A4485"/>
    <w:rsid w:val="000A79B2"/>
    <w:rsid w:val="000B5007"/>
    <w:rsid w:val="000C08AF"/>
    <w:rsid w:val="000C18C8"/>
    <w:rsid w:val="000C1E0B"/>
    <w:rsid w:val="000C2FBC"/>
    <w:rsid w:val="000C77EA"/>
    <w:rsid w:val="000D091A"/>
    <w:rsid w:val="000D2884"/>
    <w:rsid w:val="000D5BED"/>
    <w:rsid w:val="000E0B1E"/>
    <w:rsid w:val="000E16BA"/>
    <w:rsid w:val="000E5042"/>
    <w:rsid w:val="000E5DD6"/>
    <w:rsid w:val="000E6060"/>
    <w:rsid w:val="000F092D"/>
    <w:rsid w:val="000F40CC"/>
    <w:rsid w:val="000F4ADC"/>
    <w:rsid w:val="00102571"/>
    <w:rsid w:val="00104A66"/>
    <w:rsid w:val="00107E7B"/>
    <w:rsid w:val="0011444A"/>
    <w:rsid w:val="00115941"/>
    <w:rsid w:val="001234E8"/>
    <w:rsid w:val="00125AE8"/>
    <w:rsid w:val="00133679"/>
    <w:rsid w:val="00135B87"/>
    <w:rsid w:val="00137BE0"/>
    <w:rsid w:val="00154E4C"/>
    <w:rsid w:val="00155B07"/>
    <w:rsid w:val="00157F3B"/>
    <w:rsid w:val="00164CD8"/>
    <w:rsid w:val="00170EE1"/>
    <w:rsid w:val="00177DF8"/>
    <w:rsid w:val="00186D7A"/>
    <w:rsid w:val="00186F37"/>
    <w:rsid w:val="00187FD1"/>
    <w:rsid w:val="00190AB3"/>
    <w:rsid w:val="001A4624"/>
    <w:rsid w:val="001A6F05"/>
    <w:rsid w:val="001B4B6F"/>
    <w:rsid w:val="001C61E2"/>
    <w:rsid w:val="001D132B"/>
    <w:rsid w:val="001D16B8"/>
    <w:rsid w:val="001D2096"/>
    <w:rsid w:val="001E1395"/>
    <w:rsid w:val="001E1CD7"/>
    <w:rsid w:val="001E3880"/>
    <w:rsid w:val="001E3E2E"/>
    <w:rsid w:val="001E571C"/>
    <w:rsid w:val="001F2170"/>
    <w:rsid w:val="001F3CEB"/>
    <w:rsid w:val="00200888"/>
    <w:rsid w:val="00207916"/>
    <w:rsid w:val="0021183B"/>
    <w:rsid w:val="002208DF"/>
    <w:rsid w:val="0022390B"/>
    <w:rsid w:val="00224FCA"/>
    <w:rsid w:val="00225D8A"/>
    <w:rsid w:val="002354F7"/>
    <w:rsid w:val="00237F48"/>
    <w:rsid w:val="002451E8"/>
    <w:rsid w:val="00245E7C"/>
    <w:rsid w:val="00261DA8"/>
    <w:rsid w:val="002654CB"/>
    <w:rsid w:val="00265963"/>
    <w:rsid w:val="00266AED"/>
    <w:rsid w:val="0026754F"/>
    <w:rsid w:val="002749E4"/>
    <w:rsid w:val="00285C8E"/>
    <w:rsid w:val="0028744B"/>
    <w:rsid w:val="00292290"/>
    <w:rsid w:val="002A0FF3"/>
    <w:rsid w:val="002A1226"/>
    <w:rsid w:val="002A2FBB"/>
    <w:rsid w:val="002A414D"/>
    <w:rsid w:val="002A52F0"/>
    <w:rsid w:val="002A7A51"/>
    <w:rsid w:val="002B78D4"/>
    <w:rsid w:val="002C09EB"/>
    <w:rsid w:val="002C51E8"/>
    <w:rsid w:val="002C5D48"/>
    <w:rsid w:val="002D07A1"/>
    <w:rsid w:val="002D23A6"/>
    <w:rsid w:val="002E3CEE"/>
    <w:rsid w:val="002E687D"/>
    <w:rsid w:val="002E6F38"/>
    <w:rsid w:val="002E73AF"/>
    <w:rsid w:val="00300E9F"/>
    <w:rsid w:val="00304A37"/>
    <w:rsid w:val="00306375"/>
    <w:rsid w:val="00311AF0"/>
    <w:rsid w:val="00317CB5"/>
    <w:rsid w:val="00327A07"/>
    <w:rsid w:val="00350DF9"/>
    <w:rsid w:val="00357179"/>
    <w:rsid w:val="00361259"/>
    <w:rsid w:val="00362F96"/>
    <w:rsid w:val="0037260C"/>
    <w:rsid w:val="003738A4"/>
    <w:rsid w:val="003752DC"/>
    <w:rsid w:val="00380F28"/>
    <w:rsid w:val="00381171"/>
    <w:rsid w:val="0038285F"/>
    <w:rsid w:val="0038785B"/>
    <w:rsid w:val="00387A93"/>
    <w:rsid w:val="003916BB"/>
    <w:rsid w:val="00393055"/>
    <w:rsid w:val="003A0F96"/>
    <w:rsid w:val="003A4574"/>
    <w:rsid w:val="003A4E84"/>
    <w:rsid w:val="003A7BF6"/>
    <w:rsid w:val="003B0EC7"/>
    <w:rsid w:val="003B1A2B"/>
    <w:rsid w:val="003B2377"/>
    <w:rsid w:val="003B650B"/>
    <w:rsid w:val="003C1E4B"/>
    <w:rsid w:val="003C513C"/>
    <w:rsid w:val="003C6FB8"/>
    <w:rsid w:val="003C6FE2"/>
    <w:rsid w:val="003D0556"/>
    <w:rsid w:val="003E0180"/>
    <w:rsid w:val="003E53D8"/>
    <w:rsid w:val="003E607D"/>
    <w:rsid w:val="003F4583"/>
    <w:rsid w:val="003F58B3"/>
    <w:rsid w:val="004071E8"/>
    <w:rsid w:val="00414F78"/>
    <w:rsid w:val="00425037"/>
    <w:rsid w:val="00426760"/>
    <w:rsid w:val="00430639"/>
    <w:rsid w:val="00433EFB"/>
    <w:rsid w:val="004342C0"/>
    <w:rsid w:val="00447958"/>
    <w:rsid w:val="00450174"/>
    <w:rsid w:val="00457E9C"/>
    <w:rsid w:val="00465920"/>
    <w:rsid w:val="00477E09"/>
    <w:rsid w:val="004861E7"/>
    <w:rsid w:val="00486E71"/>
    <w:rsid w:val="0048730F"/>
    <w:rsid w:val="00492F4C"/>
    <w:rsid w:val="0049798E"/>
    <w:rsid w:val="004A1356"/>
    <w:rsid w:val="004A69B3"/>
    <w:rsid w:val="004A6A23"/>
    <w:rsid w:val="004B634C"/>
    <w:rsid w:val="004C0FF5"/>
    <w:rsid w:val="004C56EB"/>
    <w:rsid w:val="004C7837"/>
    <w:rsid w:val="004D33E3"/>
    <w:rsid w:val="004D434B"/>
    <w:rsid w:val="004D69F8"/>
    <w:rsid w:val="004F5857"/>
    <w:rsid w:val="005005C9"/>
    <w:rsid w:val="00500CA6"/>
    <w:rsid w:val="00507620"/>
    <w:rsid w:val="00510E5F"/>
    <w:rsid w:val="00515696"/>
    <w:rsid w:val="00517CFE"/>
    <w:rsid w:val="00523D0B"/>
    <w:rsid w:val="00526593"/>
    <w:rsid w:val="00530CBF"/>
    <w:rsid w:val="00542A33"/>
    <w:rsid w:val="00563E79"/>
    <w:rsid w:val="005671A2"/>
    <w:rsid w:val="005678F7"/>
    <w:rsid w:val="0057154F"/>
    <w:rsid w:val="00580947"/>
    <w:rsid w:val="005829F0"/>
    <w:rsid w:val="00584AF7"/>
    <w:rsid w:val="00585614"/>
    <w:rsid w:val="00597B69"/>
    <w:rsid w:val="005A0A40"/>
    <w:rsid w:val="005A43F8"/>
    <w:rsid w:val="005B027B"/>
    <w:rsid w:val="005B6A23"/>
    <w:rsid w:val="005C3E28"/>
    <w:rsid w:val="005C520D"/>
    <w:rsid w:val="005D0172"/>
    <w:rsid w:val="005D2825"/>
    <w:rsid w:val="005F0DEA"/>
    <w:rsid w:val="005F7B07"/>
    <w:rsid w:val="0060015C"/>
    <w:rsid w:val="00613114"/>
    <w:rsid w:val="006134BD"/>
    <w:rsid w:val="00624B17"/>
    <w:rsid w:val="006366AB"/>
    <w:rsid w:val="00637C25"/>
    <w:rsid w:val="00637F6B"/>
    <w:rsid w:val="006417C7"/>
    <w:rsid w:val="00644623"/>
    <w:rsid w:val="00644F4C"/>
    <w:rsid w:val="00650905"/>
    <w:rsid w:val="006512ED"/>
    <w:rsid w:val="006535C6"/>
    <w:rsid w:val="006630F4"/>
    <w:rsid w:val="00666AD0"/>
    <w:rsid w:val="006727F3"/>
    <w:rsid w:val="00680195"/>
    <w:rsid w:val="0068476A"/>
    <w:rsid w:val="006849ED"/>
    <w:rsid w:val="00697D1B"/>
    <w:rsid w:val="006A154B"/>
    <w:rsid w:val="006A3AD8"/>
    <w:rsid w:val="006A4A31"/>
    <w:rsid w:val="006B1011"/>
    <w:rsid w:val="006B2887"/>
    <w:rsid w:val="006B62A0"/>
    <w:rsid w:val="006B6918"/>
    <w:rsid w:val="006C653A"/>
    <w:rsid w:val="006D4575"/>
    <w:rsid w:val="006D7F1E"/>
    <w:rsid w:val="006E0D71"/>
    <w:rsid w:val="006F0513"/>
    <w:rsid w:val="006F0A62"/>
    <w:rsid w:val="006F20E9"/>
    <w:rsid w:val="006F3014"/>
    <w:rsid w:val="006F41FC"/>
    <w:rsid w:val="006F4CCE"/>
    <w:rsid w:val="006F5C6A"/>
    <w:rsid w:val="00705620"/>
    <w:rsid w:val="00707907"/>
    <w:rsid w:val="0071660C"/>
    <w:rsid w:val="00717B4F"/>
    <w:rsid w:val="007234F4"/>
    <w:rsid w:val="007244DE"/>
    <w:rsid w:val="00725083"/>
    <w:rsid w:val="0073011E"/>
    <w:rsid w:val="007327D5"/>
    <w:rsid w:val="00742A8F"/>
    <w:rsid w:val="00751ECE"/>
    <w:rsid w:val="007557D7"/>
    <w:rsid w:val="0076530D"/>
    <w:rsid w:val="007657B2"/>
    <w:rsid w:val="00771209"/>
    <w:rsid w:val="00771795"/>
    <w:rsid w:val="00774269"/>
    <w:rsid w:val="007747E6"/>
    <w:rsid w:val="00784855"/>
    <w:rsid w:val="00785B8D"/>
    <w:rsid w:val="007A2BD8"/>
    <w:rsid w:val="007A6D3B"/>
    <w:rsid w:val="007B46D2"/>
    <w:rsid w:val="007C0E02"/>
    <w:rsid w:val="007C34D4"/>
    <w:rsid w:val="007D3324"/>
    <w:rsid w:val="007D3881"/>
    <w:rsid w:val="007E1977"/>
    <w:rsid w:val="007E2EB1"/>
    <w:rsid w:val="007E41FD"/>
    <w:rsid w:val="007E6235"/>
    <w:rsid w:val="007E7BCD"/>
    <w:rsid w:val="007F2BB3"/>
    <w:rsid w:val="007F6813"/>
    <w:rsid w:val="0080107B"/>
    <w:rsid w:val="00803272"/>
    <w:rsid w:val="00804958"/>
    <w:rsid w:val="00812495"/>
    <w:rsid w:val="008135F7"/>
    <w:rsid w:val="008245C5"/>
    <w:rsid w:val="0082548E"/>
    <w:rsid w:val="008320F0"/>
    <w:rsid w:val="00836985"/>
    <w:rsid w:val="008419CB"/>
    <w:rsid w:val="00851BF8"/>
    <w:rsid w:val="0085673C"/>
    <w:rsid w:val="00857014"/>
    <w:rsid w:val="008660E6"/>
    <w:rsid w:val="008734C8"/>
    <w:rsid w:val="0087375A"/>
    <w:rsid w:val="00876378"/>
    <w:rsid w:val="00876683"/>
    <w:rsid w:val="00884521"/>
    <w:rsid w:val="00885C85"/>
    <w:rsid w:val="0088677A"/>
    <w:rsid w:val="00886CDC"/>
    <w:rsid w:val="0089759F"/>
    <w:rsid w:val="008A4F3C"/>
    <w:rsid w:val="008A5B94"/>
    <w:rsid w:val="008B7910"/>
    <w:rsid w:val="008C0A13"/>
    <w:rsid w:val="008C0BF0"/>
    <w:rsid w:val="008D644D"/>
    <w:rsid w:val="008E001E"/>
    <w:rsid w:val="008E3AF7"/>
    <w:rsid w:val="008F4A4F"/>
    <w:rsid w:val="008F79DB"/>
    <w:rsid w:val="0090320D"/>
    <w:rsid w:val="00905B73"/>
    <w:rsid w:val="00906E31"/>
    <w:rsid w:val="00911FF0"/>
    <w:rsid w:val="00920477"/>
    <w:rsid w:val="00921953"/>
    <w:rsid w:val="00930DF4"/>
    <w:rsid w:val="00932D64"/>
    <w:rsid w:val="0095110C"/>
    <w:rsid w:val="00955E4D"/>
    <w:rsid w:val="0097378D"/>
    <w:rsid w:val="0097432A"/>
    <w:rsid w:val="0098467B"/>
    <w:rsid w:val="00986297"/>
    <w:rsid w:val="00995301"/>
    <w:rsid w:val="0099657C"/>
    <w:rsid w:val="009965B9"/>
    <w:rsid w:val="009967E0"/>
    <w:rsid w:val="009A166C"/>
    <w:rsid w:val="009A19E7"/>
    <w:rsid w:val="009A2881"/>
    <w:rsid w:val="009A3869"/>
    <w:rsid w:val="009B4076"/>
    <w:rsid w:val="009B49C9"/>
    <w:rsid w:val="009B7612"/>
    <w:rsid w:val="009D2FAF"/>
    <w:rsid w:val="009D42FA"/>
    <w:rsid w:val="009D7EFF"/>
    <w:rsid w:val="009E4907"/>
    <w:rsid w:val="009E7D2F"/>
    <w:rsid w:val="009F0450"/>
    <w:rsid w:val="009F33B1"/>
    <w:rsid w:val="009F5219"/>
    <w:rsid w:val="00A00DE7"/>
    <w:rsid w:val="00A01A01"/>
    <w:rsid w:val="00A02363"/>
    <w:rsid w:val="00A11B7F"/>
    <w:rsid w:val="00A30AED"/>
    <w:rsid w:val="00A32612"/>
    <w:rsid w:val="00A33F65"/>
    <w:rsid w:val="00A427D4"/>
    <w:rsid w:val="00A42F38"/>
    <w:rsid w:val="00A45FEE"/>
    <w:rsid w:val="00A50435"/>
    <w:rsid w:val="00A54D3B"/>
    <w:rsid w:val="00A849CB"/>
    <w:rsid w:val="00A85BEA"/>
    <w:rsid w:val="00A920FB"/>
    <w:rsid w:val="00A92C50"/>
    <w:rsid w:val="00AA5A07"/>
    <w:rsid w:val="00AA61B2"/>
    <w:rsid w:val="00AA7E81"/>
    <w:rsid w:val="00AB48FF"/>
    <w:rsid w:val="00AB5C77"/>
    <w:rsid w:val="00AB7538"/>
    <w:rsid w:val="00AC177C"/>
    <w:rsid w:val="00AC4336"/>
    <w:rsid w:val="00AC64BF"/>
    <w:rsid w:val="00AD590D"/>
    <w:rsid w:val="00AE0073"/>
    <w:rsid w:val="00AE03F7"/>
    <w:rsid w:val="00AE0E2E"/>
    <w:rsid w:val="00AE6257"/>
    <w:rsid w:val="00B0215D"/>
    <w:rsid w:val="00B12DD8"/>
    <w:rsid w:val="00B14D1A"/>
    <w:rsid w:val="00B24B6C"/>
    <w:rsid w:val="00B26169"/>
    <w:rsid w:val="00B31E84"/>
    <w:rsid w:val="00B353F5"/>
    <w:rsid w:val="00B36506"/>
    <w:rsid w:val="00B371ED"/>
    <w:rsid w:val="00B37675"/>
    <w:rsid w:val="00B37F17"/>
    <w:rsid w:val="00B40D05"/>
    <w:rsid w:val="00B411F6"/>
    <w:rsid w:val="00B4136F"/>
    <w:rsid w:val="00B41D3E"/>
    <w:rsid w:val="00B50BEE"/>
    <w:rsid w:val="00B53AF2"/>
    <w:rsid w:val="00B60F29"/>
    <w:rsid w:val="00B615CF"/>
    <w:rsid w:val="00B712A9"/>
    <w:rsid w:val="00B721C7"/>
    <w:rsid w:val="00B72A09"/>
    <w:rsid w:val="00B8088D"/>
    <w:rsid w:val="00B810E8"/>
    <w:rsid w:val="00B85C4E"/>
    <w:rsid w:val="00B925CE"/>
    <w:rsid w:val="00B948C9"/>
    <w:rsid w:val="00BA5186"/>
    <w:rsid w:val="00BA59A5"/>
    <w:rsid w:val="00BB3262"/>
    <w:rsid w:val="00BB75B3"/>
    <w:rsid w:val="00BC3CA2"/>
    <w:rsid w:val="00BC718E"/>
    <w:rsid w:val="00BD5157"/>
    <w:rsid w:val="00BD5FA9"/>
    <w:rsid w:val="00BD73B1"/>
    <w:rsid w:val="00BE5717"/>
    <w:rsid w:val="00BF06BA"/>
    <w:rsid w:val="00BF2D11"/>
    <w:rsid w:val="00BF3324"/>
    <w:rsid w:val="00BF5D40"/>
    <w:rsid w:val="00C00D03"/>
    <w:rsid w:val="00C019B4"/>
    <w:rsid w:val="00C04899"/>
    <w:rsid w:val="00C04AA9"/>
    <w:rsid w:val="00C04F9A"/>
    <w:rsid w:val="00C138F0"/>
    <w:rsid w:val="00C17BDD"/>
    <w:rsid w:val="00C2538E"/>
    <w:rsid w:val="00C25481"/>
    <w:rsid w:val="00C26AAE"/>
    <w:rsid w:val="00C367A2"/>
    <w:rsid w:val="00C4202B"/>
    <w:rsid w:val="00C44F01"/>
    <w:rsid w:val="00C50164"/>
    <w:rsid w:val="00C50339"/>
    <w:rsid w:val="00C51859"/>
    <w:rsid w:val="00C54BE5"/>
    <w:rsid w:val="00C612AF"/>
    <w:rsid w:val="00C61606"/>
    <w:rsid w:val="00C65C1A"/>
    <w:rsid w:val="00C66DFB"/>
    <w:rsid w:val="00C67E07"/>
    <w:rsid w:val="00C749E5"/>
    <w:rsid w:val="00C76A20"/>
    <w:rsid w:val="00C80C41"/>
    <w:rsid w:val="00C8595E"/>
    <w:rsid w:val="00C96150"/>
    <w:rsid w:val="00C963C6"/>
    <w:rsid w:val="00C97BE3"/>
    <w:rsid w:val="00CA666F"/>
    <w:rsid w:val="00CB2ECF"/>
    <w:rsid w:val="00CB5FA0"/>
    <w:rsid w:val="00CB6C0E"/>
    <w:rsid w:val="00CB6D01"/>
    <w:rsid w:val="00CC1C81"/>
    <w:rsid w:val="00CC44A6"/>
    <w:rsid w:val="00CD309F"/>
    <w:rsid w:val="00CD4E47"/>
    <w:rsid w:val="00CD546E"/>
    <w:rsid w:val="00CD61FA"/>
    <w:rsid w:val="00CD69BC"/>
    <w:rsid w:val="00CE2209"/>
    <w:rsid w:val="00CE5E97"/>
    <w:rsid w:val="00D0452D"/>
    <w:rsid w:val="00D06B63"/>
    <w:rsid w:val="00D12F24"/>
    <w:rsid w:val="00D31BD2"/>
    <w:rsid w:val="00D329B7"/>
    <w:rsid w:val="00D339C2"/>
    <w:rsid w:val="00D34110"/>
    <w:rsid w:val="00D438A5"/>
    <w:rsid w:val="00D46B71"/>
    <w:rsid w:val="00D50984"/>
    <w:rsid w:val="00D51E4B"/>
    <w:rsid w:val="00D52637"/>
    <w:rsid w:val="00D528D7"/>
    <w:rsid w:val="00D539D7"/>
    <w:rsid w:val="00D64E62"/>
    <w:rsid w:val="00D73208"/>
    <w:rsid w:val="00D763ED"/>
    <w:rsid w:val="00D86550"/>
    <w:rsid w:val="00D904BD"/>
    <w:rsid w:val="00D94164"/>
    <w:rsid w:val="00D9548E"/>
    <w:rsid w:val="00D9555D"/>
    <w:rsid w:val="00D961A5"/>
    <w:rsid w:val="00D97445"/>
    <w:rsid w:val="00DA04A0"/>
    <w:rsid w:val="00DA2894"/>
    <w:rsid w:val="00DA2C3B"/>
    <w:rsid w:val="00DA69E9"/>
    <w:rsid w:val="00DB13C2"/>
    <w:rsid w:val="00DC5162"/>
    <w:rsid w:val="00DD00E3"/>
    <w:rsid w:val="00DD4CDF"/>
    <w:rsid w:val="00DE09BB"/>
    <w:rsid w:val="00DE2DD5"/>
    <w:rsid w:val="00DE5424"/>
    <w:rsid w:val="00DF6DCF"/>
    <w:rsid w:val="00DF78EF"/>
    <w:rsid w:val="00E019E4"/>
    <w:rsid w:val="00E06957"/>
    <w:rsid w:val="00E12123"/>
    <w:rsid w:val="00E22FD0"/>
    <w:rsid w:val="00E2621B"/>
    <w:rsid w:val="00E27D4E"/>
    <w:rsid w:val="00E318A6"/>
    <w:rsid w:val="00E330D5"/>
    <w:rsid w:val="00E40B38"/>
    <w:rsid w:val="00E46C73"/>
    <w:rsid w:val="00E50893"/>
    <w:rsid w:val="00E532A2"/>
    <w:rsid w:val="00E534A4"/>
    <w:rsid w:val="00E62713"/>
    <w:rsid w:val="00E648BD"/>
    <w:rsid w:val="00E6495E"/>
    <w:rsid w:val="00E64D95"/>
    <w:rsid w:val="00E73CDA"/>
    <w:rsid w:val="00E75BB2"/>
    <w:rsid w:val="00E75CE1"/>
    <w:rsid w:val="00E7649E"/>
    <w:rsid w:val="00E83CFC"/>
    <w:rsid w:val="00E87C26"/>
    <w:rsid w:val="00E97724"/>
    <w:rsid w:val="00EB1680"/>
    <w:rsid w:val="00EC499C"/>
    <w:rsid w:val="00EC4FCD"/>
    <w:rsid w:val="00ED0B6C"/>
    <w:rsid w:val="00ED5117"/>
    <w:rsid w:val="00EE1D9F"/>
    <w:rsid w:val="00EF0A74"/>
    <w:rsid w:val="00EF2E06"/>
    <w:rsid w:val="00EF65D5"/>
    <w:rsid w:val="00F01F85"/>
    <w:rsid w:val="00F069DA"/>
    <w:rsid w:val="00F10487"/>
    <w:rsid w:val="00F11CBA"/>
    <w:rsid w:val="00F14C1C"/>
    <w:rsid w:val="00F1751F"/>
    <w:rsid w:val="00F25DE6"/>
    <w:rsid w:val="00F32201"/>
    <w:rsid w:val="00F35824"/>
    <w:rsid w:val="00F370D3"/>
    <w:rsid w:val="00F43090"/>
    <w:rsid w:val="00F46954"/>
    <w:rsid w:val="00F47CFF"/>
    <w:rsid w:val="00F5388A"/>
    <w:rsid w:val="00F55326"/>
    <w:rsid w:val="00F623A7"/>
    <w:rsid w:val="00F71F76"/>
    <w:rsid w:val="00F74386"/>
    <w:rsid w:val="00F773DD"/>
    <w:rsid w:val="00F85968"/>
    <w:rsid w:val="00F91999"/>
    <w:rsid w:val="00F91B73"/>
    <w:rsid w:val="00F95567"/>
    <w:rsid w:val="00F96F39"/>
    <w:rsid w:val="00F97D2E"/>
    <w:rsid w:val="00FB320A"/>
    <w:rsid w:val="00FB7EC1"/>
    <w:rsid w:val="00FD10AC"/>
    <w:rsid w:val="00FE25C6"/>
    <w:rsid w:val="00FE67E5"/>
    <w:rsid w:val="00FF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DA3F"/>
  <w15:chartTrackingRefBased/>
  <w15:docId w15:val="{E286980C-E664-4A2E-A0FD-4ADC781D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B4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B4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B4B6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B4B6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B4B6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B4B6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B4B6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B4B6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B4B6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B4B6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B4B6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B4B6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B4B6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B4B6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B4B6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B4B6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B4B6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B4B6F"/>
    <w:rPr>
      <w:rFonts w:eastAsiaTheme="majorEastAsia" w:cstheme="majorBidi"/>
      <w:color w:val="272727" w:themeColor="text1" w:themeTint="D8"/>
    </w:rPr>
  </w:style>
  <w:style w:type="paragraph" w:styleId="Titlu">
    <w:name w:val="Title"/>
    <w:basedOn w:val="Normal"/>
    <w:next w:val="Normal"/>
    <w:link w:val="TitluCaracter"/>
    <w:uiPriority w:val="10"/>
    <w:qFormat/>
    <w:rsid w:val="001B4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B4B6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B4B6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B4B6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B4B6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B4B6F"/>
    <w:rPr>
      <w:i/>
      <w:iCs/>
      <w:color w:val="404040" w:themeColor="text1" w:themeTint="BF"/>
    </w:rPr>
  </w:style>
  <w:style w:type="paragraph" w:styleId="Listparagraf">
    <w:name w:val="List Paragraph"/>
    <w:basedOn w:val="Normal"/>
    <w:uiPriority w:val="34"/>
    <w:qFormat/>
    <w:rsid w:val="001B4B6F"/>
    <w:pPr>
      <w:ind w:left="720"/>
      <w:contextualSpacing/>
    </w:pPr>
  </w:style>
  <w:style w:type="character" w:styleId="Accentuareintens">
    <w:name w:val="Intense Emphasis"/>
    <w:basedOn w:val="Fontdeparagrafimplicit"/>
    <w:uiPriority w:val="21"/>
    <w:qFormat/>
    <w:rsid w:val="001B4B6F"/>
    <w:rPr>
      <w:i/>
      <w:iCs/>
      <w:color w:val="2F5496" w:themeColor="accent1" w:themeShade="BF"/>
    </w:rPr>
  </w:style>
  <w:style w:type="paragraph" w:styleId="Citatintens">
    <w:name w:val="Intense Quote"/>
    <w:basedOn w:val="Normal"/>
    <w:next w:val="Normal"/>
    <w:link w:val="CitatintensCaracter"/>
    <w:uiPriority w:val="30"/>
    <w:qFormat/>
    <w:rsid w:val="001B4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B4B6F"/>
    <w:rPr>
      <w:i/>
      <w:iCs/>
      <w:color w:val="2F5496" w:themeColor="accent1" w:themeShade="BF"/>
    </w:rPr>
  </w:style>
  <w:style w:type="character" w:styleId="Referireintens">
    <w:name w:val="Intense Reference"/>
    <w:basedOn w:val="Fontdeparagrafimplicit"/>
    <w:uiPriority w:val="32"/>
    <w:qFormat/>
    <w:rsid w:val="001B4B6F"/>
    <w:rPr>
      <w:b/>
      <w:bCs/>
      <w:smallCaps/>
      <w:color w:val="2F5496" w:themeColor="accent1" w:themeShade="BF"/>
      <w:spacing w:val="5"/>
    </w:rPr>
  </w:style>
  <w:style w:type="character" w:styleId="Referincomentariu">
    <w:name w:val="annotation reference"/>
    <w:basedOn w:val="Fontdeparagrafimplicit"/>
    <w:uiPriority w:val="99"/>
    <w:semiHidden/>
    <w:unhideWhenUsed/>
    <w:rsid w:val="00A11B7F"/>
    <w:rPr>
      <w:sz w:val="16"/>
      <w:szCs w:val="16"/>
    </w:rPr>
  </w:style>
  <w:style w:type="paragraph" w:styleId="Textcomentariu">
    <w:name w:val="annotation text"/>
    <w:basedOn w:val="Normal"/>
    <w:link w:val="TextcomentariuCaracter"/>
    <w:uiPriority w:val="99"/>
    <w:unhideWhenUsed/>
    <w:rsid w:val="00A11B7F"/>
    <w:pPr>
      <w:spacing w:line="240" w:lineRule="auto"/>
    </w:pPr>
    <w:rPr>
      <w:sz w:val="20"/>
      <w:szCs w:val="20"/>
    </w:rPr>
  </w:style>
  <w:style w:type="character" w:customStyle="1" w:styleId="TextcomentariuCaracter">
    <w:name w:val="Text comentariu Caracter"/>
    <w:basedOn w:val="Fontdeparagrafimplicit"/>
    <w:link w:val="Textcomentariu"/>
    <w:uiPriority w:val="99"/>
    <w:rsid w:val="00A11B7F"/>
    <w:rPr>
      <w:sz w:val="20"/>
      <w:szCs w:val="20"/>
    </w:rPr>
  </w:style>
  <w:style w:type="paragraph" w:styleId="SubiectComentariu">
    <w:name w:val="annotation subject"/>
    <w:basedOn w:val="Textcomentariu"/>
    <w:next w:val="Textcomentariu"/>
    <w:link w:val="SubiectComentariuCaracter"/>
    <w:uiPriority w:val="99"/>
    <w:semiHidden/>
    <w:unhideWhenUsed/>
    <w:rsid w:val="00A11B7F"/>
    <w:rPr>
      <w:b/>
      <w:bCs/>
    </w:rPr>
  </w:style>
  <w:style w:type="character" w:customStyle="1" w:styleId="SubiectComentariuCaracter">
    <w:name w:val="Subiect Comentariu Caracter"/>
    <w:basedOn w:val="TextcomentariuCaracter"/>
    <w:link w:val="SubiectComentariu"/>
    <w:uiPriority w:val="99"/>
    <w:semiHidden/>
    <w:rsid w:val="00A11B7F"/>
    <w:rPr>
      <w:b/>
      <w:bCs/>
      <w:sz w:val="20"/>
      <w:szCs w:val="20"/>
    </w:rPr>
  </w:style>
  <w:style w:type="paragraph" w:styleId="TextnBalon">
    <w:name w:val="Balloon Text"/>
    <w:basedOn w:val="Normal"/>
    <w:link w:val="TextnBalonCaracter"/>
    <w:uiPriority w:val="99"/>
    <w:semiHidden/>
    <w:unhideWhenUsed/>
    <w:rsid w:val="00A11B7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1B7F"/>
    <w:rPr>
      <w:rFonts w:ascii="Segoe UI" w:hAnsi="Segoe UI" w:cs="Segoe UI"/>
      <w:sz w:val="18"/>
      <w:szCs w:val="18"/>
    </w:rPr>
  </w:style>
  <w:style w:type="paragraph" w:styleId="NormalWeb">
    <w:name w:val="Normal (Web)"/>
    <w:basedOn w:val="Normal"/>
    <w:uiPriority w:val="99"/>
    <w:semiHidden/>
    <w:unhideWhenUsed/>
    <w:rsid w:val="0001054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Revizuire">
    <w:name w:val="Revision"/>
    <w:hidden/>
    <w:uiPriority w:val="99"/>
    <w:semiHidden/>
    <w:rsid w:val="000D2884"/>
    <w:pPr>
      <w:spacing w:after="0" w:line="240" w:lineRule="auto"/>
    </w:pPr>
  </w:style>
  <w:style w:type="table" w:styleId="Tabelgril">
    <w:name w:val="Table Grid"/>
    <w:basedOn w:val="TabelNormal"/>
    <w:uiPriority w:val="39"/>
    <w:rsid w:val="00F91B7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F91B73"/>
    <w:pPr>
      <w:spacing w:after="0" w:line="240" w:lineRule="auto"/>
    </w:pPr>
    <w:rPr>
      <w:sz w:val="20"/>
      <w:szCs w:val="20"/>
      <w:lang w:val="ru-RU"/>
    </w:rPr>
  </w:style>
  <w:style w:type="character" w:customStyle="1" w:styleId="TextnotdesubsolCaracter">
    <w:name w:val="Text notă de subsol Caracter"/>
    <w:basedOn w:val="Fontdeparagrafimplicit"/>
    <w:link w:val="Textnotdesubsol"/>
    <w:uiPriority w:val="99"/>
    <w:semiHidden/>
    <w:rsid w:val="00F91B73"/>
    <w:rPr>
      <w:sz w:val="20"/>
      <w:szCs w:val="20"/>
      <w:lang w:val="ru-RU"/>
    </w:rPr>
  </w:style>
  <w:style w:type="character" w:styleId="Referinnotdesubsol">
    <w:name w:val="footnote reference"/>
    <w:basedOn w:val="Fontdeparagrafimplicit"/>
    <w:uiPriority w:val="99"/>
    <w:semiHidden/>
    <w:unhideWhenUsed/>
    <w:rsid w:val="00F91B73"/>
    <w:rPr>
      <w:vertAlign w:val="superscript"/>
    </w:rPr>
  </w:style>
  <w:style w:type="character" w:styleId="Hyperlink">
    <w:name w:val="Hyperlink"/>
    <w:basedOn w:val="Fontdeparagrafimplicit"/>
    <w:uiPriority w:val="99"/>
    <w:unhideWhenUsed/>
    <w:rsid w:val="004D33E3"/>
    <w:rPr>
      <w:color w:val="0563C1" w:themeColor="hyperlink"/>
      <w:u w:val="single"/>
    </w:rPr>
  </w:style>
  <w:style w:type="character" w:customStyle="1" w:styleId="MeniuneNerezolvat1">
    <w:name w:val="Mențiune Nerezolvat1"/>
    <w:basedOn w:val="Fontdeparagrafimplicit"/>
    <w:uiPriority w:val="99"/>
    <w:semiHidden/>
    <w:unhideWhenUsed/>
    <w:rsid w:val="004D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32824">
      <w:bodyDiv w:val="1"/>
      <w:marLeft w:val="0"/>
      <w:marRight w:val="0"/>
      <w:marTop w:val="0"/>
      <w:marBottom w:val="0"/>
      <w:divBdr>
        <w:top w:val="none" w:sz="0" w:space="0" w:color="auto"/>
        <w:left w:val="none" w:sz="0" w:space="0" w:color="auto"/>
        <w:bottom w:val="none" w:sz="0" w:space="0" w:color="auto"/>
        <w:right w:val="none" w:sz="0" w:space="0" w:color="auto"/>
      </w:divBdr>
    </w:div>
    <w:div w:id="613513138">
      <w:bodyDiv w:val="1"/>
      <w:marLeft w:val="0"/>
      <w:marRight w:val="0"/>
      <w:marTop w:val="0"/>
      <w:marBottom w:val="0"/>
      <w:divBdr>
        <w:top w:val="none" w:sz="0" w:space="0" w:color="auto"/>
        <w:left w:val="none" w:sz="0" w:space="0" w:color="auto"/>
        <w:bottom w:val="none" w:sz="0" w:space="0" w:color="auto"/>
        <w:right w:val="none" w:sz="0" w:space="0" w:color="auto"/>
      </w:divBdr>
    </w:div>
    <w:div w:id="18792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41549&amp;lang=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md/cautare/getResults?doc_id=141549&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EDB2-3148-4816-AED5-30F764BA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8396</Words>
  <Characters>48699</Characters>
  <Application>Microsoft Office Word</Application>
  <DocSecurity>0</DocSecurity>
  <Lines>405</Lines>
  <Paragraphs>113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Leorda</dc:creator>
  <cp:keywords/>
  <dc:description/>
  <cp:lastModifiedBy>DJ</cp:lastModifiedBy>
  <cp:revision>2</cp:revision>
  <dcterms:created xsi:type="dcterms:W3CDTF">2026-06-03T06:19:00Z</dcterms:created>
  <dcterms:modified xsi:type="dcterms:W3CDTF">2026-06-03T06:19:00Z</dcterms:modified>
</cp:coreProperties>
</file>