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1B56" w14:textId="77777777" w:rsidR="00E07FA1" w:rsidRPr="009A3CE2" w:rsidRDefault="00E07FA1" w:rsidP="00E07FA1">
      <w:pPr>
        <w:ind w:firstLine="709"/>
        <w:jc w:val="center"/>
        <w:rPr>
          <w:b/>
          <w:sz w:val="24"/>
          <w:szCs w:val="24"/>
          <w:lang w:val="ro-RO"/>
        </w:rPr>
      </w:pPr>
      <w:r w:rsidRPr="009A3CE2">
        <w:rPr>
          <w:b/>
          <w:sz w:val="24"/>
          <w:szCs w:val="24"/>
          <w:lang w:val="ro-RO"/>
        </w:rPr>
        <w:t>TABEL DE CONCORDANȚĂ</w:t>
      </w:r>
    </w:p>
    <w:p w14:paraId="41565948" w14:textId="77777777" w:rsidR="00E07FA1" w:rsidRPr="009A3CE2" w:rsidRDefault="00E07FA1" w:rsidP="00E07FA1">
      <w:pPr>
        <w:ind w:firstLine="709"/>
        <w:rPr>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972"/>
        <w:gridCol w:w="4817"/>
        <w:gridCol w:w="2269"/>
        <w:gridCol w:w="3510"/>
      </w:tblGrid>
      <w:tr w:rsidR="00D94BF5" w:rsidRPr="009A3CE2" w14:paraId="6F80F688" w14:textId="77777777" w:rsidTr="00176E67">
        <w:tc>
          <w:tcPr>
            <w:tcW w:w="140" w:type="pct"/>
            <w:vAlign w:val="center"/>
            <w:hideMark/>
          </w:tcPr>
          <w:p w14:paraId="28ABEAFC" w14:textId="77777777" w:rsidR="00D94BF5" w:rsidRPr="009A3CE2" w:rsidRDefault="00D94BF5" w:rsidP="00D94BF5">
            <w:pPr>
              <w:ind w:firstLine="22"/>
              <w:jc w:val="center"/>
              <w:rPr>
                <w:b/>
                <w:sz w:val="24"/>
                <w:szCs w:val="24"/>
                <w:lang w:val="ro-RO"/>
              </w:rPr>
            </w:pPr>
            <w:r w:rsidRPr="009A3CE2">
              <w:rPr>
                <w:b/>
                <w:sz w:val="24"/>
                <w:szCs w:val="24"/>
                <w:lang w:val="ro-RO"/>
              </w:rPr>
              <w:t>1</w:t>
            </w:r>
          </w:p>
        </w:tc>
        <w:tc>
          <w:tcPr>
            <w:tcW w:w="1325" w:type="pct"/>
            <w:vAlign w:val="center"/>
            <w:hideMark/>
          </w:tcPr>
          <w:p w14:paraId="1E527968" w14:textId="703DC20A" w:rsidR="00D94BF5" w:rsidRPr="009A3CE2" w:rsidRDefault="00D94BF5" w:rsidP="00D94BF5">
            <w:pPr>
              <w:ind w:firstLine="22"/>
              <w:jc w:val="left"/>
              <w:rPr>
                <w:bCs/>
                <w:sz w:val="24"/>
                <w:szCs w:val="24"/>
                <w:lang w:val="ro-RO"/>
              </w:rPr>
            </w:pPr>
            <w:r w:rsidRPr="009A3CE2">
              <w:rPr>
                <w:b/>
                <w:sz w:val="24"/>
                <w:szCs w:val="24"/>
                <w:lang w:val="ro-RO"/>
              </w:rPr>
              <w:t xml:space="preserve">Titlul actului UE </w:t>
            </w:r>
          </w:p>
        </w:tc>
        <w:tc>
          <w:tcPr>
            <w:tcW w:w="3535" w:type="pct"/>
            <w:gridSpan w:val="3"/>
            <w:vAlign w:val="center"/>
          </w:tcPr>
          <w:p w14:paraId="6662987E" w14:textId="43577738" w:rsidR="00D94BF5" w:rsidRPr="009A3CE2" w:rsidRDefault="00D94BF5" w:rsidP="0036638F">
            <w:pPr>
              <w:ind w:firstLine="22"/>
              <w:jc w:val="left"/>
              <w:rPr>
                <w:bCs/>
                <w:sz w:val="24"/>
                <w:szCs w:val="24"/>
                <w:lang w:val="ro-RO"/>
              </w:rPr>
            </w:pPr>
            <w:r w:rsidRPr="009A3CE2">
              <w:rPr>
                <w:bCs/>
                <w:sz w:val="24"/>
                <w:szCs w:val="24"/>
                <w:lang w:val="ro-RO"/>
              </w:rPr>
              <w:t>Regulamentul (CEE) nr. 4058/89 al Consiliului din 21 decembrie 1989 privind stabilirea prețurilor la transportul rutier de mărfuri între statele membre</w:t>
            </w:r>
            <w:r w:rsidR="00542FA8" w:rsidRPr="009A3CE2">
              <w:rPr>
                <w:bCs/>
                <w:sz w:val="24"/>
                <w:szCs w:val="24"/>
                <w:lang w:val="ro-RO"/>
              </w:rPr>
              <w:t>, CELEX</w:t>
            </w:r>
            <w:r w:rsidR="00024AA0" w:rsidRPr="009A3CE2">
              <w:rPr>
                <w:bCs/>
                <w:sz w:val="24"/>
                <w:szCs w:val="24"/>
                <w:lang w:val="ro-RO"/>
              </w:rPr>
              <w:t xml:space="preserve">: </w:t>
            </w:r>
            <w:r w:rsidR="00542FA8" w:rsidRPr="009A3CE2">
              <w:rPr>
                <w:bCs/>
                <w:sz w:val="24"/>
                <w:szCs w:val="24"/>
                <w:lang w:val="ro-RO"/>
              </w:rPr>
              <w:t>31989R4058</w:t>
            </w:r>
            <w:r w:rsidR="00024AA0" w:rsidRPr="009A3CE2">
              <w:rPr>
                <w:bCs/>
                <w:sz w:val="24"/>
                <w:szCs w:val="24"/>
                <w:lang w:val="ro-RO"/>
              </w:rPr>
              <w:t xml:space="preserve">, </w:t>
            </w:r>
            <w:r w:rsidR="005A7FEE" w:rsidRPr="009A3CE2">
              <w:rPr>
                <w:bCs/>
                <w:sz w:val="24"/>
                <w:szCs w:val="24"/>
                <w:lang w:val="ro-RO"/>
              </w:rPr>
              <w:t>publicat în Jurnalul Oficial al Uniunii Europene</w:t>
            </w:r>
            <w:r w:rsidR="0009458A" w:rsidRPr="009A3CE2">
              <w:rPr>
                <w:bCs/>
                <w:sz w:val="24"/>
                <w:szCs w:val="24"/>
                <w:lang w:val="ro-RO"/>
              </w:rPr>
              <w:t xml:space="preserve"> L 390/1</w:t>
            </w:r>
          </w:p>
        </w:tc>
      </w:tr>
      <w:tr w:rsidR="00D94BF5" w:rsidRPr="009A3CE2" w14:paraId="690EBD71" w14:textId="77777777" w:rsidTr="00176E67">
        <w:tc>
          <w:tcPr>
            <w:tcW w:w="140" w:type="pct"/>
            <w:vAlign w:val="center"/>
            <w:hideMark/>
          </w:tcPr>
          <w:p w14:paraId="417EBAAA" w14:textId="77777777" w:rsidR="00D94BF5" w:rsidRPr="009A3CE2" w:rsidRDefault="00D94BF5" w:rsidP="00D94BF5">
            <w:pPr>
              <w:ind w:firstLine="22"/>
              <w:jc w:val="center"/>
              <w:rPr>
                <w:b/>
                <w:sz w:val="24"/>
                <w:szCs w:val="24"/>
                <w:lang w:val="ro-RO"/>
              </w:rPr>
            </w:pPr>
            <w:r w:rsidRPr="009A3CE2">
              <w:rPr>
                <w:b/>
                <w:sz w:val="24"/>
                <w:szCs w:val="24"/>
                <w:lang w:val="ro-RO"/>
              </w:rPr>
              <w:t>2</w:t>
            </w:r>
          </w:p>
        </w:tc>
        <w:tc>
          <w:tcPr>
            <w:tcW w:w="1325" w:type="pct"/>
            <w:vAlign w:val="center"/>
            <w:hideMark/>
          </w:tcPr>
          <w:p w14:paraId="68B58F95" w14:textId="0C71BBB6" w:rsidR="00D94BF5" w:rsidRPr="009A3CE2" w:rsidRDefault="00D94BF5" w:rsidP="00D94BF5">
            <w:pPr>
              <w:ind w:firstLine="22"/>
              <w:jc w:val="left"/>
              <w:rPr>
                <w:b/>
                <w:sz w:val="24"/>
                <w:szCs w:val="24"/>
                <w:lang w:val="ro-RO"/>
              </w:rPr>
            </w:pPr>
            <w:r w:rsidRPr="009A3CE2">
              <w:rPr>
                <w:b/>
                <w:sz w:val="24"/>
                <w:szCs w:val="24"/>
                <w:lang w:val="ro-RO"/>
              </w:rPr>
              <w:t>Titlul proiectului de act normativ național</w:t>
            </w:r>
          </w:p>
        </w:tc>
        <w:tc>
          <w:tcPr>
            <w:tcW w:w="3535" w:type="pct"/>
            <w:gridSpan w:val="3"/>
            <w:vAlign w:val="center"/>
          </w:tcPr>
          <w:p w14:paraId="35CBDDF5" w14:textId="7989DBA0" w:rsidR="00D94BF5" w:rsidRPr="009A3CE2" w:rsidRDefault="00341258" w:rsidP="00341258">
            <w:pPr>
              <w:ind w:firstLine="22"/>
              <w:jc w:val="left"/>
              <w:rPr>
                <w:b/>
                <w:bCs/>
                <w:sz w:val="24"/>
                <w:szCs w:val="24"/>
                <w:lang w:val="ro-RO"/>
              </w:rPr>
            </w:pPr>
            <w:r w:rsidRPr="009A3CE2">
              <w:rPr>
                <w:b/>
                <w:bCs/>
                <w:sz w:val="24"/>
                <w:szCs w:val="24"/>
                <w:lang w:val="ro-RO"/>
              </w:rPr>
              <w:t xml:space="preserve">Lege pentru modificarea unor acte normative </w:t>
            </w:r>
            <w:r w:rsidRPr="009A3CE2">
              <w:rPr>
                <w:bCs/>
                <w:i/>
                <w:iCs/>
                <w:sz w:val="24"/>
                <w:szCs w:val="24"/>
                <w:lang w:val="ro-RO"/>
              </w:rPr>
              <w:t xml:space="preserve">(alinierea cadrului normativ național </w:t>
            </w:r>
            <w:r w:rsidRPr="009A3CE2">
              <w:rPr>
                <w:bCs/>
                <w:i/>
                <w:iCs/>
                <w:sz w:val="24"/>
                <w:szCs w:val="24"/>
                <w:lang w:val="ro-MD"/>
              </w:rPr>
              <w:t xml:space="preserve">în domeniul transporturilor rutiere </w:t>
            </w:r>
            <w:r w:rsidRPr="009A3CE2">
              <w:rPr>
                <w:bCs/>
                <w:i/>
                <w:iCs/>
                <w:sz w:val="24"/>
                <w:szCs w:val="24"/>
                <w:lang w:val="ro-RO"/>
              </w:rPr>
              <w:t>la prevederile cadrului normativ al Uniunii Europene)</w:t>
            </w:r>
          </w:p>
        </w:tc>
      </w:tr>
      <w:tr w:rsidR="00D94BF5" w:rsidRPr="009A3CE2" w14:paraId="48B5801F" w14:textId="77777777" w:rsidTr="00176E67">
        <w:tc>
          <w:tcPr>
            <w:tcW w:w="140" w:type="pct"/>
            <w:vAlign w:val="center"/>
            <w:hideMark/>
          </w:tcPr>
          <w:p w14:paraId="75869627" w14:textId="77777777" w:rsidR="00D94BF5" w:rsidRPr="009A3CE2" w:rsidRDefault="00D94BF5" w:rsidP="00D94BF5">
            <w:pPr>
              <w:ind w:firstLine="22"/>
              <w:jc w:val="center"/>
              <w:rPr>
                <w:b/>
                <w:sz w:val="24"/>
                <w:szCs w:val="24"/>
                <w:lang w:val="ro-RO"/>
              </w:rPr>
            </w:pPr>
            <w:r w:rsidRPr="009A3CE2">
              <w:rPr>
                <w:b/>
                <w:sz w:val="24"/>
                <w:szCs w:val="24"/>
                <w:lang w:val="ro-RO"/>
              </w:rPr>
              <w:t>3</w:t>
            </w:r>
          </w:p>
        </w:tc>
        <w:tc>
          <w:tcPr>
            <w:tcW w:w="1325" w:type="pct"/>
            <w:vAlign w:val="center"/>
            <w:hideMark/>
          </w:tcPr>
          <w:p w14:paraId="540D0C1C" w14:textId="6820A693" w:rsidR="00D94BF5" w:rsidRPr="009A3CE2" w:rsidRDefault="00D94BF5" w:rsidP="00D94BF5">
            <w:pPr>
              <w:ind w:firstLine="22"/>
              <w:jc w:val="left"/>
              <w:rPr>
                <w:b/>
                <w:sz w:val="24"/>
                <w:szCs w:val="24"/>
                <w:lang w:val="ro-RO"/>
              </w:rPr>
            </w:pPr>
            <w:r w:rsidRPr="009A3CE2">
              <w:rPr>
                <w:b/>
                <w:sz w:val="24"/>
                <w:szCs w:val="24"/>
                <w:lang w:val="ro-RO"/>
              </w:rPr>
              <w:t>Gradul general de compatibilitate</w:t>
            </w:r>
          </w:p>
        </w:tc>
        <w:tc>
          <w:tcPr>
            <w:tcW w:w="3535" w:type="pct"/>
            <w:gridSpan w:val="3"/>
            <w:vAlign w:val="center"/>
          </w:tcPr>
          <w:p w14:paraId="473B4AE8" w14:textId="5DCD7D2D" w:rsidR="00D94BF5" w:rsidRPr="009A3CE2" w:rsidRDefault="00D94BF5" w:rsidP="0036638F">
            <w:pPr>
              <w:ind w:firstLine="22"/>
              <w:jc w:val="left"/>
              <w:rPr>
                <w:bCs/>
                <w:sz w:val="24"/>
                <w:szCs w:val="24"/>
                <w:lang w:val="ro-RO"/>
              </w:rPr>
            </w:pPr>
            <w:r w:rsidRPr="009A3CE2">
              <w:rPr>
                <w:bCs/>
                <w:sz w:val="24"/>
                <w:szCs w:val="24"/>
                <w:lang w:val="ro-RO"/>
              </w:rPr>
              <w:t>Compatibil</w:t>
            </w:r>
          </w:p>
        </w:tc>
      </w:tr>
      <w:tr w:rsidR="00D94BF5" w:rsidRPr="009A3CE2" w14:paraId="1B5DF448" w14:textId="77777777" w:rsidTr="00176E67">
        <w:tc>
          <w:tcPr>
            <w:tcW w:w="140" w:type="pct"/>
            <w:vAlign w:val="center"/>
          </w:tcPr>
          <w:p w14:paraId="7600F6EE" w14:textId="77777777" w:rsidR="00D94BF5" w:rsidRPr="009A3CE2" w:rsidRDefault="00D94BF5" w:rsidP="00D94BF5">
            <w:pPr>
              <w:ind w:firstLine="22"/>
              <w:jc w:val="center"/>
              <w:rPr>
                <w:b/>
                <w:sz w:val="24"/>
                <w:szCs w:val="24"/>
                <w:lang w:val="ro-RO"/>
              </w:rPr>
            </w:pPr>
            <w:r w:rsidRPr="009A3CE2">
              <w:rPr>
                <w:b/>
                <w:sz w:val="24"/>
                <w:szCs w:val="24"/>
                <w:lang w:val="ro-RO"/>
              </w:rPr>
              <w:t>4</w:t>
            </w:r>
          </w:p>
        </w:tc>
        <w:tc>
          <w:tcPr>
            <w:tcW w:w="1325" w:type="pct"/>
            <w:vAlign w:val="center"/>
          </w:tcPr>
          <w:p w14:paraId="608CD88E" w14:textId="57E29BE2" w:rsidR="00D94BF5" w:rsidRPr="009A3CE2" w:rsidRDefault="00D94BF5" w:rsidP="00D94BF5">
            <w:pPr>
              <w:ind w:firstLine="22"/>
              <w:jc w:val="left"/>
              <w:rPr>
                <w:b/>
                <w:sz w:val="24"/>
                <w:szCs w:val="24"/>
                <w:lang w:val="ro-RO"/>
              </w:rPr>
            </w:pPr>
            <w:r w:rsidRPr="009A3CE2">
              <w:rPr>
                <w:b/>
                <w:sz w:val="24"/>
                <w:szCs w:val="24"/>
                <w:lang w:val="ro-RO"/>
              </w:rPr>
              <w:t>Autoritatea/persoana responsabilă</w:t>
            </w:r>
          </w:p>
        </w:tc>
        <w:tc>
          <w:tcPr>
            <w:tcW w:w="3535" w:type="pct"/>
            <w:gridSpan w:val="3"/>
            <w:vAlign w:val="center"/>
          </w:tcPr>
          <w:p w14:paraId="0865EE2B" w14:textId="77777777" w:rsidR="00D94BF5" w:rsidRDefault="00D94BF5" w:rsidP="0036638F">
            <w:pPr>
              <w:ind w:firstLine="22"/>
              <w:jc w:val="left"/>
              <w:rPr>
                <w:bCs/>
                <w:sz w:val="24"/>
                <w:szCs w:val="24"/>
                <w:lang w:val="ro-RO"/>
              </w:rPr>
            </w:pPr>
            <w:r w:rsidRPr="009A3CE2">
              <w:rPr>
                <w:bCs/>
                <w:sz w:val="24"/>
                <w:szCs w:val="24"/>
                <w:lang w:val="ro-RO"/>
              </w:rPr>
              <w:t>Ministerul Infrastructurii și Dezvoltării Regionale, Andrei Slanina, Șef</w:t>
            </w:r>
            <w:r w:rsidR="001350A1" w:rsidRPr="009A3CE2">
              <w:rPr>
                <w:bCs/>
                <w:sz w:val="24"/>
                <w:szCs w:val="24"/>
                <w:lang w:val="ro-RO"/>
              </w:rPr>
              <w:t xml:space="preserve"> al Direcției Politici în domeniul transport rutier</w:t>
            </w:r>
          </w:p>
          <w:p w14:paraId="30B06198" w14:textId="77777777" w:rsidR="009A3CE2" w:rsidRPr="009A3CE2" w:rsidRDefault="009A3CE2" w:rsidP="009A3CE2">
            <w:pPr>
              <w:ind w:firstLine="22"/>
              <w:jc w:val="left"/>
              <w:rPr>
                <w:bCs/>
                <w:sz w:val="24"/>
                <w:szCs w:val="24"/>
                <w:lang w:val="ro-RO"/>
              </w:rPr>
            </w:pPr>
            <w:proofErr w:type="spellStart"/>
            <w:r w:rsidRPr="009A3CE2">
              <w:rPr>
                <w:bCs/>
                <w:sz w:val="24"/>
                <w:szCs w:val="24"/>
                <w:lang w:val="ro-RO"/>
              </w:rPr>
              <w:t>Slanina</w:t>
            </w:r>
            <w:proofErr w:type="spellEnd"/>
            <w:r w:rsidRPr="009A3CE2">
              <w:rPr>
                <w:bCs/>
                <w:sz w:val="24"/>
                <w:szCs w:val="24"/>
                <w:lang w:val="ro-RO"/>
              </w:rPr>
              <w:t xml:space="preserve"> Andrei, Șef al Direcției Politici în Domeniul Transportului Rutier </w:t>
            </w:r>
          </w:p>
          <w:p w14:paraId="1E0E0837" w14:textId="0FD7CFF4" w:rsidR="009A3CE2" w:rsidRPr="009A3CE2" w:rsidRDefault="009A3CE2" w:rsidP="009A3CE2">
            <w:pPr>
              <w:ind w:firstLine="22"/>
              <w:jc w:val="left"/>
              <w:rPr>
                <w:bCs/>
                <w:sz w:val="24"/>
                <w:szCs w:val="24"/>
                <w:lang w:val="ro-RO"/>
              </w:rPr>
            </w:pPr>
          </w:p>
        </w:tc>
      </w:tr>
      <w:tr w:rsidR="00D94BF5" w:rsidRPr="009A3CE2" w14:paraId="050D0B8E" w14:textId="77777777" w:rsidTr="00176E67">
        <w:tc>
          <w:tcPr>
            <w:tcW w:w="140" w:type="pct"/>
            <w:vAlign w:val="center"/>
          </w:tcPr>
          <w:p w14:paraId="7E7140E0" w14:textId="77777777" w:rsidR="00D94BF5" w:rsidRPr="009A3CE2" w:rsidRDefault="00D94BF5" w:rsidP="00D94BF5">
            <w:pPr>
              <w:ind w:firstLine="22"/>
              <w:jc w:val="center"/>
              <w:rPr>
                <w:b/>
                <w:sz w:val="24"/>
                <w:szCs w:val="24"/>
                <w:lang w:val="ro-RO"/>
              </w:rPr>
            </w:pPr>
            <w:r w:rsidRPr="009A3CE2">
              <w:rPr>
                <w:b/>
                <w:sz w:val="24"/>
                <w:szCs w:val="24"/>
                <w:lang w:val="ro-RO"/>
              </w:rPr>
              <w:t>5</w:t>
            </w:r>
          </w:p>
        </w:tc>
        <w:tc>
          <w:tcPr>
            <w:tcW w:w="1325" w:type="pct"/>
            <w:vAlign w:val="center"/>
          </w:tcPr>
          <w:p w14:paraId="04009540" w14:textId="29F70EE1" w:rsidR="00D94BF5" w:rsidRPr="009A3CE2" w:rsidRDefault="00D94BF5" w:rsidP="00D94BF5">
            <w:pPr>
              <w:ind w:firstLine="22"/>
              <w:jc w:val="left"/>
              <w:rPr>
                <w:b/>
                <w:sz w:val="24"/>
                <w:szCs w:val="24"/>
                <w:lang w:val="ro-RO"/>
              </w:rPr>
            </w:pPr>
            <w:r w:rsidRPr="009A3CE2">
              <w:rPr>
                <w:b/>
                <w:sz w:val="24"/>
                <w:szCs w:val="24"/>
                <w:lang w:val="ro-RO"/>
              </w:rPr>
              <w:t>Data întocmirii/actualizării</w:t>
            </w:r>
          </w:p>
        </w:tc>
        <w:tc>
          <w:tcPr>
            <w:tcW w:w="3535" w:type="pct"/>
            <w:gridSpan w:val="3"/>
            <w:vAlign w:val="center"/>
          </w:tcPr>
          <w:p w14:paraId="59D2BF98" w14:textId="42404E00" w:rsidR="00D94BF5" w:rsidRPr="009A3CE2" w:rsidRDefault="009A3CE2" w:rsidP="0036638F">
            <w:pPr>
              <w:ind w:firstLine="22"/>
              <w:jc w:val="left"/>
              <w:rPr>
                <w:bCs/>
                <w:sz w:val="24"/>
                <w:szCs w:val="24"/>
                <w:lang w:val="ro-RO"/>
              </w:rPr>
            </w:pPr>
            <w:r>
              <w:rPr>
                <w:bCs/>
                <w:sz w:val="24"/>
                <w:szCs w:val="24"/>
                <w:lang w:val="ro-RO"/>
              </w:rPr>
              <w:t>21.05.</w:t>
            </w:r>
            <w:r w:rsidR="00341258" w:rsidRPr="009A3CE2">
              <w:rPr>
                <w:bCs/>
                <w:sz w:val="24"/>
                <w:szCs w:val="24"/>
                <w:lang w:val="ro-RO"/>
              </w:rPr>
              <w:t>2026</w:t>
            </w:r>
          </w:p>
        </w:tc>
      </w:tr>
      <w:tr w:rsidR="00E07FA1" w:rsidRPr="009A3CE2" w14:paraId="594DE1CB" w14:textId="77777777" w:rsidTr="00176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hideMark/>
          </w:tcPr>
          <w:p w14:paraId="6080F830" w14:textId="77777777" w:rsidR="00E07FA1" w:rsidRPr="009A3CE2" w:rsidRDefault="00E07FA1" w:rsidP="000164D5">
            <w:pPr>
              <w:ind w:firstLine="22"/>
              <w:jc w:val="center"/>
              <w:rPr>
                <w:b/>
                <w:sz w:val="24"/>
                <w:szCs w:val="24"/>
                <w:lang w:val="ro-RO"/>
              </w:rPr>
            </w:pPr>
            <w:r w:rsidRPr="009A3CE2">
              <w:rPr>
                <w:b/>
                <w:sz w:val="24"/>
                <w:szCs w:val="24"/>
                <w:lang w:val="ro-RO"/>
              </w:rPr>
              <w:t>Actul Uniunii Europene</w:t>
            </w:r>
          </w:p>
          <w:p w14:paraId="4EBE2CB8" w14:textId="77777777" w:rsidR="00E07FA1" w:rsidRPr="009A3CE2" w:rsidRDefault="00E07FA1" w:rsidP="000164D5">
            <w:pPr>
              <w:ind w:firstLine="22"/>
              <w:jc w:val="center"/>
              <w:rPr>
                <w:b/>
                <w:sz w:val="24"/>
                <w:szCs w:val="24"/>
                <w:lang w:val="ro-RO"/>
              </w:rPr>
            </w:pPr>
            <w:r w:rsidRPr="009A3CE2">
              <w:rPr>
                <w:b/>
                <w:sz w:val="24"/>
                <w:szCs w:val="24"/>
                <w:lang w:val="ro-RO"/>
              </w:rPr>
              <w:t>6</w:t>
            </w:r>
          </w:p>
        </w:tc>
        <w:tc>
          <w:tcPr>
            <w:tcW w:w="1607" w:type="pct"/>
            <w:tcBorders>
              <w:top w:val="single" w:sz="4" w:space="0" w:color="auto"/>
              <w:left w:val="single" w:sz="4" w:space="0" w:color="auto"/>
              <w:bottom w:val="single" w:sz="4" w:space="0" w:color="auto"/>
              <w:right w:val="single" w:sz="4" w:space="0" w:color="auto"/>
            </w:tcBorders>
            <w:hideMark/>
          </w:tcPr>
          <w:p w14:paraId="70C65C2B" w14:textId="77777777" w:rsidR="00E07FA1" w:rsidRPr="009A3CE2" w:rsidRDefault="00E07FA1" w:rsidP="000164D5">
            <w:pPr>
              <w:ind w:firstLine="22"/>
              <w:jc w:val="center"/>
              <w:rPr>
                <w:b/>
                <w:sz w:val="24"/>
                <w:szCs w:val="24"/>
                <w:lang w:val="ro-RO"/>
              </w:rPr>
            </w:pPr>
            <w:r w:rsidRPr="009A3CE2">
              <w:rPr>
                <w:b/>
                <w:sz w:val="24"/>
                <w:szCs w:val="24"/>
                <w:lang w:val="ro-RO"/>
              </w:rPr>
              <w:t>Proiectul de act normativ național</w:t>
            </w:r>
          </w:p>
          <w:p w14:paraId="7287DD9C" w14:textId="77777777" w:rsidR="00E07FA1" w:rsidRPr="009A3CE2" w:rsidRDefault="00E07FA1" w:rsidP="000164D5">
            <w:pPr>
              <w:ind w:firstLine="22"/>
              <w:jc w:val="center"/>
              <w:rPr>
                <w:b/>
                <w:sz w:val="24"/>
                <w:szCs w:val="24"/>
                <w:lang w:val="ro-RO"/>
              </w:rPr>
            </w:pPr>
            <w:r w:rsidRPr="009A3CE2">
              <w:rPr>
                <w:b/>
                <w:sz w:val="24"/>
                <w:szCs w:val="24"/>
                <w:lang w:val="ro-RO"/>
              </w:rPr>
              <w:t>7</w:t>
            </w:r>
          </w:p>
        </w:tc>
        <w:tc>
          <w:tcPr>
            <w:tcW w:w="757" w:type="pct"/>
            <w:tcBorders>
              <w:top w:val="single" w:sz="4" w:space="0" w:color="auto"/>
              <w:left w:val="single" w:sz="4" w:space="0" w:color="auto"/>
              <w:bottom w:val="single" w:sz="4" w:space="0" w:color="auto"/>
              <w:right w:val="single" w:sz="4" w:space="0" w:color="auto"/>
            </w:tcBorders>
            <w:hideMark/>
          </w:tcPr>
          <w:p w14:paraId="614D8D06" w14:textId="77777777" w:rsidR="00E07FA1" w:rsidRPr="009A3CE2" w:rsidRDefault="00E07FA1" w:rsidP="000164D5">
            <w:pPr>
              <w:ind w:firstLine="22"/>
              <w:jc w:val="center"/>
              <w:rPr>
                <w:b/>
                <w:sz w:val="24"/>
                <w:szCs w:val="24"/>
                <w:lang w:val="ro-RO"/>
              </w:rPr>
            </w:pPr>
            <w:r w:rsidRPr="009A3CE2">
              <w:rPr>
                <w:b/>
                <w:sz w:val="24"/>
                <w:szCs w:val="24"/>
                <w:lang w:val="ro-RO"/>
              </w:rPr>
              <w:t>Gradul de compatibilitate</w:t>
            </w:r>
          </w:p>
          <w:p w14:paraId="5879CD95" w14:textId="77777777" w:rsidR="00E07FA1" w:rsidRPr="009A3CE2" w:rsidRDefault="00E07FA1" w:rsidP="000164D5">
            <w:pPr>
              <w:ind w:firstLine="22"/>
              <w:jc w:val="center"/>
              <w:rPr>
                <w:b/>
                <w:sz w:val="24"/>
                <w:szCs w:val="24"/>
                <w:lang w:val="ro-RO"/>
              </w:rPr>
            </w:pPr>
            <w:r w:rsidRPr="009A3CE2">
              <w:rPr>
                <w:b/>
                <w:sz w:val="24"/>
                <w:szCs w:val="24"/>
                <w:lang w:val="ro-RO"/>
              </w:rPr>
              <w:t>8</w:t>
            </w:r>
          </w:p>
        </w:tc>
        <w:tc>
          <w:tcPr>
            <w:tcW w:w="1171" w:type="pct"/>
            <w:tcBorders>
              <w:top w:val="single" w:sz="4" w:space="0" w:color="auto"/>
              <w:left w:val="single" w:sz="4" w:space="0" w:color="auto"/>
              <w:bottom w:val="single" w:sz="4" w:space="0" w:color="auto"/>
              <w:right w:val="single" w:sz="4" w:space="0" w:color="auto"/>
            </w:tcBorders>
            <w:hideMark/>
          </w:tcPr>
          <w:p w14:paraId="53D0C2D7" w14:textId="77777777" w:rsidR="00E07FA1" w:rsidRPr="009A3CE2" w:rsidRDefault="00E07FA1" w:rsidP="000164D5">
            <w:pPr>
              <w:ind w:firstLine="22"/>
              <w:jc w:val="center"/>
              <w:rPr>
                <w:b/>
                <w:sz w:val="24"/>
                <w:szCs w:val="24"/>
                <w:lang w:val="ro-RO"/>
              </w:rPr>
            </w:pPr>
            <w:r w:rsidRPr="009A3CE2">
              <w:rPr>
                <w:b/>
                <w:sz w:val="24"/>
                <w:szCs w:val="24"/>
                <w:lang w:val="ro-RO"/>
              </w:rPr>
              <w:t>Observații</w:t>
            </w:r>
          </w:p>
          <w:p w14:paraId="04FEC9E0" w14:textId="77777777" w:rsidR="00E07FA1" w:rsidRPr="009A3CE2" w:rsidRDefault="00E07FA1" w:rsidP="000164D5">
            <w:pPr>
              <w:ind w:firstLine="22"/>
              <w:jc w:val="center"/>
              <w:rPr>
                <w:b/>
                <w:sz w:val="24"/>
                <w:szCs w:val="24"/>
                <w:lang w:val="ro-RO"/>
              </w:rPr>
            </w:pPr>
            <w:r w:rsidRPr="009A3CE2">
              <w:rPr>
                <w:b/>
                <w:sz w:val="24"/>
                <w:szCs w:val="24"/>
                <w:lang w:val="ro-RO"/>
              </w:rPr>
              <w:t>9</w:t>
            </w:r>
          </w:p>
          <w:p w14:paraId="3D935C6F" w14:textId="77777777" w:rsidR="00E07FA1" w:rsidRPr="009A3CE2" w:rsidRDefault="00E07FA1" w:rsidP="000164D5">
            <w:pPr>
              <w:ind w:firstLine="22"/>
              <w:jc w:val="center"/>
              <w:rPr>
                <w:b/>
                <w:sz w:val="24"/>
                <w:szCs w:val="24"/>
                <w:lang w:val="ro-RO"/>
              </w:rPr>
            </w:pPr>
          </w:p>
        </w:tc>
      </w:tr>
      <w:tr w:rsidR="00E07FA1" w:rsidRPr="009A3CE2" w14:paraId="2D9284D7" w14:textId="77777777" w:rsidTr="00176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hideMark/>
          </w:tcPr>
          <w:p w14:paraId="1BDC0FED" w14:textId="77777777" w:rsidR="00E07FA1" w:rsidRPr="009A3CE2" w:rsidRDefault="00E07FA1" w:rsidP="00686C0A">
            <w:pPr>
              <w:ind w:firstLine="709"/>
              <w:rPr>
                <w:b/>
                <w:sz w:val="24"/>
                <w:szCs w:val="24"/>
                <w:lang w:val="ro-RO"/>
              </w:rPr>
            </w:pPr>
          </w:p>
        </w:tc>
        <w:tc>
          <w:tcPr>
            <w:tcW w:w="1607" w:type="pct"/>
            <w:tcBorders>
              <w:top w:val="single" w:sz="4" w:space="0" w:color="auto"/>
              <w:left w:val="single" w:sz="4" w:space="0" w:color="auto"/>
              <w:bottom w:val="single" w:sz="4" w:space="0" w:color="auto"/>
              <w:right w:val="single" w:sz="4" w:space="0" w:color="auto"/>
            </w:tcBorders>
            <w:hideMark/>
          </w:tcPr>
          <w:p w14:paraId="645BAF24" w14:textId="77777777" w:rsidR="00E07FA1" w:rsidRPr="009A3CE2" w:rsidRDefault="00E07FA1" w:rsidP="00686C0A">
            <w:pPr>
              <w:ind w:firstLine="709"/>
              <w:rPr>
                <w:b/>
                <w:sz w:val="24"/>
                <w:szCs w:val="24"/>
                <w:lang w:val="ro-RO"/>
              </w:rPr>
            </w:pPr>
          </w:p>
        </w:tc>
        <w:tc>
          <w:tcPr>
            <w:tcW w:w="757" w:type="pct"/>
            <w:tcBorders>
              <w:top w:val="single" w:sz="4" w:space="0" w:color="auto"/>
              <w:left w:val="single" w:sz="4" w:space="0" w:color="auto"/>
              <w:bottom w:val="single" w:sz="4" w:space="0" w:color="auto"/>
              <w:right w:val="single" w:sz="4" w:space="0" w:color="auto"/>
            </w:tcBorders>
            <w:hideMark/>
          </w:tcPr>
          <w:p w14:paraId="2C5AF330" w14:textId="77777777" w:rsidR="00E07FA1" w:rsidRPr="009A3CE2" w:rsidRDefault="00E07FA1" w:rsidP="00686C0A">
            <w:pPr>
              <w:ind w:firstLine="709"/>
              <w:rPr>
                <w:b/>
                <w:sz w:val="24"/>
                <w:szCs w:val="24"/>
                <w:lang w:val="ro-RO"/>
              </w:rPr>
            </w:pPr>
          </w:p>
        </w:tc>
        <w:tc>
          <w:tcPr>
            <w:tcW w:w="1171" w:type="pct"/>
            <w:tcBorders>
              <w:top w:val="single" w:sz="4" w:space="0" w:color="auto"/>
              <w:left w:val="single" w:sz="4" w:space="0" w:color="auto"/>
              <w:bottom w:val="single" w:sz="4" w:space="0" w:color="auto"/>
              <w:right w:val="single" w:sz="4" w:space="0" w:color="auto"/>
            </w:tcBorders>
            <w:hideMark/>
          </w:tcPr>
          <w:p w14:paraId="38303CA0" w14:textId="77777777" w:rsidR="00E07FA1" w:rsidRPr="009A3CE2" w:rsidRDefault="00E07FA1" w:rsidP="00686C0A">
            <w:pPr>
              <w:ind w:firstLine="709"/>
              <w:rPr>
                <w:b/>
                <w:sz w:val="24"/>
                <w:szCs w:val="24"/>
                <w:lang w:val="ro-RO"/>
              </w:rPr>
            </w:pPr>
          </w:p>
        </w:tc>
      </w:tr>
      <w:tr w:rsidR="000164D5" w:rsidRPr="009A3CE2" w14:paraId="3ABC9132"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7E2C9795" w14:textId="77777777" w:rsidR="00CE6C5D" w:rsidRPr="009A3CE2" w:rsidRDefault="00CE6C5D" w:rsidP="00A56832">
            <w:pPr>
              <w:ind w:left="22" w:firstLine="284"/>
              <w:jc w:val="center"/>
              <w:rPr>
                <w:b/>
                <w:sz w:val="24"/>
                <w:szCs w:val="24"/>
                <w:lang w:val="ro-RO"/>
              </w:rPr>
            </w:pPr>
            <w:r w:rsidRPr="009A3CE2">
              <w:rPr>
                <w:b/>
                <w:sz w:val="24"/>
                <w:szCs w:val="24"/>
                <w:lang w:val="ro-RO"/>
              </w:rPr>
              <w:t>Articolul 1</w:t>
            </w:r>
          </w:p>
          <w:p w14:paraId="5946B43F" w14:textId="77777777" w:rsidR="00CE6C5D" w:rsidRPr="009A3CE2" w:rsidRDefault="00CE6C5D" w:rsidP="00A56832">
            <w:pPr>
              <w:ind w:left="22" w:firstLine="284"/>
              <w:rPr>
                <w:bCs/>
                <w:sz w:val="24"/>
                <w:szCs w:val="24"/>
                <w:lang w:val="ro-RO"/>
              </w:rPr>
            </w:pPr>
            <w:r w:rsidRPr="009A3CE2">
              <w:rPr>
                <w:bCs/>
                <w:sz w:val="24"/>
                <w:szCs w:val="24"/>
                <w:lang w:val="ro-RO"/>
              </w:rPr>
              <w:t>Prezentul regulament se aplică transportului rutier de mărfuri între statele membre, efectuat pe spezele unei părți terțe, chiar dacă, în momentul operațiunilor de transport, o parte din drum se efectuează:</w:t>
            </w:r>
          </w:p>
          <w:p w14:paraId="22EB678A" w14:textId="78B5BFAA" w:rsidR="00CE6C5D" w:rsidRPr="009A3CE2" w:rsidRDefault="00CE6C5D" w:rsidP="00A56832">
            <w:pPr>
              <w:ind w:left="22" w:firstLine="284"/>
              <w:rPr>
                <w:bCs/>
                <w:sz w:val="24"/>
                <w:szCs w:val="24"/>
                <w:lang w:val="ro-RO"/>
              </w:rPr>
            </w:pPr>
            <w:r w:rsidRPr="009A3CE2">
              <w:rPr>
                <w:bCs/>
                <w:sz w:val="24"/>
                <w:szCs w:val="24"/>
                <w:lang w:val="ro-RO"/>
              </w:rPr>
              <w:t>- în tranzit printr-o țară terță sau</w:t>
            </w:r>
          </w:p>
          <w:p w14:paraId="059D7A66" w14:textId="64DFCC84" w:rsidR="000164D5" w:rsidRPr="009A3CE2" w:rsidRDefault="00CE6C5D" w:rsidP="00A56832">
            <w:pPr>
              <w:ind w:left="22" w:firstLine="284"/>
              <w:rPr>
                <w:bCs/>
                <w:sz w:val="24"/>
                <w:szCs w:val="24"/>
                <w:lang w:val="ro-RO"/>
              </w:rPr>
            </w:pPr>
            <w:r w:rsidRPr="009A3CE2">
              <w:rPr>
                <w:bCs/>
                <w:sz w:val="24"/>
                <w:szCs w:val="24"/>
                <w:lang w:val="ro-RO"/>
              </w:rPr>
              <w:t>- cu un vehicul încărcat pe un alt mijloc de transport, fără o reîncărcare intermediară a mărfurilor.</w:t>
            </w:r>
          </w:p>
        </w:tc>
        <w:tc>
          <w:tcPr>
            <w:tcW w:w="1607" w:type="pct"/>
            <w:tcBorders>
              <w:top w:val="single" w:sz="4" w:space="0" w:color="auto"/>
              <w:left w:val="single" w:sz="4" w:space="0" w:color="auto"/>
              <w:bottom w:val="single" w:sz="4" w:space="0" w:color="auto"/>
              <w:right w:val="single" w:sz="4" w:space="0" w:color="auto"/>
            </w:tcBorders>
          </w:tcPr>
          <w:p w14:paraId="056D477E" w14:textId="43C2ADA4" w:rsidR="003B6541" w:rsidRPr="009A3CE2" w:rsidRDefault="003B6541"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4C5C553C" w14:textId="498A1AED" w:rsidR="000164D5" w:rsidRPr="009A3CE2" w:rsidRDefault="006A3296" w:rsidP="0054198F">
            <w:pPr>
              <w:ind w:firstLine="0"/>
              <w:jc w:val="center"/>
              <w:rPr>
                <w:b/>
                <w:sz w:val="24"/>
                <w:szCs w:val="24"/>
                <w:lang w:val="ro-RO"/>
              </w:rPr>
            </w:pPr>
            <w:r w:rsidRPr="009A3CE2">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68D91DFC" w14:textId="0D8A3311" w:rsidR="00341258" w:rsidRPr="009A3CE2" w:rsidRDefault="00341258" w:rsidP="00341258">
            <w:pPr>
              <w:ind w:firstLine="0"/>
              <w:rPr>
                <w:sz w:val="24"/>
                <w:szCs w:val="24"/>
                <w:lang w:val="ro-RO"/>
              </w:rPr>
            </w:pPr>
            <w:r w:rsidRPr="009A3CE2">
              <w:rPr>
                <w:sz w:val="24"/>
                <w:szCs w:val="24"/>
                <w:lang w:val="ro-RO"/>
              </w:rPr>
              <w:t>Prevederi în vigoare ale Codului transporturilor rutiere nr.150/2014:</w:t>
            </w:r>
          </w:p>
          <w:p w14:paraId="1E8C540E" w14:textId="77777777" w:rsidR="00341258" w:rsidRPr="009A3CE2" w:rsidRDefault="00341258" w:rsidP="00341258">
            <w:pPr>
              <w:ind w:firstLine="709"/>
              <w:rPr>
                <w:bCs/>
                <w:sz w:val="24"/>
                <w:szCs w:val="24"/>
                <w:lang w:val="ro-RO"/>
              </w:rPr>
            </w:pPr>
            <w:r w:rsidRPr="009A3CE2">
              <w:rPr>
                <w:b/>
                <w:sz w:val="24"/>
                <w:szCs w:val="24"/>
                <w:lang w:val="ro-RO"/>
              </w:rPr>
              <w:t>Art. 1 alin. (1)</w:t>
            </w:r>
            <w:r w:rsidRPr="009A3CE2">
              <w:rPr>
                <w:bCs/>
                <w:sz w:val="24"/>
                <w:szCs w:val="24"/>
                <w:lang w:val="ro-RO"/>
              </w:rPr>
              <w:t xml:space="preserve"> Prezentul cod stabileşte cadrul legal pentru organizarea şi efectuarea transporturilor rutiere de mărfuri şi persoane, precum şi a activităţilor conexe transportului rutier pe teritoriul Republicii Moldova, în condiţii de siguranţă şi calitate, cu respectarea principiilor liberei concurențe şi a măsurilor de protecţie a mediului, a drepturilor şi intereselor legitime ale persoanelor fizice şi juridice.</w:t>
            </w:r>
          </w:p>
          <w:p w14:paraId="0D3EBBF0" w14:textId="08817102" w:rsidR="000164D5" w:rsidRPr="009A3CE2" w:rsidRDefault="00341258" w:rsidP="00341258">
            <w:pPr>
              <w:ind w:firstLine="709"/>
              <w:rPr>
                <w:b/>
                <w:sz w:val="24"/>
                <w:szCs w:val="24"/>
                <w:lang w:val="ro-RO"/>
              </w:rPr>
            </w:pPr>
            <w:r w:rsidRPr="009A3CE2">
              <w:rPr>
                <w:b/>
                <w:sz w:val="24"/>
                <w:szCs w:val="24"/>
                <w:lang w:val="ro-RO"/>
              </w:rPr>
              <w:lastRenderedPageBreak/>
              <w:t>Art. 2</w:t>
            </w:r>
            <w:r w:rsidRPr="009A3CE2">
              <w:rPr>
                <w:bCs/>
                <w:sz w:val="24"/>
                <w:szCs w:val="24"/>
                <w:lang w:val="ro-RO"/>
              </w:rPr>
              <w:t xml:space="preserve"> Dacă nu este prevăzut expres altfel, prezentul cod se aplică tuturor întreprinderilor înregistrate pe teritoriul Republicii Moldova care exercită ocupaţia de operator de transport rutier, care efectuează activităţi de transport rutier în cont propriu şi/sau desfășoară activităţi conexe transportului rutier, precum şi operatorilor de transport rutier străini în conformitate cu acordurile bilaterale, convențiile şi acordurile internaţionale la care Republica Moldova este parte.</w:t>
            </w:r>
          </w:p>
        </w:tc>
      </w:tr>
      <w:tr w:rsidR="000164D5" w:rsidRPr="009A3CE2" w14:paraId="0642253E"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3EBEA7E" w14:textId="77777777" w:rsidR="00CA5A87" w:rsidRPr="009A3CE2" w:rsidRDefault="00CA5A87" w:rsidP="00176E67">
            <w:pPr>
              <w:ind w:left="22" w:firstLine="284"/>
              <w:jc w:val="center"/>
              <w:rPr>
                <w:b/>
                <w:sz w:val="24"/>
                <w:szCs w:val="24"/>
                <w:lang w:val="ro-RO"/>
              </w:rPr>
            </w:pPr>
            <w:r w:rsidRPr="009A3CE2">
              <w:rPr>
                <w:b/>
                <w:sz w:val="24"/>
                <w:szCs w:val="24"/>
                <w:lang w:val="ro-RO"/>
              </w:rPr>
              <w:lastRenderedPageBreak/>
              <w:t>Articolul 2</w:t>
            </w:r>
          </w:p>
          <w:p w14:paraId="653A66E7" w14:textId="3EA418A7" w:rsidR="000164D5" w:rsidRPr="009A3CE2" w:rsidRDefault="00CA5A87" w:rsidP="00A56832">
            <w:pPr>
              <w:ind w:left="22" w:firstLine="284"/>
              <w:rPr>
                <w:bCs/>
                <w:sz w:val="24"/>
                <w:szCs w:val="24"/>
                <w:lang w:val="ro-RO"/>
              </w:rPr>
            </w:pPr>
            <w:r w:rsidRPr="009A3CE2">
              <w:rPr>
                <w:bCs/>
                <w:sz w:val="24"/>
                <w:szCs w:val="24"/>
                <w:lang w:val="ro-RO"/>
              </w:rPr>
              <w:t>De la 1 ianuarie 1990, prețurile pentru operațiunile de transport prevăzute în articolul 1 se stabilesc prin acordul liber dintre părțile contractului de transport.</w:t>
            </w:r>
          </w:p>
        </w:tc>
        <w:tc>
          <w:tcPr>
            <w:tcW w:w="1607" w:type="pct"/>
            <w:tcBorders>
              <w:top w:val="single" w:sz="4" w:space="0" w:color="auto"/>
              <w:left w:val="single" w:sz="4" w:space="0" w:color="auto"/>
              <w:bottom w:val="single" w:sz="4" w:space="0" w:color="auto"/>
              <w:right w:val="single" w:sz="4" w:space="0" w:color="auto"/>
            </w:tcBorders>
          </w:tcPr>
          <w:p w14:paraId="0C8AA229" w14:textId="6A388158" w:rsidR="000164D5" w:rsidRPr="009A3CE2" w:rsidRDefault="000164D5"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3D7BA422" w14:textId="36C9463A" w:rsidR="000164D5" w:rsidRPr="009A3CE2" w:rsidRDefault="00262750" w:rsidP="0054198F">
            <w:pPr>
              <w:ind w:firstLine="0"/>
              <w:jc w:val="center"/>
              <w:rPr>
                <w:b/>
                <w:sz w:val="24"/>
                <w:szCs w:val="24"/>
                <w:lang w:val="ro-RO"/>
              </w:rPr>
            </w:pPr>
            <w:r w:rsidRPr="009A3CE2">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4D90C6BF" w14:textId="77777777" w:rsidR="00341258" w:rsidRPr="009A3CE2" w:rsidRDefault="00341258" w:rsidP="00341258">
            <w:pPr>
              <w:ind w:firstLine="20"/>
              <w:rPr>
                <w:bCs/>
                <w:sz w:val="24"/>
                <w:szCs w:val="24"/>
                <w:lang w:val="ro-RO"/>
              </w:rPr>
            </w:pPr>
            <w:r w:rsidRPr="009A3CE2">
              <w:rPr>
                <w:bCs/>
                <w:sz w:val="24"/>
                <w:szCs w:val="24"/>
                <w:lang w:val="ro-RO"/>
              </w:rPr>
              <w:t>Prevederi ale Codului transporturilor rutiere nr.150/2014:</w:t>
            </w:r>
          </w:p>
          <w:p w14:paraId="4B5490C1" w14:textId="14C6EAC8" w:rsidR="000164D5" w:rsidRPr="009A3CE2" w:rsidRDefault="00341258" w:rsidP="00341258">
            <w:pPr>
              <w:ind w:firstLine="20"/>
              <w:rPr>
                <w:bCs/>
                <w:sz w:val="24"/>
                <w:szCs w:val="24"/>
                <w:lang w:val="ro-RO"/>
              </w:rPr>
            </w:pPr>
            <w:r w:rsidRPr="009A3CE2">
              <w:rPr>
                <w:b/>
                <w:bCs/>
                <w:sz w:val="24"/>
                <w:szCs w:val="24"/>
                <w:lang w:val="ro-RO"/>
              </w:rPr>
              <w:t>Art.145. – (1)</w:t>
            </w:r>
            <w:r w:rsidRPr="009A3CE2">
              <w:rPr>
                <w:bCs/>
                <w:sz w:val="24"/>
                <w:szCs w:val="24"/>
                <w:lang w:val="ro-RO"/>
              </w:rPr>
              <w:t xml:space="preserve"> Tarifele pentru serviciile de transport rutier de mărfuri, pentru serviciile regulate de transport rutier de persoane în trafic internaţional, pentru serviciile speciale şi ocazionale de transport rutier de persoane, precum şi tarifele pentru serviciile prestate de întreprinderile ce desfășoară activităţi conexe transportului rutier, cu excepţia activităţii de autogară, se stabilesc liber, în baza cererii </w:t>
            </w:r>
            <w:proofErr w:type="spellStart"/>
            <w:r w:rsidRPr="009A3CE2">
              <w:rPr>
                <w:bCs/>
                <w:sz w:val="24"/>
                <w:szCs w:val="24"/>
                <w:lang w:val="ro-RO"/>
              </w:rPr>
              <w:t>şi</w:t>
            </w:r>
            <w:proofErr w:type="spellEnd"/>
            <w:r w:rsidRPr="009A3CE2">
              <w:rPr>
                <w:bCs/>
                <w:sz w:val="24"/>
                <w:szCs w:val="24"/>
                <w:lang w:val="ro-RO"/>
              </w:rPr>
              <w:t xml:space="preserve"> a ofertei.</w:t>
            </w:r>
          </w:p>
        </w:tc>
      </w:tr>
      <w:tr w:rsidR="000164D5" w:rsidRPr="009A3CE2" w14:paraId="490EDDCD"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F3D68BB" w14:textId="77777777" w:rsidR="00A56832" w:rsidRPr="009A3CE2" w:rsidRDefault="00A56832" w:rsidP="00176E67">
            <w:pPr>
              <w:ind w:left="22" w:firstLine="284"/>
              <w:jc w:val="center"/>
              <w:rPr>
                <w:b/>
                <w:sz w:val="24"/>
                <w:szCs w:val="24"/>
                <w:lang w:val="ro-RO"/>
              </w:rPr>
            </w:pPr>
            <w:r w:rsidRPr="009A3CE2">
              <w:rPr>
                <w:b/>
                <w:sz w:val="24"/>
                <w:szCs w:val="24"/>
                <w:lang w:val="ro-RO"/>
              </w:rPr>
              <w:lastRenderedPageBreak/>
              <w:t>Articolul 3</w:t>
            </w:r>
          </w:p>
          <w:p w14:paraId="506999AD" w14:textId="77777777" w:rsidR="00A56832" w:rsidRPr="009A3CE2" w:rsidRDefault="00A56832" w:rsidP="00A56832">
            <w:pPr>
              <w:ind w:left="22" w:firstLine="284"/>
              <w:rPr>
                <w:bCs/>
                <w:sz w:val="24"/>
                <w:szCs w:val="24"/>
                <w:lang w:val="ro-RO"/>
              </w:rPr>
            </w:pPr>
            <w:r w:rsidRPr="009A3CE2">
              <w:rPr>
                <w:bCs/>
                <w:sz w:val="24"/>
                <w:szCs w:val="24"/>
                <w:lang w:val="ro-RO"/>
              </w:rPr>
              <w:t>(1)   În vederea introducerii unui sistem definitiv de supraveghere a piețelor de transport, întreprinderile de transport, expeditorii, comisionarii de fraht și alți agenți de transport trebuie să comunice autorităților competente din statele lor membre, la solicitarea acestora, orice informații privind prețurile percepute în transportul rutier internațional de mărfuri.</w:t>
            </w:r>
          </w:p>
          <w:p w14:paraId="77D2F3E0" w14:textId="77777777" w:rsidR="00A56832" w:rsidRPr="009A3CE2" w:rsidRDefault="00A56832" w:rsidP="00A56832">
            <w:pPr>
              <w:ind w:left="22" w:firstLine="284"/>
              <w:rPr>
                <w:bCs/>
                <w:sz w:val="24"/>
                <w:szCs w:val="24"/>
                <w:lang w:val="ro-RO"/>
              </w:rPr>
            </w:pPr>
            <w:r w:rsidRPr="009A3CE2">
              <w:rPr>
                <w:bCs/>
                <w:sz w:val="24"/>
                <w:szCs w:val="24"/>
                <w:lang w:val="ro-RO"/>
              </w:rPr>
              <w:t>(2)   Informațiile obținute la punerea în aplicare a prezentului regulament sunt afectate de obligativitatea secretului profesional.</w:t>
            </w:r>
          </w:p>
          <w:p w14:paraId="41FEC8CF" w14:textId="0395B7C6" w:rsidR="000164D5" w:rsidRPr="009A3CE2" w:rsidRDefault="00A56832" w:rsidP="00A56832">
            <w:pPr>
              <w:ind w:left="22" w:firstLine="284"/>
              <w:rPr>
                <w:bCs/>
                <w:sz w:val="24"/>
                <w:szCs w:val="24"/>
                <w:lang w:val="ro-RO"/>
              </w:rPr>
            </w:pPr>
            <w:r w:rsidRPr="009A3CE2">
              <w:rPr>
                <w:bCs/>
                <w:sz w:val="24"/>
                <w:szCs w:val="24"/>
                <w:lang w:val="ro-RO"/>
              </w:rPr>
              <w:t>(3)   Statele membre trimit Comisiei, la solicitarea acesteia, orice informație de care dispun.</w:t>
            </w:r>
          </w:p>
        </w:tc>
        <w:tc>
          <w:tcPr>
            <w:tcW w:w="1607" w:type="pct"/>
            <w:tcBorders>
              <w:top w:val="single" w:sz="4" w:space="0" w:color="auto"/>
              <w:left w:val="single" w:sz="4" w:space="0" w:color="auto"/>
              <w:bottom w:val="single" w:sz="4" w:space="0" w:color="auto"/>
              <w:right w:val="single" w:sz="4" w:space="0" w:color="auto"/>
            </w:tcBorders>
          </w:tcPr>
          <w:p w14:paraId="2BBF27C4" w14:textId="10B7C6D2" w:rsidR="00087698" w:rsidRPr="009A3CE2" w:rsidRDefault="00341258" w:rsidP="00341258">
            <w:pPr>
              <w:ind w:firstLine="0"/>
              <w:rPr>
                <w:b/>
                <w:sz w:val="24"/>
                <w:szCs w:val="24"/>
                <w:lang w:val="ro-RO"/>
              </w:rPr>
            </w:pPr>
            <w:r w:rsidRPr="009A3CE2">
              <w:rPr>
                <w:sz w:val="24"/>
                <w:szCs w:val="24"/>
                <w:lang w:val="ro-RO"/>
              </w:rPr>
              <w:t>C</w:t>
            </w:r>
            <w:r w:rsidR="000F5E7C" w:rsidRPr="009A3CE2">
              <w:rPr>
                <w:sz w:val="24"/>
                <w:szCs w:val="24"/>
                <w:lang w:val="ro-RO"/>
              </w:rPr>
              <w:t>odul transporturilor rutiere nr.150/2014</w:t>
            </w:r>
            <w:r w:rsidRPr="009A3CE2">
              <w:rPr>
                <w:sz w:val="24"/>
                <w:szCs w:val="24"/>
                <w:lang w:val="ro-RO"/>
              </w:rPr>
              <w:t>:</w:t>
            </w:r>
            <w:r w:rsidRPr="009A3CE2">
              <w:rPr>
                <w:b/>
                <w:sz w:val="24"/>
                <w:szCs w:val="24"/>
                <w:lang w:val="ro-RO"/>
              </w:rPr>
              <w:t xml:space="preserve"> a</w:t>
            </w:r>
            <w:r w:rsidR="002745F0" w:rsidRPr="009A3CE2">
              <w:rPr>
                <w:b/>
                <w:sz w:val="24"/>
                <w:szCs w:val="24"/>
                <w:lang w:val="ro-RO"/>
              </w:rPr>
              <w:t>rt. 49</w:t>
            </w:r>
            <w:r w:rsidR="00D77382" w:rsidRPr="009A3CE2">
              <w:rPr>
                <w:b/>
                <w:sz w:val="24"/>
                <w:szCs w:val="24"/>
                <w:lang w:val="ro-RO"/>
              </w:rPr>
              <w:t xml:space="preserve"> </w:t>
            </w:r>
            <w:r w:rsidRPr="009A3CE2">
              <w:rPr>
                <w:b/>
                <w:sz w:val="24"/>
                <w:szCs w:val="24"/>
                <w:lang w:val="ro-RO"/>
              </w:rPr>
              <w:t xml:space="preserve">se completează cu </w:t>
            </w:r>
            <w:r w:rsidR="00D77382" w:rsidRPr="009A3CE2">
              <w:rPr>
                <w:b/>
                <w:sz w:val="24"/>
                <w:szCs w:val="24"/>
                <w:lang w:val="ro-RO"/>
              </w:rPr>
              <w:t>lit.</w:t>
            </w:r>
            <w:r w:rsidR="00087698" w:rsidRPr="009A3CE2">
              <w:rPr>
                <w:b/>
                <w:sz w:val="24"/>
                <w:szCs w:val="24"/>
                <w:lang w:val="ro-RO"/>
              </w:rPr>
              <w:t xml:space="preserve"> v)</w:t>
            </w:r>
            <w:r w:rsidRPr="009A3CE2">
              <w:rPr>
                <w:bCs/>
                <w:sz w:val="24"/>
                <w:szCs w:val="24"/>
                <w:lang w:val="ro-RO"/>
              </w:rPr>
              <w:t xml:space="preserve"> cu următorul cuprins:</w:t>
            </w:r>
            <w:r w:rsidR="003B6541" w:rsidRPr="009A3CE2">
              <w:rPr>
                <w:bCs/>
                <w:sz w:val="24"/>
                <w:szCs w:val="24"/>
                <w:lang w:val="ro-RO"/>
              </w:rPr>
              <w:t xml:space="preserve"> </w:t>
            </w:r>
            <w:r w:rsidR="00087698" w:rsidRPr="009A3CE2">
              <w:rPr>
                <w:bCs/>
                <w:sz w:val="24"/>
                <w:szCs w:val="24"/>
                <w:lang w:val="ro-RO"/>
              </w:rPr>
              <w:t>Operatorii de transport rutier/întreprinderile care efectuează operaţiuni de transport rutier au următoarele obligații:</w:t>
            </w:r>
          </w:p>
          <w:p w14:paraId="5BEAB4D4" w14:textId="77777777" w:rsidR="00087698" w:rsidRPr="009A3CE2" w:rsidRDefault="009665A5" w:rsidP="00686C0A">
            <w:pPr>
              <w:ind w:firstLine="709"/>
              <w:rPr>
                <w:bCs/>
                <w:sz w:val="24"/>
                <w:szCs w:val="24"/>
                <w:lang w:val="ro-RO"/>
              </w:rPr>
            </w:pPr>
            <w:r w:rsidRPr="009A3CE2">
              <w:rPr>
                <w:bCs/>
                <w:sz w:val="24"/>
                <w:szCs w:val="24"/>
                <w:lang w:val="ro-RO"/>
              </w:rPr>
              <w:t>...</w:t>
            </w:r>
          </w:p>
          <w:p w14:paraId="666A8C95" w14:textId="2BC97A97" w:rsidR="009665A5" w:rsidRPr="009A3CE2" w:rsidRDefault="009665A5" w:rsidP="00686C0A">
            <w:pPr>
              <w:ind w:firstLine="709"/>
              <w:rPr>
                <w:bCs/>
                <w:sz w:val="24"/>
                <w:szCs w:val="24"/>
                <w:lang w:val="ro-RO"/>
              </w:rPr>
            </w:pPr>
            <w:r w:rsidRPr="009A3CE2">
              <w:rPr>
                <w:bCs/>
                <w:sz w:val="24"/>
                <w:szCs w:val="24"/>
                <w:lang w:val="ro-RO"/>
              </w:rPr>
              <w:t xml:space="preserve">v) să comunice la cererea </w:t>
            </w:r>
            <w:r w:rsidR="007B5223" w:rsidRPr="009A3CE2">
              <w:rPr>
                <w:bCs/>
                <w:sz w:val="24"/>
                <w:szCs w:val="24"/>
                <w:lang w:val="ro-RO"/>
              </w:rPr>
              <w:t>organului central de specialitate, la solicitare</w:t>
            </w:r>
            <w:r w:rsidRPr="009A3CE2">
              <w:rPr>
                <w:bCs/>
                <w:sz w:val="24"/>
                <w:szCs w:val="24"/>
                <w:lang w:val="ro-RO"/>
              </w:rPr>
              <w:t>, orice informații privind prețurile percepute în transportul rutier internațional de mărfuri</w:t>
            </w:r>
            <w:r w:rsidR="00BC10FC" w:rsidRPr="009A3CE2">
              <w:rPr>
                <w:bCs/>
                <w:sz w:val="24"/>
                <w:szCs w:val="24"/>
                <w:lang w:val="ro-RO"/>
              </w:rPr>
              <w:t xml:space="preserve">. Informațiile </w:t>
            </w:r>
            <w:r w:rsidR="00AB1EA2" w:rsidRPr="009A3CE2">
              <w:rPr>
                <w:bCs/>
                <w:sz w:val="24"/>
                <w:szCs w:val="24"/>
                <w:lang w:val="ro-RO"/>
              </w:rPr>
              <w:t xml:space="preserve">transmise la solicitare </w:t>
            </w:r>
            <w:r w:rsidR="00B3577C" w:rsidRPr="009A3CE2">
              <w:rPr>
                <w:bCs/>
                <w:sz w:val="24"/>
                <w:szCs w:val="24"/>
                <w:lang w:val="ro-RO"/>
              </w:rPr>
              <w:t>cad sub incidența obligației de confidențialitate</w:t>
            </w:r>
            <w:r w:rsidR="0054198F" w:rsidRPr="009A3CE2">
              <w:rPr>
                <w:bCs/>
                <w:sz w:val="24"/>
                <w:szCs w:val="24"/>
                <w:lang w:val="ro-RO"/>
              </w:rPr>
              <w:t>.</w:t>
            </w:r>
          </w:p>
        </w:tc>
        <w:tc>
          <w:tcPr>
            <w:tcW w:w="757" w:type="pct"/>
            <w:tcBorders>
              <w:top w:val="single" w:sz="4" w:space="0" w:color="auto"/>
              <w:left w:val="single" w:sz="4" w:space="0" w:color="auto"/>
              <w:bottom w:val="single" w:sz="4" w:space="0" w:color="auto"/>
              <w:right w:val="single" w:sz="4" w:space="0" w:color="auto"/>
            </w:tcBorders>
            <w:vAlign w:val="center"/>
          </w:tcPr>
          <w:p w14:paraId="20A012BD" w14:textId="20687645" w:rsidR="000164D5" w:rsidRPr="009A3CE2" w:rsidRDefault="0054198F" w:rsidP="0054198F">
            <w:pPr>
              <w:ind w:firstLine="0"/>
              <w:jc w:val="center"/>
              <w:rPr>
                <w:b/>
                <w:sz w:val="24"/>
                <w:szCs w:val="24"/>
                <w:lang w:val="ro-RO"/>
              </w:rPr>
            </w:pPr>
            <w:r w:rsidRPr="009A3CE2">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37FB91A3" w14:textId="77777777" w:rsidR="000164D5" w:rsidRPr="009A3CE2" w:rsidRDefault="000164D5" w:rsidP="00686C0A">
            <w:pPr>
              <w:ind w:firstLine="709"/>
              <w:rPr>
                <w:bCs/>
                <w:sz w:val="24"/>
                <w:szCs w:val="24"/>
                <w:lang w:val="ro-RO"/>
              </w:rPr>
            </w:pPr>
          </w:p>
        </w:tc>
      </w:tr>
      <w:tr w:rsidR="000164D5" w:rsidRPr="009A3CE2" w14:paraId="4541FF26"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5BF539A1" w14:textId="77777777" w:rsidR="00176E67" w:rsidRPr="009A3CE2" w:rsidRDefault="00176E67" w:rsidP="00176E67">
            <w:pPr>
              <w:ind w:left="22" w:firstLine="284"/>
              <w:jc w:val="center"/>
              <w:rPr>
                <w:b/>
                <w:sz w:val="24"/>
                <w:szCs w:val="24"/>
                <w:lang w:val="ro-RO"/>
              </w:rPr>
            </w:pPr>
            <w:r w:rsidRPr="009A3CE2">
              <w:rPr>
                <w:b/>
                <w:sz w:val="24"/>
                <w:szCs w:val="24"/>
                <w:lang w:val="ro-RO"/>
              </w:rPr>
              <w:t>Articolul 4</w:t>
            </w:r>
          </w:p>
          <w:p w14:paraId="3EA6E89F" w14:textId="77777777" w:rsidR="00176E67" w:rsidRPr="009A3CE2" w:rsidRDefault="00176E67" w:rsidP="00176E67">
            <w:pPr>
              <w:ind w:left="22" w:firstLine="284"/>
              <w:rPr>
                <w:bCs/>
                <w:sz w:val="24"/>
                <w:szCs w:val="24"/>
                <w:lang w:val="ro-RO"/>
              </w:rPr>
            </w:pPr>
            <w:r w:rsidRPr="009A3CE2">
              <w:rPr>
                <w:bCs/>
                <w:sz w:val="24"/>
                <w:szCs w:val="24"/>
                <w:lang w:val="ro-RO"/>
              </w:rPr>
              <w:t>(1)   Statele membre adoptă, în timp util, actele cu putere de lege și actele administrative necesare aplicării prezentului regulament și informează imediat Comisia cu privire la aceasta.</w:t>
            </w:r>
          </w:p>
          <w:p w14:paraId="6C4E8EE6" w14:textId="6B64C785" w:rsidR="000164D5" w:rsidRPr="009A3CE2" w:rsidRDefault="00176E67" w:rsidP="00176E67">
            <w:pPr>
              <w:ind w:left="22" w:firstLine="284"/>
              <w:rPr>
                <w:bCs/>
                <w:sz w:val="24"/>
                <w:szCs w:val="24"/>
                <w:lang w:val="ro-RO"/>
              </w:rPr>
            </w:pPr>
            <w:r w:rsidRPr="009A3CE2">
              <w:rPr>
                <w:bCs/>
                <w:sz w:val="24"/>
                <w:szCs w:val="24"/>
                <w:lang w:val="ro-RO"/>
              </w:rPr>
              <w:t>(2)   Statele membre se asistă reciproc și asistă Comisia în aplicarea prezentului regulament.</w:t>
            </w:r>
          </w:p>
        </w:tc>
        <w:tc>
          <w:tcPr>
            <w:tcW w:w="1607" w:type="pct"/>
            <w:tcBorders>
              <w:top w:val="single" w:sz="4" w:space="0" w:color="auto"/>
              <w:left w:val="single" w:sz="4" w:space="0" w:color="auto"/>
              <w:bottom w:val="single" w:sz="4" w:space="0" w:color="auto"/>
              <w:right w:val="single" w:sz="4" w:space="0" w:color="auto"/>
            </w:tcBorders>
          </w:tcPr>
          <w:p w14:paraId="1CCD0F8F" w14:textId="77777777" w:rsidR="000164D5" w:rsidRPr="009A3CE2" w:rsidRDefault="000164D5"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01DA9A20" w14:textId="56EE7A8C" w:rsidR="000164D5" w:rsidRPr="009A3CE2" w:rsidRDefault="0054198F" w:rsidP="00341258">
            <w:pPr>
              <w:ind w:firstLine="0"/>
              <w:jc w:val="center"/>
              <w:rPr>
                <w:b/>
                <w:sz w:val="24"/>
                <w:szCs w:val="24"/>
                <w:lang w:val="ro-RO"/>
              </w:rPr>
            </w:pPr>
            <w:r w:rsidRPr="009A3CE2">
              <w:rPr>
                <w:b/>
                <w:sz w:val="24"/>
                <w:szCs w:val="24"/>
                <w:lang w:val="ro-RO"/>
              </w:rPr>
              <w:t>Preveder</w:t>
            </w:r>
            <w:r w:rsidR="00341258" w:rsidRPr="009A3CE2">
              <w:rPr>
                <w:b/>
                <w:sz w:val="24"/>
                <w:szCs w:val="24"/>
                <w:lang w:val="ro-RO"/>
              </w:rPr>
              <w:t>i</w:t>
            </w:r>
            <w:r w:rsidRPr="009A3CE2">
              <w:rPr>
                <w:b/>
                <w:sz w:val="24"/>
                <w:szCs w:val="24"/>
                <w:lang w:val="ro-RO"/>
              </w:rPr>
              <w:t xml:space="preserve"> UE ne</w:t>
            </w:r>
            <w:r w:rsidR="00341258" w:rsidRPr="009A3CE2">
              <w:rPr>
                <w:b/>
                <w:sz w:val="24"/>
                <w:szCs w:val="24"/>
                <w:lang w:val="ro-RO"/>
              </w:rPr>
              <w:t>aplicabile</w:t>
            </w:r>
          </w:p>
        </w:tc>
        <w:tc>
          <w:tcPr>
            <w:tcW w:w="1171" w:type="pct"/>
            <w:tcBorders>
              <w:top w:val="single" w:sz="4" w:space="0" w:color="auto"/>
              <w:left w:val="single" w:sz="4" w:space="0" w:color="auto"/>
              <w:bottom w:val="single" w:sz="4" w:space="0" w:color="auto"/>
              <w:right w:val="single" w:sz="4" w:space="0" w:color="auto"/>
            </w:tcBorders>
          </w:tcPr>
          <w:p w14:paraId="3A576171" w14:textId="77777777" w:rsidR="000164D5" w:rsidRPr="009A3CE2" w:rsidRDefault="000164D5" w:rsidP="00686C0A">
            <w:pPr>
              <w:ind w:firstLine="709"/>
              <w:rPr>
                <w:bCs/>
                <w:sz w:val="24"/>
                <w:szCs w:val="24"/>
                <w:lang w:val="ro-RO"/>
              </w:rPr>
            </w:pPr>
          </w:p>
        </w:tc>
      </w:tr>
    </w:tbl>
    <w:p w14:paraId="1810C4D8" w14:textId="77777777" w:rsidR="003F5F52" w:rsidRPr="009A3CE2" w:rsidRDefault="003F5F52" w:rsidP="00D217A3">
      <w:pPr>
        <w:ind w:firstLine="0"/>
        <w:rPr>
          <w:b/>
          <w:sz w:val="24"/>
          <w:szCs w:val="24"/>
          <w:lang w:val="ro-RO"/>
        </w:rPr>
      </w:pPr>
    </w:p>
    <w:sectPr w:rsidR="003F5F52" w:rsidRPr="009A3CE2" w:rsidSect="00B12FDC">
      <w:headerReference w:type="default" r:id="rId7"/>
      <w:footerReference w:type="default" r:id="rId8"/>
      <w:headerReference w:type="first" r:id="rId9"/>
      <w:footerReference w:type="first" r:id="rId10"/>
      <w:pgSz w:w="16840" w:h="11907" w:orient="landscape" w:code="9"/>
      <w:pgMar w:top="1814"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01A0" w14:textId="77777777" w:rsidR="00E45A02" w:rsidRDefault="00E45A02" w:rsidP="003F5F52">
      <w:r>
        <w:separator/>
      </w:r>
    </w:p>
  </w:endnote>
  <w:endnote w:type="continuationSeparator" w:id="0">
    <w:p w14:paraId="4F1EBFB6" w14:textId="77777777" w:rsidR="00E45A02" w:rsidRDefault="00E45A02"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Cond">
    <w:altName w:val="Arial"/>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slon">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03C1" w14:textId="77777777" w:rsidR="00E07FA1" w:rsidRPr="009151DE" w:rsidRDefault="00E07FA1" w:rsidP="00C74719">
    <w:pPr>
      <w:pStyle w:val="Footer"/>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C222" w14:textId="77777777" w:rsidR="00E07FA1" w:rsidRPr="009151DE" w:rsidRDefault="00E07FA1" w:rsidP="00814406">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382D" w14:textId="77777777" w:rsidR="00E45A02" w:rsidRDefault="00E45A02" w:rsidP="003F5F52">
      <w:r>
        <w:separator/>
      </w:r>
    </w:p>
  </w:footnote>
  <w:footnote w:type="continuationSeparator" w:id="0">
    <w:p w14:paraId="0CAC25AA" w14:textId="77777777" w:rsidR="00E45A02" w:rsidRDefault="00E45A02"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1FF2" w14:textId="77777777" w:rsidR="00E07FA1" w:rsidRDefault="00226A0E">
    <w:pPr>
      <w:pStyle w:val="Header"/>
      <w:jc w:val="center"/>
    </w:pPr>
    <w:r>
      <w:fldChar w:fldCharType="begin"/>
    </w:r>
    <w:r>
      <w:instrText>PAGE   \* MERGEFORMAT</w:instrText>
    </w:r>
    <w:r>
      <w:fldChar w:fldCharType="separate"/>
    </w:r>
    <w:r w:rsidR="00E84480" w:rsidRPr="00E84480">
      <w:rPr>
        <w:noProof/>
        <w:lang w:val="ro-RO"/>
      </w:rPr>
      <w:t>3</w:t>
    </w:r>
    <w:r>
      <w:fldChar w:fldCharType="end"/>
    </w:r>
  </w:p>
  <w:p w14:paraId="40B35C68" w14:textId="77777777" w:rsidR="00E07FA1" w:rsidRDefault="00E07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27DD" w14:textId="77777777" w:rsidR="00E07FA1" w:rsidRPr="003F5F52" w:rsidRDefault="00E07FA1" w:rsidP="003F5F52">
    <w:pPr>
      <w:pStyle w:val="Header"/>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57C9C"/>
    <w:multiLevelType w:val="hybridMultilevel"/>
    <w:tmpl w:val="7E982F6E"/>
    <w:lvl w:ilvl="0" w:tplc="3C6C71AE">
      <w:start w:val="23"/>
      <w:numFmt w:val="bullet"/>
      <w:lvlText w:val="—"/>
      <w:lvlJc w:val="left"/>
      <w:pPr>
        <w:ind w:left="1069" w:hanging="360"/>
      </w:pPr>
      <w:rPr>
        <w:rFonts w:ascii="Arial Nova Cond" w:eastAsia="Times New Roman" w:hAnsi="Arial Nova Cond"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22538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52"/>
    <w:rsid w:val="000164D5"/>
    <w:rsid w:val="00024AA0"/>
    <w:rsid w:val="00087698"/>
    <w:rsid w:val="0009458A"/>
    <w:rsid w:val="000F5E7C"/>
    <w:rsid w:val="001350A1"/>
    <w:rsid w:val="00176E67"/>
    <w:rsid w:val="00226A0E"/>
    <w:rsid w:val="00262750"/>
    <w:rsid w:val="002745F0"/>
    <w:rsid w:val="00341258"/>
    <w:rsid w:val="00345EB9"/>
    <w:rsid w:val="0036638F"/>
    <w:rsid w:val="003B6541"/>
    <w:rsid w:val="003B732C"/>
    <w:rsid w:val="003C4296"/>
    <w:rsid w:val="003F5F52"/>
    <w:rsid w:val="004954CB"/>
    <w:rsid w:val="004B0E90"/>
    <w:rsid w:val="004E5F80"/>
    <w:rsid w:val="0054198F"/>
    <w:rsid w:val="00542FA8"/>
    <w:rsid w:val="00551EB7"/>
    <w:rsid w:val="005A7FEE"/>
    <w:rsid w:val="0060282E"/>
    <w:rsid w:val="006A3296"/>
    <w:rsid w:val="00745A28"/>
    <w:rsid w:val="007B5223"/>
    <w:rsid w:val="008522E7"/>
    <w:rsid w:val="00884722"/>
    <w:rsid w:val="00945F43"/>
    <w:rsid w:val="009665A5"/>
    <w:rsid w:val="009A3CE2"/>
    <w:rsid w:val="00A56832"/>
    <w:rsid w:val="00AA710B"/>
    <w:rsid w:val="00AB1EA2"/>
    <w:rsid w:val="00AD5E8D"/>
    <w:rsid w:val="00B12FDC"/>
    <w:rsid w:val="00B3577C"/>
    <w:rsid w:val="00BC10FC"/>
    <w:rsid w:val="00BE2799"/>
    <w:rsid w:val="00C20815"/>
    <w:rsid w:val="00C23F15"/>
    <w:rsid w:val="00C5522E"/>
    <w:rsid w:val="00C730DF"/>
    <w:rsid w:val="00CA5A87"/>
    <w:rsid w:val="00CE6C5D"/>
    <w:rsid w:val="00D217A3"/>
    <w:rsid w:val="00D42F1C"/>
    <w:rsid w:val="00D77382"/>
    <w:rsid w:val="00D94BF5"/>
    <w:rsid w:val="00DA7D04"/>
    <w:rsid w:val="00DE65C8"/>
    <w:rsid w:val="00E07FA1"/>
    <w:rsid w:val="00E45A02"/>
    <w:rsid w:val="00E84480"/>
    <w:rsid w:val="00FA3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02A4"/>
  <w15:docId w15:val="{5EDFF189-4F55-45BF-AC0F-C4C7AF3A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52"/>
    <w:pPr>
      <w:spacing w:after="0" w:line="240" w:lineRule="auto"/>
      <w:ind w:firstLine="720"/>
      <w:jc w:val="both"/>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3F5F52"/>
    <w:pPr>
      <w:keepNext/>
      <w:jc w:val="center"/>
      <w:outlineLvl w:val="4"/>
    </w:pPr>
    <w:rPr>
      <w:rFonts w:ascii="$Caslon" w:hAnsi="$Caslon"/>
      <w:sz w:val="24"/>
    </w:rPr>
  </w:style>
  <w:style w:type="paragraph" w:styleId="Heading8">
    <w:name w:val="heading 8"/>
    <w:basedOn w:val="Normal"/>
    <w:next w:val="Normal"/>
    <w:link w:val="Heading8Char"/>
    <w:qFormat/>
    <w:rsid w:val="003F5F5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5F52"/>
    <w:rPr>
      <w:rFonts w:ascii="$Caslon" w:eastAsia="Times New Roman" w:hAnsi="$Caslon" w:cs="Times New Roman"/>
      <w:sz w:val="24"/>
      <w:szCs w:val="20"/>
    </w:rPr>
  </w:style>
  <w:style w:type="character" w:customStyle="1" w:styleId="Heading8Char">
    <w:name w:val="Heading 8 Char"/>
    <w:basedOn w:val="DefaultParagraphFont"/>
    <w:link w:val="Heading8"/>
    <w:rsid w:val="003F5F52"/>
    <w:rPr>
      <w:rFonts w:ascii="$Caslon" w:eastAsia="Times New Roman" w:hAnsi="$Caslon" w:cs="Times New Roman"/>
      <w:b/>
      <w:sz w:val="24"/>
      <w:szCs w:val="20"/>
      <w:lang w:val="en-US"/>
    </w:rPr>
  </w:style>
  <w:style w:type="paragraph" w:styleId="Header">
    <w:name w:val="header"/>
    <w:basedOn w:val="Normal"/>
    <w:link w:val="HeaderChar"/>
    <w:rsid w:val="003F5F52"/>
    <w:pPr>
      <w:tabs>
        <w:tab w:val="center" w:pos="4677"/>
        <w:tab w:val="right" w:pos="9355"/>
      </w:tabs>
    </w:pPr>
  </w:style>
  <w:style w:type="character" w:customStyle="1" w:styleId="HeaderChar">
    <w:name w:val="Header Char"/>
    <w:basedOn w:val="DefaultParagraphFont"/>
    <w:link w:val="Header"/>
    <w:rsid w:val="003F5F52"/>
    <w:rPr>
      <w:rFonts w:ascii="Times New Roman" w:eastAsia="Times New Roman" w:hAnsi="Times New Roman" w:cs="Times New Roman"/>
      <w:sz w:val="20"/>
      <w:szCs w:val="20"/>
      <w:lang w:val="en-US"/>
    </w:rPr>
  </w:style>
  <w:style w:type="paragraph" w:styleId="Footer">
    <w:name w:val="footer"/>
    <w:basedOn w:val="Normal"/>
    <w:link w:val="FooterChar"/>
    <w:rsid w:val="003F5F52"/>
    <w:pPr>
      <w:tabs>
        <w:tab w:val="center" w:pos="4677"/>
        <w:tab w:val="right" w:pos="9355"/>
      </w:tabs>
    </w:pPr>
  </w:style>
  <w:style w:type="character" w:customStyle="1" w:styleId="FooterChar">
    <w:name w:val="Footer Char"/>
    <w:basedOn w:val="DefaultParagraphFont"/>
    <w:link w:val="Footer"/>
    <w:rsid w:val="003F5F52"/>
    <w:rPr>
      <w:rFonts w:ascii="Times New Roman" w:eastAsia="Times New Roman" w:hAnsi="Times New Roman" w:cs="Times New Roman"/>
      <w:sz w:val="20"/>
      <w:szCs w:val="20"/>
      <w:lang w:val="en-US"/>
    </w:rPr>
  </w:style>
  <w:style w:type="table" w:styleId="TableGrid">
    <w:name w:val="Table Grid"/>
    <w:basedOn w:val="Table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F52"/>
    <w:pPr>
      <w:spacing w:after="0" w:line="240" w:lineRule="auto"/>
    </w:pPr>
    <w:rPr>
      <w:rFonts w:eastAsiaTheme="minorEastAsia"/>
      <w:lang w:val="ru-RU" w:eastAsia="ru-RU"/>
    </w:rPr>
  </w:style>
  <w:style w:type="paragraph" w:styleId="ListParagraph">
    <w:name w:val="List Paragraph"/>
    <w:basedOn w:val="Normal"/>
    <w:uiPriority w:val="34"/>
    <w:qFormat/>
    <w:rsid w:val="00CE6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657</Words>
  <Characters>3745</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Inga Rogaciov</cp:lastModifiedBy>
  <cp:revision>6</cp:revision>
  <dcterms:created xsi:type="dcterms:W3CDTF">2026-04-15T07:15:00Z</dcterms:created>
  <dcterms:modified xsi:type="dcterms:W3CDTF">2026-05-21T12:58:00Z</dcterms:modified>
</cp:coreProperties>
</file>