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CE2B0" w14:textId="77777777" w:rsidR="003D26FA" w:rsidRPr="00724ED9" w:rsidRDefault="003D26FA" w:rsidP="006D28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</w:rPr>
      </w:pPr>
      <w:bookmarkStart w:id="0" w:name="_GoBack"/>
      <w:bookmarkEnd w:id="0"/>
      <w:r w:rsidRPr="00724ED9">
        <w:rPr>
          <w:b/>
          <w:sz w:val="24"/>
          <w:szCs w:val="24"/>
        </w:rPr>
        <w:t>NOTA DE FUNDAMENTARE</w:t>
      </w:r>
    </w:p>
    <w:p w14:paraId="41183C74" w14:textId="09E7D604" w:rsidR="005A611F" w:rsidRPr="00724ED9" w:rsidRDefault="00840607" w:rsidP="006D28E0">
      <w:pPr>
        <w:widowControl w:val="0"/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4"/>
          <w:szCs w:val="24"/>
          <w:lang w:eastAsia="ru-RU"/>
        </w:rPr>
      </w:pPr>
      <w:r w:rsidRPr="00724ED9">
        <w:rPr>
          <w:b/>
          <w:sz w:val="24"/>
          <w:szCs w:val="24"/>
        </w:rPr>
        <w:t xml:space="preserve">la proiectul </w:t>
      </w:r>
      <w:r w:rsidR="00844B58" w:rsidRPr="00724ED9">
        <w:rPr>
          <w:b/>
          <w:sz w:val="24"/>
          <w:szCs w:val="24"/>
        </w:rPr>
        <w:t>h</w:t>
      </w:r>
      <w:r w:rsidR="004D0331" w:rsidRPr="00724ED9">
        <w:rPr>
          <w:b/>
          <w:sz w:val="24"/>
          <w:szCs w:val="24"/>
          <w:lang w:eastAsia="ru-RU"/>
        </w:rPr>
        <w:t>otărârii Guvernului</w:t>
      </w:r>
    </w:p>
    <w:p w14:paraId="7A3D6DC7" w14:textId="77777777" w:rsidR="006814FA" w:rsidRPr="00724ED9" w:rsidRDefault="00C238F3" w:rsidP="006D28E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724ED9">
        <w:rPr>
          <w:b/>
          <w:sz w:val="24"/>
          <w:szCs w:val="24"/>
          <w:lang w:eastAsia="ru-RU"/>
        </w:rPr>
        <w:t xml:space="preserve">cu privire la </w:t>
      </w:r>
      <w:r w:rsidR="005A611F" w:rsidRPr="00724ED9">
        <w:rPr>
          <w:b/>
          <w:sz w:val="24"/>
          <w:szCs w:val="24"/>
          <w:lang w:eastAsia="ru-RU"/>
        </w:rPr>
        <w:t>eliberarea unor bunuri materiale din rezervele de stat</w:t>
      </w:r>
    </w:p>
    <w:p w14:paraId="67F560FD" w14:textId="77777777" w:rsidR="006A5934" w:rsidRPr="00724ED9" w:rsidRDefault="006A5934" w:rsidP="006A5934">
      <w:pPr>
        <w:ind w:firstLine="0"/>
        <w:jc w:val="center"/>
        <w:rPr>
          <w:b/>
          <w:i/>
          <w:sz w:val="24"/>
          <w:szCs w:val="24"/>
          <w:lang w:eastAsia="ru-RU"/>
        </w:rPr>
      </w:pPr>
      <w:r w:rsidRPr="00724ED9">
        <w:rPr>
          <w:b/>
          <w:i/>
          <w:sz w:val="24"/>
          <w:szCs w:val="24"/>
          <w:lang w:eastAsia="ru-RU"/>
        </w:rPr>
        <w:t xml:space="preserve">(prevenirea și reducerea impactului asupra mediului, sănătății </w:t>
      </w:r>
    </w:p>
    <w:p w14:paraId="4541D550" w14:textId="0AA82856" w:rsidR="005E6E06" w:rsidRDefault="006A5934" w:rsidP="006A5934">
      <w:pPr>
        <w:ind w:firstLine="0"/>
        <w:jc w:val="center"/>
        <w:rPr>
          <w:b/>
          <w:i/>
          <w:sz w:val="24"/>
          <w:szCs w:val="24"/>
          <w:lang w:eastAsia="ru-RU"/>
        </w:rPr>
      </w:pPr>
      <w:r w:rsidRPr="00724ED9">
        <w:rPr>
          <w:b/>
          <w:i/>
          <w:sz w:val="24"/>
          <w:szCs w:val="24"/>
          <w:lang w:eastAsia="ru-RU"/>
        </w:rPr>
        <w:t>populației și infrastructurii critice de alimentare cu apă)</w:t>
      </w:r>
    </w:p>
    <w:p w14:paraId="70200EC1" w14:textId="6189E737" w:rsidR="00B72196" w:rsidRPr="00B72196" w:rsidRDefault="00B72196" w:rsidP="006A5934">
      <w:pPr>
        <w:ind w:firstLine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(număr unic 307</w:t>
      </w:r>
      <w:r w:rsidRPr="00B72196">
        <w:rPr>
          <w:b/>
          <w:sz w:val="24"/>
          <w:szCs w:val="24"/>
          <w:lang w:eastAsia="ru-RU"/>
        </w:rPr>
        <w:t>/MAI/2026)</w:t>
      </w:r>
    </w:p>
    <w:p w14:paraId="71421E4F" w14:textId="77777777" w:rsidR="006A5934" w:rsidRPr="00724ED9" w:rsidRDefault="006A5934" w:rsidP="006A5934">
      <w:pPr>
        <w:ind w:firstLine="0"/>
        <w:jc w:val="center"/>
        <w:rPr>
          <w:i/>
          <w:sz w:val="24"/>
          <w:szCs w:val="24"/>
        </w:rPr>
      </w:pPr>
    </w:p>
    <w:tbl>
      <w:tblPr>
        <w:tblStyle w:val="a5"/>
        <w:tblW w:w="9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913"/>
      </w:tblGrid>
      <w:tr w:rsidR="00403CEB" w:rsidRPr="00724ED9" w14:paraId="06890603" w14:textId="77777777" w:rsidTr="002F58E9">
        <w:tc>
          <w:tcPr>
            <w:tcW w:w="9913" w:type="dxa"/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2805" w14:textId="77777777" w:rsidR="003D26FA" w:rsidRPr="00724ED9" w:rsidRDefault="003D26FA" w:rsidP="00EE20C2">
            <w:pPr>
              <w:spacing w:before="60"/>
              <w:ind w:firstLine="567"/>
              <w:rPr>
                <w:b/>
                <w:bCs/>
                <w:sz w:val="24"/>
                <w:szCs w:val="24"/>
              </w:rPr>
            </w:pPr>
            <w:r w:rsidRPr="00724ED9">
              <w:rPr>
                <w:b/>
                <w:bCs/>
                <w:sz w:val="24"/>
                <w:szCs w:val="24"/>
              </w:rPr>
              <w:t>1. Denumirea sau numele autorului și, după caz, a/al participanților la elaborarea proiectului actului normativ</w:t>
            </w:r>
          </w:p>
        </w:tc>
      </w:tr>
      <w:tr w:rsidR="00403CEB" w:rsidRPr="00724ED9" w14:paraId="26326021" w14:textId="77777777" w:rsidTr="002F58E9">
        <w:trPr>
          <w:trHeight w:val="568"/>
        </w:trPr>
        <w:tc>
          <w:tcPr>
            <w:tcW w:w="99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84B6C" w14:textId="65E0E7D2" w:rsidR="003D26FA" w:rsidRPr="00724ED9" w:rsidRDefault="00D21831" w:rsidP="00A23C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7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24ED9">
              <w:rPr>
                <w:bCs/>
                <w:sz w:val="24"/>
                <w:szCs w:val="24"/>
              </w:rPr>
              <w:t xml:space="preserve">Proiectul hotărârii </w:t>
            </w:r>
            <w:r w:rsidR="004D0331" w:rsidRPr="00724ED9">
              <w:rPr>
                <w:sz w:val="24"/>
                <w:szCs w:val="24"/>
                <w:lang w:eastAsia="ru-RU"/>
              </w:rPr>
              <w:t xml:space="preserve">Guvernului </w:t>
            </w:r>
            <w:r w:rsidR="00C238F3" w:rsidRPr="00724ED9">
              <w:rPr>
                <w:sz w:val="24"/>
                <w:szCs w:val="24"/>
                <w:lang w:eastAsia="ru-RU"/>
              </w:rPr>
              <w:t xml:space="preserve">cu privire la </w:t>
            </w:r>
            <w:r w:rsidR="00067DEE" w:rsidRPr="00724ED9">
              <w:rPr>
                <w:sz w:val="24"/>
                <w:szCs w:val="24"/>
                <w:lang w:eastAsia="ru-RU"/>
              </w:rPr>
              <w:t>eliberarea unor bunuri materiale din rezervele de stat</w:t>
            </w:r>
            <w:r w:rsidR="00956328" w:rsidRPr="00724ED9">
              <w:rPr>
                <w:sz w:val="24"/>
                <w:szCs w:val="24"/>
                <w:lang w:eastAsia="ru-RU"/>
              </w:rPr>
              <w:t xml:space="preserve"> (</w:t>
            </w:r>
            <w:r w:rsidR="000E06D1" w:rsidRPr="00724ED9">
              <w:rPr>
                <w:sz w:val="24"/>
                <w:szCs w:val="24"/>
                <w:lang w:eastAsia="ru-RU"/>
              </w:rPr>
              <w:t>prevenirea și reducerea impactului asupra mediului, sănătății populației și infrastructurii critice de alimentare cu apă</w:t>
            </w:r>
            <w:r w:rsidR="00956328" w:rsidRPr="00724ED9">
              <w:rPr>
                <w:sz w:val="24"/>
                <w:szCs w:val="24"/>
                <w:lang w:eastAsia="ru-RU"/>
              </w:rPr>
              <w:t>)</w:t>
            </w:r>
            <w:r w:rsidR="00067DEE" w:rsidRPr="00724ED9">
              <w:rPr>
                <w:sz w:val="24"/>
                <w:szCs w:val="24"/>
                <w:lang w:eastAsia="ru-RU"/>
              </w:rPr>
              <w:t xml:space="preserve"> </w:t>
            </w:r>
            <w:r w:rsidR="00304EB7" w:rsidRPr="00724ED9">
              <w:rPr>
                <w:sz w:val="24"/>
                <w:szCs w:val="24"/>
                <w:lang w:eastAsia="ru-RU"/>
              </w:rPr>
              <w:t xml:space="preserve">este </w:t>
            </w:r>
            <w:r w:rsidR="00067DEE" w:rsidRPr="00724ED9">
              <w:rPr>
                <w:sz w:val="24"/>
                <w:szCs w:val="24"/>
                <w:lang w:eastAsia="ru-RU"/>
              </w:rPr>
              <w:t>elaborat de către Ministerul Afacerilor Interne.</w:t>
            </w:r>
          </w:p>
        </w:tc>
      </w:tr>
      <w:tr w:rsidR="00403CEB" w:rsidRPr="00724ED9" w14:paraId="5DFCF1B1" w14:textId="77777777" w:rsidTr="002F58E9">
        <w:trPr>
          <w:trHeight w:val="465"/>
        </w:trPr>
        <w:tc>
          <w:tcPr>
            <w:tcW w:w="9913" w:type="dxa"/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E890F" w14:textId="77777777" w:rsidR="003D26FA" w:rsidRPr="00724ED9" w:rsidRDefault="003D26FA" w:rsidP="00EE20C2">
            <w:pPr>
              <w:spacing w:before="60"/>
              <w:ind w:firstLine="567"/>
              <w:rPr>
                <w:b/>
                <w:bCs/>
                <w:sz w:val="24"/>
                <w:szCs w:val="24"/>
              </w:rPr>
            </w:pPr>
            <w:r w:rsidRPr="00724ED9">
              <w:rPr>
                <w:b/>
                <w:bCs/>
                <w:sz w:val="24"/>
                <w:szCs w:val="24"/>
              </w:rPr>
              <w:t>2. Condițiile ce au impus elaborarea proiectului actului normativ</w:t>
            </w:r>
          </w:p>
        </w:tc>
      </w:tr>
      <w:tr w:rsidR="00403CEB" w:rsidRPr="00724ED9" w14:paraId="2DF49866" w14:textId="77777777" w:rsidTr="002F58E9">
        <w:tc>
          <w:tcPr>
            <w:tcW w:w="9913" w:type="dxa"/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10D35" w14:textId="77777777" w:rsidR="003D26FA" w:rsidRPr="00724ED9" w:rsidRDefault="003D26FA" w:rsidP="00EE20C2">
            <w:pPr>
              <w:spacing w:before="60"/>
              <w:ind w:firstLine="567"/>
              <w:rPr>
                <w:sz w:val="24"/>
                <w:szCs w:val="24"/>
              </w:rPr>
            </w:pPr>
            <w:r w:rsidRPr="00724ED9">
              <w:rPr>
                <w:sz w:val="24"/>
                <w:szCs w:val="24"/>
              </w:rPr>
              <w:t>2.1. Temeiul legal sau, după caz, sursa proiectului actului normativ</w:t>
            </w:r>
          </w:p>
        </w:tc>
      </w:tr>
      <w:tr w:rsidR="00403CEB" w:rsidRPr="00724ED9" w14:paraId="7E4CB2DE" w14:textId="77777777" w:rsidTr="002F58E9">
        <w:tc>
          <w:tcPr>
            <w:tcW w:w="99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08FA0" w14:textId="37523737" w:rsidR="008D3914" w:rsidRPr="00724ED9" w:rsidRDefault="00F80142" w:rsidP="0091655A">
            <w:pPr>
              <w:pStyle w:val="4"/>
              <w:shd w:val="clear" w:color="auto" w:fill="FFFFFF"/>
              <w:spacing w:before="0" w:beforeAutospacing="0" w:after="0" w:afterAutospacing="0"/>
              <w:ind w:firstLine="567"/>
              <w:jc w:val="both"/>
              <w:outlineLvl w:val="3"/>
              <w:rPr>
                <w:b w:val="0"/>
                <w:lang w:val="ro-RO"/>
              </w:rPr>
            </w:pPr>
            <w:r w:rsidRPr="00724ED9">
              <w:rPr>
                <w:b w:val="0"/>
                <w:lang w:val="ro-RO"/>
              </w:rPr>
              <w:t xml:space="preserve">Proiectul hotărârii Guvernului </w:t>
            </w:r>
            <w:r w:rsidR="009D287A" w:rsidRPr="00724ED9">
              <w:rPr>
                <w:b w:val="0"/>
                <w:lang w:val="ro-RO"/>
              </w:rPr>
              <w:t xml:space="preserve">cu privire la </w:t>
            </w:r>
            <w:r w:rsidR="00BB6FA6" w:rsidRPr="00724ED9">
              <w:rPr>
                <w:b w:val="0"/>
                <w:lang w:val="ro-RO"/>
              </w:rPr>
              <w:t xml:space="preserve">eliberarea unor bunuri </w:t>
            </w:r>
            <w:r w:rsidR="00EF39BD" w:rsidRPr="00724ED9">
              <w:rPr>
                <w:b w:val="0"/>
                <w:lang w:val="ro-RO"/>
              </w:rPr>
              <w:t>materiale din rezervele de stat (</w:t>
            </w:r>
            <w:r w:rsidR="00A443E2" w:rsidRPr="00724ED9">
              <w:rPr>
                <w:b w:val="0"/>
                <w:lang w:val="ro-RO"/>
              </w:rPr>
              <w:t>prevenirea și reducerea impactului asupra mediului, sănătății populației și infrastructurii critice de alimentare cu apă</w:t>
            </w:r>
            <w:r w:rsidR="00EF39BD" w:rsidRPr="00724ED9">
              <w:rPr>
                <w:b w:val="0"/>
                <w:lang w:val="ro-RO"/>
              </w:rPr>
              <w:t xml:space="preserve">) </w:t>
            </w:r>
            <w:r w:rsidR="00304EB7" w:rsidRPr="00724ED9">
              <w:rPr>
                <w:b w:val="0"/>
                <w:lang w:val="ro-RO"/>
              </w:rPr>
              <w:t xml:space="preserve">este </w:t>
            </w:r>
            <w:r w:rsidR="00BB6FA6" w:rsidRPr="00724ED9">
              <w:rPr>
                <w:b w:val="0"/>
                <w:lang w:val="ro-RO"/>
              </w:rPr>
              <w:t xml:space="preserve">elaborat </w:t>
            </w:r>
            <w:r w:rsidR="005D4247" w:rsidRPr="00724ED9">
              <w:rPr>
                <w:b w:val="0"/>
                <w:lang w:val="ro-RO"/>
              </w:rPr>
              <w:t xml:space="preserve">în </w:t>
            </w:r>
            <w:r w:rsidR="00BB6FA6" w:rsidRPr="00724ED9">
              <w:rPr>
                <w:b w:val="0"/>
                <w:lang w:val="ro-RO"/>
              </w:rPr>
              <w:t xml:space="preserve">temeiul </w:t>
            </w:r>
            <w:r w:rsidR="00E01CC3" w:rsidRPr="00724ED9">
              <w:rPr>
                <w:b w:val="0"/>
                <w:lang w:val="ro-RO"/>
              </w:rPr>
              <w:t xml:space="preserve">art. 3 alin. (1) lit. a) și </w:t>
            </w:r>
            <w:r w:rsidR="00BB6FA6" w:rsidRPr="00724ED9">
              <w:rPr>
                <w:b w:val="0"/>
                <w:lang w:val="ro-RO"/>
              </w:rPr>
              <w:t>art. 10 alin. (1), alin. (2) lit. a) și alin. (3) din Legea nr. 104/2020 cu privire la rezervele de stat și de mobilizare</w:t>
            </w:r>
            <w:r w:rsidR="00230190" w:rsidRPr="00724ED9">
              <w:rPr>
                <w:b w:val="0"/>
                <w:lang w:val="ro-RO"/>
              </w:rPr>
              <w:t>, precum și întru executarea Deciz</w:t>
            </w:r>
            <w:r w:rsidR="000A2DF4" w:rsidRPr="00724ED9">
              <w:rPr>
                <w:b w:val="0"/>
                <w:lang w:val="ro-RO"/>
              </w:rPr>
              <w:t>iei Prim-ministrului nr. 53 din 16.03</w:t>
            </w:r>
            <w:r w:rsidR="00230190" w:rsidRPr="00724ED9">
              <w:rPr>
                <w:b w:val="0"/>
                <w:lang w:val="ro-RO"/>
              </w:rPr>
              <w:t>.2026.</w:t>
            </w:r>
          </w:p>
          <w:p w14:paraId="6F741C29" w14:textId="469F4830" w:rsidR="00E35A51" w:rsidRDefault="00501191" w:rsidP="0091655A">
            <w:pPr>
              <w:pStyle w:val="4"/>
              <w:shd w:val="clear" w:color="auto" w:fill="FFFFFF"/>
              <w:spacing w:before="60" w:beforeAutospacing="0" w:after="0" w:afterAutospacing="0"/>
              <w:ind w:firstLine="567"/>
              <w:jc w:val="both"/>
              <w:outlineLvl w:val="3"/>
              <w:rPr>
                <w:b w:val="0"/>
                <w:lang w:val="ro-RO"/>
              </w:rPr>
            </w:pPr>
            <w:r w:rsidRPr="00724ED9">
              <w:rPr>
                <w:b w:val="0"/>
                <w:lang w:val="ro-RO"/>
              </w:rPr>
              <w:t xml:space="preserve">În conformitate cu pct. 3 </w:t>
            </w:r>
            <w:proofErr w:type="spellStart"/>
            <w:r w:rsidRPr="00724ED9">
              <w:rPr>
                <w:b w:val="0"/>
                <w:lang w:val="ro-RO"/>
              </w:rPr>
              <w:t>subpct</w:t>
            </w:r>
            <w:proofErr w:type="spellEnd"/>
            <w:r w:rsidRPr="00724ED9">
              <w:rPr>
                <w:b w:val="0"/>
                <w:lang w:val="ro-RO"/>
              </w:rPr>
              <w:t xml:space="preserve">. 3.11 din Hotărârea Guvernului nr. 108/2026 cu privire la declararea stării de alertă, </w:t>
            </w:r>
            <w:r w:rsidR="005A774A" w:rsidRPr="00724ED9">
              <w:rPr>
                <w:b w:val="0"/>
                <w:lang w:val="ro-RO"/>
              </w:rPr>
              <w:t>pe durata stării de alertă</w:t>
            </w:r>
            <w:r w:rsidR="00947438" w:rsidRPr="00724ED9">
              <w:rPr>
                <w:b w:val="0"/>
                <w:lang w:val="ro-RO"/>
              </w:rPr>
              <w:t>,</w:t>
            </w:r>
            <w:r w:rsidR="005A774A" w:rsidRPr="00724ED9">
              <w:rPr>
                <w:b w:val="0"/>
                <w:lang w:val="ro-RO"/>
              </w:rPr>
              <w:t xml:space="preserve"> </w:t>
            </w:r>
            <w:r w:rsidR="00E35A51" w:rsidRPr="00E35A51">
              <w:rPr>
                <w:b w:val="0"/>
                <w:lang w:val="ro-RO"/>
              </w:rPr>
              <w:t>Agenția Rezerve Materiale, la solicitarea instituțiilor abilitate, în temeiul art. 10 alin. (1) și alin. 2 lit. a), art. 16 alin. (1) și alin. (3) lit. a) din Legea nr.</w:t>
            </w:r>
            <w:r w:rsidR="00FD4B3C">
              <w:rPr>
                <w:b w:val="0"/>
                <w:lang w:val="ro-RO"/>
              </w:rPr>
              <w:t xml:space="preserve"> </w:t>
            </w:r>
            <w:r w:rsidR="00E35A51" w:rsidRPr="00E35A51">
              <w:rPr>
                <w:b w:val="0"/>
                <w:lang w:val="ro-RO"/>
              </w:rPr>
              <w:t>104/2020 cu</w:t>
            </w:r>
            <w:r w:rsidR="00B052A3">
              <w:rPr>
                <w:b w:val="0"/>
                <w:lang w:val="ro-RO"/>
              </w:rPr>
              <w:t xml:space="preserve"> privire la rezervele de stat și</w:t>
            </w:r>
            <w:r w:rsidR="00E35A51" w:rsidRPr="00E35A51">
              <w:rPr>
                <w:b w:val="0"/>
                <w:lang w:val="ro-RO"/>
              </w:rPr>
              <w:t xml:space="preserve"> de mobilizare, va asigura eliberarea bunurilor materiale din rezervele de stat și de mobilizare cu titlu de deblocare, în baza deciziei Prim-ministrului, cu elaborarea și prezentarea spre aprobare a hotărârii de Guvern corespunzătoare.</w:t>
            </w:r>
          </w:p>
          <w:p w14:paraId="2958DF21" w14:textId="43D22221" w:rsidR="003E5523" w:rsidRPr="00724ED9" w:rsidRDefault="00DE6E39" w:rsidP="0091655A">
            <w:pPr>
              <w:pStyle w:val="4"/>
              <w:shd w:val="clear" w:color="auto" w:fill="FFFFFF"/>
              <w:spacing w:before="60" w:beforeAutospacing="0" w:after="0" w:afterAutospacing="0"/>
              <w:ind w:firstLine="567"/>
              <w:jc w:val="both"/>
              <w:outlineLvl w:val="3"/>
              <w:rPr>
                <w:b w:val="0"/>
                <w:lang w:val="ro-RO"/>
              </w:rPr>
            </w:pPr>
            <w:r w:rsidRPr="00724ED9">
              <w:rPr>
                <w:b w:val="0"/>
                <w:lang w:val="ro-RO"/>
              </w:rPr>
              <w:t>În scopul realizării măsurilor urgente de prevenire și reducere a impactului asupra mediului, sănătății populației și infrastructurii critice de alimentare cu apă, pentru garantarea accesului la apă potabilă sigură în localitățile din regiunile aflate în zona de risc</w:t>
            </w:r>
            <w:r w:rsidR="00DC33D2" w:rsidRPr="00724ED9">
              <w:rPr>
                <w:b w:val="0"/>
                <w:lang w:val="ro-RO"/>
              </w:rPr>
              <w:t xml:space="preserve">, la </w:t>
            </w:r>
            <w:r w:rsidR="001177F2" w:rsidRPr="00724ED9">
              <w:rPr>
                <w:b w:val="0"/>
                <w:lang w:val="ro-RO"/>
              </w:rPr>
              <w:t>16.03</w:t>
            </w:r>
            <w:r w:rsidR="00DC33D2" w:rsidRPr="00724ED9">
              <w:rPr>
                <w:b w:val="0"/>
                <w:lang w:val="ro-RO"/>
              </w:rPr>
              <w:t>.2026</w:t>
            </w:r>
            <w:r w:rsidRPr="00724ED9">
              <w:rPr>
                <w:b w:val="0"/>
                <w:lang w:val="ro-RO"/>
              </w:rPr>
              <w:t xml:space="preserve"> a fost emisă Decizia </w:t>
            </w:r>
            <w:r w:rsidR="001177F2" w:rsidRPr="00724ED9">
              <w:rPr>
                <w:b w:val="0"/>
                <w:lang w:val="ro-RO"/>
              </w:rPr>
              <w:t>Prim-ministrului nr. 53</w:t>
            </w:r>
            <w:r w:rsidR="00DC33D2" w:rsidRPr="00724ED9">
              <w:rPr>
                <w:b w:val="0"/>
                <w:lang w:val="ro-RO"/>
              </w:rPr>
              <w:t xml:space="preserve">, prin care Agenția Rezerve Materiale din subordinea Ministerului Afacerilor Interne va elibera, cu titlu de deblocare, bunuri materiale din rezervele de stat </w:t>
            </w:r>
            <w:r w:rsidR="001177F2" w:rsidRPr="00724ED9">
              <w:rPr>
                <w:b w:val="0"/>
                <w:lang w:val="ro-RO"/>
              </w:rPr>
              <w:t>Inspectoratului General pentru Situații de Urgență, Inspectoratului General de Carab</w:t>
            </w:r>
            <w:r w:rsidR="0057675E" w:rsidRPr="00724ED9">
              <w:rPr>
                <w:b w:val="0"/>
                <w:lang w:val="ro-RO"/>
              </w:rPr>
              <w:t>inieri și Ministerului Apărării</w:t>
            </w:r>
            <w:r w:rsidR="001177F2" w:rsidRPr="00724ED9">
              <w:rPr>
                <w:b w:val="0"/>
                <w:lang w:val="ro-RO"/>
              </w:rPr>
              <w:t xml:space="preserve"> pentru intervențiile autorităților în regim prioritar</w:t>
            </w:r>
            <w:r w:rsidR="001739D0" w:rsidRPr="00724ED9">
              <w:rPr>
                <w:b w:val="0"/>
                <w:lang w:val="ro-RO"/>
              </w:rPr>
              <w:t>,</w:t>
            </w:r>
            <w:r w:rsidR="001177F2" w:rsidRPr="00724ED9">
              <w:rPr>
                <w:b w:val="0"/>
                <w:lang w:val="ro-RO"/>
              </w:rPr>
              <w:t xml:space="preserve"> în vederea asigurării capacității de reacție.</w:t>
            </w:r>
          </w:p>
          <w:p w14:paraId="227F5CE1" w14:textId="02FB380B" w:rsidR="002D20FA" w:rsidRPr="00724ED9" w:rsidRDefault="008D3914" w:rsidP="0091655A">
            <w:pPr>
              <w:pStyle w:val="4"/>
              <w:shd w:val="clear" w:color="auto" w:fill="FFFFFF"/>
              <w:spacing w:before="60" w:beforeAutospacing="0" w:after="0" w:afterAutospacing="0"/>
              <w:ind w:firstLine="567"/>
              <w:jc w:val="both"/>
              <w:outlineLvl w:val="3"/>
              <w:rPr>
                <w:b w:val="0"/>
                <w:lang w:val="ro-RO"/>
              </w:rPr>
            </w:pPr>
            <w:r w:rsidRPr="00724ED9">
              <w:rPr>
                <w:b w:val="0"/>
                <w:lang w:val="ro-RO"/>
              </w:rPr>
              <w:t>Decizia a fost emisă în temeiul art. 10 alin. (1) din Legea nr. 104/2020</w:t>
            </w:r>
            <w:r w:rsidR="00842411" w:rsidRPr="00724ED9">
              <w:rPr>
                <w:b w:val="0"/>
                <w:lang w:val="ro-RO"/>
              </w:rPr>
              <w:t xml:space="preserve"> cu privire la rezervele de stat și de mobilizare</w:t>
            </w:r>
            <w:r w:rsidRPr="00724ED9">
              <w:rPr>
                <w:b w:val="0"/>
                <w:lang w:val="ro-RO"/>
              </w:rPr>
              <w:t xml:space="preserve">, care stabilește </w:t>
            </w:r>
            <w:r w:rsidR="001739D0" w:rsidRPr="00736FCB">
              <w:rPr>
                <w:b w:val="0"/>
                <w:lang w:val="ro-RO"/>
              </w:rPr>
              <w:t xml:space="preserve">că </w:t>
            </w:r>
            <w:r w:rsidR="001739D0" w:rsidRPr="00736FCB">
              <w:rPr>
                <w:b w:val="0"/>
                <w:bCs w:val="0"/>
                <w:shd w:val="clear" w:color="auto" w:fill="FFFFFF"/>
                <w:lang w:val="ro-RO"/>
              </w:rPr>
              <w:t xml:space="preserve">eliberarea bunurilor din rezervele de stat se realizează în scopul intervenirii operative în </w:t>
            </w:r>
            <w:r w:rsidR="00F44A5D" w:rsidRPr="00736FCB">
              <w:rPr>
                <w:b w:val="0"/>
                <w:bCs w:val="0"/>
                <w:shd w:val="clear" w:color="auto" w:fill="FFFFFF"/>
                <w:lang w:val="ro-RO"/>
              </w:rPr>
              <w:t>situațiile</w:t>
            </w:r>
            <w:r w:rsidR="001739D0" w:rsidRPr="00736FCB">
              <w:rPr>
                <w:b w:val="0"/>
                <w:bCs w:val="0"/>
                <w:shd w:val="clear" w:color="auto" w:fill="FFFFFF"/>
                <w:lang w:val="ro-RO"/>
              </w:rPr>
              <w:t xml:space="preserve"> de </w:t>
            </w:r>
            <w:r w:rsidR="00F44A5D" w:rsidRPr="00736FCB">
              <w:rPr>
                <w:b w:val="0"/>
                <w:bCs w:val="0"/>
                <w:shd w:val="clear" w:color="auto" w:fill="FFFFFF"/>
                <w:lang w:val="ro-RO"/>
              </w:rPr>
              <w:t>urgență</w:t>
            </w:r>
            <w:r w:rsidR="001739D0" w:rsidRPr="00736FCB">
              <w:rPr>
                <w:b w:val="0"/>
                <w:bCs w:val="0"/>
                <w:shd w:val="clear" w:color="auto" w:fill="FFFFFF"/>
                <w:lang w:val="ro-RO"/>
              </w:rPr>
              <w:t>/</w:t>
            </w:r>
            <w:r w:rsidR="00F44A5D" w:rsidRPr="00736FCB">
              <w:rPr>
                <w:b w:val="0"/>
                <w:bCs w:val="0"/>
                <w:shd w:val="clear" w:color="auto" w:fill="FFFFFF"/>
                <w:lang w:val="ro-RO"/>
              </w:rPr>
              <w:t>excepționale</w:t>
            </w:r>
            <w:r w:rsidR="001739D0" w:rsidRPr="00736FCB">
              <w:rPr>
                <w:b w:val="0"/>
                <w:bCs w:val="0"/>
                <w:shd w:val="clear" w:color="auto" w:fill="FFFFFF"/>
                <w:lang w:val="ro-RO"/>
              </w:rPr>
              <w:t xml:space="preserve">, în cazul </w:t>
            </w:r>
            <w:r w:rsidR="009937C1" w:rsidRPr="00736FCB">
              <w:rPr>
                <w:b w:val="0"/>
                <w:bCs w:val="0"/>
                <w:shd w:val="clear" w:color="auto" w:fill="FFFFFF"/>
                <w:lang w:val="ro-RO"/>
              </w:rPr>
              <w:t>apariției</w:t>
            </w:r>
            <w:r w:rsidR="001739D0" w:rsidRPr="00736FCB">
              <w:rPr>
                <w:b w:val="0"/>
                <w:bCs w:val="0"/>
                <w:shd w:val="clear" w:color="auto" w:fill="FFFFFF"/>
                <w:lang w:val="ro-RO"/>
              </w:rPr>
              <w:t xml:space="preserve"> unor fenomene sociale sau economice, atentate teroriste, pe timp de asediu </w:t>
            </w:r>
            <w:proofErr w:type="spellStart"/>
            <w:r w:rsidR="001739D0" w:rsidRPr="00736FCB">
              <w:rPr>
                <w:b w:val="0"/>
                <w:bCs w:val="0"/>
                <w:shd w:val="clear" w:color="auto" w:fill="FFFFFF"/>
                <w:lang w:val="ro-RO"/>
              </w:rPr>
              <w:t>şi</w:t>
            </w:r>
            <w:proofErr w:type="spellEnd"/>
            <w:r w:rsidR="001739D0" w:rsidRPr="00736FCB">
              <w:rPr>
                <w:b w:val="0"/>
                <w:bCs w:val="0"/>
                <w:shd w:val="clear" w:color="auto" w:fill="FFFFFF"/>
                <w:lang w:val="ro-RO"/>
              </w:rPr>
              <w:t xml:space="preserve"> de război, precum și în scopul acordării ajutorului umanitar </w:t>
            </w:r>
            <w:proofErr w:type="spellStart"/>
            <w:r w:rsidR="001739D0" w:rsidRPr="00736FCB">
              <w:rPr>
                <w:b w:val="0"/>
                <w:bCs w:val="0"/>
                <w:shd w:val="clear" w:color="auto" w:fill="FFFFFF"/>
                <w:lang w:val="ro-RO"/>
              </w:rPr>
              <w:t>şi</w:t>
            </w:r>
            <w:proofErr w:type="spellEnd"/>
            <w:r w:rsidR="001739D0" w:rsidRPr="00736FCB">
              <w:rPr>
                <w:b w:val="0"/>
                <w:bCs w:val="0"/>
                <w:shd w:val="clear" w:color="auto" w:fill="FFFFFF"/>
                <w:lang w:val="ro-RO"/>
              </w:rPr>
              <w:t xml:space="preserve"> contribuirii la stabilitate în sectoarele economiei </w:t>
            </w:r>
            <w:r w:rsidR="009937C1" w:rsidRPr="00736FCB">
              <w:rPr>
                <w:b w:val="0"/>
                <w:bCs w:val="0"/>
                <w:shd w:val="clear" w:color="auto" w:fill="FFFFFF"/>
                <w:lang w:val="ro-RO"/>
              </w:rPr>
              <w:t>naționale</w:t>
            </w:r>
            <w:r w:rsidR="001739D0" w:rsidRPr="00736FCB">
              <w:rPr>
                <w:b w:val="0"/>
                <w:bCs w:val="0"/>
                <w:shd w:val="clear" w:color="auto" w:fill="FFFFFF"/>
                <w:lang w:val="ro-RO"/>
              </w:rPr>
              <w:t xml:space="preserve">, în baza deciziilor Comisiei pentru </w:t>
            </w:r>
            <w:r w:rsidR="009937C1" w:rsidRPr="00736FCB">
              <w:rPr>
                <w:b w:val="0"/>
                <w:bCs w:val="0"/>
                <w:shd w:val="clear" w:color="auto" w:fill="FFFFFF"/>
                <w:lang w:val="ro-RO"/>
              </w:rPr>
              <w:t>Situații</w:t>
            </w:r>
            <w:r w:rsidR="001739D0" w:rsidRPr="00736FCB">
              <w:rPr>
                <w:b w:val="0"/>
                <w:bCs w:val="0"/>
                <w:shd w:val="clear" w:color="auto" w:fill="FFFFFF"/>
                <w:lang w:val="ro-RO"/>
              </w:rPr>
              <w:t xml:space="preserve"> </w:t>
            </w:r>
            <w:r w:rsidR="009937C1" w:rsidRPr="00736FCB">
              <w:rPr>
                <w:b w:val="0"/>
                <w:bCs w:val="0"/>
                <w:shd w:val="clear" w:color="auto" w:fill="FFFFFF"/>
                <w:lang w:val="ro-RO"/>
              </w:rPr>
              <w:t>Excepționale</w:t>
            </w:r>
            <w:r w:rsidR="001739D0" w:rsidRPr="00736FCB">
              <w:rPr>
                <w:b w:val="0"/>
                <w:bCs w:val="0"/>
                <w:shd w:val="clear" w:color="auto" w:fill="FFFFFF"/>
                <w:lang w:val="ro-RO"/>
              </w:rPr>
              <w:t xml:space="preserve"> a Republicii Moldova sau ale Prim-ministrului, cu elaborarea </w:t>
            </w:r>
            <w:proofErr w:type="spellStart"/>
            <w:r w:rsidR="001739D0" w:rsidRPr="00736FCB">
              <w:rPr>
                <w:b w:val="0"/>
                <w:bCs w:val="0"/>
                <w:shd w:val="clear" w:color="auto" w:fill="FFFFFF"/>
                <w:lang w:val="ro-RO"/>
              </w:rPr>
              <w:t>şi</w:t>
            </w:r>
            <w:proofErr w:type="spellEnd"/>
            <w:r w:rsidR="001739D0" w:rsidRPr="00736FCB">
              <w:rPr>
                <w:b w:val="0"/>
                <w:bCs w:val="0"/>
                <w:shd w:val="clear" w:color="auto" w:fill="FFFFFF"/>
                <w:lang w:val="ro-RO"/>
              </w:rPr>
              <w:t xml:space="preserve"> prezentarea spre aprobare a hotărârii de Guvern corespunzătoare.</w:t>
            </w:r>
            <w:r w:rsidRPr="00736FCB">
              <w:rPr>
                <w:b w:val="0"/>
                <w:lang w:val="ro-RO"/>
              </w:rPr>
              <w:t xml:space="preserve"> </w:t>
            </w:r>
          </w:p>
          <w:p w14:paraId="595DCB4A" w14:textId="17811191" w:rsidR="007A4D5A" w:rsidRPr="00485FB0" w:rsidRDefault="00937D15" w:rsidP="0091655A">
            <w:pPr>
              <w:spacing w:before="60"/>
              <w:ind w:firstLine="567"/>
              <w:rPr>
                <w:sz w:val="24"/>
                <w:szCs w:val="24"/>
              </w:rPr>
            </w:pPr>
            <w:r w:rsidRPr="00724ED9">
              <w:rPr>
                <w:sz w:val="24"/>
                <w:szCs w:val="24"/>
              </w:rPr>
              <w:t>Totodată, potrivit pct. 2</w:t>
            </w:r>
            <w:r w:rsidR="00591FDC" w:rsidRPr="00724ED9">
              <w:rPr>
                <w:sz w:val="24"/>
                <w:szCs w:val="24"/>
              </w:rPr>
              <w:t xml:space="preserve"> din </w:t>
            </w:r>
            <w:r w:rsidR="001739D0" w:rsidRPr="00724ED9">
              <w:rPr>
                <w:sz w:val="24"/>
                <w:szCs w:val="24"/>
              </w:rPr>
              <w:t>Decizia Prim-ministrului nr. 53 din 16.03.2026</w:t>
            </w:r>
            <w:r w:rsidR="00591FDC" w:rsidRPr="00724ED9">
              <w:rPr>
                <w:sz w:val="24"/>
                <w:szCs w:val="24"/>
              </w:rPr>
              <w:t xml:space="preserve">, Ministerul Afacerilor Interne, în comun cu Ministerul Finanțelor, va elabora </w:t>
            </w:r>
            <w:proofErr w:type="spellStart"/>
            <w:r w:rsidR="00591FDC" w:rsidRPr="00724ED9">
              <w:rPr>
                <w:sz w:val="24"/>
                <w:szCs w:val="24"/>
              </w:rPr>
              <w:t>şi</w:t>
            </w:r>
            <w:proofErr w:type="spellEnd"/>
            <w:r w:rsidR="00591FDC" w:rsidRPr="00724ED9">
              <w:rPr>
                <w:sz w:val="24"/>
                <w:szCs w:val="24"/>
              </w:rPr>
              <w:t xml:space="preserve"> va prezenta Guvernului spre promovare proiectul de hotărâre privind eliberare</w:t>
            </w:r>
            <w:r w:rsidRPr="00724ED9">
              <w:rPr>
                <w:sz w:val="24"/>
                <w:szCs w:val="24"/>
              </w:rPr>
              <w:t>a bunurilor prevăzute în anexă</w:t>
            </w:r>
            <w:r w:rsidR="00591FDC" w:rsidRPr="00724ED9">
              <w:rPr>
                <w:sz w:val="24"/>
                <w:szCs w:val="24"/>
              </w:rPr>
              <w:t xml:space="preserve"> </w:t>
            </w:r>
            <w:proofErr w:type="spellStart"/>
            <w:r w:rsidR="00591FDC" w:rsidRPr="00724ED9">
              <w:rPr>
                <w:sz w:val="24"/>
                <w:szCs w:val="24"/>
              </w:rPr>
              <w:t>şi</w:t>
            </w:r>
            <w:proofErr w:type="spellEnd"/>
            <w:r w:rsidR="00591FDC" w:rsidRPr="00724ED9">
              <w:rPr>
                <w:sz w:val="24"/>
                <w:szCs w:val="24"/>
              </w:rPr>
              <w:t xml:space="preserve"> alocarea, din fondul de rezervă al Guvernului, Ministerului Afacerilor Interne pentru Agenția Rezerve Materiale, a mijloacelor financiare necesare pentru completarea rezervelor de stat.</w:t>
            </w:r>
          </w:p>
        </w:tc>
      </w:tr>
      <w:tr w:rsidR="00403CEB" w:rsidRPr="00724ED9" w14:paraId="6D5A7988" w14:textId="77777777" w:rsidTr="002F58E9">
        <w:tc>
          <w:tcPr>
            <w:tcW w:w="9913" w:type="dxa"/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6D872" w14:textId="77777777" w:rsidR="003D26FA" w:rsidRPr="00724ED9" w:rsidRDefault="003D26FA" w:rsidP="00EE20C2">
            <w:pPr>
              <w:spacing w:before="60"/>
              <w:ind w:firstLine="567"/>
              <w:rPr>
                <w:sz w:val="24"/>
                <w:szCs w:val="24"/>
              </w:rPr>
            </w:pPr>
            <w:r w:rsidRPr="00724ED9">
              <w:rPr>
                <w:sz w:val="24"/>
                <w:szCs w:val="24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403CEB" w:rsidRPr="00724ED9" w14:paraId="59FCF897" w14:textId="77777777" w:rsidTr="002F58E9">
        <w:tc>
          <w:tcPr>
            <w:tcW w:w="99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0E8C" w14:textId="7A0AE6FD" w:rsidR="00B2553B" w:rsidRPr="00724ED9" w:rsidRDefault="003805E1" w:rsidP="007221A8">
            <w:pPr>
              <w:ind w:firstLine="567"/>
              <w:rPr>
                <w:sz w:val="24"/>
                <w:szCs w:val="24"/>
              </w:rPr>
            </w:pPr>
            <w:r w:rsidRPr="00724ED9">
              <w:rPr>
                <w:sz w:val="24"/>
                <w:szCs w:val="24"/>
              </w:rPr>
              <w:t xml:space="preserve">În contextul </w:t>
            </w:r>
            <w:r w:rsidR="001103A1" w:rsidRPr="00724ED9">
              <w:rPr>
                <w:sz w:val="24"/>
                <w:szCs w:val="24"/>
              </w:rPr>
              <w:t xml:space="preserve">declarării stării de alertă </w:t>
            </w:r>
            <w:r w:rsidR="00B2553B" w:rsidRPr="00724ED9">
              <w:rPr>
                <w:sz w:val="24"/>
                <w:szCs w:val="24"/>
              </w:rPr>
              <w:t>de mediu în bazinul fluviului Nistru,</w:t>
            </w:r>
            <w:r w:rsidR="0040512C" w:rsidRPr="00724ED9">
              <w:rPr>
                <w:sz w:val="24"/>
                <w:szCs w:val="24"/>
              </w:rPr>
              <w:t xml:space="preserve"> </w:t>
            </w:r>
            <w:r w:rsidR="001103A1" w:rsidRPr="00724ED9">
              <w:rPr>
                <w:sz w:val="24"/>
                <w:szCs w:val="24"/>
              </w:rPr>
              <w:t xml:space="preserve">în scopul prevenirii și reducerii impactului poluării mediului și al protejării sănătății populației, </w:t>
            </w:r>
            <w:r w:rsidR="00D5502D" w:rsidRPr="00724ED9">
              <w:rPr>
                <w:sz w:val="24"/>
                <w:szCs w:val="24"/>
              </w:rPr>
              <w:t xml:space="preserve">având în vedere </w:t>
            </w:r>
            <w:r w:rsidR="001103A1" w:rsidRPr="00724ED9">
              <w:rPr>
                <w:sz w:val="24"/>
                <w:szCs w:val="24"/>
              </w:rPr>
              <w:t xml:space="preserve">evaluarea riscurilor privind securitatea punctelor de captare utilizate pentru alimentarea cu apă potabilă, </w:t>
            </w:r>
            <w:r w:rsidR="001256CC" w:rsidRPr="00724ED9">
              <w:rPr>
                <w:sz w:val="24"/>
                <w:szCs w:val="24"/>
              </w:rPr>
              <w:t>precum și necesitatea garantării accesului la apă potabilă sigură pentru localitățile din regiunile aflate în zona de risc</w:t>
            </w:r>
            <w:r w:rsidR="0040512C" w:rsidRPr="00724ED9">
              <w:rPr>
                <w:sz w:val="24"/>
                <w:szCs w:val="24"/>
              </w:rPr>
              <w:t xml:space="preserve">, a apărut necesitatea adoptării unor măsuri </w:t>
            </w:r>
            <w:r w:rsidR="000A1291" w:rsidRPr="00724ED9">
              <w:rPr>
                <w:sz w:val="24"/>
                <w:szCs w:val="24"/>
              </w:rPr>
              <w:t>urgente</w:t>
            </w:r>
            <w:r w:rsidR="0040512C" w:rsidRPr="00724ED9">
              <w:rPr>
                <w:sz w:val="24"/>
                <w:szCs w:val="24"/>
              </w:rPr>
              <w:t>.</w:t>
            </w:r>
          </w:p>
          <w:p w14:paraId="796E1AA0" w14:textId="785B9E6E" w:rsidR="002414B3" w:rsidRPr="00724ED9" w:rsidRDefault="00B2553B" w:rsidP="007221A8">
            <w:pPr>
              <w:ind w:firstLine="567"/>
              <w:rPr>
                <w:sz w:val="24"/>
                <w:szCs w:val="24"/>
              </w:rPr>
            </w:pPr>
            <w:r w:rsidRPr="00724ED9">
              <w:rPr>
                <w:sz w:val="24"/>
                <w:szCs w:val="24"/>
              </w:rPr>
              <w:lastRenderedPageBreak/>
              <w:t xml:space="preserve">Aceste măsuri vizează, în principal, asigurarea accesului la apă potabilă sigură pentru </w:t>
            </w:r>
            <w:r w:rsidR="0089102C" w:rsidRPr="00724ED9">
              <w:rPr>
                <w:sz w:val="24"/>
                <w:szCs w:val="24"/>
              </w:rPr>
              <w:t xml:space="preserve">populația localităților aflate </w:t>
            </w:r>
            <w:r w:rsidR="000A1291" w:rsidRPr="00724ED9">
              <w:rPr>
                <w:sz w:val="24"/>
                <w:szCs w:val="24"/>
              </w:rPr>
              <w:t>în zona de risc.</w:t>
            </w:r>
          </w:p>
          <w:p w14:paraId="08A14F5A" w14:textId="0E4602FB" w:rsidR="00AA4D0D" w:rsidRPr="00724ED9" w:rsidRDefault="00824F8F" w:rsidP="00254C8E">
            <w:pPr>
              <w:ind w:firstLine="567"/>
              <w:rPr>
                <w:sz w:val="24"/>
                <w:szCs w:val="24"/>
              </w:rPr>
            </w:pPr>
            <w:r w:rsidRPr="00724ED9">
              <w:rPr>
                <w:sz w:val="24"/>
                <w:szCs w:val="24"/>
              </w:rPr>
              <w:t>În acest sens</w:t>
            </w:r>
            <w:r w:rsidR="003805E1" w:rsidRPr="00724ED9">
              <w:rPr>
                <w:sz w:val="24"/>
                <w:szCs w:val="24"/>
              </w:rPr>
              <w:t xml:space="preserve">, s-a impus </w:t>
            </w:r>
            <w:r w:rsidR="003805E1" w:rsidRPr="00254C8E">
              <w:rPr>
                <w:sz w:val="24"/>
                <w:szCs w:val="24"/>
              </w:rPr>
              <w:t>eliberarea</w:t>
            </w:r>
            <w:r w:rsidR="003805E1" w:rsidRPr="00724ED9">
              <w:rPr>
                <w:sz w:val="24"/>
                <w:szCs w:val="24"/>
              </w:rPr>
              <w:t xml:space="preserve">, cu titlu de deblocare, din rezervele de stat, a </w:t>
            </w:r>
            <w:r w:rsidR="00AA4D0D" w:rsidRPr="00724ED9">
              <w:rPr>
                <w:sz w:val="24"/>
                <w:szCs w:val="24"/>
              </w:rPr>
              <w:t>3 a</w:t>
            </w:r>
            <w:r w:rsidR="000A1291" w:rsidRPr="00724ED9">
              <w:rPr>
                <w:sz w:val="24"/>
                <w:szCs w:val="24"/>
              </w:rPr>
              <w:t xml:space="preserve">utocisterne </w:t>
            </w:r>
            <w:r w:rsidR="00AA4D0D" w:rsidRPr="00724ED9">
              <w:rPr>
                <w:sz w:val="24"/>
                <w:szCs w:val="24"/>
              </w:rPr>
              <w:t>și 8</w:t>
            </w:r>
            <w:r w:rsidR="00AA4D0D" w:rsidRPr="00254C8E">
              <w:rPr>
                <w:sz w:val="24"/>
                <w:szCs w:val="24"/>
              </w:rPr>
              <w:t xml:space="preserve"> </w:t>
            </w:r>
            <w:r w:rsidR="00AA4D0D" w:rsidRPr="00724ED9">
              <w:rPr>
                <w:sz w:val="24"/>
                <w:szCs w:val="24"/>
              </w:rPr>
              <w:t>rezervoare mobile pentru apă</w:t>
            </w:r>
            <w:r w:rsidR="0052329D" w:rsidRPr="00724ED9">
              <w:rPr>
                <w:sz w:val="24"/>
                <w:szCs w:val="24"/>
              </w:rPr>
              <w:t>.</w:t>
            </w:r>
          </w:p>
          <w:p w14:paraId="07F38599" w14:textId="19CCC759" w:rsidR="003805E1" w:rsidRDefault="003805E1" w:rsidP="007221A8">
            <w:pPr>
              <w:ind w:firstLine="567"/>
              <w:rPr>
                <w:sz w:val="24"/>
                <w:szCs w:val="24"/>
              </w:rPr>
            </w:pPr>
            <w:r w:rsidRPr="00724ED9">
              <w:rPr>
                <w:sz w:val="24"/>
                <w:szCs w:val="24"/>
              </w:rPr>
              <w:t xml:space="preserve">Valoarea totală a bunurilor eliberate constituie </w:t>
            </w:r>
            <w:r w:rsidR="0075303F" w:rsidRPr="00724ED9">
              <w:rPr>
                <w:sz w:val="24"/>
                <w:szCs w:val="24"/>
              </w:rPr>
              <w:t>8 084, 9 mii de lei</w:t>
            </w:r>
            <w:r w:rsidR="002821C1" w:rsidRPr="00724ED9">
              <w:rPr>
                <w:sz w:val="24"/>
                <w:szCs w:val="24"/>
              </w:rPr>
              <w:t>.</w:t>
            </w:r>
          </w:p>
          <w:p w14:paraId="5DBA9542" w14:textId="502199B1" w:rsidR="007C1593" w:rsidRPr="007C1593" w:rsidRDefault="007C1593" w:rsidP="007C1593">
            <w:pPr>
              <w:ind w:firstLine="567"/>
              <w:rPr>
                <w:rFonts w:eastAsia="DengXia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254C8E">
              <w:rPr>
                <w:sz w:val="24"/>
                <w:szCs w:val="24"/>
              </w:rPr>
              <w:t>Adoptarea hotărârii Guvernului are drept scop finalizarea procedurii legale de eliberare a bunurilor din rezervele de stat, în conformitate cu prevederile art. 10 alin. (1) din Legea nr. 104/2020 cu privire la rezervele de stat și de mobilizare.</w:t>
            </w:r>
          </w:p>
        </w:tc>
      </w:tr>
      <w:tr w:rsidR="00403CEB" w:rsidRPr="00724ED9" w14:paraId="2F6D165C" w14:textId="77777777" w:rsidTr="002F58E9">
        <w:tc>
          <w:tcPr>
            <w:tcW w:w="9913" w:type="dxa"/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99D1C" w14:textId="77777777" w:rsidR="003D26FA" w:rsidRPr="00724ED9" w:rsidRDefault="003D26FA" w:rsidP="00EE20C2">
            <w:pPr>
              <w:spacing w:before="60"/>
              <w:ind w:firstLine="567"/>
              <w:rPr>
                <w:b/>
                <w:bCs/>
                <w:sz w:val="24"/>
                <w:szCs w:val="24"/>
              </w:rPr>
            </w:pPr>
            <w:r w:rsidRPr="00724ED9">
              <w:rPr>
                <w:b/>
                <w:bCs/>
                <w:sz w:val="24"/>
                <w:szCs w:val="24"/>
              </w:rPr>
              <w:lastRenderedPageBreak/>
              <w:t>3. Obiectivele urmărite și soluțiile propuse</w:t>
            </w:r>
          </w:p>
        </w:tc>
      </w:tr>
      <w:tr w:rsidR="00403CEB" w:rsidRPr="00724ED9" w14:paraId="182DB544" w14:textId="77777777" w:rsidTr="002F58E9">
        <w:tc>
          <w:tcPr>
            <w:tcW w:w="9913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A370" w14:textId="77777777" w:rsidR="003D26FA" w:rsidRPr="00724ED9" w:rsidRDefault="003D26FA" w:rsidP="00EE20C2">
            <w:pPr>
              <w:spacing w:before="60"/>
              <w:ind w:firstLine="567"/>
              <w:rPr>
                <w:sz w:val="24"/>
                <w:szCs w:val="24"/>
              </w:rPr>
            </w:pPr>
            <w:r w:rsidRPr="00724ED9">
              <w:rPr>
                <w:sz w:val="24"/>
                <w:szCs w:val="24"/>
              </w:rPr>
              <w:t>3.1. Principalele prevederi ale proiectului și evidențierea elementelor noi</w:t>
            </w:r>
          </w:p>
        </w:tc>
      </w:tr>
      <w:tr w:rsidR="00403CEB" w:rsidRPr="00724ED9" w14:paraId="03EC2B69" w14:textId="77777777" w:rsidTr="002F58E9">
        <w:tc>
          <w:tcPr>
            <w:tcW w:w="99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C978" w14:textId="77777777" w:rsidR="00011A62" w:rsidRPr="00724ED9" w:rsidRDefault="00011A62" w:rsidP="007221A8">
            <w:pPr>
              <w:ind w:firstLine="591"/>
              <w:rPr>
                <w:sz w:val="24"/>
                <w:szCs w:val="24"/>
              </w:rPr>
            </w:pPr>
            <w:r w:rsidRPr="00724ED9">
              <w:rPr>
                <w:sz w:val="24"/>
                <w:szCs w:val="24"/>
              </w:rPr>
              <w:t>Proiectul hotărârii prevede:</w:t>
            </w:r>
          </w:p>
          <w:p w14:paraId="04FA1D7B" w14:textId="77777777" w:rsidR="00485FB0" w:rsidRDefault="00573511" w:rsidP="00485FB0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left" w:pos="1016"/>
              </w:tabs>
              <w:ind w:left="0" w:firstLine="591"/>
              <w:rPr>
                <w:sz w:val="24"/>
                <w:szCs w:val="24"/>
              </w:rPr>
            </w:pPr>
            <w:r w:rsidRPr="00724ED9">
              <w:rPr>
                <w:sz w:val="24"/>
                <w:szCs w:val="24"/>
              </w:rPr>
              <w:t>eliberarea</w:t>
            </w:r>
            <w:r w:rsidR="00011A62" w:rsidRPr="00724ED9">
              <w:rPr>
                <w:sz w:val="24"/>
                <w:szCs w:val="24"/>
              </w:rPr>
              <w:t xml:space="preserve">, cu titlu de deblocare, a bunurilor materiale din rezervele de stat </w:t>
            </w:r>
            <w:r w:rsidR="00485FB0" w:rsidRPr="00485FB0">
              <w:rPr>
                <w:bCs/>
                <w:sz w:val="24"/>
                <w:szCs w:val="24"/>
              </w:rPr>
              <w:t>către</w:t>
            </w:r>
            <w:r w:rsidR="00485FB0" w:rsidRPr="00485FB0">
              <w:rPr>
                <w:sz w:val="24"/>
                <w:szCs w:val="24"/>
              </w:rPr>
              <w:t xml:space="preserve"> Ministerul Afacerilor Interne (Inspectoratul General pentru Situații de Urgență și Inspectoratul General de Carabinieri) și Ministerul Apărării;</w:t>
            </w:r>
          </w:p>
          <w:p w14:paraId="50E13F65" w14:textId="77777777" w:rsidR="00086753" w:rsidRPr="00086753" w:rsidRDefault="00086753" w:rsidP="00485FB0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left" w:pos="1016"/>
              </w:tabs>
              <w:ind w:left="0" w:firstLine="591"/>
              <w:rPr>
                <w:sz w:val="24"/>
                <w:szCs w:val="24"/>
              </w:rPr>
            </w:pPr>
            <w:r w:rsidRPr="00086753">
              <w:rPr>
                <w:bCs/>
                <w:sz w:val="24"/>
                <w:szCs w:val="24"/>
              </w:rPr>
              <w:t>punerea controlului asupra executării prezentei hotărâri în sarcina Ministerului Afacerilor Interne și a Ministerului Apărării;</w:t>
            </w:r>
          </w:p>
          <w:p w14:paraId="3BC15BD1" w14:textId="35863EAC" w:rsidR="00A06C18" w:rsidRPr="00086753" w:rsidRDefault="00650040" w:rsidP="00086753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left" w:pos="1016"/>
              </w:tabs>
              <w:ind w:left="0" w:firstLine="591"/>
              <w:rPr>
                <w:sz w:val="24"/>
                <w:szCs w:val="24"/>
              </w:rPr>
            </w:pPr>
            <w:r w:rsidRPr="00485FB0">
              <w:rPr>
                <w:sz w:val="24"/>
                <w:szCs w:val="24"/>
              </w:rPr>
              <w:t xml:space="preserve"> </w:t>
            </w:r>
            <w:r w:rsidR="00573511" w:rsidRPr="00485FB0">
              <w:rPr>
                <w:sz w:val="24"/>
                <w:szCs w:val="24"/>
              </w:rPr>
              <w:t xml:space="preserve">intrarea </w:t>
            </w:r>
            <w:r w:rsidR="00011A62" w:rsidRPr="00485FB0">
              <w:rPr>
                <w:sz w:val="24"/>
                <w:szCs w:val="24"/>
              </w:rPr>
              <w:t>în vigoare</w:t>
            </w:r>
            <w:r w:rsidR="00086753" w:rsidRPr="00086753">
              <w:rPr>
                <w:b/>
                <w:bCs/>
              </w:rPr>
              <w:t xml:space="preserve"> </w:t>
            </w:r>
            <w:r w:rsidR="00086753" w:rsidRPr="00086753">
              <w:rPr>
                <w:bCs/>
                <w:sz w:val="24"/>
                <w:szCs w:val="24"/>
              </w:rPr>
              <w:t>a hotărârii</w:t>
            </w:r>
            <w:r w:rsidR="00011A62" w:rsidRPr="00485FB0">
              <w:rPr>
                <w:sz w:val="24"/>
                <w:szCs w:val="24"/>
              </w:rPr>
              <w:t xml:space="preserve"> la data </w:t>
            </w:r>
            <w:r w:rsidR="009B37C1" w:rsidRPr="00485FB0">
              <w:rPr>
                <w:sz w:val="24"/>
                <w:szCs w:val="24"/>
              </w:rPr>
              <w:t xml:space="preserve">publicării în Monitorul Oficial, </w:t>
            </w:r>
            <w:r w:rsidR="00011A62" w:rsidRPr="00485FB0">
              <w:rPr>
                <w:sz w:val="24"/>
                <w:szCs w:val="24"/>
              </w:rPr>
              <w:t>justificată de caracterul urgent al intervenției și de necesitatea asigurării continuității procesului administrativ.</w:t>
            </w:r>
            <w:r w:rsidR="003E7B4F" w:rsidRPr="00724ED9">
              <w:t xml:space="preserve"> </w:t>
            </w:r>
          </w:p>
        </w:tc>
      </w:tr>
      <w:tr w:rsidR="00403CEB" w:rsidRPr="00724ED9" w14:paraId="2F8A992E" w14:textId="77777777" w:rsidTr="002F58E9">
        <w:tc>
          <w:tcPr>
            <w:tcW w:w="9913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9FD64" w14:textId="77777777" w:rsidR="003D26FA" w:rsidRPr="00724ED9" w:rsidRDefault="003D26FA" w:rsidP="00EE20C2">
            <w:pPr>
              <w:spacing w:before="60"/>
              <w:ind w:firstLine="567"/>
              <w:rPr>
                <w:sz w:val="24"/>
                <w:szCs w:val="24"/>
              </w:rPr>
            </w:pPr>
            <w:r w:rsidRPr="00724ED9">
              <w:rPr>
                <w:sz w:val="24"/>
                <w:szCs w:val="24"/>
              </w:rPr>
              <w:t>3.2. Opțiunile alternative analizate și motivele pentru care acestea nu au fost luate în considerare</w:t>
            </w:r>
          </w:p>
        </w:tc>
      </w:tr>
      <w:tr w:rsidR="00403CEB" w:rsidRPr="00724ED9" w14:paraId="2B88AE12" w14:textId="77777777" w:rsidTr="002F58E9">
        <w:tc>
          <w:tcPr>
            <w:tcW w:w="99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47DC" w14:textId="7ADAECDC" w:rsidR="003D26FA" w:rsidRPr="00724ED9" w:rsidRDefault="00DD34DE" w:rsidP="00EE20C2">
            <w:pPr>
              <w:tabs>
                <w:tab w:val="left" w:pos="993"/>
              </w:tabs>
              <w:spacing w:before="60"/>
              <w:ind w:firstLine="567"/>
              <w:rPr>
                <w:sz w:val="24"/>
                <w:szCs w:val="24"/>
              </w:rPr>
            </w:pPr>
            <w:r w:rsidRPr="00724ED9">
              <w:rPr>
                <w:sz w:val="24"/>
                <w:szCs w:val="24"/>
              </w:rPr>
              <w:t xml:space="preserve">Nu au fost identificate opțiuni alternative, întrucât procedura este expres reglementată de             art. 10 </w:t>
            </w:r>
            <w:r w:rsidR="007762BB" w:rsidRPr="00724ED9">
              <w:rPr>
                <w:sz w:val="24"/>
                <w:szCs w:val="24"/>
              </w:rPr>
              <w:t xml:space="preserve">alin. (1) </w:t>
            </w:r>
            <w:r w:rsidRPr="00724ED9">
              <w:rPr>
                <w:sz w:val="24"/>
                <w:szCs w:val="24"/>
              </w:rPr>
              <w:t>din Legea nr. 104/2020 și presupune adoptarea unei hotărâri de Guvern.</w:t>
            </w:r>
          </w:p>
        </w:tc>
      </w:tr>
      <w:tr w:rsidR="00403CEB" w:rsidRPr="00724ED9" w14:paraId="25DFE577" w14:textId="77777777" w:rsidTr="002F58E9">
        <w:trPr>
          <w:trHeight w:val="381"/>
        </w:trPr>
        <w:tc>
          <w:tcPr>
            <w:tcW w:w="9913" w:type="dxa"/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AB8CA" w14:textId="77777777" w:rsidR="003D26FA" w:rsidRPr="00724ED9" w:rsidRDefault="003D26FA" w:rsidP="00EE20C2">
            <w:pPr>
              <w:spacing w:before="60"/>
              <w:ind w:firstLine="567"/>
              <w:rPr>
                <w:b/>
                <w:bCs/>
                <w:sz w:val="24"/>
                <w:szCs w:val="24"/>
              </w:rPr>
            </w:pPr>
            <w:r w:rsidRPr="00724ED9">
              <w:rPr>
                <w:b/>
                <w:bCs/>
                <w:sz w:val="24"/>
                <w:szCs w:val="24"/>
              </w:rPr>
              <w:t xml:space="preserve">4. Analiza impactului de reglementare </w:t>
            </w:r>
          </w:p>
        </w:tc>
      </w:tr>
      <w:tr w:rsidR="00403CEB" w:rsidRPr="00724ED9" w14:paraId="6589B58A" w14:textId="77777777" w:rsidTr="002F58E9">
        <w:tc>
          <w:tcPr>
            <w:tcW w:w="9913" w:type="dxa"/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2D608" w14:textId="77777777" w:rsidR="003D26FA" w:rsidRPr="00724ED9" w:rsidRDefault="003D26FA" w:rsidP="00EE20C2">
            <w:pPr>
              <w:spacing w:before="60"/>
              <w:ind w:firstLine="567"/>
              <w:rPr>
                <w:sz w:val="24"/>
                <w:szCs w:val="24"/>
              </w:rPr>
            </w:pPr>
            <w:r w:rsidRPr="00724ED9">
              <w:rPr>
                <w:sz w:val="24"/>
                <w:szCs w:val="24"/>
              </w:rPr>
              <w:t>4.1. Impactul asupra sectorului public</w:t>
            </w:r>
          </w:p>
        </w:tc>
      </w:tr>
      <w:tr w:rsidR="00403CEB" w:rsidRPr="00724ED9" w14:paraId="615DB0C8" w14:textId="77777777" w:rsidTr="002F58E9">
        <w:tc>
          <w:tcPr>
            <w:tcW w:w="99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57A8" w14:textId="7D18FB23" w:rsidR="003D26FA" w:rsidRPr="00724ED9" w:rsidRDefault="00223757" w:rsidP="00266F76">
            <w:pPr>
              <w:tabs>
                <w:tab w:val="left" w:pos="306"/>
              </w:tabs>
              <w:spacing w:before="60"/>
              <w:ind w:firstLine="567"/>
              <w:rPr>
                <w:sz w:val="24"/>
                <w:szCs w:val="24"/>
              </w:rPr>
            </w:pPr>
            <w:r w:rsidRPr="00724ED9">
              <w:rPr>
                <w:sz w:val="24"/>
                <w:szCs w:val="24"/>
              </w:rPr>
              <w:t xml:space="preserve">Proiectul asigură funcționalitatea instituțiilor responsabile de gestionarea situațiilor de urgență </w:t>
            </w:r>
            <w:r w:rsidR="00266F76" w:rsidRPr="00724ED9">
              <w:rPr>
                <w:sz w:val="24"/>
                <w:szCs w:val="24"/>
              </w:rPr>
              <w:t>pentru intervențiile în regim prioritar</w:t>
            </w:r>
            <w:r w:rsidR="00573511" w:rsidRPr="00724ED9">
              <w:rPr>
                <w:sz w:val="24"/>
                <w:szCs w:val="24"/>
              </w:rPr>
              <w:t>,</w:t>
            </w:r>
            <w:r w:rsidR="00266F76" w:rsidRPr="00724ED9">
              <w:rPr>
                <w:sz w:val="24"/>
                <w:szCs w:val="24"/>
              </w:rPr>
              <w:t xml:space="preserve"> în vederea asigurării</w:t>
            </w:r>
            <w:r w:rsidRPr="00724ED9">
              <w:rPr>
                <w:sz w:val="24"/>
                <w:szCs w:val="24"/>
              </w:rPr>
              <w:t xml:space="preserve"> capacității de reacție.</w:t>
            </w:r>
          </w:p>
        </w:tc>
      </w:tr>
      <w:tr w:rsidR="00403CEB" w:rsidRPr="00724ED9" w14:paraId="41FD57F2" w14:textId="77777777" w:rsidTr="002F58E9">
        <w:tc>
          <w:tcPr>
            <w:tcW w:w="9913" w:type="dxa"/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3C019" w14:textId="77777777" w:rsidR="003D26FA" w:rsidRPr="00724ED9" w:rsidRDefault="003D26FA" w:rsidP="00EE20C2">
            <w:pPr>
              <w:spacing w:before="60"/>
              <w:ind w:firstLine="567"/>
              <w:rPr>
                <w:sz w:val="24"/>
                <w:szCs w:val="24"/>
              </w:rPr>
            </w:pPr>
            <w:r w:rsidRPr="00724ED9">
              <w:rPr>
                <w:sz w:val="24"/>
                <w:szCs w:val="24"/>
              </w:rPr>
              <w:t>4.2. Impactul financiar și argumentarea costurilor estimative</w:t>
            </w:r>
          </w:p>
        </w:tc>
      </w:tr>
      <w:tr w:rsidR="00403CEB" w:rsidRPr="00724ED9" w14:paraId="0AE63998" w14:textId="77777777" w:rsidTr="002F58E9">
        <w:tc>
          <w:tcPr>
            <w:tcW w:w="99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C917" w14:textId="09C058B2" w:rsidR="005139BB" w:rsidRPr="00A63B0C" w:rsidRDefault="00BE74A8" w:rsidP="00A63B0C">
            <w:pPr>
              <w:tabs>
                <w:tab w:val="left" w:pos="0"/>
                <w:tab w:val="left" w:pos="851"/>
              </w:tabs>
              <w:spacing w:before="60"/>
              <w:ind w:firstLine="567"/>
              <w:rPr>
                <w:sz w:val="24"/>
                <w:szCs w:val="24"/>
              </w:rPr>
            </w:pPr>
            <w:r w:rsidRPr="00A63B0C">
              <w:rPr>
                <w:sz w:val="24"/>
                <w:szCs w:val="24"/>
              </w:rPr>
              <w:t>Conform avizului Ministerului Finanțelor (nr. 07/4-03/115</w:t>
            </w:r>
            <w:r w:rsidR="004D0A95" w:rsidRPr="00A63B0C">
              <w:rPr>
                <w:sz w:val="24"/>
                <w:szCs w:val="24"/>
              </w:rPr>
              <w:t xml:space="preserve"> </w:t>
            </w:r>
            <w:r w:rsidR="00A63B0C" w:rsidRPr="00A63B0C">
              <w:rPr>
                <w:sz w:val="24"/>
                <w:szCs w:val="24"/>
              </w:rPr>
              <w:t xml:space="preserve">din 14.04.2026), </w:t>
            </w:r>
            <w:r w:rsidR="005139BB" w:rsidRPr="00A63B0C">
              <w:rPr>
                <w:sz w:val="24"/>
                <w:szCs w:val="24"/>
              </w:rPr>
              <w:t>reieșind din evoluțiile bugetare din anul curent, alocarea mijloacelor financiare adiționale va fi examinată inclusiv din perspectiva nivelului de valorificare a alocațiilor aprobate în acest scop.</w:t>
            </w:r>
          </w:p>
        </w:tc>
      </w:tr>
      <w:tr w:rsidR="00403CEB" w:rsidRPr="00724ED9" w14:paraId="4C45EB93" w14:textId="77777777" w:rsidTr="002F58E9">
        <w:tc>
          <w:tcPr>
            <w:tcW w:w="9913" w:type="dxa"/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C4593" w14:textId="77777777" w:rsidR="003D26FA" w:rsidRPr="00724ED9" w:rsidRDefault="003D26FA" w:rsidP="00EE20C2">
            <w:pPr>
              <w:spacing w:before="60"/>
              <w:ind w:firstLine="567"/>
              <w:rPr>
                <w:sz w:val="24"/>
                <w:szCs w:val="24"/>
              </w:rPr>
            </w:pPr>
            <w:r w:rsidRPr="00724ED9">
              <w:rPr>
                <w:sz w:val="24"/>
                <w:szCs w:val="24"/>
              </w:rPr>
              <w:t>4.3. Impactul asupra sectorului privat</w:t>
            </w:r>
          </w:p>
        </w:tc>
      </w:tr>
      <w:tr w:rsidR="00403CEB" w:rsidRPr="00724ED9" w14:paraId="785EB548" w14:textId="77777777" w:rsidTr="002F58E9">
        <w:tc>
          <w:tcPr>
            <w:tcW w:w="99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B31B5" w14:textId="77777777" w:rsidR="003D26FA" w:rsidRPr="00724ED9" w:rsidRDefault="003D26FA" w:rsidP="00EE20C2">
            <w:pPr>
              <w:spacing w:before="60"/>
              <w:ind w:firstLine="567"/>
              <w:rPr>
                <w:sz w:val="24"/>
                <w:szCs w:val="24"/>
              </w:rPr>
            </w:pPr>
            <w:r w:rsidRPr="00724ED9">
              <w:rPr>
                <w:sz w:val="24"/>
                <w:szCs w:val="24"/>
              </w:rPr>
              <w:t>Nu este aplicabil.</w:t>
            </w:r>
          </w:p>
        </w:tc>
      </w:tr>
      <w:tr w:rsidR="00403CEB" w:rsidRPr="00724ED9" w14:paraId="72BB258C" w14:textId="77777777" w:rsidTr="002F58E9">
        <w:tc>
          <w:tcPr>
            <w:tcW w:w="9913" w:type="dxa"/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D84C3" w14:textId="77777777" w:rsidR="003D26FA" w:rsidRPr="00724ED9" w:rsidRDefault="003D26FA" w:rsidP="00EE20C2">
            <w:pPr>
              <w:spacing w:before="60"/>
              <w:ind w:firstLine="567"/>
              <w:rPr>
                <w:sz w:val="24"/>
                <w:szCs w:val="24"/>
              </w:rPr>
            </w:pPr>
            <w:r w:rsidRPr="00724ED9">
              <w:rPr>
                <w:sz w:val="24"/>
                <w:szCs w:val="24"/>
              </w:rPr>
              <w:t>4.4. Impactul social</w:t>
            </w:r>
          </w:p>
        </w:tc>
      </w:tr>
      <w:tr w:rsidR="00403CEB" w:rsidRPr="00724ED9" w14:paraId="59BFAC98" w14:textId="77777777" w:rsidTr="002F58E9">
        <w:tc>
          <w:tcPr>
            <w:tcW w:w="99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5D9B" w14:textId="6CEE53A3" w:rsidR="003D26FA" w:rsidRPr="00724ED9" w:rsidRDefault="0066617B" w:rsidP="00EE20C2">
            <w:pPr>
              <w:pStyle w:val="TableParagraph"/>
              <w:tabs>
                <w:tab w:val="left" w:pos="432"/>
              </w:tabs>
              <w:spacing w:before="60"/>
              <w:ind w:left="0" w:firstLine="567"/>
              <w:rPr>
                <w:sz w:val="24"/>
                <w:szCs w:val="24"/>
              </w:rPr>
            </w:pPr>
            <w:r w:rsidRPr="00724ED9">
              <w:rPr>
                <w:sz w:val="24"/>
                <w:szCs w:val="24"/>
              </w:rPr>
              <w:t xml:space="preserve">Proiectul contribuie indirect la protecția </w:t>
            </w:r>
            <w:r w:rsidR="001A6B17" w:rsidRPr="00724ED9">
              <w:rPr>
                <w:sz w:val="24"/>
                <w:szCs w:val="24"/>
              </w:rPr>
              <w:t xml:space="preserve">sănătății </w:t>
            </w:r>
            <w:r w:rsidRPr="00724ED9">
              <w:rPr>
                <w:sz w:val="24"/>
                <w:szCs w:val="24"/>
              </w:rPr>
              <w:t>populației prin consolidarea capacității de intervenție a autorităților.</w:t>
            </w:r>
            <w:r w:rsidR="00573511" w:rsidRPr="00724ED9">
              <w:rPr>
                <w:sz w:val="24"/>
                <w:szCs w:val="24"/>
              </w:rPr>
              <w:t xml:space="preserve"> </w:t>
            </w:r>
          </w:p>
        </w:tc>
      </w:tr>
      <w:tr w:rsidR="00403CEB" w:rsidRPr="00724ED9" w14:paraId="0EDC3490" w14:textId="77777777" w:rsidTr="002F58E9">
        <w:tc>
          <w:tcPr>
            <w:tcW w:w="9913" w:type="dxa"/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D2048" w14:textId="77777777" w:rsidR="003D26FA" w:rsidRPr="00724ED9" w:rsidRDefault="003D26FA" w:rsidP="00EE20C2">
            <w:pPr>
              <w:spacing w:before="60"/>
              <w:ind w:firstLine="567"/>
              <w:rPr>
                <w:sz w:val="24"/>
                <w:szCs w:val="24"/>
              </w:rPr>
            </w:pPr>
            <w:r w:rsidRPr="00724ED9">
              <w:rPr>
                <w:sz w:val="24"/>
                <w:szCs w:val="24"/>
              </w:rPr>
              <w:t>4.4.1. Impactul asupra datelor cu caracter personal</w:t>
            </w:r>
          </w:p>
        </w:tc>
      </w:tr>
      <w:tr w:rsidR="00403CEB" w:rsidRPr="00724ED9" w14:paraId="0D5E3DD0" w14:textId="77777777" w:rsidTr="002F58E9">
        <w:tc>
          <w:tcPr>
            <w:tcW w:w="99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0FD9D" w14:textId="63F9631A" w:rsidR="003D26FA" w:rsidRPr="00724ED9" w:rsidRDefault="00573511" w:rsidP="00EE20C2">
            <w:pPr>
              <w:spacing w:before="60"/>
              <w:ind w:firstLine="567"/>
              <w:rPr>
                <w:sz w:val="24"/>
                <w:szCs w:val="24"/>
              </w:rPr>
            </w:pPr>
            <w:r w:rsidRPr="00724ED9">
              <w:rPr>
                <w:sz w:val="24"/>
                <w:szCs w:val="24"/>
              </w:rPr>
              <w:t xml:space="preserve">Nu este aplicabil. </w:t>
            </w:r>
          </w:p>
        </w:tc>
      </w:tr>
      <w:tr w:rsidR="00403CEB" w:rsidRPr="00724ED9" w14:paraId="153E555B" w14:textId="77777777" w:rsidTr="002F58E9">
        <w:tc>
          <w:tcPr>
            <w:tcW w:w="9913" w:type="dxa"/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61CDE" w14:textId="77777777" w:rsidR="003D26FA" w:rsidRPr="00724ED9" w:rsidRDefault="003D26FA" w:rsidP="00EE20C2">
            <w:pPr>
              <w:spacing w:before="60"/>
              <w:ind w:firstLine="567"/>
              <w:rPr>
                <w:sz w:val="24"/>
                <w:szCs w:val="24"/>
              </w:rPr>
            </w:pPr>
            <w:r w:rsidRPr="00724ED9">
              <w:rPr>
                <w:sz w:val="24"/>
                <w:szCs w:val="24"/>
              </w:rPr>
              <w:t>4.4.2. Impactul asupra echității și egalității de gen</w:t>
            </w:r>
          </w:p>
        </w:tc>
      </w:tr>
      <w:tr w:rsidR="00403CEB" w:rsidRPr="00724ED9" w14:paraId="7AE04C29" w14:textId="77777777" w:rsidTr="002F58E9">
        <w:tc>
          <w:tcPr>
            <w:tcW w:w="99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D3C55" w14:textId="715BBD2D" w:rsidR="003D26FA" w:rsidRPr="00724ED9" w:rsidRDefault="00573511" w:rsidP="00EE20C2">
            <w:pPr>
              <w:pStyle w:val="TableParagraph"/>
              <w:tabs>
                <w:tab w:val="left" w:pos="432"/>
              </w:tabs>
              <w:spacing w:before="60"/>
              <w:ind w:left="0" w:firstLine="567"/>
              <w:rPr>
                <w:sz w:val="24"/>
                <w:szCs w:val="24"/>
              </w:rPr>
            </w:pPr>
            <w:r w:rsidRPr="00724ED9">
              <w:rPr>
                <w:sz w:val="24"/>
                <w:szCs w:val="24"/>
              </w:rPr>
              <w:t xml:space="preserve">Nu este aplicabil. </w:t>
            </w:r>
          </w:p>
        </w:tc>
      </w:tr>
      <w:tr w:rsidR="00403CEB" w:rsidRPr="00724ED9" w14:paraId="0F616655" w14:textId="77777777" w:rsidTr="002F58E9">
        <w:tc>
          <w:tcPr>
            <w:tcW w:w="9913" w:type="dxa"/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6C572" w14:textId="77777777" w:rsidR="003D26FA" w:rsidRPr="00724ED9" w:rsidRDefault="003D26FA" w:rsidP="00EE20C2">
            <w:pPr>
              <w:spacing w:before="60"/>
              <w:ind w:firstLine="567"/>
              <w:rPr>
                <w:sz w:val="24"/>
                <w:szCs w:val="24"/>
              </w:rPr>
            </w:pPr>
            <w:r w:rsidRPr="00724ED9">
              <w:rPr>
                <w:sz w:val="24"/>
                <w:szCs w:val="24"/>
              </w:rPr>
              <w:t>4.5. Impactul asupra mediului</w:t>
            </w:r>
          </w:p>
        </w:tc>
      </w:tr>
      <w:tr w:rsidR="00403CEB" w:rsidRPr="00724ED9" w14:paraId="4F661EBD" w14:textId="77777777" w:rsidTr="002F58E9">
        <w:tc>
          <w:tcPr>
            <w:tcW w:w="99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F7C09" w14:textId="77777777" w:rsidR="003D26FA" w:rsidRPr="00724ED9" w:rsidRDefault="003D26FA" w:rsidP="00EE20C2">
            <w:pPr>
              <w:spacing w:before="60"/>
              <w:ind w:firstLine="567"/>
              <w:rPr>
                <w:sz w:val="24"/>
                <w:szCs w:val="24"/>
              </w:rPr>
            </w:pPr>
            <w:r w:rsidRPr="00724ED9">
              <w:rPr>
                <w:sz w:val="24"/>
                <w:szCs w:val="24"/>
              </w:rPr>
              <w:t>Nu este aplicabil.</w:t>
            </w:r>
          </w:p>
        </w:tc>
      </w:tr>
      <w:tr w:rsidR="00403CEB" w:rsidRPr="00724ED9" w14:paraId="34C51518" w14:textId="77777777" w:rsidTr="00F912CC">
        <w:trPr>
          <w:trHeight w:val="501"/>
        </w:trPr>
        <w:tc>
          <w:tcPr>
            <w:tcW w:w="9913" w:type="dxa"/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61EB7" w14:textId="77777777" w:rsidR="003D26FA" w:rsidRPr="00724ED9" w:rsidRDefault="003D26FA" w:rsidP="00EE20C2">
            <w:pPr>
              <w:spacing w:before="60"/>
              <w:ind w:firstLine="567"/>
              <w:rPr>
                <w:sz w:val="24"/>
                <w:szCs w:val="24"/>
              </w:rPr>
            </w:pPr>
            <w:r w:rsidRPr="00724ED9">
              <w:rPr>
                <w:sz w:val="24"/>
                <w:szCs w:val="24"/>
              </w:rPr>
              <w:t>4.6. Alte impacturi și informații relevante</w:t>
            </w:r>
          </w:p>
        </w:tc>
      </w:tr>
      <w:tr w:rsidR="00403CEB" w:rsidRPr="00724ED9" w14:paraId="7846A926" w14:textId="77777777" w:rsidTr="002F58E9">
        <w:tc>
          <w:tcPr>
            <w:tcW w:w="99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FF8E" w14:textId="77777777" w:rsidR="003D26FA" w:rsidRPr="00724ED9" w:rsidRDefault="003D26FA" w:rsidP="00EE20C2">
            <w:pPr>
              <w:spacing w:before="60"/>
              <w:ind w:firstLine="567"/>
              <w:rPr>
                <w:sz w:val="24"/>
                <w:szCs w:val="24"/>
              </w:rPr>
            </w:pPr>
            <w:r w:rsidRPr="00724ED9">
              <w:rPr>
                <w:sz w:val="24"/>
                <w:szCs w:val="24"/>
              </w:rPr>
              <w:t>Nu este aplicabil.</w:t>
            </w:r>
          </w:p>
        </w:tc>
      </w:tr>
      <w:tr w:rsidR="00403CEB" w:rsidRPr="00724ED9" w14:paraId="669DAF67" w14:textId="77777777" w:rsidTr="002F58E9">
        <w:tc>
          <w:tcPr>
            <w:tcW w:w="9913" w:type="dxa"/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0A58" w14:textId="77777777" w:rsidR="003D26FA" w:rsidRPr="00724ED9" w:rsidRDefault="003D26FA" w:rsidP="00EE20C2">
            <w:pPr>
              <w:spacing w:before="60"/>
              <w:ind w:firstLine="567"/>
              <w:rPr>
                <w:b/>
                <w:bCs/>
                <w:sz w:val="24"/>
                <w:szCs w:val="24"/>
              </w:rPr>
            </w:pPr>
            <w:r w:rsidRPr="00724ED9">
              <w:rPr>
                <w:b/>
                <w:bCs/>
                <w:sz w:val="24"/>
                <w:szCs w:val="24"/>
              </w:rPr>
              <w:t xml:space="preserve">5. Compatibilitatea proiectului actului normativ cu legislația UE </w:t>
            </w:r>
          </w:p>
        </w:tc>
      </w:tr>
      <w:tr w:rsidR="00403CEB" w:rsidRPr="00724ED9" w14:paraId="371D2027" w14:textId="77777777" w:rsidTr="002F58E9">
        <w:tc>
          <w:tcPr>
            <w:tcW w:w="9913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AA" w14:textId="77777777" w:rsidR="00165DC6" w:rsidRPr="00724ED9" w:rsidRDefault="00165DC6" w:rsidP="00EE20C2">
            <w:pPr>
              <w:spacing w:before="60"/>
              <w:ind w:firstLine="567"/>
              <w:rPr>
                <w:bCs/>
                <w:sz w:val="24"/>
                <w:szCs w:val="24"/>
                <w14:textOutline w14:w="9525" w14:cap="rnd" w14:cmpd="sng" w14:algn="ctr">
                  <w14:solidFill>
                    <w14:schemeClr w14:val="bg1">
                      <w14:lumMod w14:val="85000"/>
                    </w14:schemeClr>
                  </w14:solidFill>
                  <w14:prstDash w14:val="solid"/>
                  <w14:bevel/>
                </w14:textOutline>
              </w:rPr>
            </w:pPr>
            <w:r w:rsidRPr="00724ED9">
              <w:rPr>
                <w:sz w:val="24"/>
                <w:szCs w:val="24"/>
              </w:rPr>
              <w:t>5.1. Măsuri normative necesare pentru transpunerea actelor juridice ale UE în legislația națională</w:t>
            </w:r>
          </w:p>
        </w:tc>
      </w:tr>
      <w:tr w:rsidR="00403CEB" w:rsidRPr="00724ED9" w14:paraId="5EB63D67" w14:textId="77777777" w:rsidTr="002F58E9">
        <w:tc>
          <w:tcPr>
            <w:tcW w:w="99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75860" w14:textId="17DD0BE6" w:rsidR="003D26FA" w:rsidRPr="00724ED9" w:rsidRDefault="009A2715" w:rsidP="00EE20C2">
            <w:pPr>
              <w:pStyle w:val="a6"/>
              <w:tabs>
                <w:tab w:val="left" w:pos="447"/>
              </w:tabs>
              <w:spacing w:before="60"/>
              <w:ind w:left="0" w:firstLine="567"/>
              <w:contextualSpacing w:val="0"/>
              <w:rPr>
                <w:sz w:val="24"/>
                <w:szCs w:val="24"/>
              </w:rPr>
            </w:pPr>
            <w:r w:rsidRPr="00724ED9">
              <w:rPr>
                <w:sz w:val="24"/>
                <w:szCs w:val="24"/>
              </w:rPr>
              <w:t>Proiectul hotărârii Guvernului nu are ca scop armonizarea legislației naționale cu legislația Uniunii Europene.</w:t>
            </w:r>
          </w:p>
        </w:tc>
      </w:tr>
      <w:tr w:rsidR="00403CEB" w:rsidRPr="00724ED9" w14:paraId="1742E6BF" w14:textId="77777777" w:rsidTr="002F58E9">
        <w:tc>
          <w:tcPr>
            <w:tcW w:w="9913" w:type="dxa"/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933B" w14:textId="77777777" w:rsidR="003D26FA" w:rsidRPr="00724ED9" w:rsidRDefault="003D26FA" w:rsidP="00EE20C2">
            <w:pPr>
              <w:spacing w:before="60"/>
              <w:ind w:firstLine="567"/>
              <w:rPr>
                <w:sz w:val="24"/>
                <w:szCs w:val="24"/>
              </w:rPr>
            </w:pPr>
            <w:r w:rsidRPr="00724ED9">
              <w:rPr>
                <w:sz w:val="24"/>
                <w:szCs w:val="24"/>
              </w:rPr>
              <w:lastRenderedPageBreak/>
              <w:t>5.2. Măsuri normative care urmăresc crearea cadrului juridic intern necesar pentru implementarea legislației UE</w:t>
            </w:r>
          </w:p>
        </w:tc>
      </w:tr>
      <w:tr w:rsidR="00403CEB" w:rsidRPr="00724ED9" w14:paraId="60D8E01B" w14:textId="77777777" w:rsidTr="002F58E9">
        <w:tc>
          <w:tcPr>
            <w:tcW w:w="99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AFC95" w14:textId="63A200A7" w:rsidR="007F0C39" w:rsidRPr="00724ED9" w:rsidRDefault="009A2715" w:rsidP="00BD4165">
            <w:pPr>
              <w:ind w:firstLine="567"/>
              <w:rPr>
                <w:sz w:val="24"/>
                <w:szCs w:val="24"/>
              </w:rPr>
            </w:pPr>
            <w:r w:rsidRPr="00724ED9">
              <w:rPr>
                <w:sz w:val="24"/>
                <w:szCs w:val="24"/>
              </w:rPr>
              <w:t>Nu este aplicabil.</w:t>
            </w:r>
          </w:p>
        </w:tc>
      </w:tr>
      <w:tr w:rsidR="00403CEB" w:rsidRPr="00724ED9" w14:paraId="3B5332F1" w14:textId="77777777" w:rsidTr="002F58E9">
        <w:tc>
          <w:tcPr>
            <w:tcW w:w="9913" w:type="dxa"/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A4EEF" w14:textId="77777777" w:rsidR="003D26FA" w:rsidRPr="00724ED9" w:rsidRDefault="003D26FA" w:rsidP="00EE20C2">
            <w:pPr>
              <w:spacing w:before="60"/>
              <w:ind w:firstLine="567"/>
              <w:rPr>
                <w:b/>
                <w:bCs/>
                <w:sz w:val="24"/>
                <w:szCs w:val="24"/>
              </w:rPr>
            </w:pPr>
            <w:r w:rsidRPr="00724ED9">
              <w:rPr>
                <w:b/>
                <w:bCs/>
                <w:sz w:val="24"/>
                <w:szCs w:val="24"/>
              </w:rPr>
              <w:t>6. Avizarea și consultarea publică a proiectului actului normativ</w:t>
            </w:r>
          </w:p>
        </w:tc>
      </w:tr>
      <w:tr w:rsidR="00403CEB" w:rsidRPr="00724ED9" w14:paraId="0CE8E0BB" w14:textId="77777777" w:rsidTr="002F58E9">
        <w:tc>
          <w:tcPr>
            <w:tcW w:w="99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F6B5B" w14:textId="2854B941" w:rsidR="00ED3D14" w:rsidRPr="00724ED9" w:rsidRDefault="003D22E2" w:rsidP="00ED3D14">
            <w:pPr>
              <w:ind w:firstLine="567"/>
              <w:rPr>
                <w:sz w:val="24"/>
                <w:szCs w:val="24"/>
              </w:rPr>
            </w:pPr>
            <w:r w:rsidRPr="003D22E2">
              <w:rPr>
                <w:sz w:val="24"/>
                <w:szCs w:val="24"/>
              </w:rPr>
              <w:t xml:space="preserve">În scopul respectării prevederilor Legii nr. 100/2017 cu privire la actele normative și </w:t>
            </w:r>
            <w:r w:rsidR="00DB1D2B">
              <w:rPr>
                <w:sz w:val="24"/>
                <w:szCs w:val="24"/>
              </w:rPr>
              <w:t xml:space="preserve">ale </w:t>
            </w:r>
            <w:r w:rsidRPr="003D22E2">
              <w:rPr>
                <w:sz w:val="24"/>
                <w:szCs w:val="24"/>
              </w:rPr>
              <w:t>Legii              nr. 239/2008 privind transparența în procesul decizional</w:t>
            </w:r>
            <w:r w:rsidRPr="00DC1068">
              <w:rPr>
                <w:sz w:val="24"/>
                <w:szCs w:val="24"/>
              </w:rPr>
              <w:t xml:space="preserve">, </w:t>
            </w:r>
            <w:r w:rsidR="00DC1068" w:rsidRPr="00DC1068">
              <w:rPr>
                <w:sz w:val="24"/>
                <w:szCs w:val="24"/>
              </w:rPr>
              <w:t xml:space="preserve">anunțul privind inițierea procesului de elaborare </w:t>
            </w:r>
            <w:r w:rsidR="00DB1D2B">
              <w:rPr>
                <w:sz w:val="24"/>
                <w:szCs w:val="24"/>
              </w:rPr>
              <w:t xml:space="preserve">și proiectul </w:t>
            </w:r>
            <w:r w:rsidR="00DC1068" w:rsidRPr="00DC1068">
              <w:rPr>
                <w:sz w:val="24"/>
                <w:szCs w:val="24"/>
              </w:rPr>
              <w:t xml:space="preserve">hotărârii Guvernului </w:t>
            </w:r>
            <w:r w:rsidRPr="003D22E2">
              <w:rPr>
                <w:sz w:val="24"/>
                <w:szCs w:val="24"/>
              </w:rPr>
              <w:t>a</w:t>
            </w:r>
            <w:r w:rsidR="00DB1D2B">
              <w:rPr>
                <w:sz w:val="24"/>
                <w:szCs w:val="24"/>
              </w:rPr>
              <w:t>u</w:t>
            </w:r>
            <w:r w:rsidRPr="003D22E2">
              <w:rPr>
                <w:sz w:val="24"/>
                <w:szCs w:val="24"/>
              </w:rPr>
              <w:t xml:space="preserve"> fost </w:t>
            </w:r>
            <w:r w:rsidR="00DC1068">
              <w:rPr>
                <w:sz w:val="24"/>
                <w:szCs w:val="24"/>
              </w:rPr>
              <w:t>publicat</w:t>
            </w:r>
            <w:r w:rsidR="00DB1D2B">
              <w:rPr>
                <w:sz w:val="24"/>
                <w:szCs w:val="24"/>
              </w:rPr>
              <w:t>e</w:t>
            </w:r>
            <w:r w:rsidRPr="003D22E2">
              <w:rPr>
                <w:sz w:val="24"/>
                <w:szCs w:val="24"/>
              </w:rPr>
              <w:t xml:space="preserve"> pe platforma </w:t>
            </w:r>
            <w:hyperlink r:id="rId8" w:history="1">
              <w:r w:rsidRPr="003D22E2">
                <w:rPr>
                  <w:rStyle w:val="a8"/>
                  <w:sz w:val="24"/>
                  <w:szCs w:val="24"/>
                </w:rPr>
                <w:t>www.particip.gov.md</w:t>
              </w:r>
            </w:hyperlink>
            <w:r w:rsidRPr="003D22E2">
              <w:rPr>
                <w:sz w:val="24"/>
                <w:szCs w:val="24"/>
              </w:rPr>
              <w:t xml:space="preserve"> și pe site-ul web oficial al Ministerului Afacerilor Interne </w:t>
            </w:r>
            <w:hyperlink r:id="rId9" w:history="1">
              <w:r w:rsidRPr="003D22E2">
                <w:rPr>
                  <w:rStyle w:val="a8"/>
                  <w:sz w:val="24"/>
                  <w:szCs w:val="24"/>
                </w:rPr>
                <w:t>www.mai.gov.md</w:t>
              </w:r>
            </w:hyperlink>
            <w:r w:rsidRPr="003D22E2">
              <w:rPr>
                <w:sz w:val="24"/>
                <w:szCs w:val="24"/>
              </w:rPr>
              <w:t xml:space="preserve">, </w:t>
            </w:r>
            <w:r w:rsidR="00DB1D2B" w:rsidRPr="00DB1D2B">
              <w:rPr>
                <w:sz w:val="24"/>
                <w:szCs w:val="24"/>
              </w:rPr>
              <w:t>la compartimentul</w:t>
            </w:r>
            <w:r w:rsidR="00DB1D2B">
              <w:rPr>
                <w:sz w:val="24"/>
                <w:szCs w:val="24"/>
              </w:rPr>
              <w:t xml:space="preserve"> </w:t>
            </w:r>
            <w:r w:rsidRPr="003D22E2">
              <w:rPr>
                <w:sz w:val="24"/>
                <w:szCs w:val="24"/>
              </w:rPr>
              <w:t>Transparența/Consultări publice/Inițierea elaborării actelor norm</w:t>
            </w:r>
            <w:r w:rsidR="00DB1D2B">
              <w:rPr>
                <w:sz w:val="24"/>
                <w:szCs w:val="24"/>
              </w:rPr>
              <w:t>ative</w:t>
            </w:r>
            <w:r w:rsidR="00F12A3A" w:rsidRPr="00F12A3A">
              <w:rPr>
                <w:sz w:val="24"/>
                <w:szCs w:val="24"/>
              </w:rPr>
              <w:t xml:space="preserve"> </w:t>
            </w:r>
            <w:r w:rsidR="00DB1D2B" w:rsidRPr="00DB1D2B">
              <w:rPr>
                <w:sz w:val="24"/>
                <w:szCs w:val="24"/>
              </w:rPr>
              <w:t>și pot fi con</w:t>
            </w:r>
            <w:r w:rsidR="00DB1D2B">
              <w:rPr>
                <w:sz w:val="24"/>
                <w:szCs w:val="24"/>
              </w:rPr>
              <w:t>sultate accesând următorul link</w:t>
            </w:r>
            <w:r w:rsidR="00DB1D2B" w:rsidRPr="00DB1D2B">
              <w:rPr>
                <w:sz w:val="24"/>
                <w:szCs w:val="24"/>
              </w:rPr>
              <w:t>:</w:t>
            </w:r>
            <w:r w:rsidR="00DB1D2B">
              <w:rPr>
                <w:sz w:val="24"/>
                <w:szCs w:val="24"/>
              </w:rPr>
              <w:t xml:space="preserve"> </w:t>
            </w:r>
            <w:hyperlink r:id="rId10" w:history="1">
              <w:r w:rsidR="00ED3D14" w:rsidRPr="00724ED9">
                <w:rPr>
                  <w:rStyle w:val="a8"/>
                  <w:sz w:val="24"/>
                  <w:szCs w:val="24"/>
                </w:rPr>
                <w:t>https://particip.gov.md/ro/document/stages/*/16387</w:t>
              </w:r>
            </w:hyperlink>
          </w:p>
          <w:p w14:paraId="01D614CE" w14:textId="58F306BE" w:rsidR="009E442C" w:rsidRPr="00724ED9" w:rsidRDefault="003D22E2" w:rsidP="003D22E2">
            <w:pPr>
              <w:ind w:firstLine="567"/>
              <w:rPr>
                <w:sz w:val="24"/>
                <w:szCs w:val="24"/>
              </w:rPr>
            </w:pPr>
            <w:r w:rsidRPr="005139BB">
              <w:rPr>
                <w:sz w:val="24"/>
                <w:szCs w:val="24"/>
              </w:rPr>
              <w:t>Proiectul a fost avizat de Ministerul Apărării, Ministerul Finanțelor și Ministerul Mediului</w:t>
            </w:r>
            <w:r w:rsidR="00801290" w:rsidRPr="005139BB">
              <w:rPr>
                <w:sz w:val="24"/>
                <w:szCs w:val="24"/>
              </w:rPr>
              <w:t xml:space="preserve">. </w:t>
            </w:r>
            <w:r w:rsidRPr="005139BB">
              <w:rPr>
                <w:sz w:val="24"/>
                <w:szCs w:val="24"/>
              </w:rPr>
              <w:t>Argumentarea autorului proiectului vizavi de propunerile/obiecțiile înaintate este reflectată în sinteză.</w:t>
            </w:r>
          </w:p>
        </w:tc>
      </w:tr>
      <w:tr w:rsidR="00403CEB" w:rsidRPr="00724ED9" w14:paraId="34C9777C" w14:textId="77777777" w:rsidTr="002F58E9">
        <w:tc>
          <w:tcPr>
            <w:tcW w:w="9913" w:type="dxa"/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21AC2" w14:textId="77777777" w:rsidR="003D26FA" w:rsidRPr="00724ED9" w:rsidRDefault="003D26FA" w:rsidP="00EE20C2">
            <w:pPr>
              <w:spacing w:before="60"/>
              <w:ind w:firstLine="567"/>
              <w:rPr>
                <w:b/>
                <w:bCs/>
                <w:sz w:val="24"/>
                <w:szCs w:val="24"/>
              </w:rPr>
            </w:pPr>
            <w:r w:rsidRPr="00724ED9">
              <w:rPr>
                <w:b/>
                <w:bCs/>
                <w:sz w:val="24"/>
                <w:szCs w:val="24"/>
              </w:rPr>
              <w:t>7. Concluziile expertizelor</w:t>
            </w:r>
          </w:p>
        </w:tc>
      </w:tr>
      <w:tr w:rsidR="00403CEB" w:rsidRPr="00724ED9" w14:paraId="14A1818D" w14:textId="77777777" w:rsidTr="002F58E9">
        <w:tc>
          <w:tcPr>
            <w:tcW w:w="9913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993A2" w14:textId="3C79FD99" w:rsidR="003D26FA" w:rsidRPr="00724ED9" w:rsidRDefault="00A01A96" w:rsidP="00A33CBB">
            <w:pPr>
              <w:spacing w:before="60"/>
              <w:ind w:firstLine="567"/>
              <w:rPr>
                <w:sz w:val="24"/>
                <w:szCs w:val="24"/>
              </w:rPr>
            </w:pPr>
            <w:r w:rsidRPr="00A01A96">
              <w:rPr>
                <w:sz w:val="24"/>
                <w:szCs w:val="24"/>
              </w:rPr>
              <w:t xml:space="preserve">În conformitate cu art. 36 și 37 din Legea nr. 100/2017 </w:t>
            </w:r>
            <w:r w:rsidR="00A33CBB">
              <w:rPr>
                <w:sz w:val="24"/>
                <w:szCs w:val="24"/>
              </w:rPr>
              <w:t>cu privire la actele normative,</w:t>
            </w:r>
            <w:r w:rsidR="00A33CBB">
              <w:rPr>
                <w:sz w:val="24"/>
                <w:szCs w:val="24"/>
              </w:rPr>
              <w:br/>
            </w:r>
            <w:r w:rsidRPr="00A01A96">
              <w:rPr>
                <w:sz w:val="24"/>
                <w:szCs w:val="24"/>
              </w:rPr>
              <w:t xml:space="preserve">proiectul a fost supus expertizelor juridice și anticorupție, drept urmare, nu au fost </w:t>
            </w:r>
            <w:r w:rsidR="00F3331C" w:rsidRPr="00397B4F">
              <w:rPr>
                <w:sz w:val="24"/>
                <w:szCs w:val="24"/>
              </w:rPr>
              <w:t>înaintate</w:t>
            </w:r>
            <w:r w:rsidR="00A33CBB">
              <w:rPr>
                <w:sz w:val="24"/>
                <w:szCs w:val="24"/>
              </w:rPr>
              <w:br/>
            </w:r>
            <w:r w:rsidRPr="00A01A96">
              <w:rPr>
                <w:sz w:val="24"/>
                <w:szCs w:val="24"/>
              </w:rPr>
              <w:t>obiecții sau propuneri.</w:t>
            </w:r>
          </w:p>
        </w:tc>
      </w:tr>
      <w:tr w:rsidR="00403CEB" w:rsidRPr="00724ED9" w14:paraId="2956D8D0" w14:textId="77777777" w:rsidTr="002F58E9">
        <w:tc>
          <w:tcPr>
            <w:tcW w:w="9913" w:type="dxa"/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AD95" w14:textId="77777777" w:rsidR="003D26FA" w:rsidRPr="00724ED9" w:rsidRDefault="003D26FA" w:rsidP="00EE20C2">
            <w:pPr>
              <w:spacing w:before="60"/>
              <w:ind w:firstLine="567"/>
              <w:rPr>
                <w:b/>
                <w:bCs/>
                <w:sz w:val="24"/>
                <w:szCs w:val="24"/>
              </w:rPr>
            </w:pPr>
            <w:r w:rsidRPr="00724ED9">
              <w:rPr>
                <w:b/>
                <w:bCs/>
                <w:sz w:val="24"/>
                <w:szCs w:val="24"/>
              </w:rPr>
              <w:t>8. Modul de încorporare a actului în cadrul normativ existent</w:t>
            </w:r>
          </w:p>
        </w:tc>
      </w:tr>
      <w:tr w:rsidR="00403CEB" w:rsidRPr="00724ED9" w14:paraId="3CE750F2" w14:textId="77777777" w:rsidTr="002F58E9">
        <w:tc>
          <w:tcPr>
            <w:tcW w:w="99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8796F" w14:textId="1FD092C2" w:rsidR="003D26FA" w:rsidRPr="00724ED9" w:rsidRDefault="00443E1B" w:rsidP="00EE20C2">
            <w:pPr>
              <w:spacing w:before="60"/>
              <w:ind w:firstLine="567"/>
              <w:rPr>
                <w:sz w:val="24"/>
                <w:szCs w:val="24"/>
              </w:rPr>
            </w:pPr>
            <w:r w:rsidRPr="00724ED9">
              <w:rPr>
                <w:sz w:val="24"/>
                <w:szCs w:val="24"/>
              </w:rPr>
              <w:t>Proiectul se încadrează în cadrul normativ existent și nu necesită modificarea altor acte normative.</w:t>
            </w:r>
          </w:p>
        </w:tc>
      </w:tr>
      <w:tr w:rsidR="00403CEB" w:rsidRPr="00724ED9" w14:paraId="0C288BDE" w14:textId="77777777" w:rsidTr="002F58E9">
        <w:tc>
          <w:tcPr>
            <w:tcW w:w="9913" w:type="dxa"/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9218B" w14:textId="77777777" w:rsidR="003D26FA" w:rsidRPr="00724ED9" w:rsidRDefault="003D26FA" w:rsidP="00EE20C2">
            <w:pPr>
              <w:spacing w:before="60"/>
              <w:ind w:firstLine="567"/>
              <w:rPr>
                <w:b/>
                <w:bCs/>
                <w:sz w:val="24"/>
                <w:szCs w:val="24"/>
              </w:rPr>
            </w:pPr>
            <w:r w:rsidRPr="00724ED9">
              <w:rPr>
                <w:b/>
                <w:bCs/>
                <w:sz w:val="24"/>
                <w:szCs w:val="24"/>
              </w:rPr>
              <w:t>9. Măsurile necesare pentru implementarea prevederilor proiectului actului normativ</w:t>
            </w:r>
          </w:p>
        </w:tc>
      </w:tr>
      <w:tr w:rsidR="00403CEB" w:rsidRPr="00724ED9" w14:paraId="7FE5D751" w14:textId="77777777" w:rsidTr="002F58E9">
        <w:tc>
          <w:tcPr>
            <w:tcW w:w="99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A8A3C" w14:textId="03E6079D" w:rsidR="00977A10" w:rsidRPr="00724ED9" w:rsidRDefault="004A7123" w:rsidP="004A7123">
            <w:pPr>
              <w:spacing w:before="60"/>
              <w:ind w:firstLine="567"/>
              <w:rPr>
                <w:sz w:val="24"/>
                <w:szCs w:val="24"/>
              </w:rPr>
            </w:pPr>
            <w:r w:rsidRPr="004A7123">
              <w:rPr>
                <w:sz w:val="24"/>
                <w:szCs w:val="24"/>
              </w:rPr>
              <w:t>Pentru implementarea prevederilor proiectului actului normativ este necesară asigurarea controlului asupra executării acestuia de către autoritățile competente.</w:t>
            </w:r>
          </w:p>
        </w:tc>
      </w:tr>
    </w:tbl>
    <w:p w14:paraId="2F822F1F" w14:textId="77777777" w:rsidR="003D26FA" w:rsidRPr="00724ED9" w:rsidRDefault="003D26FA" w:rsidP="002F58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ind w:firstLine="0"/>
        <w:rPr>
          <w:sz w:val="24"/>
          <w:szCs w:val="24"/>
        </w:rPr>
      </w:pPr>
    </w:p>
    <w:p w14:paraId="305672EF" w14:textId="77777777" w:rsidR="003D26FA" w:rsidRPr="00724ED9" w:rsidRDefault="003D26FA" w:rsidP="002F58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ind w:firstLine="0"/>
        <w:rPr>
          <w:sz w:val="24"/>
          <w:szCs w:val="24"/>
        </w:rPr>
      </w:pPr>
    </w:p>
    <w:p w14:paraId="229DBFF9" w14:textId="77777777" w:rsidR="00170174" w:rsidRPr="00724ED9" w:rsidRDefault="00170174" w:rsidP="00C356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ind w:firstLine="0"/>
        <w:rPr>
          <w:sz w:val="24"/>
          <w:szCs w:val="24"/>
        </w:rPr>
      </w:pPr>
    </w:p>
    <w:p w14:paraId="04A462C7" w14:textId="68D7921D" w:rsidR="00251F37" w:rsidRPr="00A01A96" w:rsidRDefault="00A32ED9" w:rsidP="00C35620">
      <w:pPr>
        <w:tabs>
          <w:tab w:val="left" w:pos="0"/>
          <w:tab w:val="left" w:pos="8080"/>
        </w:tabs>
        <w:ind w:firstLine="0"/>
        <w:rPr>
          <w:b/>
          <w:bCs/>
          <w:sz w:val="28"/>
          <w:szCs w:val="28"/>
        </w:rPr>
      </w:pPr>
      <w:r w:rsidRPr="00A32ED9">
        <w:rPr>
          <w:b/>
          <w:bCs/>
          <w:sz w:val="28"/>
          <w:szCs w:val="28"/>
        </w:rPr>
        <w:t>Secretar de stat</w:t>
      </w:r>
      <w:r w:rsidR="00C35620">
        <w:rPr>
          <w:b/>
          <w:bCs/>
          <w:sz w:val="28"/>
          <w:szCs w:val="28"/>
        </w:rPr>
        <w:tab/>
      </w:r>
      <w:r w:rsidRPr="00A32ED9">
        <w:rPr>
          <w:b/>
          <w:bCs/>
          <w:sz w:val="28"/>
          <w:szCs w:val="28"/>
        </w:rPr>
        <w:t>Victor GROSU</w:t>
      </w:r>
    </w:p>
    <w:sectPr w:rsidR="00251F37" w:rsidRPr="00A01A96" w:rsidSect="00736FCB">
      <w:headerReference w:type="default" r:id="rId11"/>
      <w:headerReference w:type="first" r:id="rId12"/>
      <w:pgSz w:w="11907" w:h="16840"/>
      <w:pgMar w:top="737" w:right="851" w:bottom="568" w:left="1134" w:header="709" w:footer="709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ADA7A8" w16cex:dateUtc="2026-05-12T10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22D8C4" w16cid:durableId="2DADA7A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858D5" w14:textId="77777777" w:rsidR="00F35CC4" w:rsidRDefault="00F35CC4">
      <w:r>
        <w:separator/>
      </w:r>
    </w:p>
  </w:endnote>
  <w:endnote w:type="continuationSeparator" w:id="0">
    <w:p w14:paraId="4C509132" w14:textId="77777777" w:rsidR="00F35CC4" w:rsidRDefault="00F3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9E1D2" w14:textId="77777777" w:rsidR="00F35CC4" w:rsidRDefault="00F35CC4">
      <w:r>
        <w:separator/>
      </w:r>
    </w:p>
  </w:footnote>
  <w:footnote w:type="continuationSeparator" w:id="0">
    <w:p w14:paraId="5E57822F" w14:textId="77777777" w:rsidR="00F35CC4" w:rsidRDefault="00F35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9A0CA" w14:textId="77777777" w:rsidR="007B63C6" w:rsidRPr="007152BE" w:rsidRDefault="007B63C6" w:rsidP="007B63C6">
    <w:pPr>
      <w:pStyle w:val="a3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A30E4" w14:textId="77777777" w:rsidR="007B63C6" w:rsidRPr="007152BE" w:rsidRDefault="007B63C6">
    <w:pPr>
      <w:pStyle w:val="a3"/>
      <w:ind w:firstLine="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2FA5"/>
    <w:multiLevelType w:val="multilevel"/>
    <w:tmpl w:val="0D52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9552E"/>
    <w:multiLevelType w:val="hybridMultilevel"/>
    <w:tmpl w:val="C8A27E22"/>
    <w:lvl w:ilvl="0" w:tplc="3FC2825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0FB3016"/>
    <w:multiLevelType w:val="hybridMultilevel"/>
    <w:tmpl w:val="0B9CDAD6"/>
    <w:lvl w:ilvl="0" w:tplc="F816EBC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3B150A"/>
    <w:multiLevelType w:val="hybridMultilevel"/>
    <w:tmpl w:val="C1BA8ECC"/>
    <w:lvl w:ilvl="0" w:tplc="2E4C8B3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A7937E4"/>
    <w:multiLevelType w:val="hybridMultilevel"/>
    <w:tmpl w:val="E73EB3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1125A"/>
    <w:multiLevelType w:val="multilevel"/>
    <w:tmpl w:val="57DC2F76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C7B2A21"/>
    <w:multiLevelType w:val="multilevel"/>
    <w:tmpl w:val="ED2652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1D745F"/>
    <w:multiLevelType w:val="hybridMultilevel"/>
    <w:tmpl w:val="C1264596"/>
    <w:lvl w:ilvl="0" w:tplc="F29846DA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893A5B"/>
    <w:multiLevelType w:val="hybridMultilevel"/>
    <w:tmpl w:val="811ECE9E"/>
    <w:lvl w:ilvl="0" w:tplc="0F383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E0302D"/>
    <w:multiLevelType w:val="hybridMultilevel"/>
    <w:tmpl w:val="CB74D09A"/>
    <w:lvl w:ilvl="0" w:tplc="C874A468">
      <w:start w:val="1"/>
      <w:numFmt w:val="decimal"/>
      <w:lvlText w:val="1.2.6.%1."/>
      <w:lvlJc w:val="left"/>
      <w:pPr>
        <w:ind w:left="13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4D60315A"/>
    <w:multiLevelType w:val="hybridMultilevel"/>
    <w:tmpl w:val="8A0C5B86"/>
    <w:lvl w:ilvl="0" w:tplc="7D7689E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F425CC4"/>
    <w:multiLevelType w:val="hybridMultilevel"/>
    <w:tmpl w:val="6262D51C"/>
    <w:lvl w:ilvl="0" w:tplc="2E74750E">
      <w:start w:val="1"/>
      <w:numFmt w:val="decimal"/>
      <w:lvlText w:val="%1."/>
      <w:lvlJc w:val="left"/>
      <w:pPr>
        <w:ind w:left="608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2" w15:restartNumberingAfterBreak="0">
    <w:nsid w:val="51D35626"/>
    <w:multiLevelType w:val="multilevel"/>
    <w:tmpl w:val="8954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037F9B"/>
    <w:multiLevelType w:val="hybridMultilevel"/>
    <w:tmpl w:val="547EE534"/>
    <w:lvl w:ilvl="0" w:tplc="C238784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B2D29CC"/>
    <w:multiLevelType w:val="multilevel"/>
    <w:tmpl w:val="EDA09B7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1.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1.2.7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5D7E786B"/>
    <w:multiLevelType w:val="multilevel"/>
    <w:tmpl w:val="E098C9E0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E268ED"/>
    <w:multiLevelType w:val="hybridMultilevel"/>
    <w:tmpl w:val="FE360892"/>
    <w:lvl w:ilvl="0" w:tplc="B15CB9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841D0"/>
    <w:multiLevelType w:val="multilevel"/>
    <w:tmpl w:val="2514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B47417"/>
    <w:multiLevelType w:val="hybridMultilevel"/>
    <w:tmpl w:val="E9063712"/>
    <w:lvl w:ilvl="0" w:tplc="0BAC0448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29A04D2E">
      <w:numFmt w:val="bullet"/>
      <w:lvlText w:val="•"/>
      <w:lvlJc w:val="left"/>
      <w:pPr>
        <w:ind w:left="2862" w:hanging="85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76F44FEE"/>
    <w:multiLevelType w:val="hybridMultilevel"/>
    <w:tmpl w:val="4808E9F0"/>
    <w:lvl w:ilvl="0" w:tplc="6046DF84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A3E6AE4"/>
    <w:multiLevelType w:val="hybridMultilevel"/>
    <w:tmpl w:val="009A4DCC"/>
    <w:lvl w:ilvl="0" w:tplc="2E4C8B3C">
      <w:start w:val="1"/>
      <w:numFmt w:val="bullet"/>
      <w:lvlText w:val="-"/>
      <w:lvlJc w:val="left"/>
      <w:pPr>
        <w:ind w:left="7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54E69"/>
    <w:multiLevelType w:val="hybridMultilevel"/>
    <w:tmpl w:val="C3288F94"/>
    <w:lvl w:ilvl="0" w:tplc="0F383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3"/>
  </w:num>
  <w:num w:numId="3">
    <w:abstractNumId w:val="18"/>
  </w:num>
  <w:num w:numId="4">
    <w:abstractNumId w:val="4"/>
  </w:num>
  <w:num w:numId="5">
    <w:abstractNumId w:val="16"/>
  </w:num>
  <w:num w:numId="6">
    <w:abstractNumId w:val="7"/>
  </w:num>
  <w:num w:numId="7">
    <w:abstractNumId w:val="19"/>
  </w:num>
  <w:num w:numId="8">
    <w:abstractNumId w:val="5"/>
  </w:num>
  <w:num w:numId="9">
    <w:abstractNumId w:val="10"/>
  </w:num>
  <w:num w:numId="10">
    <w:abstractNumId w:val="15"/>
  </w:num>
  <w:num w:numId="11">
    <w:abstractNumId w:val="0"/>
  </w:num>
  <w:num w:numId="12">
    <w:abstractNumId w:val="13"/>
  </w:num>
  <w:num w:numId="13">
    <w:abstractNumId w:val="14"/>
  </w:num>
  <w:num w:numId="14">
    <w:abstractNumId w:val="9"/>
  </w:num>
  <w:num w:numId="15">
    <w:abstractNumId w:val="21"/>
  </w:num>
  <w:num w:numId="16">
    <w:abstractNumId w:val="8"/>
  </w:num>
  <w:num w:numId="17">
    <w:abstractNumId w:val="11"/>
  </w:num>
  <w:num w:numId="18">
    <w:abstractNumId w:val="17"/>
  </w:num>
  <w:num w:numId="19">
    <w:abstractNumId w:val="6"/>
  </w:num>
  <w:num w:numId="20">
    <w:abstractNumId w:val="12"/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FA"/>
    <w:rsid w:val="00004E2A"/>
    <w:rsid w:val="00007D57"/>
    <w:rsid w:val="000108D9"/>
    <w:rsid w:val="00011123"/>
    <w:rsid w:val="00011A62"/>
    <w:rsid w:val="00013756"/>
    <w:rsid w:val="0001535C"/>
    <w:rsid w:val="000213C1"/>
    <w:rsid w:val="00027120"/>
    <w:rsid w:val="00035EE5"/>
    <w:rsid w:val="000364EA"/>
    <w:rsid w:val="000454AA"/>
    <w:rsid w:val="000456C5"/>
    <w:rsid w:val="0005504B"/>
    <w:rsid w:val="00055166"/>
    <w:rsid w:val="00060A89"/>
    <w:rsid w:val="00062775"/>
    <w:rsid w:val="00065C6C"/>
    <w:rsid w:val="000660AA"/>
    <w:rsid w:val="00067897"/>
    <w:rsid w:val="00067DEE"/>
    <w:rsid w:val="00071D24"/>
    <w:rsid w:val="00072440"/>
    <w:rsid w:val="00073999"/>
    <w:rsid w:val="00075F78"/>
    <w:rsid w:val="00086753"/>
    <w:rsid w:val="000869A4"/>
    <w:rsid w:val="000A1291"/>
    <w:rsid w:val="000A167A"/>
    <w:rsid w:val="000A2297"/>
    <w:rsid w:val="000A2DF4"/>
    <w:rsid w:val="000A44F1"/>
    <w:rsid w:val="000B0AFF"/>
    <w:rsid w:val="000B14B1"/>
    <w:rsid w:val="000B6D29"/>
    <w:rsid w:val="000B7660"/>
    <w:rsid w:val="000C3F86"/>
    <w:rsid w:val="000D78A4"/>
    <w:rsid w:val="000E06D1"/>
    <w:rsid w:val="000E2039"/>
    <w:rsid w:val="000E57D3"/>
    <w:rsid w:val="000E6F25"/>
    <w:rsid w:val="000E75EE"/>
    <w:rsid w:val="000F301A"/>
    <w:rsid w:val="000F77E8"/>
    <w:rsid w:val="00105C33"/>
    <w:rsid w:val="00107F87"/>
    <w:rsid w:val="001103A1"/>
    <w:rsid w:val="001106AA"/>
    <w:rsid w:val="001177F2"/>
    <w:rsid w:val="001256CC"/>
    <w:rsid w:val="00125B16"/>
    <w:rsid w:val="001274E6"/>
    <w:rsid w:val="00132ABB"/>
    <w:rsid w:val="001342CA"/>
    <w:rsid w:val="00134B0F"/>
    <w:rsid w:val="00135A9E"/>
    <w:rsid w:val="001376E6"/>
    <w:rsid w:val="00137C2F"/>
    <w:rsid w:val="00140515"/>
    <w:rsid w:val="00142076"/>
    <w:rsid w:val="00144503"/>
    <w:rsid w:val="00146D7F"/>
    <w:rsid w:val="0015495F"/>
    <w:rsid w:val="00157C0B"/>
    <w:rsid w:val="00161BC6"/>
    <w:rsid w:val="00161C52"/>
    <w:rsid w:val="001635D7"/>
    <w:rsid w:val="00165DC6"/>
    <w:rsid w:val="00170174"/>
    <w:rsid w:val="001718FA"/>
    <w:rsid w:val="001739D0"/>
    <w:rsid w:val="00177DFC"/>
    <w:rsid w:val="00183A4C"/>
    <w:rsid w:val="00185254"/>
    <w:rsid w:val="001853E7"/>
    <w:rsid w:val="00191806"/>
    <w:rsid w:val="00194053"/>
    <w:rsid w:val="001971CD"/>
    <w:rsid w:val="001A0E8A"/>
    <w:rsid w:val="001A3D69"/>
    <w:rsid w:val="001A3F84"/>
    <w:rsid w:val="001A6B17"/>
    <w:rsid w:val="001B0D3A"/>
    <w:rsid w:val="001B2785"/>
    <w:rsid w:val="001C3B8F"/>
    <w:rsid w:val="001D4973"/>
    <w:rsid w:val="001D7450"/>
    <w:rsid w:val="001E14B6"/>
    <w:rsid w:val="001E17B4"/>
    <w:rsid w:val="001E344A"/>
    <w:rsid w:val="001E3F10"/>
    <w:rsid w:val="001E46C9"/>
    <w:rsid w:val="001E5EC3"/>
    <w:rsid w:val="001E5F5F"/>
    <w:rsid w:val="001E7A7A"/>
    <w:rsid w:val="001F39FF"/>
    <w:rsid w:val="00201254"/>
    <w:rsid w:val="00202BF4"/>
    <w:rsid w:val="00223757"/>
    <w:rsid w:val="00226917"/>
    <w:rsid w:val="00230190"/>
    <w:rsid w:val="00233075"/>
    <w:rsid w:val="00233A5B"/>
    <w:rsid w:val="00240EE7"/>
    <w:rsid w:val="002414B3"/>
    <w:rsid w:val="002472A8"/>
    <w:rsid w:val="00247367"/>
    <w:rsid w:val="002512CB"/>
    <w:rsid w:val="00251CBB"/>
    <w:rsid w:val="00251F37"/>
    <w:rsid w:val="00254C8E"/>
    <w:rsid w:val="002569A9"/>
    <w:rsid w:val="00264445"/>
    <w:rsid w:val="002644EB"/>
    <w:rsid w:val="00265AF4"/>
    <w:rsid w:val="00266F76"/>
    <w:rsid w:val="002678A3"/>
    <w:rsid w:val="00272F3C"/>
    <w:rsid w:val="00273A75"/>
    <w:rsid w:val="0027441D"/>
    <w:rsid w:val="0028094E"/>
    <w:rsid w:val="00281156"/>
    <w:rsid w:val="00281531"/>
    <w:rsid w:val="002821C1"/>
    <w:rsid w:val="00284BFF"/>
    <w:rsid w:val="00287109"/>
    <w:rsid w:val="002879E6"/>
    <w:rsid w:val="00294ADE"/>
    <w:rsid w:val="00297E19"/>
    <w:rsid w:val="002A2382"/>
    <w:rsid w:val="002A49B4"/>
    <w:rsid w:val="002A65FA"/>
    <w:rsid w:val="002B1FBB"/>
    <w:rsid w:val="002B5ED9"/>
    <w:rsid w:val="002C3AD9"/>
    <w:rsid w:val="002C654F"/>
    <w:rsid w:val="002D20FA"/>
    <w:rsid w:val="002E11D8"/>
    <w:rsid w:val="002E4504"/>
    <w:rsid w:val="002E4C35"/>
    <w:rsid w:val="002E5723"/>
    <w:rsid w:val="002F13B5"/>
    <w:rsid w:val="002F300B"/>
    <w:rsid w:val="002F3828"/>
    <w:rsid w:val="002F58E9"/>
    <w:rsid w:val="002F740B"/>
    <w:rsid w:val="003016FE"/>
    <w:rsid w:val="00303337"/>
    <w:rsid w:val="0030371B"/>
    <w:rsid w:val="00304EB7"/>
    <w:rsid w:val="00307BD0"/>
    <w:rsid w:val="00311AAE"/>
    <w:rsid w:val="003133D5"/>
    <w:rsid w:val="003150A2"/>
    <w:rsid w:val="003160FD"/>
    <w:rsid w:val="00317081"/>
    <w:rsid w:val="00327117"/>
    <w:rsid w:val="0033162F"/>
    <w:rsid w:val="0033727C"/>
    <w:rsid w:val="0034067A"/>
    <w:rsid w:val="00342366"/>
    <w:rsid w:val="00355180"/>
    <w:rsid w:val="00356422"/>
    <w:rsid w:val="003606FD"/>
    <w:rsid w:val="00361673"/>
    <w:rsid w:val="0036576B"/>
    <w:rsid w:val="003739B3"/>
    <w:rsid w:val="0037489C"/>
    <w:rsid w:val="0037502F"/>
    <w:rsid w:val="00375626"/>
    <w:rsid w:val="00375C61"/>
    <w:rsid w:val="00377DFF"/>
    <w:rsid w:val="003805E1"/>
    <w:rsid w:val="00380BBD"/>
    <w:rsid w:val="003810BF"/>
    <w:rsid w:val="003841D6"/>
    <w:rsid w:val="0038663C"/>
    <w:rsid w:val="00386A43"/>
    <w:rsid w:val="00386C04"/>
    <w:rsid w:val="00387D2E"/>
    <w:rsid w:val="003948C0"/>
    <w:rsid w:val="00397B4F"/>
    <w:rsid w:val="003A0DF5"/>
    <w:rsid w:val="003A4EAC"/>
    <w:rsid w:val="003B5AA6"/>
    <w:rsid w:val="003B760D"/>
    <w:rsid w:val="003C6672"/>
    <w:rsid w:val="003D22E2"/>
    <w:rsid w:val="003D26FA"/>
    <w:rsid w:val="003D3126"/>
    <w:rsid w:val="003D32E1"/>
    <w:rsid w:val="003D68BD"/>
    <w:rsid w:val="003D6EA2"/>
    <w:rsid w:val="003D73C4"/>
    <w:rsid w:val="003E1232"/>
    <w:rsid w:val="003E5523"/>
    <w:rsid w:val="003E634F"/>
    <w:rsid w:val="003E7B4F"/>
    <w:rsid w:val="003F0544"/>
    <w:rsid w:val="003F0F1D"/>
    <w:rsid w:val="003F1644"/>
    <w:rsid w:val="003F2947"/>
    <w:rsid w:val="003F6548"/>
    <w:rsid w:val="00402097"/>
    <w:rsid w:val="00403CEB"/>
    <w:rsid w:val="00403D23"/>
    <w:rsid w:val="0040512C"/>
    <w:rsid w:val="004074DD"/>
    <w:rsid w:val="004132A4"/>
    <w:rsid w:val="0041592B"/>
    <w:rsid w:val="004215BB"/>
    <w:rsid w:val="00425429"/>
    <w:rsid w:val="00425F19"/>
    <w:rsid w:val="004307A3"/>
    <w:rsid w:val="00430CEF"/>
    <w:rsid w:val="00432124"/>
    <w:rsid w:val="00440889"/>
    <w:rsid w:val="00440A50"/>
    <w:rsid w:val="00441178"/>
    <w:rsid w:val="00443E1B"/>
    <w:rsid w:val="00446603"/>
    <w:rsid w:val="0045199A"/>
    <w:rsid w:val="00452C85"/>
    <w:rsid w:val="00456A65"/>
    <w:rsid w:val="00460CFE"/>
    <w:rsid w:val="0046112B"/>
    <w:rsid w:val="00461FA9"/>
    <w:rsid w:val="00462282"/>
    <w:rsid w:val="00464AA9"/>
    <w:rsid w:val="0046584E"/>
    <w:rsid w:val="00476C8A"/>
    <w:rsid w:val="0047781F"/>
    <w:rsid w:val="00477838"/>
    <w:rsid w:val="004819E2"/>
    <w:rsid w:val="00481B0B"/>
    <w:rsid w:val="00483906"/>
    <w:rsid w:val="00484029"/>
    <w:rsid w:val="0048419B"/>
    <w:rsid w:val="00484CD7"/>
    <w:rsid w:val="00485FB0"/>
    <w:rsid w:val="00496012"/>
    <w:rsid w:val="004A0260"/>
    <w:rsid w:val="004A35F5"/>
    <w:rsid w:val="004A4662"/>
    <w:rsid w:val="004A4813"/>
    <w:rsid w:val="004A5BF4"/>
    <w:rsid w:val="004A7123"/>
    <w:rsid w:val="004A7488"/>
    <w:rsid w:val="004B1577"/>
    <w:rsid w:val="004B3DA8"/>
    <w:rsid w:val="004B4C8B"/>
    <w:rsid w:val="004B67B2"/>
    <w:rsid w:val="004B770E"/>
    <w:rsid w:val="004C17F4"/>
    <w:rsid w:val="004C53AE"/>
    <w:rsid w:val="004D0331"/>
    <w:rsid w:val="004D0A95"/>
    <w:rsid w:val="004D2FC3"/>
    <w:rsid w:val="004D59C6"/>
    <w:rsid w:val="004D6826"/>
    <w:rsid w:val="004E02FE"/>
    <w:rsid w:val="004E1120"/>
    <w:rsid w:val="004E1938"/>
    <w:rsid w:val="004E33CE"/>
    <w:rsid w:val="004E59AF"/>
    <w:rsid w:val="004E7C54"/>
    <w:rsid w:val="004F10B5"/>
    <w:rsid w:val="004F1AB3"/>
    <w:rsid w:val="004F47AD"/>
    <w:rsid w:val="004F5ED9"/>
    <w:rsid w:val="005006C5"/>
    <w:rsid w:val="00501191"/>
    <w:rsid w:val="0050445E"/>
    <w:rsid w:val="005139BB"/>
    <w:rsid w:val="00516A66"/>
    <w:rsid w:val="005174AB"/>
    <w:rsid w:val="00522F4B"/>
    <w:rsid w:val="0052329D"/>
    <w:rsid w:val="00526E31"/>
    <w:rsid w:val="00531DB4"/>
    <w:rsid w:val="005326F8"/>
    <w:rsid w:val="0053342E"/>
    <w:rsid w:val="00541700"/>
    <w:rsid w:val="00542BAF"/>
    <w:rsid w:val="00551FA5"/>
    <w:rsid w:val="005676EA"/>
    <w:rsid w:val="00567B36"/>
    <w:rsid w:val="0057091D"/>
    <w:rsid w:val="00573511"/>
    <w:rsid w:val="005751FC"/>
    <w:rsid w:val="00575484"/>
    <w:rsid w:val="00575C4B"/>
    <w:rsid w:val="0057675E"/>
    <w:rsid w:val="00581FE0"/>
    <w:rsid w:val="005826D5"/>
    <w:rsid w:val="005863FC"/>
    <w:rsid w:val="00587C56"/>
    <w:rsid w:val="005903CD"/>
    <w:rsid w:val="00591FDC"/>
    <w:rsid w:val="00595ACA"/>
    <w:rsid w:val="005964D6"/>
    <w:rsid w:val="00596767"/>
    <w:rsid w:val="005A611F"/>
    <w:rsid w:val="005A774A"/>
    <w:rsid w:val="005B09B5"/>
    <w:rsid w:val="005B499B"/>
    <w:rsid w:val="005B6FC8"/>
    <w:rsid w:val="005B7516"/>
    <w:rsid w:val="005C0AAF"/>
    <w:rsid w:val="005C2FE6"/>
    <w:rsid w:val="005C319E"/>
    <w:rsid w:val="005C752B"/>
    <w:rsid w:val="005D08A9"/>
    <w:rsid w:val="005D298E"/>
    <w:rsid w:val="005D4247"/>
    <w:rsid w:val="005D5218"/>
    <w:rsid w:val="005D5A9B"/>
    <w:rsid w:val="005D6887"/>
    <w:rsid w:val="005D699A"/>
    <w:rsid w:val="005E0B9A"/>
    <w:rsid w:val="005E2626"/>
    <w:rsid w:val="005E3BEF"/>
    <w:rsid w:val="005E4DD7"/>
    <w:rsid w:val="005E67CC"/>
    <w:rsid w:val="005E6E06"/>
    <w:rsid w:val="005E7B05"/>
    <w:rsid w:val="005F194A"/>
    <w:rsid w:val="00600134"/>
    <w:rsid w:val="00601C94"/>
    <w:rsid w:val="00602405"/>
    <w:rsid w:val="006051F3"/>
    <w:rsid w:val="00613427"/>
    <w:rsid w:val="00621460"/>
    <w:rsid w:val="00621A67"/>
    <w:rsid w:val="00626068"/>
    <w:rsid w:val="00626FF3"/>
    <w:rsid w:val="00644194"/>
    <w:rsid w:val="00646EFD"/>
    <w:rsid w:val="00650040"/>
    <w:rsid w:val="00650269"/>
    <w:rsid w:val="00651328"/>
    <w:rsid w:val="00652B76"/>
    <w:rsid w:val="00652B84"/>
    <w:rsid w:val="00653B59"/>
    <w:rsid w:val="0066617B"/>
    <w:rsid w:val="00666900"/>
    <w:rsid w:val="00666ABE"/>
    <w:rsid w:val="00667BF8"/>
    <w:rsid w:val="00671390"/>
    <w:rsid w:val="00672CA0"/>
    <w:rsid w:val="00677863"/>
    <w:rsid w:val="006814FA"/>
    <w:rsid w:val="00687E27"/>
    <w:rsid w:val="006A0A9C"/>
    <w:rsid w:val="006A3958"/>
    <w:rsid w:val="006A5731"/>
    <w:rsid w:val="006A5934"/>
    <w:rsid w:val="006B3892"/>
    <w:rsid w:val="006B530B"/>
    <w:rsid w:val="006B752B"/>
    <w:rsid w:val="006C1CC3"/>
    <w:rsid w:val="006C3E38"/>
    <w:rsid w:val="006C4233"/>
    <w:rsid w:val="006C54A6"/>
    <w:rsid w:val="006C563D"/>
    <w:rsid w:val="006D28E0"/>
    <w:rsid w:val="006D4284"/>
    <w:rsid w:val="006D6705"/>
    <w:rsid w:val="006D6F89"/>
    <w:rsid w:val="006D7B99"/>
    <w:rsid w:val="006E76AC"/>
    <w:rsid w:val="006F0D01"/>
    <w:rsid w:val="006F5E97"/>
    <w:rsid w:val="006F65B6"/>
    <w:rsid w:val="0070077F"/>
    <w:rsid w:val="00703237"/>
    <w:rsid w:val="00703C35"/>
    <w:rsid w:val="00703D9A"/>
    <w:rsid w:val="0070694A"/>
    <w:rsid w:val="00707257"/>
    <w:rsid w:val="00710AC1"/>
    <w:rsid w:val="00712F26"/>
    <w:rsid w:val="00714BE0"/>
    <w:rsid w:val="0071566E"/>
    <w:rsid w:val="00716585"/>
    <w:rsid w:val="007220F9"/>
    <w:rsid w:val="007221A8"/>
    <w:rsid w:val="007245E2"/>
    <w:rsid w:val="00724ED9"/>
    <w:rsid w:val="00730089"/>
    <w:rsid w:val="007364C3"/>
    <w:rsid w:val="00736FCB"/>
    <w:rsid w:val="0074147D"/>
    <w:rsid w:val="00742D28"/>
    <w:rsid w:val="00742E90"/>
    <w:rsid w:val="0074515A"/>
    <w:rsid w:val="00751493"/>
    <w:rsid w:val="0075303F"/>
    <w:rsid w:val="007530EE"/>
    <w:rsid w:val="0075743C"/>
    <w:rsid w:val="00760459"/>
    <w:rsid w:val="00770DAD"/>
    <w:rsid w:val="00772B3C"/>
    <w:rsid w:val="00772B7C"/>
    <w:rsid w:val="00774A48"/>
    <w:rsid w:val="00775704"/>
    <w:rsid w:val="007762BB"/>
    <w:rsid w:val="00777E64"/>
    <w:rsid w:val="00781D91"/>
    <w:rsid w:val="00786AF6"/>
    <w:rsid w:val="0079574B"/>
    <w:rsid w:val="007A00DA"/>
    <w:rsid w:val="007A0995"/>
    <w:rsid w:val="007A4D5A"/>
    <w:rsid w:val="007A4FF5"/>
    <w:rsid w:val="007A680A"/>
    <w:rsid w:val="007A6A15"/>
    <w:rsid w:val="007B63C6"/>
    <w:rsid w:val="007B7665"/>
    <w:rsid w:val="007C1593"/>
    <w:rsid w:val="007C5B4E"/>
    <w:rsid w:val="007C7E69"/>
    <w:rsid w:val="007D2D6A"/>
    <w:rsid w:val="007D3B8E"/>
    <w:rsid w:val="007D69E0"/>
    <w:rsid w:val="007D70A8"/>
    <w:rsid w:val="007E1E86"/>
    <w:rsid w:val="007E3F08"/>
    <w:rsid w:val="007E42D0"/>
    <w:rsid w:val="007F0C39"/>
    <w:rsid w:val="007F37C6"/>
    <w:rsid w:val="007F5E53"/>
    <w:rsid w:val="007F750F"/>
    <w:rsid w:val="00801290"/>
    <w:rsid w:val="00801D84"/>
    <w:rsid w:val="008023B0"/>
    <w:rsid w:val="008170EE"/>
    <w:rsid w:val="00820210"/>
    <w:rsid w:val="00821994"/>
    <w:rsid w:val="00823F56"/>
    <w:rsid w:val="00824F8F"/>
    <w:rsid w:val="0083514D"/>
    <w:rsid w:val="00835579"/>
    <w:rsid w:val="00840607"/>
    <w:rsid w:val="008415FD"/>
    <w:rsid w:val="00842411"/>
    <w:rsid w:val="00842C73"/>
    <w:rsid w:val="00842D38"/>
    <w:rsid w:val="00844B58"/>
    <w:rsid w:val="00844F3A"/>
    <w:rsid w:val="00845536"/>
    <w:rsid w:val="0084673F"/>
    <w:rsid w:val="00846FFA"/>
    <w:rsid w:val="008507F4"/>
    <w:rsid w:val="00851635"/>
    <w:rsid w:val="008548A9"/>
    <w:rsid w:val="00855D30"/>
    <w:rsid w:val="00861D4B"/>
    <w:rsid w:val="008653A4"/>
    <w:rsid w:val="00871834"/>
    <w:rsid w:val="00872173"/>
    <w:rsid w:val="008739EC"/>
    <w:rsid w:val="00876B23"/>
    <w:rsid w:val="00877192"/>
    <w:rsid w:val="00877891"/>
    <w:rsid w:val="00882D2F"/>
    <w:rsid w:val="008856E8"/>
    <w:rsid w:val="00887783"/>
    <w:rsid w:val="0089102C"/>
    <w:rsid w:val="00891957"/>
    <w:rsid w:val="008919E9"/>
    <w:rsid w:val="00892FD5"/>
    <w:rsid w:val="008A0E5E"/>
    <w:rsid w:val="008A2038"/>
    <w:rsid w:val="008B1FA9"/>
    <w:rsid w:val="008B2E3A"/>
    <w:rsid w:val="008B3B8B"/>
    <w:rsid w:val="008B51B5"/>
    <w:rsid w:val="008C34A4"/>
    <w:rsid w:val="008C68FE"/>
    <w:rsid w:val="008D036C"/>
    <w:rsid w:val="008D193B"/>
    <w:rsid w:val="008D1D2D"/>
    <w:rsid w:val="008D3914"/>
    <w:rsid w:val="008D5DDC"/>
    <w:rsid w:val="008E124D"/>
    <w:rsid w:val="008E2C71"/>
    <w:rsid w:val="008E2D64"/>
    <w:rsid w:val="008E7BBC"/>
    <w:rsid w:val="008F0BA6"/>
    <w:rsid w:val="008F74E6"/>
    <w:rsid w:val="00905EBE"/>
    <w:rsid w:val="009101C8"/>
    <w:rsid w:val="0091043C"/>
    <w:rsid w:val="009104ED"/>
    <w:rsid w:val="00910CA7"/>
    <w:rsid w:val="0091438B"/>
    <w:rsid w:val="0091655A"/>
    <w:rsid w:val="00920A90"/>
    <w:rsid w:val="00920B3C"/>
    <w:rsid w:val="009304BE"/>
    <w:rsid w:val="00937D15"/>
    <w:rsid w:val="00937F9F"/>
    <w:rsid w:val="009407B3"/>
    <w:rsid w:val="00942043"/>
    <w:rsid w:val="00946781"/>
    <w:rsid w:val="00947438"/>
    <w:rsid w:val="00947B62"/>
    <w:rsid w:val="00951A5A"/>
    <w:rsid w:val="00956328"/>
    <w:rsid w:val="00960432"/>
    <w:rsid w:val="00962BD9"/>
    <w:rsid w:val="00964A78"/>
    <w:rsid w:val="00972E0C"/>
    <w:rsid w:val="00974240"/>
    <w:rsid w:val="00977A10"/>
    <w:rsid w:val="00981DC1"/>
    <w:rsid w:val="00984AC2"/>
    <w:rsid w:val="00985AA2"/>
    <w:rsid w:val="00987919"/>
    <w:rsid w:val="00990007"/>
    <w:rsid w:val="009937C1"/>
    <w:rsid w:val="009A185F"/>
    <w:rsid w:val="009A1B82"/>
    <w:rsid w:val="009A2715"/>
    <w:rsid w:val="009A4B9B"/>
    <w:rsid w:val="009A536E"/>
    <w:rsid w:val="009A74DC"/>
    <w:rsid w:val="009A7EC1"/>
    <w:rsid w:val="009B0596"/>
    <w:rsid w:val="009B10F4"/>
    <w:rsid w:val="009B37C1"/>
    <w:rsid w:val="009C097E"/>
    <w:rsid w:val="009C1736"/>
    <w:rsid w:val="009C4356"/>
    <w:rsid w:val="009C7D5D"/>
    <w:rsid w:val="009D287A"/>
    <w:rsid w:val="009D7C82"/>
    <w:rsid w:val="009E0318"/>
    <w:rsid w:val="009E2487"/>
    <w:rsid w:val="009E2EB1"/>
    <w:rsid w:val="009E442C"/>
    <w:rsid w:val="009E45CC"/>
    <w:rsid w:val="009E4BCC"/>
    <w:rsid w:val="009E74D7"/>
    <w:rsid w:val="009F1976"/>
    <w:rsid w:val="009F42DA"/>
    <w:rsid w:val="00A00315"/>
    <w:rsid w:val="00A013D8"/>
    <w:rsid w:val="00A018E1"/>
    <w:rsid w:val="00A01A96"/>
    <w:rsid w:val="00A06C18"/>
    <w:rsid w:val="00A12335"/>
    <w:rsid w:val="00A12A77"/>
    <w:rsid w:val="00A13084"/>
    <w:rsid w:val="00A140B8"/>
    <w:rsid w:val="00A15AE6"/>
    <w:rsid w:val="00A16D10"/>
    <w:rsid w:val="00A23CA3"/>
    <w:rsid w:val="00A2486E"/>
    <w:rsid w:val="00A27E06"/>
    <w:rsid w:val="00A30582"/>
    <w:rsid w:val="00A31AEF"/>
    <w:rsid w:val="00A31FE9"/>
    <w:rsid w:val="00A32D53"/>
    <w:rsid w:val="00A32ED9"/>
    <w:rsid w:val="00A332B2"/>
    <w:rsid w:val="00A33CBB"/>
    <w:rsid w:val="00A443E2"/>
    <w:rsid w:val="00A460F9"/>
    <w:rsid w:val="00A51FB8"/>
    <w:rsid w:val="00A54543"/>
    <w:rsid w:val="00A559B8"/>
    <w:rsid w:val="00A56169"/>
    <w:rsid w:val="00A577C0"/>
    <w:rsid w:val="00A63B0C"/>
    <w:rsid w:val="00A6440E"/>
    <w:rsid w:val="00A65C10"/>
    <w:rsid w:val="00A66E9F"/>
    <w:rsid w:val="00A71DB1"/>
    <w:rsid w:val="00A751A1"/>
    <w:rsid w:val="00A76407"/>
    <w:rsid w:val="00A76C07"/>
    <w:rsid w:val="00A77151"/>
    <w:rsid w:val="00A817E7"/>
    <w:rsid w:val="00A82142"/>
    <w:rsid w:val="00A84323"/>
    <w:rsid w:val="00A85745"/>
    <w:rsid w:val="00A865F7"/>
    <w:rsid w:val="00A93289"/>
    <w:rsid w:val="00A959F7"/>
    <w:rsid w:val="00AA0FDD"/>
    <w:rsid w:val="00AA1E7A"/>
    <w:rsid w:val="00AA4D0D"/>
    <w:rsid w:val="00AB1D54"/>
    <w:rsid w:val="00AB2D36"/>
    <w:rsid w:val="00AB5237"/>
    <w:rsid w:val="00AC073C"/>
    <w:rsid w:val="00AC797D"/>
    <w:rsid w:val="00AD20A4"/>
    <w:rsid w:val="00AD3BAC"/>
    <w:rsid w:val="00AD435E"/>
    <w:rsid w:val="00AD4A5A"/>
    <w:rsid w:val="00AD6E97"/>
    <w:rsid w:val="00AD74A7"/>
    <w:rsid w:val="00AE3071"/>
    <w:rsid w:val="00AE420C"/>
    <w:rsid w:val="00AE44C9"/>
    <w:rsid w:val="00AE4ED9"/>
    <w:rsid w:val="00AE6D46"/>
    <w:rsid w:val="00AF03DE"/>
    <w:rsid w:val="00AF0A92"/>
    <w:rsid w:val="00AF7779"/>
    <w:rsid w:val="00B004AD"/>
    <w:rsid w:val="00B026D3"/>
    <w:rsid w:val="00B052A3"/>
    <w:rsid w:val="00B07635"/>
    <w:rsid w:val="00B1558C"/>
    <w:rsid w:val="00B17328"/>
    <w:rsid w:val="00B21349"/>
    <w:rsid w:val="00B23D5D"/>
    <w:rsid w:val="00B2553B"/>
    <w:rsid w:val="00B30C2E"/>
    <w:rsid w:val="00B37082"/>
    <w:rsid w:val="00B506C7"/>
    <w:rsid w:val="00B50B6E"/>
    <w:rsid w:val="00B50CDF"/>
    <w:rsid w:val="00B50F5D"/>
    <w:rsid w:val="00B53ED8"/>
    <w:rsid w:val="00B56294"/>
    <w:rsid w:val="00B5656C"/>
    <w:rsid w:val="00B570DD"/>
    <w:rsid w:val="00B60CCA"/>
    <w:rsid w:val="00B63602"/>
    <w:rsid w:val="00B65602"/>
    <w:rsid w:val="00B70A2A"/>
    <w:rsid w:val="00B70B4C"/>
    <w:rsid w:val="00B72196"/>
    <w:rsid w:val="00B74AD6"/>
    <w:rsid w:val="00B81584"/>
    <w:rsid w:val="00B81F68"/>
    <w:rsid w:val="00B8655F"/>
    <w:rsid w:val="00B87731"/>
    <w:rsid w:val="00B91FE2"/>
    <w:rsid w:val="00B92BF0"/>
    <w:rsid w:val="00B95FFA"/>
    <w:rsid w:val="00BA3769"/>
    <w:rsid w:val="00BA635B"/>
    <w:rsid w:val="00BA7825"/>
    <w:rsid w:val="00BB052E"/>
    <w:rsid w:val="00BB4B02"/>
    <w:rsid w:val="00BB6BDA"/>
    <w:rsid w:val="00BB6FA6"/>
    <w:rsid w:val="00BC0F12"/>
    <w:rsid w:val="00BC3BEC"/>
    <w:rsid w:val="00BD02DF"/>
    <w:rsid w:val="00BD0B46"/>
    <w:rsid w:val="00BD1F6D"/>
    <w:rsid w:val="00BD29F1"/>
    <w:rsid w:val="00BD4165"/>
    <w:rsid w:val="00BD41A3"/>
    <w:rsid w:val="00BD47F4"/>
    <w:rsid w:val="00BD530B"/>
    <w:rsid w:val="00BD56A6"/>
    <w:rsid w:val="00BD7BBD"/>
    <w:rsid w:val="00BE2023"/>
    <w:rsid w:val="00BE598D"/>
    <w:rsid w:val="00BE6267"/>
    <w:rsid w:val="00BE74A8"/>
    <w:rsid w:val="00BE783F"/>
    <w:rsid w:val="00BE7C9E"/>
    <w:rsid w:val="00BF53CF"/>
    <w:rsid w:val="00BF6412"/>
    <w:rsid w:val="00BF760E"/>
    <w:rsid w:val="00C0003C"/>
    <w:rsid w:val="00C00CF0"/>
    <w:rsid w:val="00C01EFB"/>
    <w:rsid w:val="00C02412"/>
    <w:rsid w:val="00C05918"/>
    <w:rsid w:val="00C05FDB"/>
    <w:rsid w:val="00C15148"/>
    <w:rsid w:val="00C17CA6"/>
    <w:rsid w:val="00C238F3"/>
    <w:rsid w:val="00C240BA"/>
    <w:rsid w:val="00C25AF4"/>
    <w:rsid w:val="00C35620"/>
    <w:rsid w:val="00C3619E"/>
    <w:rsid w:val="00C376E9"/>
    <w:rsid w:val="00C37C2C"/>
    <w:rsid w:val="00C40CB1"/>
    <w:rsid w:val="00C40F4B"/>
    <w:rsid w:val="00C44F63"/>
    <w:rsid w:val="00C52BCB"/>
    <w:rsid w:val="00C552D2"/>
    <w:rsid w:val="00C6220C"/>
    <w:rsid w:val="00C64911"/>
    <w:rsid w:val="00C6724D"/>
    <w:rsid w:val="00C744FE"/>
    <w:rsid w:val="00C778BE"/>
    <w:rsid w:val="00C822CF"/>
    <w:rsid w:val="00C830DC"/>
    <w:rsid w:val="00C9015F"/>
    <w:rsid w:val="00C9158B"/>
    <w:rsid w:val="00C947E0"/>
    <w:rsid w:val="00C955D9"/>
    <w:rsid w:val="00C96394"/>
    <w:rsid w:val="00CA47CA"/>
    <w:rsid w:val="00CA62AF"/>
    <w:rsid w:val="00CA7705"/>
    <w:rsid w:val="00CB0DAD"/>
    <w:rsid w:val="00CB5399"/>
    <w:rsid w:val="00CB7867"/>
    <w:rsid w:val="00CC77B6"/>
    <w:rsid w:val="00CD0200"/>
    <w:rsid w:val="00CD5FAE"/>
    <w:rsid w:val="00CD7282"/>
    <w:rsid w:val="00CE18D2"/>
    <w:rsid w:val="00CE33E1"/>
    <w:rsid w:val="00CE7C4D"/>
    <w:rsid w:val="00CF59C3"/>
    <w:rsid w:val="00D01959"/>
    <w:rsid w:val="00D02257"/>
    <w:rsid w:val="00D04E79"/>
    <w:rsid w:val="00D10F20"/>
    <w:rsid w:val="00D12307"/>
    <w:rsid w:val="00D13DDB"/>
    <w:rsid w:val="00D1444B"/>
    <w:rsid w:val="00D14A12"/>
    <w:rsid w:val="00D15AF7"/>
    <w:rsid w:val="00D16EAB"/>
    <w:rsid w:val="00D21831"/>
    <w:rsid w:val="00D24D42"/>
    <w:rsid w:val="00D30C2D"/>
    <w:rsid w:val="00D314A4"/>
    <w:rsid w:val="00D34A6A"/>
    <w:rsid w:val="00D37CE4"/>
    <w:rsid w:val="00D45020"/>
    <w:rsid w:val="00D45ECE"/>
    <w:rsid w:val="00D46059"/>
    <w:rsid w:val="00D50CE6"/>
    <w:rsid w:val="00D52546"/>
    <w:rsid w:val="00D53B4B"/>
    <w:rsid w:val="00D5502D"/>
    <w:rsid w:val="00D5700A"/>
    <w:rsid w:val="00D607BF"/>
    <w:rsid w:val="00D61DE7"/>
    <w:rsid w:val="00D64DA2"/>
    <w:rsid w:val="00D66DA3"/>
    <w:rsid w:val="00D758E8"/>
    <w:rsid w:val="00D761C4"/>
    <w:rsid w:val="00D76743"/>
    <w:rsid w:val="00D80733"/>
    <w:rsid w:val="00D824BD"/>
    <w:rsid w:val="00D82DCE"/>
    <w:rsid w:val="00D84694"/>
    <w:rsid w:val="00D905B7"/>
    <w:rsid w:val="00D90E7A"/>
    <w:rsid w:val="00D93B6E"/>
    <w:rsid w:val="00D94821"/>
    <w:rsid w:val="00DA1CF0"/>
    <w:rsid w:val="00DA3BA8"/>
    <w:rsid w:val="00DA40E7"/>
    <w:rsid w:val="00DA694D"/>
    <w:rsid w:val="00DA702A"/>
    <w:rsid w:val="00DB1D2B"/>
    <w:rsid w:val="00DB5318"/>
    <w:rsid w:val="00DB535A"/>
    <w:rsid w:val="00DC1068"/>
    <w:rsid w:val="00DC33D2"/>
    <w:rsid w:val="00DC4C76"/>
    <w:rsid w:val="00DC51D9"/>
    <w:rsid w:val="00DC5A8E"/>
    <w:rsid w:val="00DC667B"/>
    <w:rsid w:val="00DD27F2"/>
    <w:rsid w:val="00DD34DE"/>
    <w:rsid w:val="00DD7B4E"/>
    <w:rsid w:val="00DE2924"/>
    <w:rsid w:val="00DE3E03"/>
    <w:rsid w:val="00DE6E39"/>
    <w:rsid w:val="00DE7FAC"/>
    <w:rsid w:val="00DF02DD"/>
    <w:rsid w:val="00DF0906"/>
    <w:rsid w:val="00DF5D5E"/>
    <w:rsid w:val="00E01CC3"/>
    <w:rsid w:val="00E02217"/>
    <w:rsid w:val="00E044FE"/>
    <w:rsid w:val="00E07C7C"/>
    <w:rsid w:val="00E11858"/>
    <w:rsid w:val="00E122B0"/>
    <w:rsid w:val="00E14DB7"/>
    <w:rsid w:val="00E21D46"/>
    <w:rsid w:val="00E26CA5"/>
    <w:rsid w:val="00E30464"/>
    <w:rsid w:val="00E31A46"/>
    <w:rsid w:val="00E31E27"/>
    <w:rsid w:val="00E35A51"/>
    <w:rsid w:val="00E36498"/>
    <w:rsid w:val="00E408EF"/>
    <w:rsid w:val="00E40EA1"/>
    <w:rsid w:val="00E40F40"/>
    <w:rsid w:val="00E45D72"/>
    <w:rsid w:val="00E52C6C"/>
    <w:rsid w:val="00E60572"/>
    <w:rsid w:val="00E647E2"/>
    <w:rsid w:val="00E6552B"/>
    <w:rsid w:val="00E660A2"/>
    <w:rsid w:val="00E80A4E"/>
    <w:rsid w:val="00E80CB3"/>
    <w:rsid w:val="00E81320"/>
    <w:rsid w:val="00E84CBB"/>
    <w:rsid w:val="00E84E9E"/>
    <w:rsid w:val="00E905EF"/>
    <w:rsid w:val="00E9449C"/>
    <w:rsid w:val="00EA0087"/>
    <w:rsid w:val="00EA4F4C"/>
    <w:rsid w:val="00EB1766"/>
    <w:rsid w:val="00EC2856"/>
    <w:rsid w:val="00EC4094"/>
    <w:rsid w:val="00EC68A1"/>
    <w:rsid w:val="00EC6D45"/>
    <w:rsid w:val="00ED2683"/>
    <w:rsid w:val="00ED3BAF"/>
    <w:rsid w:val="00ED3D14"/>
    <w:rsid w:val="00ED4D98"/>
    <w:rsid w:val="00EE20C2"/>
    <w:rsid w:val="00EE2CB3"/>
    <w:rsid w:val="00EE5A44"/>
    <w:rsid w:val="00EE5F52"/>
    <w:rsid w:val="00EE7E1D"/>
    <w:rsid w:val="00EF39BD"/>
    <w:rsid w:val="00EF3BF4"/>
    <w:rsid w:val="00EF3CCC"/>
    <w:rsid w:val="00EF4A2C"/>
    <w:rsid w:val="00EF61F3"/>
    <w:rsid w:val="00F00F1C"/>
    <w:rsid w:val="00F02123"/>
    <w:rsid w:val="00F1276A"/>
    <w:rsid w:val="00F12A3A"/>
    <w:rsid w:val="00F14D00"/>
    <w:rsid w:val="00F151CB"/>
    <w:rsid w:val="00F2045F"/>
    <w:rsid w:val="00F205FA"/>
    <w:rsid w:val="00F21820"/>
    <w:rsid w:val="00F24F60"/>
    <w:rsid w:val="00F31AE9"/>
    <w:rsid w:val="00F3331C"/>
    <w:rsid w:val="00F35CC4"/>
    <w:rsid w:val="00F44A5D"/>
    <w:rsid w:val="00F51D27"/>
    <w:rsid w:val="00F52F96"/>
    <w:rsid w:val="00F53C36"/>
    <w:rsid w:val="00F55AA5"/>
    <w:rsid w:val="00F55E57"/>
    <w:rsid w:val="00F57650"/>
    <w:rsid w:val="00F62814"/>
    <w:rsid w:val="00F644A0"/>
    <w:rsid w:val="00F644AB"/>
    <w:rsid w:val="00F6758A"/>
    <w:rsid w:val="00F7397E"/>
    <w:rsid w:val="00F7413E"/>
    <w:rsid w:val="00F74506"/>
    <w:rsid w:val="00F75C4B"/>
    <w:rsid w:val="00F77A53"/>
    <w:rsid w:val="00F80142"/>
    <w:rsid w:val="00F81A6F"/>
    <w:rsid w:val="00F912CC"/>
    <w:rsid w:val="00F91ED2"/>
    <w:rsid w:val="00F96584"/>
    <w:rsid w:val="00FA0024"/>
    <w:rsid w:val="00FA152E"/>
    <w:rsid w:val="00FA1DEF"/>
    <w:rsid w:val="00FA50CE"/>
    <w:rsid w:val="00FA788E"/>
    <w:rsid w:val="00FB5E10"/>
    <w:rsid w:val="00FD0509"/>
    <w:rsid w:val="00FD31D5"/>
    <w:rsid w:val="00FD4B3C"/>
    <w:rsid w:val="00FE31B9"/>
    <w:rsid w:val="00FE34E2"/>
    <w:rsid w:val="00FE6C63"/>
    <w:rsid w:val="00FE6FF5"/>
    <w:rsid w:val="00FE746D"/>
    <w:rsid w:val="00FF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9B78"/>
  <w15:docId w15:val="{B38C2035-E590-4D4E-AC86-F526149F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6F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4">
    <w:name w:val="heading 4"/>
    <w:basedOn w:val="a"/>
    <w:link w:val="40"/>
    <w:uiPriority w:val="9"/>
    <w:qFormat/>
    <w:rsid w:val="002C654F"/>
    <w:pPr>
      <w:spacing w:before="100" w:beforeAutospacing="1" w:after="100" w:afterAutospacing="1"/>
      <w:ind w:firstLine="0"/>
      <w:jc w:val="left"/>
      <w:outlineLvl w:val="3"/>
    </w:pPr>
    <w:rPr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26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D26FA"/>
    <w:rPr>
      <w:rFonts w:ascii="Times New Roman" w:eastAsia="Times New Roman" w:hAnsi="Times New Roman" w:cs="Times New Roman"/>
      <w:sz w:val="20"/>
      <w:szCs w:val="20"/>
      <w:lang w:val="ro-RO"/>
    </w:rPr>
  </w:style>
  <w:style w:type="table" w:styleId="a5">
    <w:name w:val="Table Grid"/>
    <w:basedOn w:val="a1"/>
    <w:uiPriority w:val="39"/>
    <w:rsid w:val="003D26FA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aliases w:val="Scriptoria bullet points,HotarirePunct1,Абзац списка1,List Paragraph 1,Bullets,List Paragraph (numbered (a)),Bullet,Заголовок 3 глава,Akapit z listą BS,Outlines a.b.c.,List_Paragraph,Multilevel para_II,Akapit z lista BS,List Paragraph1"/>
    <w:basedOn w:val="a"/>
    <w:link w:val="a7"/>
    <w:uiPriority w:val="34"/>
    <w:qFormat/>
    <w:rsid w:val="003D26FA"/>
    <w:pPr>
      <w:ind w:left="720"/>
      <w:contextualSpacing/>
    </w:pPr>
  </w:style>
  <w:style w:type="character" w:styleId="a8">
    <w:name w:val="Hyperlink"/>
    <w:basedOn w:val="a0"/>
    <w:uiPriority w:val="99"/>
    <w:rsid w:val="003D26FA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3D26FA"/>
    <w:pPr>
      <w:widowControl w:val="0"/>
      <w:autoSpaceDE w:val="0"/>
      <w:autoSpaceDN w:val="0"/>
      <w:ind w:left="107" w:firstLine="0"/>
    </w:pPr>
    <w:rPr>
      <w:sz w:val="22"/>
      <w:szCs w:val="22"/>
    </w:rPr>
  </w:style>
  <w:style w:type="character" w:customStyle="1" w:styleId="a7">
    <w:name w:val="Абзац списка Знак"/>
    <w:aliases w:val="Scriptoria bullet points Знак,HotarirePunct1 Знак,Абзац списка1 Знак,List Paragraph 1 Знак,Bullets Знак,List Paragraph (numbered (a)) Знак,Bullet Знак,Заголовок 3 глава Знак,Akapit z listą BS Знак,Outlines a.b.c. Знак"/>
    <w:link w:val="a6"/>
    <w:uiPriority w:val="34"/>
    <w:qFormat/>
    <w:locked/>
    <w:rsid w:val="003D26FA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a9">
    <w:name w:val="Balloon Text"/>
    <w:basedOn w:val="a"/>
    <w:link w:val="aa"/>
    <w:uiPriority w:val="99"/>
    <w:semiHidden/>
    <w:unhideWhenUsed/>
    <w:rsid w:val="00202BF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02BF4"/>
    <w:rPr>
      <w:rFonts w:ascii="Segoe UI" w:eastAsia="Times New Roman" w:hAnsi="Segoe UI" w:cs="Segoe UI"/>
      <w:sz w:val="18"/>
      <w:szCs w:val="18"/>
      <w:lang w:val="ro-RO"/>
    </w:rPr>
  </w:style>
  <w:style w:type="paragraph" w:customStyle="1" w:styleId="cn">
    <w:name w:val="cn"/>
    <w:basedOn w:val="a"/>
    <w:rsid w:val="004D0331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styleId="ab">
    <w:name w:val="Normal (Web)"/>
    <w:basedOn w:val="a"/>
    <w:uiPriority w:val="99"/>
    <w:unhideWhenUsed/>
    <w:rsid w:val="004D0331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styleId="ac">
    <w:name w:val="Strong"/>
    <w:basedOn w:val="a0"/>
    <w:uiPriority w:val="22"/>
    <w:qFormat/>
    <w:rsid w:val="005E2626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652B8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52B84"/>
  </w:style>
  <w:style w:type="character" w:customStyle="1" w:styleId="af">
    <w:name w:val="Текст примечания Знак"/>
    <w:basedOn w:val="a0"/>
    <w:link w:val="ae"/>
    <w:uiPriority w:val="99"/>
    <w:semiHidden/>
    <w:rsid w:val="00652B84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2B8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52B84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af2">
    <w:name w:val="Revision"/>
    <w:hidden/>
    <w:uiPriority w:val="99"/>
    <w:semiHidden/>
    <w:rsid w:val="00652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40">
    <w:name w:val="Заголовок 4 Знак"/>
    <w:basedOn w:val="a0"/>
    <w:link w:val="4"/>
    <w:uiPriority w:val="9"/>
    <w:rsid w:val="002C65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t">
    <w:name w:val="tt"/>
    <w:basedOn w:val="a"/>
    <w:rsid w:val="008D5DDC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styleId="af3">
    <w:name w:val="Emphasis"/>
    <w:basedOn w:val="a0"/>
    <w:uiPriority w:val="20"/>
    <w:qFormat/>
    <w:rsid w:val="007A6A15"/>
    <w:rPr>
      <w:i/>
      <w:iCs/>
    </w:rPr>
  </w:style>
  <w:style w:type="character" w:customStyle="1" w:styleId="MeniuneNerezolvat1">
    <w:name w:val="Mențiune Nerezolvat1"/>
    <w:basedOn w:val="a0"/>
    <w:uiPriority w:val="99"/>
    <w:semiHidden/>
    <w:unhideWhenUsed/>
    <w:rsid w:val="00170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2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6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0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16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icip.gov.md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articip.gov.md/ro/document/stages/*/16387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www.mai.gov.m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F282B-17A9-48EA-8BD3-25EA79483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1338</Words>
  <Characters>7763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reg</Company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Afteniuc Mariana Alexandru</dc:creator>
  <cp:keywords/>
  <dc:description/>
  <cp:lastModifiedBy>Iana Vasilache</cp:lastModifiedBy>
  <cp:revision>2</cp:revision>
  <cp:lastPrinted>2026-05-12T13:07:00Z</cp:lastPrinted>
  <dcterms:created xsi:type="dcterms:W3CDTF">2026-05-13T06:19:00Z</dcterms:created>
  <dcterms:modified xsi:type="dcterms:W3CDTF">2026-05-13T06:19:00Z</dcterms:modified>
</cp:coreProperties>
</file>