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2DF3" w14:textId="2F4013AA" w:rsidR="008A1A94" w:rsidRPr="008A1A94" w:rsidRDefault="00292960" w:rsidP="008A1A94">
      <w:pPr>
        <w:pStyle w:val="Titlu"/>
        <w:jc w:val="center"/>
        <w:rPr>
          <w:rFonts w:ascii="Times New Roman" w:hAnsi="Times New Roman" w:cs="Times New Roman"/>
          <w:sz w:val="36"/>
        </w:rPr>
      </w:pPr>
      <w:r w:rsidRPr="00A371A9">
        <w:rPr>
          <w:rFonts w:ascii="Times New Roman" w:hAnsi="Times New Roman" w:cs="Times New Roman"/>
          <w:sz w:val="36"/>
        </w:rPr>
        <w:t xml:space="preserve">Tabel de concordanță la </w:t>
      </w:r>
      <w:r w:rsidR="008A1A94">
        <w:rPr>
          <w:rFonts w:ascii="Times New Roman" w:hAnsi="Times New Roman" w:cs="Times New Roman"/>
          <w:sz w:val="36"/>
        </w:rPr>
        <w:t>Hotărârea Guvernului nr. 29</w:t>
      </w:r>
      <w:r w:rsidRPr="00A371A9">
        <w:rPr>
          <w:rFonts w:ascii="Times New Roman" w:hAnsi="Times New Roman" w:cs="Times New Roman"/>
          <w:sz w:val="36"/>
        </w:rPr>
        <w:t>3/201</w:t>
      </w:r>
      <w:r w:rsidR="008A1A94">
        <w:rPr>
          <w:rFonts w:ascii="Times New Roman" w:hAnsi="Times New Roman" w:cs="Times New Roman"/>
          <w:sz w:val="36"/>
        </w:rPr>
        <w:t>4</w:t>
      </w:r>
      <w:r w:rsidRPr="00A371A9">
        <w:rPr>
          <w:rFonts w:ascii="Times New Roman" w:hAnsi="Times New Roman" w:cs="Times New Roman"/>
          <w:sz w:val="36"/>
        </w:rPr>
        <w:t xml:space="preserve"> </w:t>
      </w:r>
      <w:r w:rsidR="008A1A94" w:rsidRPr="008A1A94">
        <w:rPr>
          <w:rFonts w:ascii="Times New Roman" w:hAnsi="Times New Roman" w:cs="Times New Roman"/>
          <w:sz w:val="36"/>
        </w:rPr>
        <w:t>pentru aprobarea Regulamentului cu privire la regimul armelor şi al muniţiilor cu destinaţie</w:t>
      </w:r>
      <w:r w:rsidR="006165E1">
        <w:rPr>
          <w:rFonts w:ascii="Times New Roman" w:hAnsi="Times New Roman" w:cs="Times New Roman"/>
          <w:sz w:val="36"/>
        </w:rPr>
        <w:t xml:space="preserve"> </w:t>
      </w:r>
      <w:r w:rsidR="008A1A94" w:rsidRPr="008A1A94">
        <w:rPr>
          <w:rFonts w:ascii="Times New Roman" w:hAnsi="Times New Roman" w:cs="Times New Roman"/>
          <w:sz w:val="36"/>
        </w:rPr>
        <w:t>civilă</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165"/>
      </w:tblGrid>
      <w:tr w:rsidR="00292960" w:rsidRPr="003F5F52" w14:paraId="38D4B38B" w14:textId="77777777" w:rsidTr="00494E53">
        <w:tc>
          <w:tcPr>
            <w:tcW w:w="206" w:type="pct"/>
          </w:tcPr>
          <w:p w14:paraId="72A5E260"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1</w:t>
            </w:r>
          </w:p>
        </w:tc>
        <w:tc>
          <w:tcPr>
            <w:tcW w:w="4794" w:type="pct"/>
          </w:tcPr>
          <w:p w14:paraId="60EA7608" w14:textId="7A2E08D5"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Titlul actului Uniunii Europene, inclusiv cele mai recent</w:t>
            </w:r>
            <w:r w:rsidR="00855D46">
              <w:rPr>
                <w:rFonts w:asciiTheme="majorBidi" w:hAnsiTheme="majorBidi" w:cstheme="majorBidi"/>
                <w:b/>
                <w:sz w:val="24"/>
                <w:szCs w:val="24"/>
              </w:rPr>
              <w:t>ă modificare, nr. CELEX</w:t>
            </w:r>
          </w:p>
          <w:p w14:paraId="2C3643D3" w14:textId="26E10C6A" w:rsidR="00024734" w:rsidRPr="00855D46" w:rsidRDefault="003579C2" w:rsidP="00BC187E">
            <w:pPr>
              <w:spacing w:after="0"/>
              <w:jc w:val="both"/>
              <w:rPr>
                <w:rFonts w:ascii="Times New Roman" w:eastAsia="Times New Roman" w:hAnsi="Times New Roman" w:cs="Times New Roman"/>
                <w:sz w:val="24"/>
                <w:szCs w:val="24"/>
                <w:lang w:eastAsia="ru-RU"/>
              </w:rPr>
            </w:pPr>
            <w:r w:rsidRPr="007D5BD8">
              <w:rPr>
                <w:rFonts w:asciiTheme="majorBidi" w:hAnsiTheme="majorBidi" w:cstheme="majorBidi"/>
                <w:b/>
                <w:bCs/>
                <w:sz w:val="24"/>
                <w:szCs w:val="24"/>
              </w:rPr>
              <w:t>Titlul:</w:t>
            </w:r>
            <w:r w:rsidRPr="003579C2">
              <w:rPr>
                <w:rFonts w:asciiTheme="majorBidi" w:hAnsiTheme="majorBidi" w:cstheme="majorBidi"/>
                <w:sz w:val="24"/>
                <w:szCs w:val="24"/>
              </w:rPr>
              <w:t xml:space="preserve"> </w:t>
            </w:r>
            <w:r w:rsidR="00911821">
              <w:rPr>
                <w:rFonts w:asciiTheme="majorBidi" w:hAnsiTheme="majorBidi" w:cstheme="majorBidi"/>
                <w:sz w:val="24"/>
                <w:szCs w:val="24"/>
              </w:rPr>
              <w:t>Directiva de punere în aplicare (UE) 2019/6</w:t>
            </w:r>
            <w:r w:rsidR="00D41F45">
              <w:rPr>
                <w:rFonts w:asciiTheme="majorBidi" w:hAnsiTheme="majorBidi" w:cstheme="majorBidi"/>
                <w:sz w:val="24"/>
                <w:szCs w:val="24"/>
              </w:rPr>
              <w:t>9</w:t>
            </w:r>
            <w:r w:rsidR="00911821">
              <w:rPr>
                <w:rFonts w:asciiTheme="majorBidi" w:hAnsiTheme="majorBidi" w:cstheme="majorBidi"/>
                <w:sz w:val="24"/>
                <w:szCs w:val="24"/>
              </w:rPr>
              <w:t xml:space="preserve"> a Comisie din 16 ianuarie 2019 </w:t>
            </w:r>
            <w:r w:rsidR="00D41F45" w:rsidRPr="00D41F45">
              <w:rPr>
                <w:rFonts w:asciiTheme="majorBidi" w:hAnsiTheme="majorBidi" w:cstheme="majorBidi"/>
                <w:sz w:val="24"/>
                <w:szCs w:val="24"/>
              </w:rPr>
              <w:t>de stabilire a specificațiilor tehnice pentru armele de alarmă și de semnalizare în temeiul Directivei 91/477/CEE a Consiliului privind controlul achiziționării și deținerii de arme (Text cu relevanță pentru SEE)</w:t>
            </w:r>
            <w:r w:rsidR="00855D46" w:rsidRPr="00D41F45">
              <w:rPr>
                <w:rFonts w:asciiTheme="majorBidi" w:hAnsiTheme="majorBidi" w:cstheme="majorBidi"/>
                <w:sz w:val="24"/>
                <w:szCs w:val="24"/>
              </w:rPr>
              <w:t>,</w:t>
            </w:r>
            <w:r w:rsidR="00855D46">
              <w:rPr>
                <w:rFonts w:asciiTheme="majorBidi" w:hAnsiTheme="majorBidi" w:cstheme="majorBidi"/>
                <w:sz w:val="24"/>
                <w:szCs w:val="24"/>
              </w:rPr>
              <w:t xml:space="preserve"> CELEX:</w:t>
            </w:r>
            <w:r w:rsidR="00855D46" w:rsidRPr="00855D46">
              <w:rPr>
                <w:rFonts w:ascii="Roboto" w:hAnsi="Roboto"/>
                <w:color w:val="333333"/>
                <w:sz w:val="21"/>
                <w:szCs w:val="21"/>
                <w:shd w:val="clear" w:color="auto" w:fill="FFFFFF"/>
              </w:rPr>
              <w:t xml:space="preserve"> </w:t>
            </w:r>
            <w:r w:rsidR="00D41F45">
              <w:rPr>
                <w:rFonts w:asciiTheme="majorBidi" w:hAnsiTheme="majorBidi" w:cstheme="majorBidi"/>
                <w:sz w:val="24"/>
                <w:szCs w:val="24"/>
              </w:rPr>
              <w:t>3</w:t>
            </w:r>
            <w:r w:rsidR="00911821" w:rsidRPr="00911821">
              <w:rPr>
                <w:rFonts w:asciiTheme="majorBidi" w:hAnsiTheme="majorBidi" w:cstheme="majorBidi"/>
                <w:sz w:val="24"/>
                <w:szCs w:val="24"/>
              </w:rPr>
              <w:t>2019L006</w:t>
            </w:r>
            <w:r w:rsidR="00D41F45">
              <w:rPr>
                <w:rFonts w:asciiTheme="majorBidi" w:hAnsiTheme="majorBidi" w:cstheme="majorBidi"/>
                <w:sz w:val="24"/>
                <w:szCs w:val="24"/>
              </w:rPr>
              <w:t>9</w:t>
            </w:r>
            <w:r w:rsidR="00855D46">
              <w:rPr>
                <w:rFonts w:ascii="Times New Roman" w:eastAsia="Times New Roman" w:hAnsi="Times New Roman" w:cs="Times New Roman"/>
                <w:sz w:val="24"/>
                <w:szCs w:val="24"/>
                <w:lang w:eastAsia="ru-RU"/>
              </w:rPr>
              <w:t>.</w:t>
            </w:r>
          </w:p>
        </w:tc>
      </w:tr>
      <w:tr w:rsidR="00292960" w:rsidRPr="003F5F52" w14:paraId="006BB204" w14:textId="77777777" w:rsidTr="00494E53">
        <w:tc>
          <w:tcPr>
            <w:tcW w:w="206" w:type="pct"/>
          </w:tcPr>
          <w:p w14:paraId="52F8B6AF"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2</w:t>
            </w:r>
          </w:p>
        </w:tc>
        <w:tc>
          <w:tcPr>
            <w:tcW w:w="4794" w:type="pct"/>
          </w:tcPr>
          <w:p w14:paraId="2A853396" w14:textId="6F3BF5FB"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 xml:space="preserve">Titlul </w:t>
            </w:r>
            <w:r w:rsidR="00855D46">
              <w:rPr>
                <w:rFonts w:asciiTheme="majorBidi" w:hAnsiTheme="majorBidi" w:cstheme="majorBidi"/>
                <w:b/>
                <w:sz w:val="24"/>
                <w:szCs w:val="24"/>
              </w:rPr>
              <w:t xml:space="preserve">proiectului de </w:t>
            </w:r>
            <w:r w:rsidRPr="003F5F52">
              <w:rPr>
                <w:rFonts w:asciiTheme="majorBidi" w:hAnsiTheme="majorBidi" w:cstheme="majorBidi"/>
                <w:b/>
                <w:sz w:val="24"/>
                <w:szCs w:val="24"/>
              </w:rPr>
              <w:t>act</w:t>
            </w:r>
            <w:r w:rsidR="00855D46">
              <w:rPr>
                <w:rFonts w:asciiTheme="majorBidi" w:hAnsiTheme="majorBidi" w:cstheme="majorBidi"/>
                <w:b/>
                <w:sz w:val="24"/>
                <w:szCs w:val="24"/>
              </w:rPr>
              <w:t xml:space="preserve"> </w:t>
            </w:r>
            <w:r w:rsidRPr="003F5F52">
              <w:rPr>
                <w:rFonts w:asciiTheme="majorBidi" w:hAnsiTheme="majorBidi" w:cstheme="majorBidi"/>
                <w:b/>
                <w:sz w:val="24"/>
                <w:szCs w:val="24"/>
              </w:rPr>
              <w:t>normativ național</w:t>
            </w:r>
          </w:p>
          <w:p w14:paraId="4B65188D" w14:textId="61547513" w:rsidR="00024734" w:rsidRPr="00024734" w:rsidRDefault="003579C2" w:rsidP="00BC187E">
            <w:pPr>
              <w:spacing w:after="0"/>
              <w:jc w:val="both"/>
              <w:rPr>
                <w:rFonts w:asciiTheme="majorBidi" w:hAnsiTheme="majorBidi" w:cstheme="majorBidi"/>
                <w:sz w:val="24"/>
                <w:szCs w:val="24"/>
              </w:rPr>
            </w:pPr>
            <w:r w:rsidRPr="001A4215">
              <w:rPr>
                <w:rFonts w:asciiTheme="majorBidi" w:hAnsiTheme="majorBidi" w:cstheme="majorBidi"/>
                <w:b/>
                <w:sz w:val="24"/>
                <w:szCs w:val="24"/>
              </w:rPr>
              <w:t>Titlul</w:t>
            </w:r>
            <w:r w:rsidRPr="003579C2">
              <w:rPr>
                <w:rFonts w:asciiTheme="majorBidi" w:hAnsiTheme="majorBidi" w:cstheme="majorBidi"/>
                <w:sz w:val="24"/>
                <w:szCs w:val="24"/>
              </w:rPr>
              <w:t xml:space="preserve">: </w:t>
            </w:r>
            <w:r w:rsidR="0000114F">
              <w:rPr>
                <w:rFonts w:asciiTheme="majorBidi" w:hAnsiTheme="majorBidi" w:cstheme="majorBidi"/>
                <w:sz w:val="24"/>
                <w:szCs w:val="24"/>
              </w:rPr>
              <w:t xml:space="preserve">Proiectul de hotărâre a Guvernului pentru modificarea </w:t>
            </w:r>
            <w:r w:rsidR="0000114F" w:rsidRPr="0000114F">
              <w:rPr>
                <w:rFonts w:asciiTheme="majorBidi" w:hAnsiTheme="majorBidi" w:cstheme="majorBidi"/>
                <w:sz w:val="24"/>
                <w:szCs w:val="24"/>
              </w:rPr>
              <w:t>Hotărâr</w:t>
            </w:r>
            <w:r w:rsidR="0000114F">
              <w:rPr>
                <w:rFonts w:asciiTheme="majorBidi" w:hAnsiTheme="majorBidi" w:cstheme="majorBidi"/>
                <w:sz w:val="24"/>
                <w:szCs w:val="24"/>
              </w:rPr>
              <w:t>ii</w:t>
            </w:r>
            <w:r w:rsidR="0000114F" w:rsidRPr="0000114F">
              <w:rPr>
                <w:rFonts w:asciiTheme="majorBidi" w:hAnsiTheme="majorBidi" w:cstheme="majorBidi"/>
                <w:sz w:val="24"/>
                <w:szCs w:val="24"/>
              </w:rPr>
              <w:t xml:space="preserve"> Guvernului nr. 293/2014 pentru aprobarea Regulamentului cu privire la regimul armelor şi al muniţiilor cu destinaţie civilă</w:t>
            </w:r>
          </w:p>
        </w:tc>
      </w:tr>
      <w:tr w:rsidR="00292960" w:rsidRPr="003F5F52" w14:paraId="242FE38A" w14:textId="77777777" w:rsidTr="00494E53">
        <w:tc>
          <w:tcPr>
            <w:tcW w:w="206" w:type="pct"/>
          </w:tcPr>
          <w:p w14:paraId="3E99004C"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3</w:t>
            </w:r>
          </w:p>
        </w:tc>
        <w:tc>
          <w:tcPr>
            <w:tcW w:w="4794" w:type="pct"/>
          </w:tcPr>
          <w:p w14:paraId="0EAD29F9" w14:textId="45AD18F7" w:rsidR="00024734" w:rsidRPr="0097590A"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Gradul general de compatibilitate</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Parțial c</w:t>
            </w:r>
            <w:r w:rsidR="00AB7AA9">
              <w:rPr>
                <w:rFonts w:asciiTheme="majorBidi" w:hAnsiTheme="majorBidi" w:cstheme="majorBidi"/>
                <w:b/>
                <w:sz w:val="24"/>
                <w:szCs w:val="24"/>
              </w:rPr>
              <w:t>ompatibil</w:t>
            </w:r>
          </w:p>
        </w:tc>
      </w:tr>
      <w:tr w:rsidR="000568C2" w:rsidRPr="003F5F52" w14:paraId="1116458A" w14:textId="77777777" w:rsidTr="00494E53">
        <w:tc>
          <w:tcPr>
            <w:tcW w:w="206" w:type="pct"/>
          </w:tcPr>
          <w:p w14:paraId="792ECE93" w14:textId="1E767D53" w:rsidR="000568C2" w:rsidRPr="003F5F52" w:rsidRDefault="000568C2" w:rsidP="000568C2">
            <w:pPr>
              <w:rPr>
                <w:rFonts w:asciiTheme="majorBidi" w:hAnsiTheme="majorBidi" w:cstheme="majorBidi"/>
                <w:b/>
                <w:sz w:val="24"/>
                <w:szCs w:val="24"/>
              </w:rPr>
            </w:pPr>
            <w:r>
              <w:rPr>
                <w:rFonts w:asciiTheme="majorBidi" w:hAnsiTheme="majorBidi" w:cstheme="majorBidi"/>
                <w:b/>
                <w:sz w:val="24"/>
                <w:szCs w:val="24"/>
              </w:rPr>
              <w:t>4</w:t>
            </w:r>
          </w:p>
        </w:tc>
        <w:tc>
          <w:tcPr>
            <w:tcW w:w="4794" w:type="pct"/>
          </w:tcPr>
          <w:p w14:paraId="13B7E699" w14:textId="360D5EA6" w:rsidR="000568C2" w:rsidRPr="000568C2" w:rsidRDefault="000568C2" w:rsidP="000568C2">
            <w:pPr>
              <w:rPr>
                <w:rFonts w:ascii="Times New Roman" w:hAnsi="Times New Roman" w:cs="Times New Roman"/>
                <w:b/>
                <w:sz w:val="24"/>
                <w:szCs w:val="24"/>
              </w:rPr>
            </w:pPr>
            <w:r w:rsidRPr="000568C2">
              <w:rPr>
                <w:rFonts w:ascii="Times New Roman" w:hAnsi="Times New Roman" w:cs="Times New Roman"/>
                <w:b/>
                <w:sz w:val="24"/>
                <w:szCs w:val="24"/>
              </w:rPr>
              <w:t>Autoritatea/persoana responsabilă</w:t>
            </w:r>
            <w:r>
              <w:rPr>
                <w:rFonts w:ascii="Times New Roman" w:hAnsi="Times New Roman" w:cs="Times New Roman"/>
                <w:b/>
                <w:sz w:val="24"/>
                <w:szCs w:val="24"/>
              </w:rPr>
              <w:t xml:space="preserve">: Ministerul Afacerilor Interne, </w:t>
            </w:r>
            <w:r w:rsidR="00DF6DB4">
              <w:rPr>
                <w:rFonts w:ascii="Times New Roman" w:hAnsi="Times New Roman" w:cs="Times New Roman"/>
                <w:b/>
                <w:sz w:val="24"/>
                <w:szCs w:val="24"/>
              </w:rPr>
              <w:t xml:space="preserve">Direcția politici în domeniul ordinii și securității publice, combaterii criminalității, </w:t>
            </w:r>
            <w:r>
              <w:rPr>
                <w:rFonts w:ascii="Times New Roman" w:hAnsi="Times New Roman" w:cs="Times New Roman"/>
                <w:b/>
                <w:sz w:val="24"/>
                <w:szCs w:val="24"/>
              </w:rPr>
              <w:t>ofițer principal Sergiu Sofronii</w:t>
            </w:r>
            <w:r w:rsidR="00DF6DB4">
              <w:rPr>
                <w:rFonts w:ascii="Times New Roman" w:hAnsi="Times New Roman" w:cs="Times New Roman"/>
                <w:b/>
                <w:sz w:val="24"/>
                <w:szCs w:val="24"/>
              </w:rPr>
              <w:t>.</w:t>
            </w:r>
          </w:p>
        </w:tc>
      </w:tr>
      <w:tr w:rsidR="003F494C" w:rsidRPr="003F5F52" w14:paraId="7C2B556E" w14:textId="77777777" w:rsidTr="00494E53">
        <w:tc>
          <w:tcPr>
            <w:tcW w:w="206" w:type="pct"/>
          </w:tcPr>
          <w:p w14:paraId="286E3FC9" w14:textId="25795AFE" w:rsidR="003F494C" w:rsidRDefault="003F494C" w:rsidP="000568C2">
            <w:pPr>
              <w:rPr>
                <w:rFonts w:asciiTheme="majorBidi" w:hAnsiTheme="majorBidi" w:cstheme="majorBidi"/>
                <w:b/>
                <w:sz w:val="24"/>
                <w:szCs w:val="24"/>
              </w:rPr>
            </w:pPr>
            <w:r>
              <w:rPr>
                <w:rFonts w:asciiTheme="majorBidi" w:hAnsiTheme="majorBidi" w:cstheme="majorBidi"/>
                <w:b/>
                <w:sz w:val="24"/>
                <w:szCs w:val="24"/>
              </w:rPr>
              <w:t>5</w:t>
            </w:r>
          </w:p>
        </w:tc>
        <w:tc>
          <w:tcPr>
            <w:tcW w:w="4794" w:type="pct"/>
          </w:tcPr>
          <w:p w14:paraId="2891CB27" w14:textId="511039C1" w:rsidR="003F494C" w:rsidRPr="000568C2" w:rsidRDefault="003F494C" w:rsidP="000568C2">
            <w:pPr>
              <w:rPr>
                <w:rFonts w:ascii="Times New Roman" w:hAnsi="Times New Roman" w:cs="Times New Roman"/>
                <w:b/>
                <w:sz w:val="24"/>
                <w:szCs w:val="24"/>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w:t>
            </w:r>
            <w:r w:rsidR="004D3502">
              <w:rPr>
                <w:rFonts w:ascii="Times New Roman" w:hAnsi="Times New Roman" w:cs="Times New Roman"/>
                <w:b/>
                <w:sz w:val="24"/>
                <w:szCs w:val="24"/>
              </w:rPr>
              <w:t>aprili</w:t>
            </w:r>
            <w:r w:rsidR="00EA66ED">
              <w:rPr>
                <w:rFonts w:ascii="Times New Roman" w:hAnsi="Times New Roman" w:cs="Times New Roman"/>
                <w:b/>
                <w:sz w:val="24"/>
                <w:szCs w:val="24"/>
              </w:rPr>
              <w:t>e</w:t>
            </w:r>
            <w:r w:rsidRPr="00DF6DB4">
              <w:rPr>
                <w:rFonts w:ascii="Times New Roman" w:hAnsi="Times New Roman" w:cs="Times New Roman"/>
                <w:b/>
                <w:sz w:val="24"/>
                <w:szCs w:val="24"/>
              </w:rPr>
              <w:t xml:space="preserve"> 202</w:t>
            </w:r>
            <w:r w:rsidR="00D14D9A">
              <w:rPr>
                <w:rFonts w:ascii="Times New Roman" w:hAnsi="Times New Roman" w:cs="Times New Roman"/>
                <w:b/>
                <w:sz w:val="24"/>
                <w:szCs w:val="24"/>
              </w:rPr>
              <w:t>6</w:t>
            </w:r>
          </w:p>
        </w:tc>
      </w:tr>
    </w:tbl>
    <w:tbl>
      <w:tblPr>
        <w:tblStyle w:val="Tabelgril"/>
        <w:tblW w:w="15843" w:type="dxa"/>
        <w:tblLayout w:type="fixed"/>
        <w:tblLook w:val="04A0" w:firstRow="1" w:lastRow="0" w:firstColumn="1" w:lastColumn="0" w:noHBand="0" w:noVBand="1"/>
      </w:tblPr>
      <w:tblGrid>
        <w:gridCol w:w="3964"/>
        <w:gridCol w:w="6776"/>
        <w:gridCol w:w="1842"/>
        <w:gridCol w:w="3261"/>
      </w:tblGrid>
      <w:tr w:rsidR="007C2D56" w:rsidRPr="003F5F52" w14:paraId="2EAC494A" w14:textId="77777777" w:rsidTr="000A2DD0">
        <w:tc>
          <w:tcPr>
            <w:tcW w:w="3964" w:type="dxa"/>
          </w:tcPr>
          <w:p w14:paraId="5C38F3CE" w14:textId="77777777" w:rsidR="007C2D56" w:rsidRPr="003F5F52" w:rsidRDefault="007C2D56" w:rsidP="007C2D56">
            <w:pPr>
              <w:jc w:val="center"/>
              <w:rPr>
                <w:rFonts w:asciiTheme="majorBidi" w:hAnsiTheme="majorBidi" w:cstheme="majorBidi"/>
                <w:b/>
                <w:sz w:val="24"/>
                <w:szCs w:val="24"/>
              </w:rPr>
            </w:pPr>
            <w:r w:rsidRPr="003F5F52">
              <w:rPr>
                <w:rFonts w:asciiTheme="majorBidi" w:hAnsiTheme="majorBidi" w:cstheme="majorBidi"/>
                <w:b/>
                <w:sz w:val="24"/>
                <w:szCs w:val="24"/>
              </w:rPr>
              <w:t>Actul Uniunii Europene</w:t>
            </w:r>
          </w:p>
        </w:tc>
        <w:tc>
          <w:tcPr>
            <w:tcW w:w="6776" w:type="dxa"/>
          </w:tcPr>
          <w:p w14:paraId="0FEE1B67" w14:textId="60E705AE"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Proiectul de act normativ național</w:t>
            </w:r>
          </w:p>
        </w:tc>
        <w:tc>
          <w:tcPr>
            <w:tcW w:w="1842" w:type="dxa"/>
          </w:tcPr>
          <w:p w14:paraId="3C9DF1AB" w14:textId="77777777" w:rsidR="007C2D56" w:rsidRPr="00A335B5" w:rsidRDefault="007C2D56" w:rsidP="007C2D56">
            <w:pPr>
              <w:jc w:val="center"/>
              <w:rPr>
                <w:rFonts w:asciiTheme="majorBidi" w:hAnsiTheme="majorBidi" w:cstheme="majorBidi"/>
                <w:b/>
                <w:sz w:val="24"/>
                <w:szCs w:val="24"/>
              </w:rPr>
            </w:pPr>
            <w:r w:rsidRPr="00A335B5">
              <w:rPr>
                <w:rFonts w:asciiTheme="majorBidi" w:hAnsiTheme="majorBidi" w:cstheme="majorBidi"/>
                <w:b/>
                <w:sz w:val="24"/>
                <w:szCs w:val="24"/>
              </w:rPr>
              <w:t>Gradul de compatibilitate</w:t>
            </w:r>
          </w:p>
        </w:tc>
        <w:tc>
          <w:tcPr>
            <w:tcW w:w="3261" w:type="dxa"/>
          </w:tcPr>
          <w:p w14:paraId="31754D01" w14:textId="77777777" w:rsidR="007C2D56" w:rsidRPr="003F5F52" w:rsidRDefault="007C2D56" w:rsidP="00E8747D">
            <w:pPr>
              <w:jc w:val="center"/>
              <w:rPr>
                <w:rFonts w:asciiTheme="majorBidi" w:hAnsiTheme="majorBidi" w:cstheme="majorBidi"/>
                <w:b/>
                <w:sz w:val="24"/>
                <w:szCs w:val="24"/>
              </w:rPr>
            </w:pPr>
            <w:r w:rsidRPr="003F5F52">
              <w:rPr>
                <w:rFonts w:asciiTheme="majorBidi" w:hAnsiTheme="majorBidi" w:cstheme="majorBidi"/>
                <w:b/>
                <w:sz w:val="24"/>
                <w:szCs w:val="24"/>
              </w:rPr>
              <w:t>Observațiile</w:t>
            </w:r>
          </w:p>
        </w:tc>
      </w:tr>
      <w:tr w:rsidR="007C2D56" w:rsidRPr="003F5F52" w14:paraId="6215D9FC" w14:textId="77777777" w:rsidTr="000A2DD0">
        <w:tc>
          <w:tcPr>
            <w:tcW w:w="3964" w:type="dxa"/>
          </w:tcPr>
          <w:p w14:paraId="22847726" w14:textId="64C5A2E1"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6</w:t>
            </w:r>
          </w:p>
        </w:tc>
        <w:tc>
          <w:tcPr>
            <w:tcW w:w="6776" w:type="dxa"/>
          </w:tcPr>
          <w:p w14:paraId="4EDBA96C" w14:textId="6A0B3C22" w:rsidR="007C2D56" w:rsidRPr="003F5F52" w:rsidRDefault="000B391C" w:rsidP="007C2D56">
            <w:pPr>
              <w:jc w:val="center"/>
              <w:rPr>
                <w:rFonts w:asciiTheme="majorBidi" w:hAnsiTheme="majorBidi" w:cstheme="majorBidi"/>
                <w:b/>
                <w:sz w:val="24"/>
                <w:szCs w:val="24"/>
              </w:rPr>
            </w:pPr>
            <w:r>
              <w:rPr>
                <w:rFonts w:asciiTheme="majorBidi" w:hAnsiTheme="majorBidi" w:cstheme="majorBidi"/>
                <w:b/>
                <w:sz w:val="24"/>
                <w:szCs w:val="24"/>
              </w:rPr>
              <w:t>7</w:t>
            </w:r>
          </w:p>
        </w:tc>
        <w:tc>
          <w:tcPr>
            <w:tcW w:w="1842" w:type="dxa"/>
          </w:tcPr>
          <w:p w14:paraId="5BFF6C0D" w14:textId="6E553BF1" w:rsidR="007C2D56" w:rsidRPr="00A335B5" w:rsidRDefault="000B391C" w:rsidP="007C2D56">
            <w:pPr>
              <w:jc w:val="center"/>
              <w:rPr>
                <w:rFonts w:asciiTheme="majorBidi" w:hAnsiTheme="majorBidi" w:cstheme="majorBidi"/>
                <w:b/>
                <w:sz w:val="24"/>
                <w:szCs w:val="24"/>
              </w:rPr>
            </w:pPr>
            <w:r>
              <w:rPr>
                <w:rFonts w:asciiTheme="majorBidi" w:hAnsiTheme="majorBidi" w:cstheme="majorBidi"/>
                <w:b/>
                <w:sz w:val="24"/>
                <w:szCs w:val="24"/>
              </w:rPr>
              <w:t>8</w:t>
            </w:r>
          </w:p>
        </w:tc>
        <w:tc>
          <w:tcPr>
            <w:tcW w:w="3261" w:type="dxa"/>
          </w:tcPr>
          <w:p w14:paraId="0365D5BF" w14:textId="5773892C" w:rsidR="007C2D56" w:rsidRPr="003F5F52" w:rsidRDefault="000B391C" w:rsidP="00E8747D">
            <w:pPr>
              <w:jc w:val="center"/>
              <w:rPr>
                <w:rFonts w:asciiTheme="majorBidi" w:hAnsiTheme="majorBidi" w:cstheme="majorBidi"/>
                <w:b/>
                <w:sz w:val="24"/>
                <w:szCs w:val="24"/>
              </w:rPr>
            </w:pPr>
            <w:r>
              <w:rPr>
                <w:rFonts w:asciiTheme="majorBidi" w:hAnsiTheme="majorBidi" w:cstheme="majorBidi"/>
                <w:b/>
                <w:sz w:val="24"/>
                <w:szCs w:val="24"/>
              </w:rPr>
              <w:t>9</w:t>
            </w:r>
          </w:p>
        </w:tc>
      </w:tr>
      <w:tr w:rsidR="007C2D56" w:rsidRPr="003F5F52" w14:paraId="75F91F64" w14:textId="77777777" w:rsidTr="000A2DD0">
        <w:tc>
          <w:tcPr>
            <w:tcW w:w="3964" w:type="dxa"/>
          </w:tcPr>
          <w:p w14:paraId="3184506C" w14:textId="534AA968" w:rsidR="007C2D56" w:rsidRPr="00002651" w:rsidRDefault="002214DB" w:rsidP="007C2D56">
            <w:pPr>
              <w:jc w:val="both"/>
              <w:rPr>
                <w:rFonts w:asciiTheme="majorBidi" w:hAnsiTheme="majorBidi" w:cstheme="majorBidi"/>
                <w:b/>
                <w:bCs/>
                <w:sz w:val="20"/>
                <w:szCs w:val="20"/>
              </w:rPr>
            </w:pPr>
            <w:r w:rsidRPr="00002651">
              <w:rPr>
                <w:rFonts w:asciiTheme="majorBidi" w:hAnsiTheme="majorBidi" w:cstheme="majorBidi"/>
                <w:b/>
                <w:bCs/>
                <w:sz w:val="20"/>
                <w:szCs w:val="20"/>
              </w:rPr>
              <w:t xml:space="preserve">Directiva </w:t>
            </w:r>
            <w:r w:rsidR="00BE7D0B" w:rsidRPr="00002651">
              <w:rPr>
                <w:rFonts w:asciiTheme="majorBidi" w:hAnsiTheme="majorBidi" w:cstheme="majorBidi"/>
                <w:b/>
                <w:bCs/>
                <w:sz w:val="20"/>
                <w:szCs w:val="20"/>
              </w:rPr>
              <w:t>de punere în aplicare (UE) 2019/69 a Comisie din 16 ianuarie 2019 de stabilire a specificațiilor tehnice pentru armele de alarmă și de semnalizare</w:t>
            </w:r>
          </w:p>
        </w:tc>
        <w:tc>
          <w:tcPr>
            <w:tcW w:w="6776" w:type="dxa"/>
          </w:tcPr>
          <w:p w14:paraId="3C0E176D" w14:textId="3FB0EBD8" w:rsidR="007C2D56" w:rsidRPr="00002651" w:rsidRDefault="000A2DD0" w:rsidP="007C2D56">
            <w:pPr>
              <w:jc w:val="both"/>
              <w:rPr>
                <w:rFonts w:asciiTheme="majorBidi" w:hAnsiTheme="majorBidi" w:cstheme="majorBidi"/>
                <w:b/>
                <w:bCs/>
                <w:sz w:val="24"/>
                <w:szCs w:val="24"/>
              </w:rPr>
            </w:pPr>
            <w:r w:rsidRPr="00002651">
              <w:rPr>
                <w:rFonts w:asciiTheme="majorBidi" w:hAnsiTheme="majorBidi" w:cstheme="majorBidi"/>
                <w:b/>
                <w:bCs/>
                <w:sz w:val="20"/>
                <w:szCs w:val="20"/>
              </w:rPr>
              <w:t>Hotărârea Guvernului nr. 293/2014 pentru aprobarea Regulamentului cu privire la regimul armelor şi al muniţiilor cu destinaţie civilă</w:t>
            </w:r>
          </w:p>
        </w:tc>
        <w:tc>
          <w:tcPr>
            <w:tcW w:w="1842" w:type="dxa"/>
          </w:tcPr>
          <w:p w14:paraId="03A5826C" w14:textId="0154A087" w:rsidR="007C2D56" w:rsidRPr="00A335B5" w:rsidRDefault="000A2DD0" w:rsidP="007C2D56">
            <w:pPr>
              <w:jc w:val="center"/>
              <w:rPr>
                <w:rFonts w:asciiTheme="majorBidi" w:hAnsiTheme="majorBidi" w:cstheme="majorBidi"/>
                <w:b/>
                <w:sz w:val="24"/>
                <w:szCs w:val="24"/>
              </w:rPr>
            </w:pPr>
            <w:r>
              <w:rPr>
                <w:rFonts w:asciiTheme="majorBidi" w:hAnsiTheme="majorBidi" w:cstheme="majorBidi"/>
                <w:b/>
                <w:sz w:val="24"/>
                <w:szCs w:val="24"/>
              </w:rPr>
              <w:t>-</w:t>
            </w:r>
          </w:p>
        </w:tc>
        <w:tc>
          <w:tcPr>
            <w:tcW w:w="3261" w:type="dxa"/>
          </w:tcPr>
          <w:p w14:paraId="4C24AC83" w14:textId="269F1377" w:rsidR="00F9125A" w:rsidRPr="004C2B57" w:rsidRDefault="000A2DD0" w:rsidP="000A2DD0">
            <w:pPr>
              <w:jc w:val="center"/>
              <w:rPr>
                <w:rFonts w:asciiTheme="majorBidi" w:hAnsiTheme="majorBidi" w:cstheme="majorBidi"/>
                <w:bCs/>
                <w:sz w:val="20"/>
                <w:szCs w:val="20"/>
              </w:rPr>
            </w:pPr>
            <w:r>
              <w:rPr>
                <w:rFonts w:asciiTheme="majorBidi" w:hAnsiTheme="majorBidi" w:cstheme="majorBidi"/>
                <w:bCs/>
                <w:sz w:val="20"/>
                <w:szCs w:val="20"/>
              </w:rPr>
              <w:t>-</w:t>
            </w:r>
          </w:p>
        </w:tc>
      </w:tr>
      <w:tr w:rsidR="000A2DD0" w:rsidRPr="003F5F52" w14:paraId="3CAA2A3B" w14:textId="77777777" w:rsidTr="000A2DD0">
        <w:tc>
          <w:tcPr>
            <w:tcW w:w="3964" w:type="dxa"/>
          </w:tcPr>
          <w:p w14:paraId="70AF94C5" w14:textId="77777777"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Articolul 1</w:t>
            </w:r>
          </w:p>
          <w:p w14:paraId="4C43C14D" w14:textId="77777777"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Specificații tehnice</w:t>
            </w:r>
          </w:p>
          <w:p w14:paraId="5E5B7CB0" w14:textId="77777777" w:rsidR="009A0F54" w:rsidRPr="009A0F54" w:rsidRDefault="009A0F54" w:rsidP="009A0F54">
            <w:pPr>
              <w:jc w:val="both"/>
              <w:rPr>
                <w:rFonts w:asciiTheme="majorBidi" w:hAnsiTheme="majorBidi" w:cstheme="majorBidi"/>
                <w:sz w:val="20"/>
                <w:szCs w:val="20"/>
              </w:rPr>
            </w:pPr>
          </w:p>
          <w:p w14:paraId="4D3B10A7" w14:textId="76CB6458" w:rsidR="000A2DD0" w:rsidRPr="002214DB"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Statele membre se asigură că, pentru a nu fi considerate arme de foc în temeiul Directivei 91/477/CEE, dispozitivele echipate cu un tub de cartuș care sunt concepute pentru a expulza numai muniție oarbă, substanțe iritante, alte substanțe active sau muniție pirotehnică de semnalizare trebuie să respecte în orice moment specificațiile tehnice stabilite în anexa la prezenta directivă.</w:t>
            </w:r>
          </w:p>
        </w:tc>
        <w:tc>
          <w:tcPr>
            <w:tcW w:w="6776" w:type="dxa"/>
          </w:tcPr>
          <w:p w14:paraId="46BCFA18" w14:textId="60786967" w:rsidR="00993A3D" w:rsidRDefault="00993A3D" w:rsidP="007C2D56">
            <w:pPr>
              <w:jc w:val="both"/>
              <w:rPr>
                <w:rFonts w:asciiTheme="majorBidi" w:hAnsiTheme="majorBidi" w:cstheme="majorBidi"/>
                <w:sz w:val="20"/>
                <w:szCs w:val="20"/>
              </w:rPr>
            </w:pPr>
            <w:r w:rsidRPr="00002651">
              <w:rPr>
                <w:rFonts w:asciiTheme="majorBidi" w:hAnsiTheme="majorBidi" w:cstheme="majorBidi"/>
                <w:b/>
                <w:bCs/>
                <w:sz w:val="20"/>
                <w:szCs w:val="20"/>
              </w:rPr>
              <w:t>Legea nr. 130/2012</w:t>
            </w:r>
            <w:r w:rsidR="00350589" w:rsidRPr="00002651">
              <w:rPr>
                <w:rFonts w:asciiTheme="majorBidi" w:hAnsiTheme="majorBidi" w:cstheme="majorBidi"/>
                <w:b/>
                <w:bCs/>
                <w:sz w:val="20"/>
                <w:szCs w:val="20"/>
              </w:rPr>
              <w:t xml:space="preserve"> privind regimul armelor și al munițiilor cu destinație civilă</w:t>
            </w:r>
            <w:r w:rsidR="00350589">
              <w:rPr>
                <w:rFonts w:asciiTheme="majorBidi" w:hAnsiTheme="majorBidi" w:cstheme="majorBidi"/>
                <w:sz w:val="20"/>
                <w:szCs w:val="20"/>
              </w:rPr>
              <w:t>,</w:t>
            </w:r>
            <w:r>
              <w:rPr>
                <w:rFonts w:asciiTheme="majorBidi" w:hAnsiTheme="majorBidi" w:cstheme="majorBidi"/>
                <w:sz w:val="20"/>
                <w:szCs w:val="20"/>
              </w:rPr>
              <w:t xml:space="preserve"> </w:t>
            </w:r>
            <w:r w:rsidR="000651CC">
              <w:rPr>
                <w:rFonts w:asciiTheme="majorBidi" w:hAnsiTheme="majorBidi" w:cstheme="majorBidi"/>
                <w:sz w:val="20"/>
                <w:szCs w:val="20"/>
              </w:rPr>
              <w:t>la art. 2. Noțiuni, prevede</w:t>
            </w:r>
            <w:r>
              <w:rPr>
                <w:rFonts w:asciiTheme="majorBidi" w:hAnsiTheme="majorBidi" w:cstheme="majorBidi"/>
                <w:sz w:val="20"/>
                <w:szCs w:val="20"/>
              </w:rPr>
              <w:t xml:space="preserve"> noțiunea de</w:t>
            </w:r>
            <w:r w:rsidR="0096149C">
              <w:rPr>
                <w:rFonts w:asciiTheme="majorBidi" w:hAnsiTheme="majorBidi" w:cstheme="majorBidi"/>
                <w:sz w:val="20"/>
                <w:szCs w:val="20"/>
              </w:rPr>
              <w:t>:</w:t>
            </w:r>
            <w:r>
              <w:rPr>
                <w:rFonts w:asciiTheme="majorBidi" w:hAnsiTheme="majorBidi" w:cstheme="majorBidi"/>
                <w:sz w:val="20"/>
                <w:szCs w:val="20"/>
              </w:rPr>
              <w:t xml:space="preserve"> </w:t>
            </w:r>
          </w:p>
          <w:p w14:paraId="6DFAC6C2" w14:textId="4719106F" w:rsidR="00993A3D" w:rsidRPr="000A2DD0" w:rsidRDefault="00993A3D" w:rsidP="007C2D56">
            <w:pPr>
              <w:jc w:val="both"/>
              <w:rPr>
                <w:rFonts w:asciiTheme="majorBidi" w:hAnsiTheme="majorBidi" w:cstheme="majorBidi"/>
                <w:sz w:val="20"/>
                <w:szCs w:val="20"/>
              </w:rPr>
            </w:pPr>
            <w:r w:rsidRPr="00993A3D">
              <w:rPr>
                <w:rFonts w:asciiTheme="majorBidi" w:hAnsiTheme="majorBidi" w:cstheme="majorBidi"/>
                <w:i/>
                <w:iCs/>
                <w:sz w:val="20"/>
                <w:szCs w:val="20"/>
              </w:rPr>
              <w:t>armă de alarmă și armă de semnalizare</w:t>
            </w:r>
            <w:r w:rsidRPr="00993A3D">
              <w:rPr>
                <w:rFonts w:asciiTheme="majorBidi" w:hAnsiTheme="majorBidi" w:cstheme="majorBidi"/>
                <w:sz w:val="20"/>
                <w:szCs w:val="20"/>
              </w:rPr>
              <w:t xml:space="preserve"> – dispozitive care sunt proiectate numai pentru a trage gloanțe oarbe sau cartușe pirotehnice de semnalizare </w:t>
            </w:r>
            <w:r w:rsidR="00EA66ED">
              <w:rPr>
                <w:rFonts w:asciiTheme="majorBidi" w:hAnsiTheme="majorBidi" w:cstheme="majorBidi"/>
                <w:sz w:val="20"/>
                <w:szCs w:val="20"/>
              </w:rPr>
              <w:t>o</w:t>
            </w:r>
            <w:r w:rsidRPr="00993A3D">
              <w:rPr>
                <w:rFonts w:asciiTheme="majorBidi" w:hAnsiTheme="majorBidi" w:cstheme="majorBidi"/>
                <w:sz w:val="20"/>
                <w:szCs w:val="20"/>
              </w:rPr>
              <w:t>ri pentru a expulza substanțe iritante sau alte substanțe active, care îndeplinesc condițiile de siguranță a tragerii și prezintă garanția că nu pot fi transformate pentru a expulza o alice, un glonț sau un proiectil prin acțiunea unui combustibil de propulsie</w:t>
            </w:r>
          </w:p>
        </w:tc>
        <w:tc>
          <w:tcPr>
            <w:tcW w:w="1842" w:type="dxa"/>
          </w:tcPr>
          <w:p w14:paraId="48A7F67D" w14:textId="180B018E" w:rsidR="000A2DD0" w:rsidRPr="000651CC" w:rsidRDefault="000651CC" w:rsidP="007C2D56">
            <w:pPr>
              <w:jc w:val="center"/>
              <w:rPr>
                <w:rFonts w:asciiTheme="majorBidi" w:hAnsiTheme="majorBidi" w:cstheme="majorBidi"/>
                <w:b/>
                <w:sz w:val="24"/>
                <w:szCs w:val="24"/>
              </w:rPr>
            </w:pPr>
            <w:r w:rsidRPr="000651CC">
              <w:rPr>
                <w:rFonts w:asciiTheme="majorBidi" w:hAnsiTheme="majorBidi" w:cstheme="majorBidi"/>
                <w:b/>
                <w:sz w:val="24"/>
                <w:szCs w:val="24"/>
              </w:rPr>
              <w:t>C</w:t>
            </w:r>
            <w:r w:rsidR="00993A3D" w:rsidRPr="000651CC">
              <w:rPr>
                <w:rFonts w:asciiTheme="majorBidi" w:hAnsiTheme="majorBidi" w:cstheme="majorBidi"/>
                <w:b/>
                <w:sz w:val="24"/>
                <w:szCs w:val="24"/>
              </w:rPr>
              <w:t>ompatibil</w:t>
            </w:r>
          </w:p>
        </w:tc>
        <w:tc>
          <w:tcPr>
            <w:tcW w:w="3261" w:type="dxa"/>
          </w:tcPr>
          <w:p w14:paraId="6EA7F68B" w14:textId="77777777" w:rsidR="000A2DD0" w:rsidRDefault="000A2DD0" w:rsidP="000A2DD0">
            <w:pPr>
              <w:jc w:val="center"/>
              <w:rPr>
                <w:rFonts w:asciiTheme="majorBidi" w:hAnsiTheme="majorBidi" w:cstheme="majorBidi"/>
                <w:bCs/>
                <w:sz w:val="20"/>
                <w:szCs w:val="20"/>
              </w:rPr>
            </w:pPr>
          </w:p>
        </w:tc>
      </w:tr>
      <w:tr w:rsidR="000A2DD0" w:rsidRPr="003F5F52" w14:paraId="15DDE1E3" w14:textId="77777777" w:rsidTr="000A2DD0">
        <w:tc>
          <w:tcPr>
            <w:tcW w:w="3964" w:type="dxa"/>
          </w:tcPr>
          <w:p w14:paraId="162BB2BF" w14:textId="77777777"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Articolul 2</w:t>
            </w:r>
          </w:p>
          <w:p w14:paraId="599F210F" w14:textId="6FCCB5F9"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 xml:space="preserve">Verificarea conformității cu specificațiile </w:t>
            </w:r>
            <w:r w:rsidRPr="009A0F54">
              <w:rPr>
                <w:rFonts w:asciiTheme="majorBidi" w:hAnsiTheme="majorBidi" w:cstheme="majorBidi"/>
                <w:sz w:val="20"/>
                <w:szCs w:val="20"/>
              </w:rPr>
              <w:lastRenderedPageBreak/>
              <w:t>tehnice</w:t>
            </w:r>
          </w:p>
          <w:p w14:paraId="5D2B6366" w14:textId="610B8C4F" w:rsidR="000A2DD0" w:rsidRPr="002214DB" w:rsidRDefault="009A0F54" w:rsidP="00484997">
            <w:pPr>
              <w:tabs>
                <w:tab w:val="left" w:pos="142"/>
                <w:tab w:val="left" w:pos="284"/>
                <w:tab w:val="left" w:pos="426"/>
              </w:tabs>
              <w:jc w:val="both"/>
              <w:rPr>
                <w:rFonts w:asciiTheme="majorBidi" w:hAnsiTheme="majorBidi" w:cstheme="majorBidi"/>
                <w:sz w:val="20"/>
                <w:szCs w:val="20"/>
              </w:rPr>
            </w:pPr>
            <w:r w:rsidRPr="009A0F54">
              <w:rPr>
                <w:rFonts w:asciiTheme="majorBidi" w:hAnsiTheme="majorBidi" w:cstheme="majorBidi"/>
                <w:sz w:val="20"/>
                <w:szCs w:val="20"/>
              </w:rPr>
              <w:t>(1)</w:t>
            </w:r>
            <w:r w:rsidR="00484997">
              <w:rPr>
                <w:rFonts w:asciiTheme="majorBidi" w:hAnsiTheme="majorBidi" w:cstheme="majorBidi"/>
                <w:sz w:val="20"/>
                <w:szCs w:val="20"/>
              </w:rPr>
              <w:t xml:space="preserve"> </w:t>
            </w:r>
            <w:r w:rsidRPr="009A0F54">
              <w:rPr>
                <w:rFonts w:asciiTheme="majorBidi" w:hAnsiTheme="majorBidi" w:cstheme="majorBidi"/>
                <w:sz w:val="20"/>
                <w:szCs w:val="20"/>
              </w:rPr>
              <w:t>Statele membre asigură faptul că dispozitivele de tipul celor menționate la articolul 1 fac obiectul unor controale pentru a se stabili conformitatea acestora cu specificațiile tehnice stabilite în anexă.</w:t>
            </w:r>
          </w:p>
        </w:tc>
        <w:tc>
          <w:tcPr>
            <w:tcW w:w="6776" w:type="dxa"/>
          </w:tcPr>
          <w:p w14:paraId="49CF8595" w14:textId="36DD4F9F" w:rsidR="00350589" w:rsidRPr="00002651" w:rsidRDefault="00350589" w:rsidP="0096149C">
            <w:pPr>
              <w:jc w:val="both"/>
              <w:rPr>
                <w:rFonts w:asciiTheme="majorBidi" w:hAnsiTheme="majorBidi" w:cstheme="majorBidi"/>
                <w:b/>
                <w:bCs/>
                <w:sz w:val="20"/>
                <w:szCs w:val="20"/>
              </w:rPr>
            </w:pPr>
            <w:r w:rsidRPr="00002651">
              <w:rPr>
                <w:rFonts w:asciiTheme="majorBidi" w:hAnsiTheme="majorBidi" w:cstheme="majorBidi"/>
                <w:b/>
                <w:bCs/>
                <w:sz w:val="20"/>
                <w:szCs w:val="20"/>
              </w:rPr>
              <w:lastRenderedPageBreak/>
              <w:t xml:space="preserve">Legea nr. 130/2012 la art. 4, alin. </w:t>
            </w:r>
            <w:r w:rsidR="00484997" w:rsidRPr="00002651">
              <w:rPr>
                <w:rFonts w:asciiTheme="majorBidi" w:hAnsiTheme="majorBidi" w:cstheme="majorBidi"/>
                <w:b/>
                <w:bCs/>
                <w:sz w:val="20"/>
                <w:szCs w:val="20"/>
              </w:rPr>
              <w:t>(16) prevede:</w:t>
            </w:r>
          </w:p>
          <w:p w14:paraId="53DDCF45" w14:textId="77777777" w:rsidR="00350589" w:rsidRDefault="00350589" w:rsidP="0096149C">
            <w:pPr>
              <w:jc w:val="both"/>
              <w:rPr>
                <w:rFonts w:asciiTheme="majorBidi" w:hAnsiTheme="majorBidi" w:cstheme="majorBidi"/>
                <w:sz w:val="20"/>
                <w:szCs w:val="20"/>
              </w:rPr>
            </w:pPr>
            <w:r w:rsidRPr="00350589">
              <w:rPr>
                <w:rFonts w:asciiTheme="majorBidi" w:hAnsiTheme="majorBidi" w:cstheme="majorBidi"/>
                <w:sz w:val="20"/>
                <w:szCs w:val="20"/>
              </w:rPr>
              <w:t xml:space="preserve">(16) Armele care pot împrăștia gaze nocive, iritante sau de neutralizare, armele </w:t>
            </w:r>
            <w:r w:rsidRPr="00350589">
              <w:rPr>
                <w:rFonts w:asciiTheme="majorBidi" w:hAnsiTheme="majorBidi" w:cstheme="majorBidi"/>
                <w:sz w:val="20"/>
                <w:szCs w:val="20"/>
              </w:rPr>
              <w:lastRenderedPageBreak/>
              <w:t>de alarmă și armele de semnalizare fabricate, transferate sau importate în Republica Moldova pot fi achiziționate, vândute, deținute și/sau folosite, exclusiv pe teritoriul țării, doar după obținerea prealabilă a unui certificat emis de autoritatea de nivel central abilitată cu efectuarea examinării balistice, în modul stabilit de către Guvern.</w:t>
            </w:r>
          </w:p>
          <w:p w14:paraId="6E915A24" w14:textId="77777777" w:rsidR="004D3502" w:rsidRDefault="004D3502" w:rsidP="0096149C">
            <w:pPr>
              <w:jc w:val="both"/>
              <w:rPr>
                <w:rFonts w:asciiTheme="majorBidi" w:hAnsiTheme="majorBidi" w:cstheme="majorBidi"/>
                <w:sz w:val="20"/>
                <w:szCs w:val="20"/>
              </w:rPr>
            </w:pPr>
          </w:p>
          <w:p w14:paraId="48D61079" w14:textId="308C25EC" w:rsidR="004D3502" w:rsidRDefault="004D3502" w:rsidP="0096149C">
            <w:pPr>
              <w:jc w:val="both"/>
              <w:rPr>
                <w:rFonts w:asciiTheme="majorBidi" w:hAnsiTheme="majorBidi" w:cstheme="majorBidi"/>
                <w:sz w:val="20"/>
                <w:szCs w:val="20"/>
              </w:rPr>
            </w:pPr>
            <w:r w:rsidRPr="004D3502">
              <w:rPr>
                <w:rFonts w:asciiTheme="majorBidi" w:hAnsiTheme="majorBidi" w:cstheme="majorBidi"/>
                <w:sz w:val="20"/>
                <w:szCs w:val="20"/>
              </w:rPr>
              <w:t xml:space="preserve">Proiectul de hotărâre pentru modificarea HG 293/2014, prevede completarea cu </w:t>
            </w:r>
            <w:r>
              <w:rPr>
                <w:rFonts w:asciiTheme="majorBidi" w:hAnsiTheme="majorBidi" w:cstheme="majorBidi"/>
                <w:sz w:val="20"/>
                <w:szCs w:val="20"/>
              </w:rPr>
              <w:t>un capitol nou</w:t>
            </w:r>
            <w:r w:rsidRPr="004D3502">
              <w:rPr>
                <w:rFonts w:asciiTheme="majorBidi" w:hAnsiTheme="majorBidi" w:cstheme="majorBidi"/>
                <w:sz w:val="20"/>
                <w:szCs w:val="20"/>
              </w:rPr>
              <w:t>, cu următorul conținut</w:t>
            </w:r>
            <w:r>
              <w:rPr>
                <w:rFonts w:asciiTheme="majorBidi" w:hAnsiTheme="majorBidi" w:cstheme="majorBidi"/>
                <w:sz w:val="20"/>
                <w:szCs w:val="20"/>
              </w:rPr>
              <w:t>:</w:t>
            </w:r>
          </w:p>
          <w:p w14:paraId="3769CA39" w14:textId="44D63BA8" w:rsidR="004D3502" w:rsidRPr="004D3502" w:rsidRDefault="004D3502" w:rsidP="004D3502">
            <w:pPr>
              <w:jc w:val="both"/>
              <w:rPr>
                <w:rFonts w:asciiTheme="majorBidi" w:hAnsiTheme="majorBidi" w:cstheme="majorBidi"/>
                <w:sz w:val="20"/>
                <w:szCs w:val="20"/>
              </w:rPr>
            </w:pPr>
            <w:r w:rsidRPr="004D3502">
              <w:rPr>
                <w:rFonts w:asciiTheme="majorBidi" w:hAnsiTheme="majorBidi" w:cstheme="majorBidi"/>
                <w:sz w:val="20"/>
                <w:szCs w:val="20"/>
              </w:rPr>
              <w:t>Capitolul XL. PROCEDURA PRIVIND ARMELE DE ALARMĂ ȘI DE SEMNALIZARE, cu următorul cuprins:</w:t>
            </w:r>
          </w:p>
          <w:p w14:paraId="70CE3C15" w14:textId="3847A17D" w:rsidR="004D3502" w:rsidRPr="004D3502"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 xml:space="preserve">354. Armurierii care produc, importă sau comercializează arme de alarmă și arme de semnalizare au obligația de a obține certificatul prevăzut la art. 4 </w:t>
            </w:r>
            <w:r w:rsidR="00AF766D">
              <w:rPr>
                <w:rFonts w:asciiTheme="majorBidi" w:hAnsiTheme="majorBidi" w:cstheme="majorBidi"/>
                <w:sz w:val="20"/>
                <w:szCs w:val="20"/>
              </w:rPr>
              <w:br/>
            </w:r>
            <w:r w:rsidRPr="004D3502">
              <w:rPr>
                <w:rFonts w:asciiTheme="majorBidi" w:hAnsiTheme="majorBidi" w:cstheme="majorBidi"/>
                <w:sz w:val="20"/>
                <w:szCs w:val="20"/>
              </w:rPr>
              <w:t>alin. (16) din Lege, modelul căruia este prevăzut în anexa nr. 47, înainte de punerea în circulație pe piață a acestora.</w:t>
            </w:r>
          </w:p>
          <w:p w14:paraId="32E3D642" w14:textId="77777777" w:rsidR="004D3502" w:rsidRPr="004D3502"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 xml:space="preserve">355. Verificarea armelor pentru îndeplinirea specificațiilor tehnice prevăzute în anexa nr. 48, se efectuează la cererea armurierului, de către autoritatea de nivel central abilitată cu efectuarea examinării balistice, odată cu aplicarea marcajului de trasabilitate prevăzut de pct. 349, pentru armele produse sau importate după intrarea în vigoare a prezentei hotărâri sau înainte de comercializare, pentru armele deținute legal până la intrarea în vigoare a prezentei hotărâri. </w:t>
            </w:r>
          </w:p>
          <w:p w14:paraId="699F79B7" w14:textId="77777777" w:rsidR="004D3502" w:rsidRPr="004D3502"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356. Certificatul prevăzut în anexa nr. 47 se eliberează pentru fiecare armă din lotul importat, indiferent de marca și modelul armei.</w:t>
            </w:r>
          </w:p>
          <w:p w14:paraId="260D5638" w14:textId="77777777" w:rsidR="004D3502" w:rsidRPr="004D3502"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357. Numărul certificatului se menționează în documentul de procurare care se predă cumpărătorului împreună cu arma achiziționată.</w:t>
            </w:r>
          </w:p>
          <w:p w14:paraId="68B17C08" w14:textId="77777777" w:rsidR="004D3502" w:rsidRPr="004D3502"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358. În situația în care arma de alarmă sau de semnalizare nu prezintă garanția faptului că nu poate fi transformată pentru a expulza o alică, un glonţ sau un proiectil, prin acţiunea unui combustibil de propulsie, aceasta este considerată armă de foc și încadrată în categoria B - arme de foc supuse autorizării, din anexa nr. 1 la Lege, urmând a fi comercializată și deținută conform prevederilor art. 7 din Legea nr. 130/2012.”.</w:t>
            </w:r>
          </w:p>
          <w:p w14:paraId="64912A73" w14:textId="09D3AFF1" w:rsidR="004D3502" w:rsidRPr="00350589" w:rsidRDefault="004D3502" w:rsidP="00FA6965">
            <w:pPr>
              <w:ind w:firstLine="142"/>
              <w:jc w:val="both"/>
              <w:rPr>
                <w:rFonts w:asciiTheme="majorBidi" w:hAnsiTheme="majorBidi" w:cstheme="majorBidi"/>
                <w:sz w:val="20"/>
                <w:szCs w:val="20"/>
              </w:rPr>
            </w:pPr>
            <w:r w:rsidRPr="004D3502">
              <w:rPr>
                <w:rFonts w:asciiTheme="majorBidi" w:hAnsiTheme="majorBidi" w:cstheme="majorBidi"/>
                <w:sz w:val="20"/>
                <w:szCs w:val="20"/>
              </w:rPr>
              <w:t>359. Deținerea, portul și folosirea armelor de alarmă și de semnalizare de către persoane fizice este interzisă.</w:t>
            </w:r>
          </w:p>
        </w:tc>
        <w:tc>
          <w:tcPr>
            <w:tcW w:w="1842" w:type="dxa"/>
          </w:tcPr>
          <w:p w14:paraId="30167B49" w14:textId="143A07B3" w:rsidR="000A2DD0" w:rsidRPr="00615D10" w:rsidRDefault="00484997" w:rsidP="007C2D56">
            <w:pPr>
              <w:jc w:val="center"/>
              <w:rPr>
                <w:rFonts w:asciiTheme="majorBidi" w:hAnsiTheme="majorBidi" w:cstheme="majorBidi"/>
                <w:b/>
                <w:sz w:val="24"/>
                <w:szCs w:val="24"/>
              </w:rPr>
            </w:pPr>
            <w:r w:rsidRPr="000651CC">
              <w:rPr>
                <w:rFonts w:asciiTheme="majorBidi" w:hAnsiTheme="majorBidi" w:cstheme="majorBidi"/>
                <w:b/>
                <w:sz w:val="24"/>
                <w:szCs w:val="24"/>
              </w:rPr>
              <w:lastRenderedPageBreak/>
              <w:t>Compatibil</w:t>
            </w:r>
          </w:p>
        </w:tc>
        <w:tc>
          <w:tcPr>
            <w:tcW w:w="3261" w:type="dxa"/>
          </w:tcPr>
          <w:p w14:paraId="69845C82" w14:textId="549896BE" w:rsidR="00C066F7" w:rsidRDefault="00C066F7" w:rsidP="000A2DD0">
            <w:pPr>
              <w:jc w:val="center"/>
              <w:rPr>
                <w:rFonts w:asciiTheme="majorBidi" w:hAnsiTheme="majorBidi" w:cstheme="majorBidi"/>
                <w:bCs/>
                <w:sz w:val="20"/>
                <w:szCs w:val="20"/>
              </w:rPr>
            </w:pPr>
          </w:p>
        </w:tc>
      </w:tr>
      <w:tr w:rsidR="000A2DD0" w:rsidRPr="003F5F52" w14:paraId="6155E77B" w14:textId="77777777" w:rsidTr="000A2DD0">
        <w:tc>
          <w:tcPr>
            <w:tcW w:w="3964" w:type="dxa"/>
          </w:tcPr>
          <w:p w14:paraId="6F5B330B" w14:textId="20B267E7" w:rsidR="000A2DD0" w:rsidRPr="002214DB" w:rsidRDefault="009A0F54" w:rsidP="00A21E97">
            <w:pPr>
              <w:jc w:val="both"/>
              <w:rPr>
                <w:rFonts w:asciiTheme="majorBidi" w:hAnsiTheme="majorBidi" w:cstheme="majorBidi"/>
                <w:sz w:val="20"/>
                <w:szCs w:val="20"/>
              </w:rPr>
            </w:pPr>
            <w:r w:rsidRPr="009A0F54">
              <w:rPr>
                <w:rFonts w:asciiTheme="majorBidi" w:hAnsiTheme="majorBidi" w:cstheme="majorBidi"/>
                <w:sz w:val="20"/>
                <w:szCs w:val="20"/>
              </w:rPr>
              <w:t>(2) Statele membre cooperează în ceea ce privește efectuarea controalelor menționate la alineatul (1).</w:t>
            </w:r>
          </w:p>
        </w:tc>
        <w:tc>
          <w:tcPr>
            <w:tcW w:w="6776" w:type="dxa"/>
          </w:tcPr>
          <w:p w14:paraId="250DC35B" w14:textId="10024BB0" w:rsidR="00A37268" w:rsidRPr="00002651" w:rsidRDefault="00D71FB0" w:rsidP="00D71FB0">
            <w:pPr>
              <w:jc w:val="both"/>
              <w:rPr>
                <w:rFonts w:asciiTheme="majorBidi" w:hAnsiTheme="majorBidi" w:cstheme="majorBidi"/>
                <w:b/>
                <w:bCs/>
                <w:sz w:val="20"/>
                <w:szCs w:val="20"/>
              </w:rPr>
            </w:pPr>
            <w:r w:rsidRPr="00002651">
              <w:rPr>
                <w:rFonts w:asciiTheme="majorBidi" w:hAnsiTheme="majorBidi" w:cstheme="majorBidi"/>
                <w:b/>
                <w:bCs/>
                <w:sz w:val="20"/>
                <w:szCs w:val="20"/>
              </w:rPr>
              <w:t>Legea nr. 130/2012</w:t>
            </w:r>
            <w:r w:rsidR="00A37268" w:rsidRPr="00002651">
              <w:rPr>
                <w:rFonts w:asciiTheme="majorBidi" w:hAnsiTheme="majorBidi" w:cstheme="majorBidi"/>
                <w:b/>
                <w:bCs/>
                <w:sz w:val="20"/>
                <w:szCs w:val="20"/>
              </w:rPr>
              <w:t xml:space="preserve"> </w:t>
            </w:r>
          </w:p>
          <w:p w14:paraId="62C176E0" w14:textId="4980ED01" w:rsidR="009E26F0" w:rsidRPr="00002651" w:rsidRDefault="00D144E4" w:rsidP="00D71FB0">
            <w:pPr>
              <w:jc w:val="both"/>
              <w:rPr>
                <w:rFonts w:asciiTheme="majorBidi" w:hAnsiTheme="majorBidi" w:cstheme="majorBidi"/>
                <w:sz w:val="20"/>
                <w:szCs w:val="20"/>
              </w:rPr>
            </w:pPr>
            <w:r w:rsidRPr="00002651">
              <w:rPr>
                <w:rFonts w:asciiTheme="majorBidi" w:hAnsiTheme="majorBidi" w:cstheme="majorBidi"/>
                <w:sz w:val="20"/>
                <w:szCs w:val="20"/>
              </w:rPr>
              <w:t xml:space="preserve">Articolul 3 </w:t>
            </w:r>
            <w:r w:rsidR="009E26F0" w:rsidRPr="00002651">
              <w:rPr>
                <w:rFonts w:asciiTheme="majorBidi" w:hAnsiTheme="majorBidi" w:cstheme="majorBidi"/>
                <w:sz w:val="20"/>
                <w:szCs w:val="20"/>
              </w:rPr>
              <w:t xml:space="preserve">Delimitarea competențelor </w:t>
            </w:r>
          </w:p>
          <w:p w14:paraId="1ED07DAE" w14:textId="0203B19D" w:rsidR="00A37268" w:rsidRDefault="00D144E4" w:rsidP="00D71FB0">
            <w:pPr>
              <w:jc w:val="both"/>
              <w:rPr>
                <w:rFonts w:asciiTheme="majorBidi" w:hAnsiTheme="majorBidi" w:cstheme="majorBidi"/>
                <w:sz w:val="20"/>
                <w:szCs w:val="20"/>
              </w:rPr>
            </w:pPr>
            <w:r>
              <w:rPr>
                <w:rFonts w:asciiTheme="majorBidi" w:hAnsiTheme="majorBidi" w:cstheme="majorBidi"/>
                <w:sz w:val="20"/>
                <w:szCs w:val="20"/>
              </w:rPr>
              <w:t xml:space="preserve">(3) (...) </w:t>
            </w:r>
            <w:r w:rsidRPr="00D144E4">
              <w:rPr>
                <w:rFonts w:asciiTheme="majorBidi" w:hAnsiTheme="majorBidi" w:cstheme="majorBidi"/>
                <w:sz w:val="20"/>
                <w:szCs w:val="20"/>
              </w:rPr>
              <w:t>În domeniul autorizării, evidenţei, controlului şi supravegherii asupra circulaţiei armelor şi a muniţiilor, Ministerul Afacerilor Interne exercită următoarele funcţii:</w:t>
            </w:r>
          </w:p>
          <w:p w14:paraId="4D0526B7" w14:textId="43E92EF0" w:rsidR="00D144E4" w:rsidRDefault="00D144E4" w:rsidP="00D71FB0">
            <w:pPr>
              <w:jc w:val="both"/>
              <w:rPr>
                <w:rFonts w:asciiTheme="majorBidi" w:hAnsiTheme="majorBidi" w:cstheme="majorBidi"/>
                <w:sz w:val="20"/>
                <w:szCs w:val="20"/>
              </w:rPr>
            </w:pPr>
            <w:r w:rsidRPr="00D144E4">
              <w:rPr>
                <w:rFonts w:asciiTheme="majorBidi" w:hAnsiTheme="majorBidi" w:cstheme="majorBidi"/>
                <w:sz w:val="20"/>
                <w:szCs w:val="20"/>
              </w:rPr>
              <w:t>d²) participă, în cadrul grupului de contact creat între statele membre ale Uniunii Europene, la schimbul regulat de informații privind armele.</w:t>
            </w:r>
          </w:p>
          <w:p w14:paraId="10664B14" w14:textId="77777777" w:rsidR="00054AE6" w:rsidRDefault="00054AE6" w:rsidP="009E26F0">
            <w:pPr>
              <w:jc w:val="both"/>
              <w:rPr>
                <w:rFonts w:asciiTheme="majorBidi" w:hAnsiTheme="majorBidi" w:cstheme="majorBidi"/>
                <w:b/>
                <w:bCs/>
                <w:sz w:val="20"/>
                <w:szCs w:val="20"/>
              </w:rPr>
            </w:pPr>
          </w:p>
          <w:p w14:paraId="6404F69D" w14:textId="11168478" w:rsidR="009E26F0" w:rsidRDefault="009E26F0" w:rsidP="009E26F0">
            <w:pPr>
              <w:jc w:val="both"/>
              <w:rPr>
                <w:rFonts w:asciiTheme="majorBidi" w:hAnsiTheme="majorBidi" w:cstheme="majorBidi"/>
                <w:sz w:val="20"/>
                <w:szCs w:val="20"/>
              </w:rPr>
            </w:pPr>
            <w:r w:rsidRPr="00AF766D">
              <w:rPr>
                <w:rFonts w:asciiTheme="majorBidi" w:hAnsiTheme="majorBidi" w:cstheme="majorBidi"/>
                <w:sz w:val="20"/>
                <w:szCs w:val="20"/>
              </w:rPr>
              <w:t>Proiectul de hotărâre pentru modificarea HG 293/2014</w:t>
            </w:r>
            <w:r>
              <w:rPr>
                <w:rFonts w:asciiTheme="majorBidi" w:hAnsiTheme="majorBidi" w:cstheme="majorBidi"/>
                <w:sz w:val="20"/>
                <w:szCs w:val="20"/>
              </w:rPr>
              <w:t xml:space="preserve">, prevede </w:t>
            </w:r>
            <w:r w:rsidRPr="00AF766D">
              <w:rPr>
                <w:rFonts w:asciiTheme="majorBidi" w:hAnsiTheme="majorBidi" w:cstheme="majorBidi"/>
                <w:sz w:val="20"/>
                <w:szCs w:val="20"/>
              </w:rPr>
              <w:t>completarea cu</w:t>
            </w:r>
            <w:r w:rsidR="00AF766D" w:rsidRPr="00AF766D">
              <w:rPr>
                <w:rFonts w:asciiTheme="majorBidi" w:hAnsiTheme="majorBidi" w:cstheme="majorBidi"/>
                <w:sz w:val="20"/>
                <w:szCs w:val="20"/>
              </w:rPr>
              <w:t xml:space="preserve"> un nou capitol, </w:t>
            </w:r>
            <w:r w:rsidRPr="00AF766D">
              <w:rPr>
                <w:rFonts w:asciiTheme="majorBidi" w:hAnsiTheme="majorBidi" w:cstheme="majorBidi"/>
                <w:sz w:val="20"/>
                <w:szCs w:val="20"/>
              </w:rPr>
              <w:t>cu următorul conținut:</w:t>
            </w:r>
          </w:p>
          <w:p w14:paraId="2C51404A" w14:textId="3A5ECB29" w:rsidR="00AF766D" w:rsidRPr="00AF766D" w:rsidRDefault="00AF766D" w:rsidP="00AF766D">
            <w:pPr>
              <w:jc w:val="both"/>
              <w:rPr>
                <w:rFonts w:asciiTheme="majorBidi" w:hAnsiTheme="majorBidi" w:cstheme="majorBidi"/>
                <w:sz w:val="20"/>
                <w:szCs w:val="20"/>
              </w:rPr>
            </w:pPr>
            <w:r>
              <w:rPr>
                <w:rFonts w:asciiTheme="majorBidi" w:hAnsiTheme="majorBidi" w:cstheme="majorBidi"/>
                <w:sz w:val="20"/>
                <w:szCs w:val="20"/>
              </w:rPr>
              <w:t xml:space="preserve">Capitolul </w:t>
            </w:r>
            <w:r w:rsidRPr="00AF766D">
              <w:rPr>
                <w:rFonts w:asciiTheme="majorBidi" w:hAnsiTheme="majorBidi" w:cstheme="majorBidi"/>
                <w:sz w:val="20"/>
                <w:szCs w:val="20"/>
              </w:rPr>
              <w:t>XLI</w:t>
            </w:r>
            <w:r>
              <w:rPr>
                <w:rFonts w:asciiTheme="majorBidi" w:hAnsiTheme="majorBidi" w:cstheme="majorBidi"/>
                <w:sz w:val="20"/>
                <w:szCs w:val="20"/>
              </w:rPr>
              <w:t>.</w:t>
            </w:r>
            <w:r w:rsidRPr="00AF766D">
              <w:rPr>
                <w:rFonts w:asciiTheme="majorBidi" w:hAnsiTheme="majorBidi" w:cstheme="majorBidi"/>
                <w:sz w:val="20"/>
                <w:szCs w:val="20"/>
              </w:rPr>
              <w:t xml:space="preserve"> COOPERAREA INTERNAȚIONALĂ</w:t>
            </w:r>
          </w:p>
          <w:p w14:paraId="04C02656" w14:textId="77777777" w:rsidR="00AF766D" w:rsidRPr="00AF766D" w:rsidRDefault="00AF766D" w:rsidP="00AF766D">
            <w:pPr>
              <w:jc w:val="both"/>
              <w:rPr>
                <w:rFonts w:asciiTheme="majorBidi" w:hAnsiTheme="majorBidi" w:cstheme="majorBidi"/>
                <w:sz w:val="20"/>
                <w:szCs w:val="20"/>
              </w:rPr>
            </w:pPr>
            <w:r w:rsidRPr="00AF766D">
              <w:rPr>
                <w:rFonts w:asciiTheme="majorBidi" w:hAnsiTheme="majorBidi" w:cstheme="majorBidi"/>
                <w:sz w:val="20"/>
                <w:szCs w:val="20"/>
              </w:rPr>
              <w:t xml:space="preserve">362. Autoritatea competentă menționată la pct. 360 asigură cooperarea cu statele </w:t>
            </w:r>
            <w:r w:rsidRPr="00AF766D">
              <w:rPr>
                <w:rFonts w:asciiTheme="majorBidi" w:hAnsiTheme="majorBidi" w:cstheme="majorBidi"/>
                <w:sz w:val="20"/>
                <w:szCs w:val="20"/>
              </w:rPr>
              <w:lastRenderedPageBreak/>
              <w:t>membre ale Uniunii Europene în ceea ce privește:</w:t>
            </w:r>
          </w:p>
          <w:p w14:paraId="18C22688" w14:textId="61A4BFC1" w:rsidR="009E26F0" w:rsidRPr="000A2DD0" w:rsidRDefault="00AF766D" w:rsidP="00041958">
            <w:pPr>
              <w:jc w:val="both"/>
              <w:rPr>
                <w:rFonts w:asciiTheme="majorBidi" w:hAnsiTheme="majorBidi" w:cstheme="majorBidi"/>
                <w:sz w:val="20"/>
                <w:szCs w:val="20"/>
              </w:rPr>
            </w:pPr>
            <w:r w:rsidRPr="00AF766D">
              <w:rPr>
                <w:rFonts w:asciiTheme="majorBidi" w:hAnsiTheme="majorBidi" w:cstheme="majorBidi"/>
                <w:sz w:val="20"/>
                <w:szCs w:val="20"/>
              </w:rPr>
              <w:t>1) schimbului reciproc de informaţii privind controalele desfășurate în temeiul Directivei de punere în aplicare (UE) 2019/69 a Comisie din 16 ianuarie 2019 de stabilire a specificațiilor tehnice pentru armele de alarmă și de semnalizare;</w:t>
            </w:r>
          </w:p>
        </w:tc>
        <w:tc>
          <w:tcPr>
            <w:tcW w:w="1842" w:type="dxa"/>
          </w:tcPr>
          <w:p w14:paraId="6B4CFADB" w14:textId="51503D7A" w:rsidR="003E15ED" w:rsidRPr="00041958" w:rsidRDefault="00041958" w:rsidP="007C2D56">
            <w:pPr>
              <w:jc w:val="center"/>
              <w:rPr>
                <w:rFonts w:asciiTheme="majorBidi" w:hAnsiTheme="majorBidi" w:cstheme="majorBidi"/>
                <w:b/>
                <w:sz w:val="24"/>
                <w:szCs w:val="24"/>
              </w:rPr>
            </w:pPr>
            <w:r w:rsidRPr="00041958">
              <w:rPr>
                <w:rFonts w:asciiTheme="majorBidi" w:hAnsiTheme="majorBidi" w:cstheme="majorBidi"/>
                <w:b/>
                <w:sz w:val="24"/>
                <w:szCs w:val="24"/>
              </w:rPr>
              <w:lastRenderedPageBreak/>
              <w:t>C</w:t>
            </w:r>
            <w:r w:rsidR="003E15ED" w:rsidRPr="00041958">
              <w:rPr>
                <w:rFonts w:asciiTheme="majorBidi" w:hAnsiTheme="majorBidi" w:cstheme="majorBidi"/>
                <w:b/>
                <w:sz w:val="24"/>
                <w:szCs w:val="24"/>
              </w:rPr>
              <w:t>ompatibil</w:t>
            </w:r>
          </w:p>
        </w:tc>
        <w:tc>
          <w:tcPr>
            <w:tcW w:w="3261" w:type="dxa"/>
          </w:tcPr>
          <w:p w14:paraId="0340A065" w14:textId="04D93F67" w:rsidR="006A5EFC" w:rsidRPr="00041958" w:rsidRDefault="006A5EFC" w:rsidP="00633447">
            <w:pPr>
              <w:jc w:val="both"/>
              <w:rPr>
                <w:rFonts w:ascii="Times New Roman" w:hAnsi="Times New Roman" w:cs="Times New Roman"/>
                <w:b/>
                <w:bCs/>
                <w:sz w:val="20"/>
                <w:szCs w:val="20"/>
                <w:lang w:val="ro-MD"/>
              </w:rPr>
            </w:pPr>
          </w:p>
        </w:tc>
      </w:tr>
      <w:tr w:rsidR="000A2DD0" w:rsidRPr="003F5F52" w14:paraId="1BD85A98" w14:textId="77777777" w:rsidTr="000A2DD0">
        <w:tc>
          <w:tcPr>
            <w:tcW w:w="3964" w:type="dxa"/>
          </w:tcPr>
          <w:p w14:paraId="342B2607" w14:textId="17964F32"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Articolul 3</w:t>
            </w:r>
          </w:p>
          <w:p w14:paraId="765E9B5A" w14:textId="77777777"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Schimb de informații</w:t>
            </w:r>
          </w:p>
          <w:p w14:paraId="439F68E7" w14:textId="4C1394D4" w:rsidR="000A2DD0" w:rsidRPr="002214DB" w:rsidRDefault="009A0F54" w:rsidP="00A21E97">
            <w:pPr>
              <w:jc w:val="both"/>
              <w:rPr>
                <w:rFonts w:asciiTheme="majorBidi" w:hAnsiTheme="majorBidi" w:cstheme="majorBidi"/>
                <w:sz w:val="20"/>
                <w:szCs w:val="20"/>
              </w:rPr>
            </w:pPr>
            <w:r w:rsidRPr="009A0F54">
              <w:rPr>
                <w:rFonts w:asciiTheme="majorBidi" w:hAnsiTheme="majorBidi" w:cstheme="majorBidi"/>
                <w:sz w:val="20"/>
                <w:szCs w:val="20"/>
              </w:rPr>
              <w:t>La cerere, un stat membru furnizează unui alt stat membru rezultatele controalelor pe care le-a efectuat în conformitate cu articolul</w:t>
            </w:r>
            <w:r w:rsidR="00615D10">
              <w:rPr>
                <w:rFonts w:asciiTheme="majorBidi" w:hAnsiTheme="majorBidi" w:cstheme="majorBidi"/>
                <w:sz w:val="20"/>
                <w:szCs w:val="20"/>
              </w:rPr>
              <w:t xml:space="preserve"> </w:t>
            </w:r>
            <w:r w:rsidRPr="009A0F54">
              <w:rPr>
                <w:rFonts w:asciiTheme="majorBidi" w:hAnsiTheme="majorBidi" w:cstheme="majorBidi"/>
                <w:sz w:val="20"/>
                <w:szCs w:val="20"/>
              </w:rPr>
              <w:t>2. În acest sens, fiecare stat membru desemnează cel puțin un punct focal național care să furnizeze astfel de rezultate și comunică Comisiei datele de contact ale punctului focal național.</w:t>
            </w:r>
          </w:p>
        </w:tc>
        <w:tc>
          <w:tcPr>
            <w:tcW w:w="6776" w:type="dxa"/>
          </w:tcPr>
          <w:p w14:paraId="7C2F678D" w14:textId="336A4C6A" w:rsidR="00054AE6" w:rsidRPr="00002651" w:rsidRDefault="00054AE6" w:rsidP="00054AE6">
            <w:pPr>
              <w:jc w:val="both"/>
              <w:rPr>
                <w:rFonts w:asciiTheme="majorBidi" w:hAnsiTheme="majorBidi" w:cstheme="majorBidi"/>
                <w:b/>
                <w:bCs/>
                <w:sz w:val="20"/>
                <w:szCs w:val="20"/>
              </w:rPr>
            </w:pPr>
            <w:r w:rsidRPr="00002651">
              <w:rPr>
                <w:rFonts w:asciiTheme="majorBidi" w:hAnsiTheme="majorBidi" w:cstheme="majorBidi"/>
                <w:b/>
                <w:bCs/>
                <w:sz w:val="20"/>
                <w:szCs w:val="20"/>
              </w:rPr>
              <w:t>Legea nr. 130/2012</w:t>
            </w:r>
          </w:p>
          <w:p w14:paraId="41A492B8" w14:textId="77777777" w:rsidR="00054AE6" w:rsidRPr="00002651" w:rsidRDefault="00054AE6" w:rsidP="00054AE6">
            <w:pPr>
              <w:jc w:val="both"/>
              <w:rPr>
                <w:rFonts w:asciiTheme="majorBidi" w:hAnsiTheme="majorBidi" w:cstheme="majorBidi"/>
                <w:sz w:val="20"/>
                <w:szCs w:val="20"/>
              </w:rPr>
            </w:pPr>
            <w:r w:rsidRPr="00002651">
              <w:rPr>
                <w:rFonts w:asciiTheme="majorBidi" w:hAnsiTheme="majorBidi" w:cstheme="majorBidi"/>
                <w:sz w:val="20"/>
                <w:szCs w:val="20"/>
              </w:rPr>
              <w:t xml:space="preserve">Articolul 3 Delimitarea competențelor </w:t>
            </w:r>
          </w:p>
          <w:p w14:paraId="040F791F" w14:textId="1F3D37FE" w:rsidR="003E267D" w:rsidRPr="003E267D" w:rsidRDefault="00054AE6" w:rsidP="003E267D">
            <w:pPr>
              <w:jc w:val="both"/>
              <w:rPr>
                <w:rFonts w:asciiTheme="majorBidi" w:hAnsiTheme="majorBidi" w:cstheme="majorBidi"/>
                <w:sz w:val="20"/>
                <w:szCs w:val="20"/>
              </w:rPr>
            </w:pPr>
            <w:r>
              <w:rPr>
                <w:rFonts w:asciiTheme="majorBidi" w:hAnsiTheme="majorBidi" w:cstheme="majorBidi"/>
                <w:sz w:val="20"/>
                <w:szCs w:val="20"/>
              </w:rPr>
              <w:t>(3</w:t>
            </w:r>
            <w:r>
              <w:rPr>
                <w:rFonts w:asciiTheme="majorBidi" w:hAnsiTheme="majorBidi" w:cstheme="majorBidi"/>
              </w:rPr>
              <w:t xml:space="preserve">) (...) </w:t>
            </w:r>
            <w:r w:rsidR="003E267D" w:rsidRPr="003E267D">
              <w:rPr>
                <w:rFonts w:asciiTheme="majorBidi" w:hAnsiTheme="majorBidi" w:cstheme="majorBidi"/>
                <w:sz w:val="20"/>
                <w:szCs w:val="20"/>
              </w:rPr>
              <w:t>În domeniul autorizării, evidenţei, controlului şi supravegherii asupra circulaţiei armelor şi a muniţiilor, Ministerul Afacerilor Interne exercită următoarele funcţii:</w:t>
            </w:r>
          </w:p>
          <w:p w14:paraId="74D9AA76" w14:textId="29633B87" w:rsidR="000A2DD0" w:rsidRDefault="003E267D" w:rsidP="003E267D">
            <w:pPr>
              <w:jc w:val="both"/>
              <w:rPr>
                <w:rFonts w:asciiTheme="majorBidi" w:hAnsiTheme="majorBidi" w:cstheme="majorBidi"/>
                <w:sz w:val="20"/>
                <w:szCs w:val="20"/>
              </w:rPr>
            </w:pPr>
            <w:r w:rsidRPr="003E267D">
              <w:rPr>
                <w:rFonts w:asciiTheme="majorBidi" w:hAnsiTheme="majorBidi" w:cstheme="majorBidi"/>
                <w:sz w:val="20"/>
                <w:szCs w:val="20"/>
              </w:rPr>
              <w:t>d²) participă, în cadrul grupului de contact creat între statele membre ale Uniunii Europene, la schimbul regulat de informații privind armele</w:t>
            </w:r>
            <w:r w:rsidR="00F02AD8">
              <w:rPr>
                <w:rFonts w:asciiTheme="majorBidi" w:hAnsiTheme="majorBidi" w:cstheme="majorBidi"/>
                <w:sz w:val="20"/>
                <w:szCs w:val="20"/>
              </w:rPr>
              <w:t>;</w:t>
            </w:r>
          </w:p>
          <w:p w14:paraId="09C028E9" w14:textId="77777777" w:rsidR="00F02AD8" w:rsidRDefault="00F02AD8" w:rsidP="00F02AD8">
            <w:pPr>
              <w:jc w:val="both"/>
              <w:rPr>
                <w:rFonts w:asciiTheme="majorBidi" w:hAnsiTheme="majorBidi" w:cstheme="majorBidi"/>
                <w:sz w:val="20"/>
                <w:szCs w:val="20"/>
              </w:rPr>
            </w:pPr>
          </w:p>
          <w:p w14:paraId="00203EED" w14:textId="77777777" w:rsidR="006976B1" w:rsidRDefault="006976B1" w:rsidP="006976B1">
            <w:pPr>
              <w:jc w:val="both"/>
              <w:rPr>
                <w:rFonts w:asciiTheme="majorBidi" w:hAnsiTheme="majorBidi" w:cstheme="majorBidi"/>
                <w:sz w:val="20"/>
                <w:szCs w:val="20"/>
              </w:rPr>
            </w:pPr>
            <w:r w:rsidRPr="00AF766D">
              <w:rPr>
                <w:rFonts w:asciiTheme="majorBidi" w:hAnsiTheme="majorBidi" w:cstheme="majorBidi"/>
                <w:sz w:val="20"/>
                <w:szCs w:val="20"/>
              </w:rPr>
              <w:t>Proiectul de hotărâre pentru modificarea HG 293/2014</w:t>
            </w:r>
            <w:r>
              <w:rPr>
                <w:rFonts w:asciiTheme="majorBidi" w:hAnsiTheme="majorBidi" w:cstheme="majorBidi"/>
                <w:sz w:val="20"/>
                <w:szCs w:val="20"/>
              </w:rPr>
              <w:t xml:space="preserve">, prevede </w:t>
            </w:r>
            <w:r w:rsidRPr="00AF766D">
              <w:rPr>
                <w:rFonts w:asciiTheme="majorBidi" w:hAnsiTheme="majorBidi" w:cstheme="majorBidi"/>
                <w:sz w:val="20"/>
                <w:szCs w:val="20"/>
              </w:rPr>
              <w:t>completarea cu un nou capitol, cu următorul conținut:</w:t>
            </w:r>
          </w:p>
          <w:p w14:paraId="701AB7CD" w14:textId="77777777" w:rsidR="006976B1" w:rsidRPr="00AF766D" w:rsidRDefault="006976B1" w:rsidP="006976B1">
            <w:pPr>
              <w:jc w:val="both"/>
              <w:rPr>
                <w:rFonts w:asciiTheme="majorBidi" w:hAnsiTheme="majorBidi" w:cstheme="majorBidi"/>
                <w:sz w:val="20"/>
                <w:szCs w:val="20"/>
              </w:rPr>
            </w:pPr>
            <w:r>
              <w:rPr>
                <w:rFonts w:asciiTheme="majorBidi" w:hAnsiTheme="majorBidi" w:cstheme="majorBidi"/>
                <w:sz w:val="20"/>
                <w:szCs w:val="20"/>
              </w:rPr>
              <w:t xml:space="preserve">Capitolul </w:t>
            </w:r>
            <w:r w:rsidRPr="00AF766D">
              <w:rPr>
                <w:rFonts w:asciiTheme="majorBidi" w:hAnsiTheme="majorBidi" w:cstheme="majorBidi"/>
                <w:sz w:val="20"/>
                <w:szCs w:val="20"/>
              </w:rPr>
              <w:t>XLI</w:t>
            </w:r>
            <w:r>
              <w:rPr>
                <w:rFonts w:asciiTheme="majorBidi" w:hAnsiTheme="majorBidi" w:cstheme="majorBidi"/>
                <w:sz w:val="20"/>
                <w:szCs w:val="20"/>
              </w:rPr>
              <w:t>.</w:t>
            </w:r>
            <w:r w:rsidRPr="00AF766D">
              <w:rPr>
                <w:rFonts w:asciiTheme="majorBidi" w:hAnsiTheme="majorBidi" w:cstheme="majorBidi"/>
                <w:sz w:val="20"/>
                <w:szCs w:val="20"/>
              </w:rPr>
              <w:t xml:space="preserve"> COOPERAREA INTERNAȚIONALĂ</w:t>
            </w:r>
          </w:p>
          <w:p w14:paraId="4C0A2C09" w14:textId="77777777" w:rsidR="006976B1" w:rsidRPr="00AF766D" w:rsidRDefault="006976B1" w:rsidP="006976B1">
            <w:pPr>
              <w:jc w:val="both"/>
              <w:rPr>
                <w:rFonts w:asciiTheme="majorBidi" w:hAnsiTheme="majorBidi" w:cstheme="majorBidi"/>
                <w:sz w:val="20"/>
                <w:szCs w:val="20"/>
              </w:rPr>
            </w:pPr>
            <w:r w:rsidRPr="00AF766D">
              <w:rPr>
                <w:rFonts w:asciiTheme="majorBidi" w:hAnsiTheme="majorBidi" w:cstheme="majorBidi"/>
                <w:sz w:val="20"/>
                <w:szCs w:val="20"/>
              </w:rPr>
              <w:t>362. Autoritatea competentă menționată la pct. 360 asigură cooperarea cu statele membre ale Uniunii Europene în ceea ce privește:</w:t>
            </w:r>
          </w:p>
          <w:p w14:paraId="55883FD5" w14:textId="4DC40F89" w:rsidR="00F02AD8" w:rsidRPr="000A2DD0" w:rsidRDefault="006976B1" w:rsidP="00827D4D">
            <w:pPr>
              <w:jc w:val="both"/>
              <w:rPr>
                <w:rFonts w:asciiTheme="majorBidi" w:hAnsiTheme="majorBidi" w:cstheme="majorBidi"/>
                <w:sz w:val="20"/>
                <w:szCs w:val="20"/>
              </w:rPr>
            </w:pPr>
            <w:r>
              <w:rPr>
                <w:rFonts w:asciiTheme="majorBidi" w:hAnsiTheme="majorBidi" w:cstheme="majorBidi"/>
                <w:sz w:val="20"/>
                <w:szCs w:val="20"/>
              </w:rPr>
              <w:t xml:space="preserve">2) </w:t>
            </w:r>
            <w:r w:rsidRPr="006976B1">
              <w:rPr>
                <w:rFonts w:asciiTheme="majorBidi" w:hAnsiTheme="majorBidi" w:cstheme="majorBidi"/>
                <w:sz w:val="20"/>
                <w:szCs w:val="20"/>
              </w:rPr>
              <w:t>furnizarea rezultatelor controalelor, la cererea unui stat membru al Uniunii Europene, asupra armelor de alarmă și de semnalizare, efectuate în temeiul Directivei de punere în aplicare (UE) 2019/69 a Comisie din 16 ianuarie 2019 de stabilire a specificațiilor tehnice pentru armele de alarmă și de semnalizare</w:t>
            </w:r>
          </w:p>
        </w:tc>
        <w:tc>
          <w:tcPr>
            <w:tcW w:w="1842" w:type="dxa"/>
          </w:tcPr>
          <w:p w14:paraId="33E8FC17" w14:textId="6C184F3A" w:rsidR="003E15ED" w:rsidRPr="00827D4D" w:rsidRDefault="00827D4D" w:rsidP="007C2D56">
            <w:pPr>
              <w:jc w:val="center"/>
              <w:rPr>
                <w:rFonts w:asciiTheme="majorBidi" w:hAnsiTheme="majorBidi" w:cstheme="majorBidi"/>
                <w:b/>
                <w:sz w:val="24"/>
                <w:szCs w:val="24"/>
              </w:rPr>
            </w:pPr>
            <w:r w:rsidRPr="00827D4D">
              <w:rPr>
                <w:rFonts w:asciiTheme="majorBidi" w:hAnsiTheme="majorBidi" w:cstheme="majorBidi"/>
                <w:b/>
                <w:sz w:val="24"/>
                <w:szCs w:val="24"/>
              </w:rPr>
              <w:t>Compatibil</w:t>
            </w:r>
          </w:p>
          <w:p w14:paraId="6705A704" w14:textId="78D3DA56" w:rsidR="003E15ED" w:rsidRPr="003E15ED" w:rsidRDefault="003E15ED" w:rsidP="007C2D56">
            <w:pPr>
              <w:jc w:val="center"/>
              <w:rPr>
                <w:rFonts w:asciiTheme="majorBidi" w:hAnsiTheme="majorBidi" w:cstheme="majorBidi"/>
                <w:b/>
                <w:color w:val="FF0000"/>
                <w:sz w:val="24"/>
                <w:szCs w:val="24"/>
              </w:rPr>
            </w:pPr>
          </w:p>
        </w:tc>
        <w:tc>
          <w:tcPr>
            <w:tcW w:w="3261" w:type="dxa"/>
          </w:tcPr>
          <w:p w14:paraId="5EE54015" w14:textId="77777777" w:rsidR="000A2DD0" w:rsidRPr="00A57623" w:rsidRDefault="000A2DD0" w:rsidP="000A2DD0">
            <w:pPr>
              <w:jc w:val="center"/>
              <w:rPr>
                <w:rFonts w:asciiTheme="majorBidi" w:hAnsiTheme="majorBidi" w:cstheme="majorBidi"/>
                <w:bCs/>
                <w:sz w:val="20"/>
                <w:szCs w:val="20"/>
                <w:lang w:val="ro-MD"/>
              </w:rPr>
            </w:pPr>
          </w:p>
        </w:tc>
      </w:tr>
      <w:tr w:rsidR="000A2DD0" w:rsidRPr="003F5F52" w14:paraId="1702BA6C" w14:textId="77777777" w:rsidTr="000A2DD0">
        <w:tc>
          <w:tcPr>
            <w:tcW w:w="3964" w:type="dxa"/>
          </w:tcPr>
          <w:p w14:paraId="007D515A"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4</w:t>
            </w:r>
          </w:p>
          <w:p w14:paraId="1DB5FCC0" w14:textId="77777777" w:rsidR="009A0F54" w:rsidRPr="009A0F54" w:rsidRDefault="009A0F54" w:rsidP="009A0F54">
            <w:pPr>
              <w:jc w:val="both"/>
              <w:rPr>
                <w:rFonts w:asciiTheme="majorBidi" w:hAnsiTheme="majorBidi" w:cstheme="majorBidi"/>
                <w:sz w:val="20"/>
                <w:szCs w:val="20"/>
              </w:rPr>
            </w:pPr>
            <w:r w:rsidRPr="009A0F54">
              <w:rPr>
                <w:rFonts w:asciiTheme="majorBidi" w:hAnsiTheme="majorBidi" w:cstheme="majorBidi"/>
                <w:sz w:val="20"/>
                <w:szCs w:val="20"/>
              </w:rPr>
              <w:t>Dispoziții de transpunere</w:t>
            </w:r>
          </w:p>
          <w:p w14:paraId="109802ED" w14:textId="772ECBEF" w:rsidR="000A2DD0" w:rsidRPr="00A21E97" w:rsidRDefault="009A0F54" w:rsidP="007D4F05">
            <w:pPr>
              <w:jc w:val="both"/>
              <w:rPr>
                <w:rFonts w:asciiTheme="majorBidi" w:hAnsiTheme="majorBidi" w:cstheme="majorBidi"/>
                <w:sz w:val="20"/>
                <w:szCs w:val="20"/>
              </w:rPr>
            </w:pPr>
            <w:r w:rsidRPr="009A0F54">
              <w:rPr>
                <w:rFonts w:asciiTheme="majorBidi" w:hAnsiTheme="majorBidi" w:cstheme="majorBidi"/>
                <w:sz w:val="20"/>
                <w:szCs w:val="20"/>
              </w:rPr>
              <w:t>(1)</w:t>
            </w:r>
            <w:r w:rsidR="00615D10">
              <w:rPr>
                <w:rFonts w:asciiTheme="majorBidi" w:hAnsiTheme="majorBidi" w:cstheme="majorBidi"/>
                <w:sz w:val="20"/>
                <w:szCs w:val="20"/>
              </w:rPr>
              <w:t xml:space="preserve"> </w:t>
            </w:r>
            <w:r w:rsidRPr="009A0F54">
              <w:rPr>
                <w:rFonts w:asciiTheme="majorBidi" w:hAnsiTheme="majorBidi" w:cstheme="majorBidi"/>
                <w:sz w:val="20"/>
                <w:szCs w:val="20"/>
              </w:rPr>
              <w:t>Statele membre asigură intrarea în vigoare a actelor cu putere de lege și a actelor administrative necesare pentru a se conforma prezentei directive până cel târziu la 17</w:t>
            </w:r>
            <w:r w:rsidR="00615D10">
              <w:rPr>
                <w:rFonts w:asciiTheme="majorBidi" w:hAnsiTheme="majorBidi" w:cstheme="majorBidi"/>
                <w:sz w:val="20"/>
                <w:szCs w:val="20"/>
              </w:rPr>
              <w:t xml:space="preserve"> </w:t>
            </w:r>
            <w:r w:rsidRPr="009A0F54">
              <w:rPr>
                <w:rFonts w:asciiTheme="majorBidi" w:hAnsiTheme="majorBidi" w:cstheme="majorBidi"/>
                <w:sz w:val="20"/>
                <w:szCs w:val="20"/>
              </w:rPr>
              <w:t>ianuarie 2020. Statele membre informează de îndată Comisia în acest sens.</w:t>
            </w:r>
          </w:p>
        </w:tc>
        <w:tc>
          <w:tcPr>
            <w:tcW w:w="6776" w:type="dxa"/>
          </w:tcPr>
          <w:p w14:paraId="32B4E55C" w14:textId="77777777" w:rsidR="000A2DD0" w:rsidRPr="000A2DD0" w:rsidRDefault="000A2DD0" w:rsidP="007C2D56">
            <w:pPr>
              <w:jc w:val="both"/>
              <w:rPr>
                <w:rFonts w:asciiTheme="majorBidi" w:hAnsiTheme="majorBidi" w:cstheme="majorBidi"/>
                <w:sz w:val="20"/>
                <w:szCs w:val="20"/>
              </w:rPr>
            </w:pPr>
          </w:p>
        </w:tc>
        <w:tc>
          <w:tcPr>
            <w:tcW w:w="1842" w:type="dxa"/>
          </w:tcPr>
          <w:p w14:paraId="2018DF60" w14:textId="77777777" w:rsidR="000A2DD0" w:rsidRDefault="00350108" w:rsidP="007C2D56">
            <w:pPr>
              <w:jc w:val="center"/>
              <w:rPr>
                <w:rFonts w:asciiTheme="majorBidi" w:hAnsiTheme="majorBidi" w:cstheme="majorBidi"/>
                <w:b/>
                <w:sz w:val="24"/>
                <w:szCs w:val="24"/>
              </w:rPr>
            </w:pPr>
            <w:r w:rsidRPr="00350108">
              <w:rPr>
                <w:rFonts w:asciiTheme="majorBidi" w:hAnsiTheme="majorBidi" w:cstheme="majorBidi"/>
                <w:b/>
                <w:sz w:val="24"/>
                <w:szCs w:val="24"/>
              </w:rPr>
              <w:t>Prevederi UE neaplicabile</w:t>
            </w:r>
          </w:p>
          <w:p w14:paraId="6EA0D25A" w14:textId="77777777" w:rsidR="00350108" w:rsidRDefault="00350108" w:rsidP="007C2D56">
            <w:pPr>
              <w:jc w:val="center"/>
              <w:rPr>
                <w:rFonts w:asciiTheme="majorBidi" w:hAnsiTheme="majorBidi" w:cstheme="majorBidi"/>
                <w:b/>
                <w:sz w:val="24"/>
                <w:szCs w:val="24"/>
              </w:rPr>
            </w:pPr>
          </w:p>
          <w:p w14:paraId="6BC57141" w14:textId="77777777" w:rsidR="00DC5DFE" w:rsidRDefault="00DC5DFE" w:rsidP="007C2D56">
            <w:pPr>
              <w:jc w:val="center"/>
              <w:rPr>
                <w:rFonts w:asciiTheme="majorBidi" w:hAnsiTheme="majorBidi" w:cstheme="majorBidi"/>
                <w:b/>
                <w:sz w:val="24"/>
                <w:szCs w:val="24"/>
              </w:rPr>
            </w:pPr>
          </w:p>
          <w:p w14:paraId="00D34993" w14:textId="77777777" w:rsidR="00DC5DFE" w:rsidRDefault="00DC5DFE" w:rsidP="007C2D56">
            <w:pPr>
              <w:jc w:val="center"/>
              <w:rPr>
                <w:rFonts w:asciiTheme="majorBidi" w:hAnsiTheme="majorBidi" w:cstheme="majorBidi"/>
                <w:b/>
                <w:sz w:val="24"/>
                <w:szCs w:val="24"/>
              </w:rPr>
            </w:pPr>
          </w:p>
          <w:p w14:paraId="60CFDB27" w14:textId="24957F33" w:rsidR="00350108" w:rsidRPr="00350108" w:rsidRDefault="00350108" w:rsidP="007C2D56">
            <w:pPr>
              <w:jc w:val="center"/>
              <w:rPr>
                <w:rFonts w:asciiTheme="majorBidi" w:hAnsiTheme="majorBidi" w:cstheme="majorBidi"/>
                <w:b/>
                <w:sz w:val="24"/>
                <w:szCs w:val="24"/>
              </w:rPr>
            </w:pPr>
          </w:p>
        </w:tc>
        <w:tc>
          <w:tcPr>
            <w:tcW w:w="3261" w:type="dxa"/>
          </w:tcPr>
          <w:p w14:paraId="021A2210" w14:textId="1EF4FD90" w:rsidR="00A06E4B" w:rsidRPr="00A06E4B" w:rsidRDefault="007D4F05" w:rsidP="00A06E4B">
            <w:pPr>
              <w:jc w:val="both"/>
              <w:rPr>
                <w:rFonts w:asciiTheme="majorBidi" w:hAnsiTheme="majorBidi" w:cstheme="majorBidi"/>
                <w:bCs/>
                <w:sz w:val="20"/>
                <w:szCs w:val="20"/>
              </w:rPr>
            </w:pPr>
            <w:r>
              <w:rPr>
                <w:rFonts w:asciiTheme="majorBidi" w:hAnsiTheme="majorBidi" w:cstheme="majorBidi"/>
                <w:bCs/>
                <w:sz w:val="20"/>
                <w:szCs w:val="20"/>
              </w:rPr>
              <w:t>T</w:t>
            </w:r>
            <w:r w:rsidR="00A06E4B" w:rsidRPr="00A06E4B">
              <w:rPr>
                <w:rFonts w:asciiTheme="majorBidi" w:hAnsiTheme="majorBidi" w:cstheme="majorBidi"/>
                <w:bCs/>
                <w:sz w:val="20"/>
                <w:szCs w:val="20"/>
              </w:rPr>
              <w:t>ermenul de transpunere a trecut.</w:t>
            </w:r>
          </w:p>
          <w:p w14:paraId="3F997204" w14:textId="77777777" w:rsidR="00A06E4B" w:rsidRPr="00A06E4B" w:rsidRDefault="00A06E4B" w:rsidP="00A06E4B">
            <w:pPr>
              <w:jc w:val="both"/>
              <w:rPr>
                <w:rFonts w:asciiTheme="majorBidi" w:hAnsiTheme="majorBidi" w:cstheme="majorBidi"/>
                <w:bCs/>
                <w:sz w:val="20"/>
                <w:szCs w:val="20"/>
              </w:rPr>
            </w:pPr>
          </w:p>
          <w:p w14:paraId="2117541E" w14:textId="6101756A" w:rsidR="000A2DD0" w:rsidRDefault="000A2DD0" w:rsidP="00A06E4B">
            <w:pPr>
              <w:jc w:val="both"/>
              <w:rPr>
                <w:rFonts w:asciiTheme="majorBidi" w:hAnsiTheme="majorBidi" w:cstheme="majorBidi"/>
                <w:bCs/>
                <w:sz w:val="20"/>
                <w:szCs w:val="20"/>
              </w:rPr>
            </w:pPr>
          </w:p>
        </w:tc>
      </w:tr>
      <w:tr w:rsidR="00080A65" w:rsidRPr="003F5F52" w14:paraId="126528DB" w14:textId="77777777" w:rsidTr="000A2DD0">
        <w:tc>
          <w:tcPr>
            <w:tcW w:w="3964" w:type="dxa"/>
          </w:tcPr>
          <w:p w14:paraId="49FD279A" w14:textId="5B40AC5B" w:rsidR="00080A65" w:rsidRPr="00A21E97" w:rsidRDefault="00080A65" w:rsidP="00080A65">
            <w:pPr>
              <w:jc w:val="both"/>
              <w:rPr>
                <w:rFonts w:asciiTheme="majorBidi" w:hAnsiTheme="majorBidi" w:cstheme="majorBidi"/>
                <w:sz w:val="20"/>
                <w:szCs w:val="20"/>
              </w:rPr>
            </w:pPr>
            <w:r w:rsidRPr="009A0F54">
              <w:rPr>
                <w:rFonts w:asciiTheme="majorBidi" w:hAnsiTheme="majorBidi" w:cstheme="majorBidi"/>
                <w:sz w:val="20"/>
                <w:szCs w:val="20"/>
              </w:rPr>
              <w:t>Atunci când statele membre adoptă măsurile respective, ele conțin o trimitere la prezenta directivă sau sunt însoțite de o astfel de trimitere la data publicării lor oficiale. Statele membre stabilesc modalitatea de efectuare a acestei trimiteri.</w:t>
            </w:r>
          </w:p>
        </w:tc>
        <w:tc>
          <w:tcPr>
            <w:tcW w:w="6776" w:type="dxa"/>
          </w:tcPr>
          <w:p w14:paraId="0FE51C3C" w14:textId="46C930B3" w:rsidR="00080A65" w:rsidRPr="000A2DD0" w:rsidRDefault="00080A65" w:rsidP="00080A65">
            <w:pPr>
              <w:jc w:val="both"/>
              <w:rPr>
                <w:rFonts w:asciiTheme="majorBidi" w:hAnsiTheme="majorBidi" w:cstheme="majorBidi"/>
                <w:sz w:val="20"/>
                <w:szCs w:val="20"/>
              </w:rPr>
            </w:pPr>
            <w:r>
              <w:rPr>
                <w:rFonts w:asciiTheme="majorBidi" w:hAnsiTheme="majorBidi" w:cstheme="majorBidi"/>
                <w:bCs/>
                <w:sz w:val="20"/>
                <w:szCs w:val="20"/>
              </w:rPr>
              <w:t>P</w:t>
            </w:r>
            <w:r w:rsidRPr="00A06E4B">
              <w:rPr>
                <w:rFonts w:asciiTheme="majorBidi" w:hAnsiTheme="majorBidi" w:cstheme="majorBidi"/>
                <w:bCs/>
                <w:sz w:val="20"/>
                <w:szCs w:val="20"/>
              </w:rPr>
              <w:t xml:space="preserve">roiectul </w:t>
            </w:r>
            <w:r>
              <w:rPr>
                <w:rFonts w:asciiTheme="majorBidi" w:hAnsiTheme="majorBidi" w:cstheme="majorBidi"/>
                <w:bCs/>
                <w:sz w:val="20"/>
                <w:szCs w:val="20"/>
              </w:rPr>
              <w:t>hotărârii</w:t>
            </w:r>
            <w:r w:rsidRPr="00A06E4B">
              <w:rPr>
                <w:rFonts w:asciiTheme="majorBidi" w:hAnsiTheme="majorBidi" w:cstheme="majorBidi"/>
                <w:bCs/>
                <w:sz w:val="20"/>
                <w:szCs w:val="20"/>
              </w:rPr>
              <w:t xml:space="preserve"> pentru modificarea HG nr. 293/2014 conține sigla „UE” și clauza de armonizare, în care se va face referire la</w:t>
            </w:r>
            <w:r>
              <w:rPr>
                <w:rFonts w:asciiTheme="majorBidi" w:hAnsiTheme="majorBidi" w:cstheme="majorBidi"/>
                <w:bCs/>
                <w:sz w:val="20"/>
                <w:szCs w:val="20"/>
              </w:rPr>
              <w:t xml:space="preserve"> transpunerea parțială a</w:t>
            </w:r>
            <w:r w:rsidRPr="00A06E4B">
              <w:rPr>
                <w:rFonts w:asciiTheme="majorBidi" w:hAnsiTheme="majorBidi" w:cstheme="majorBidi"/>
                <w:bCs/>
                <w:sz w:val="20"/>
                <w:szCs w:val="20"/>
              </w:rPr>
              <w:t xml:space="preserve"> prezent</w:t>
            </w:r>
            <w:r>
              <w:rPr>
                <w:rFonts w:asciiTheme="majorBidi" w:hAnsiTheme="majorBidi" w:cstheme="majorBidi"/>
                <w:bCs/>
                <w:sz w:val="20"/>
                <w:szCs w:val="20"/>
              </w:rPr>
              <w:t>ei</w:t>
            </w:r>
            <w:r w:rsidRPr="00A06E4B">
              <w:rPr>
                <w:rFonts w:asciiTheme="majorBidi" w:hAnsiTheme="majorBidi" w:cstheme="majorBidi"/>
                <w:bCs/>
                <w:sz w:val="20"/>
                <w:szCs w:val="20"/>
              </w:rPr>
              <w:t xml:space="preserve"> Directiv</w:t>
            </w:r>
            <w:r>
              <w:rPr>
                <w:rFonts w:asciiTheme="majorBidi" w:hAnsiTheme="majorBidi" w:cstheme="majorBidi"/>
                <w:bCs/>
                <w:sz w:val="20"/>
                <w:szCs w:val="20"/>
              </w:rPr>
              <w:t>e</w:t>
            </w:r>
            <w:r w:rsidRPr="00A06E4B">
              <w:rPr>
                <w:rFonts w:asciiTheme="majorBidi" w:hAnsiTheme="majorBidi" w:cstheme="majorBidi"/>
                <w:bCs/>
                <w:sz w:val="20"/>
                <w:szCs w:val="20"/>
              </w:rPr>
              <w:t>.</w:t>
            </w:r>
          </w:p>
        </w:tc>
        <w:tc>
          <w:tcPr>
            <w:tcW w:w="1842" w:type="dxa"/>
          </w:tcPr>
          <w:p w14:paraId="6378E2BE" w14:textId="163D7AB5" w:rsidR="00080A65" w:rsidRPr="00350108" w:rsidRDefault="00080A65" w:rsidP="00080A65">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2F9F6EA9" w14:textId="26966E94" w:rsidR="00080A65" w:rsidRPr="00A06E4B" w:rsidRDefault="00080A65" w:rsidP="00080A65">
            <w:pPr>
              <w:jc w:val="both"/>
              <w:rPr>
                <w:rFonts w:asciiTheme="majorBidi" w:hAnsiTheme="majorBidi" w:cstheme="majorBidi"/>
                <w:bCs/>
                <w:sz w:val="20"/>
                <w:szCs w:val="20"/>
              </w:rPr>
            </w:pPr>
          </w:p>
        </w:tc>
      </w:tr>
      <w:tr w:rsidR="00080A65" w:rsidRPr="003F5F52" w14:paraId="14A73ACE" w14:textId="77777777" w:rsidTr="000A2DD0">
        <w:tc>
          <w:tcPr>
            <w:tcW w:w="3964" w:type="dxa"/>
          </w:tcPr>
          <w:p w14:paraId="3EDB9E50" w14:textId="1B6DC835" w:rsidR="00080A65" w:rsidRPr="00A21E97"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(2)   Statele membre comunică Comisiei textul principalelor dispoziții de drept intern pe care le adoptă în domeniul reglementat de prezenta directivă.</w:t>
            </w:r>
          </w:p>
        </w:tc>
        <w:tc>
          <w:tcPr>
            <w:tcW w:w="6776" w:type="dxa"/>
          </w:tcPr>
          <w:p w14:paraId="53A66B90" w14:textId="77777777" w:rsidR="00080A65" w:rsidRPr="00002651" w:rsidRDefault="00080A65" w:rsidP="00080A65">
            <w:pPr>
              <w:jc w:val="both"/>
              <w:rPr>
                <w:rFonts w:asciiTheme="majorBidi" w:hAnsiTheme="majorBidi" w:cstheme="majorBidi"/>
                <w:b/>
                <w:bCs/>
                <w:sz w:val="20"/>
                <w:szCs w:val="20"/>
              </w:rPr>
            </w:pPr>
            <w:r w:rsidRPr="00002651">
              <w:rPr>
                <w:rFonts w:asciiTheme="majorBidi" w:hAnsiTheme="majorBidi" w:cstheme="majorBidi"/>
                <w:b/>
                <w:bCs/>
                <w:sz w:val="20"/>
                <w:szCs w:val="20"/>
              </w:rPr>
              <w:t>Legea nr. 130/2012</w:t>
            </w:r>
          </w:p>
          <w:p w14:paraId="3279667A" w14:textId="77777777" w:rsidR="00080A65" w:rsidRPr="00002651" w:rsidRDefault="00080A65" w:rsidP="00080A65">
            <w:pPr>
              <w:jc w:val="both"/>
              <w:rPr>
                <w:rFonts w:asciiTheme="majorBidi" w:hAnsiTheme="majorBidi" w:cstheme="majorBidi"/>
                <w:sz w:val="20"/>
                <w:szCs w:val="20"/>
              </w:rPr>
            </w:pPr>
            <w:r w:rsidRPr="00002651">
              <w:rPr>
                <w:rFonts w:asciiTheme="majorBidi" w:hAnsiTheme="majorBidi" w:cstheme="majorBidi"/>
                <w:sz w:val="20"/>
                <w:szCs w:val="20"/>
              </w:rPr>
              <w:t xml:space="preserve">Articolul 3 Delimitarea competențelor </w:t>
            </w:r>
          </w:p>
          <w:p w14:paraId="765D3720" w14:textId="77777777" w:rsidR="00080A65" w:rsidRPr="003E267D" w:rsidRDefault="00080A65" w:rsidP="00080A65">
            <w:pPr>
              <w:jc w:val="both"/>
              <w:rPr>
                <w:rFonts w:asciiTheme="majorBidi" w:hAnsiTheme="majorBidi" w:cstheme="majorBidi"/>
                <w:sz w:val="20"/>
                <w:szCs w:val="20"/>
              </w:rPr>
            </w:pPr>
            <w:r>
              <w:rPr>
                <w:rFonts w:asciiTheme="majorBidi" w:hAnsiTheme="majorBidi" w:cstheme="majorBidi"/>
                <w:sz w:val="20"/>
                <w:szCs w:val="20"/>
              </w:rPr>
              <w:t>(3</w:t>
            </w:r>
            <w:r>
              <w:rPr>
                <w:rFonts w:asciiTheme="majorBidi" w:hAnsiTheme="majorBidi" w:cstheme="majorBidi"/>
              </w:rPr>
              <w:t xml:space="preserve">) (...) </w:t>
            </w:r>
            <w:r w:rsidRPr="003E267D">
              <w:rPr>
                <w:rFonts w:asciiTheme="majorBidi" w:hAnsiTheme="majorBidi" w:cstheme="majorBidi"/>
                <w:sz w:val="20"/>
                <w:szCs w:val="20"/>
              </w:rPr>
              <w:t>În domeniul autorizării, evidenţei, controlului şi supravegherii asupra circulaţiei armelor şi a muniţiilor, Ministerul Afacerilor Interne exercită următoarele funcţii:</w:t>
            </w:r>
          </w:p>
          <w:p w14:paraId="44263734" w14:textId="77777777" w:rsidR="00080A65" w:rsidRDefault="00080A65" w:rsidP="00080A65">
            <w:pPr>
              <w:jc w:val="both"/>
              <w:rPr>
                <w:rFonts w:asciiTheme="majorBidi" w:hAnsiTheme="majorBidi" w:cstheme="majorBidi"/>
                <w:sz w:val="20"/>
                <w:szCs w:val="20"/>
              </w:rPr>
            </w:pPr>
            <w:r w:rsidRPr="00645B99">
              <w:rPr>
                <w:rFonts w:asciiTheme="majorBidi" w:hAnsiTheme="majorBidi" w:cstheme="majorBidi"/>
                <w:sz w:val="20"/>
                <w:szCs w:val="20"/>
              </w:rPr>
              <w:t xml:space="preserve">d⁴) </w:t>
            </w:r>
            <w:r w:rsidRPr="00645B99">
              <w:rPr>
                <w:rFonts w:asciiTheme="majorBidi" w:hAnsiTheme="majorBidi" w:cstheme="majorBidi"/>
                <w:sz w:val="20"/>
                <w:szCs w:val="20"/>
                <w:u w:val="single"/>
              </w:rPr>
              <w:t>informează Comisia Europeană</w:t>
            </w:r>
            <w:r w:rsidRPr="00645B99">
              <w:rPr>
                <w:rFonts w:asciiTheme="majorBidi" w:hAnsiTheme="majorBidi" w:cstheme="majorBidi"/>
                <w:sz w:val="20"/>
                <w:szCs w:val="20"/>
              </w:rPr>
              <w:t xml:space="preserve"> cu privire la modalitățile în care se efectuează controalele privind deținerea de arme, de componente esențiale și de muniţii la punctele de trecere a frontierei de stat a Republicii Moldova, precum și </w:t>
            </w:r>
            <w:r w:rsidRPr="00645B99">
              <w:rPr>
                <w:rFonts w:asciiTheme="majorBidi" w:hAnsiTheme="majorBidi" w:cstheme="majorBidi"/>
                <w:sz w:val="20"/>
                <w:szCs w:val="20"/>
                <w:u w:val="single"/>
              </w:rPr>
              <w:t xml:space="preserve">cu privire </w:t>
            </w:r>
            <w:r w:rsidRPr="00645B99">
              <w:rPr>
                <w:rFonts w:asciiTheme="majorBidi" w:hAnsiTheme="majorBidi" w:cstheme="majorBidi"/>
                <w:sz w:val="20"/>
                <w:szCs w:val="20"/>
                <w:u w:val="single"/>
              </w:rPr>
              <w:lastRenderedPageBreak/>
              <w:t>la prevederile legislației naționale care reglementează circulația armelor civile, inclusiv la modificările acesteia referitoare la procurarea și deținerea de arme</w:t>
            </w:r>
            <w:r w:rsidRPr="00645B99">
              <w:rPr>
                <w:rFonts w:asciiTheme="majorBidi" w:hAnsiTheme="majorBidi" w:cstheme="majorBidi"/>
                <w:sz w:val="20"/>
                <w:szCs w:val="20"/>
              </w:rPr>
              <w:t>.</w:t>
            </w:r>
          </w:p>
          <w:p w14:paraId="1D39699A" w14:textId="77777777" w:rsidR="00080A65" w:rsidRDefault="00080A65" w:rsidP="00080A65">
            <w:pPr>
              <w:jc w:val="both"/>
              <w:rPr>
                <w:rFonts w:asciiTheme="majorBidi" w:hAnsiTheme="majorBidi" w:cstheme="majorBidi"/>
                <w:sz w:val="20"/>
                <w:szCs w:val="20"/>
              </w:rPr>
            </w:pPr>
          </w:p>
          <w:p w14:paraId="1C2C063E" w14:textId="77777777" w:rsidR="00237626" w:rsidRDefault="00237626" w:rsidP="00237626">
            <w:pPr>
              <w:jc w:val="both"/>
              <w:rPr>
                <w:rFonts w:asciiTheme="majorBidi" w:hAnsiTheme="majorBidi" w:cstheme="majorBidi"/>
                <w:sz w:val="20"/>
                <w:szCs w:val="20"/>
              </w:rPr>
            </w:pPr>
            <w:r w:rsidRPr="00AF766D">
              <w:rPr>
                <w:rFonts w:asciiTheme="majorBidi" w:hAnsiTheme="majorBidi" w:cstheme="majorBidi"/>
                <w:sz w:val="20"/>
                <w:szCs w:val="20"/>
              </w:rPr>
              <w:t>Proiectul de hotărâre pentru modificarea HG 293/2014</w:t>
            </w:r>
            <w:r>
              <w:rPr>
                <w:rFonts w:asciiTheme="majorBidi" w:hAnsiTheme="majorBidi" w:cstheme="majorBidi"/>
                <w:sz w:val="20"/>
                <w:szCs w:val="20"/>
              </w:rPr>
              <w:t xml:space="preserve">, prevede </w:t>
            </w:r>
            <w:r w:rsidRPr="00AF766D">
              <w:rPr>
                <w:rFonts w:asciiTheme="majorBidi" w:hAnsiTheme="majorBidi" w:cstheme="majorBidi"/>
                <w:sz w:val="20"/>
                <w:szCs w:val="20"/>
              </w:rPr>
              <w:t>completarea cu un nou capitol, cu următorul conținut:</w:t>
            </w:r>
          </w:p>
          <w:p w14:paraId="5FF835BD" w14:textId="77777777" w:rsidR="00237626" w:rsidRPr="00AF766D" w:rsidRDefault="00237626" w:rsidP="00237626">
            <w:pPr>
              <w:jc w:val="both"/>
              <w:rPr>
                <w:rFonts w:asciiTheme="majorBidi" w:hAnsiTheme="majorBidi" w:cstheme="majorBidi"/>
                <w:sz w:val="20"/>
                <w:szCs w:val="20"/>
              </w:rPr>
            </w:pPr>
            <w:r>
              <w:rPr>
                <w:rFonts w:asciiTheme="majorBidi" w:hAnsiTheme="majorBidi" w:cstheme="majorBidi"/>
                <w:sz w:val="20"/>
                <w:szCs w:val="20"/>
              </w:rPr>
              <w:t xml:space="preserve">Capitolul </w:t>
            </w:r>
            <w:r w:rsidRPr="00AF766D">
              <w:rPr>
                <w:rFonts w:asciiTheme="majorBidi" w:hAnsiTheme="majorBidi" w:cstheme="majorBidi"/>
                <w:sz w:val="20"/>
                <w:szCs w:val="20"/>
              </w:rPr>
              <w:t>XLI</w:t>
            </w:r>
            <w:r>
              <w:rPr>
                <w:rFonts w:asciiTheme="majorBidi" w:hAnsiTheme="majorBidi" w:cstheme="majorBidi"/>
                <w:sz w:val="20"/>
                <w:szCs w:val="20"/>
              </w:rPr>
              <w:t>.</w:t>
            </w:r>
            <w:r w:rsidRPr="00AF766D">
              <w:rPr>
                <w:rFonts w:asciiTheme="majorBidi" w:hAnsiTheme="majorBidi" w:cstheme="majorBidi"/>
                <w:sz w:val="20"/>
                <w:szCs w:val="20"/>
              </w:rPr>
              <w:t xml:space="preserve"> COOPERAREA INTERNAȚIONALĂ</w:t>
            </w:r>
          </w:p>
          <w:p w14:paraId="538D884B" w14:textId="77777777" w:rsidR="00E83A11" w:rsidRPr="00E83A11" w:rsidRDefault="00E83A11" w:rsidP="00E83A11">
            <w:pPr>
              <w:jc w:val="both"/>
              <w:rPr>
                <w:rFonts w:asciiTheme="majorBidi" w:hAnsiTheme="majorBidi" w:cstheme="majorBidi"/>
                <w:sz w:val="20"/>
                <w:szCs w:val="20"/>
              </w:rPr>
            </w:pPr>
            <w:r w:rsidRPr="00E83A11">
              <w:rPr>
                <w:rFonts w:asciiTheme="majorBidi" w:hAnsiTheme="majorBidi" w:cstheme="majorBidi"/>
                <w:sz w:val="20"/>
                <w:szCs w:val="20"/>
              </w:rPr>
              <w:t>360. Autoritatea competentă, prin intermediul subdiviziunii specializate a Inspectoratului General al Poliţiei, care asigură controlul în domeniul armelor și al munițiilor, asigură comunicarea în adresa Comisiei Europene, în termen de 3 luni de la data intrării în vigoare, a prevederilor legislației Republicii Moldova care sunt adoptate în domeniul:</w:t>
            </w:r>
          </w:p>
          <w:p w14:paraId="0A553F61" w14:textId="10A64021" w:rsidR="00080A65" w:rsidRPr="000A2DD0" w:rsidRDefault="00E83A11" w:rsidP="00080A65">
            <w:pPr>
              <w:jc w:val="both"/>
              <w:rPr>
                <w:rFonts w:asciiTheme="majorBidi" w:hAnsiTheme="majorBidi" w:cstheme="majorBidi"/>
                <w:sz w:val="20"/>
                <w:szCs w:val="20"/>
              </w:rPr>
            </w:pPr>
            <w:r w:rsidRPr="00E83A11">
              <w:rPr>
                <w:rFonts w:asciiTheme="majorBidi" w:hAnsiTheme="majorBidi" w:cstheme="majorBidi"/>
                <w:sz w:val="20"/>
                <w:szCs w:val="20"/>
              </w:rPr>
              <w:t>2) stabilirii specificațiilor tehnice pentru armele de alarmă și de semnalizare, în temeiul Directivei de punere în aplicare (UE) 2019/69 a Comisie din 16 ianuarie 2019 de stabilire a specificațiilor tehnice pentru armele de alarmă și de semnalizare;</w:t>
            </w:r>
          </w:p>
        </w:tc>
        <w:tc>
          <w:tcPr>
            <w:tcW w:w="1842" w:type="dxa"/>
          </w:tcPr>
          <w:p w14:paraId="036D1753" w14:textId="272C6C85" w:rsidR="00080A65" w:rsidRPr="00607DFD" w:rsidRDefault="00080A65" w:rsidP="00080A65">
            <w:pPr>
              <w:jc w:val="center"/>
              <w:rPr>
                <w:rFonts w:asciiTheme="majorBidi" w:hAnsiTheme="majorBidi" w:cstheme="majorBidi"/>
                <w:b/>
                <w:sz w:val="24"/>
                <w:szCs w:val="24"/>
              </w:rPr>
            </w:pPr>
            <w:r w:rsidRPr="00607DFD">
              <w:rPr>
                <w:rFonts w:asciiTheme="majorBidi" w:hAnsiTheme="majorBidi" w:cstheme="majorBidi"/>
                <w:b/>
                <w:sz w:val="24"/>
                <w:szCs w:val="24"/>
              </w:rPr>
              <w:lastRenderedPageBreak/>
              <w:t>Compatibil</w:t>
            </w:r>
          </w:p>
        </w:tc>
        <w:tc>
          <w:tcPr>
            <w:tcW w:w="3261" w:type="dxa"/>
          </w:tcPr>
          <w:p w14:paraId="0B248FA4" w14:textId="40EE5A8A" w:rsidR="00080A65" w:rsidRDefault="00080A65" w:rsidP="00E83A11">
            <w:pPr>
              <w:rPr>
                <w:rFonts w:asciiTheme="majorBidi" w:hAnsiTheme="majorBidi" w:cstheme="majorBidi"/>
                <w:bCs/>
                <w:sz w:val="20"/>
                <w:szCs w:val="20"/>
              </w:rPr>
            </w:pPr>
          </w:p>
        </w:tc>
      </w:tr>
      <w:tr w:rsidR="00080A65" w:rsidRPr="003F5F52" w14:paraId="291DC59A" w14:textId="77777777" w:rsidTr="000A2DD0">
        <w:tc>
          <w:tcPr>
            <w:tcW w:w="3964" w:type="dxa"/>
          </w:tcPr>
          <w:p w14:paraId="4C6DA935" w14:textId="77777777" w:rsidR="00080A65" w:rsidRPr="00740A34"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Articolul 5</w:t>
            </w:r>
          </w:p>
          <w:p w14:paraId="26012E72" w14:textId="77777777" w:rsidR="00080A65" w:rsidRPr="00740A34"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Intrare în vigoare</w:t>
            </w:r>
          </w:p>
          <w:p w14:paraId="136820E8" w14:textId="66C02D10" w:rsidR="00080A65" w:rsidRPr="002214DB"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Prezenta directivă intră în vigoare în a douăzecea zi de la data publicării în Jurnalul Oficial al Uniunii Europene.</w:t>
            </w:r>
          </w:p>
        </w:tc>
        <w:tc>
          <w:tcPr>
            <w:tcW w:w="6776" w:type="dxa"/>
          </w:tcPr>
          <w:p w14:paraId="1CC30D1F" w14:textId="77777777" w:rsidR="00080A65" w:rsidRPr="000A2DD0" w:rsidRDefault="00080A65" w:rsidP="00080A65">
            <w:pPr>
              <w:jc w:val="both"/>
              <w:rPr>
                <w:rFonts w:asciiTheme="majorBidi" w:hAnsiTheme="majorBidi" w:cstheme="majorBidi"/>
                <w:sz w:val="20"/>
                <w:szCs w:val="20"/>
              </w:rPr>
            </w:pPr>
          </w:p>
        </w:tc>
        <w:tc>
          <w:tcPr>
            <w:tcW w:w="1842" w:type="dxa"/>
          </w:tcPr>
          <w:p w14:paraId="01DB1184" w14:textId="106C0A85" w:rsidR="00080A65" w:rsidRDefault="00080A65" w:rsidP="00080A65">
            <w:pPr>
              <w:jc w:val="center"/>
              <w:rPr>
                <w:rFonts w:asciiTheme="majorBidi" w:hAnsiTheme="majorBidi" w:cstheme="majorBidi"/>
                <w:b/>
                <w:sz w:val="24"/>
                <w:szCs w:val="24"/>
              </w:rPr>
            </w:pPr>
            <w:r w:rsidRPr="00607DFD">
              <w:rPr>
                <w:rFonts w:asciiTheme="majorBidi" w:hAnsiTheme="majorBidi" w:cstheme="majorBidi"/>
                <w:b/>
                <w:sz w:val="24"/>
                <w:szCs w:val="24"/>
              </w:rPr>
              <w:t>Prevederi UE neaplicabile</w:t>
            </w:r>
          </w:p>
        </w:tc>
        <w:tc>
          <w:tcPr>
            <w:tcW w:w="3261" w:type="dxa"/>
          </w:tcPr>
          <w:p w14:paraId="4C3BB1B8" w14:textId="18138952" w:rsidR="00080A65" w:rsidRDefault="00080A65" w:rsidP="00080A65">
            <w:pPr>
              <w:jc w:val="both"/>
              <w:rPr>
                <w:rFonts w:asciiTheme="majorBidi" w:hAnsiTheme="majorBidi" w:cstheme="majorBidi"/>
                <w:bCs/>
                <w:sz w:val="20"/>
                <w:szCs w:val="20"/>
              </w:rPr>
            </w:pPr>
            <w:r>
              <w:rPr>
                <w:rFonts w:asciiTheme="majorBidi" w:hAnsiTheme="majorBidi" w:cstheme="majorBidi"/>
                <w:bCs/>
                <w:sz w:val="20"/>
                <w:szCs w:val="20"/>
              </w:rPr>
              <w:t>Termenul indicat nu se răsfrânge asupra Republicii Moldova</w:t>
            </w:r>
          </w:p>
        </w:tc>
      </w:tr>
      <w:tr w:rsidR="00080A65" w:rsidRPr="003F5F52" w14:paraId="105F2078" w14:textId="77777777" w:rsidTr="000A2DD0">
        <w:tc>
          <w:tcPr>
            <w:tcW w:w="3964" w:type="dxa"/>
          </w:tcPr>
          <w:p w14:paraId="7D23DE7B" w14:textId="054FABF4" w:rsidR="00080A65" w:rsidRPr="00740A34"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Articolul 6</w:t>
            </w:r>
            <w:r>
              <w:rPr>
                <w:rFonts w:asciiTheme="majorBidi" w:hAnsiTheme="majorBidi" w:cstheme="majorBidi"/>
                <w:sz w:val="20"/>
                <w:szCs w:val="20"/>
              </w:rPr>
              <w:t xml:space="preserve"> </w:t>
            </w:r>
            <w:r w:rsidRPr="00740A34">
              <w:rPr>
                <w:rFonts w:asciiTheme="majorBidi" w:hAnsiTheme="majorBidi" w:cstheme="majorBidi"/>
                <w:sz w:val="20"/>
                <w:szCs w:val="20"/>
              </w:rPr>
              <w:t>Destinatari</w:t>
            </w:r>
          </w:p>
          <w:p w14:paraId="4E655129" w14:textId="6DC2D708" w:rsidR="00080A65" w:rsidRPr="002214DB" w:rsidRDefault="00080A65" w:rsidP="00080A65">
            <w:pPr>
              <w:jc w:val="both"/>
              <w:rPr>
                <w:rFonts w:asciiTheme="majorBidi" w:hAnsiTheme="majorBidi" w:cstheme="majorBidi"/>
                <w:sz w:val="20"/>
                <w:szCs w:val="20"/>
              </w:rPr>
            </w:pPr>
            <w:r w:rsidRPr="00740A34">
              <w:rPr>
                <w:rFonts w:asciiTheme="majorBidi" w:hAnsiTheme="majorBidi" w:cstheme="majorBidi"/>
                <w:sz w:val="20"/>
                <w:szCs w:val="20"/>
              </w:rPr>
              <w:t>Prezenta directivă se adresează statelor membre.</w:t>
            </w:r>
          </w:p>
        </w:tc>
        <w:tc>
          <w:tcPr>
            <w:tcW w:w="6776" w:type="dxa"/>
          </w:tcPr>
          <w:p w14:paraId="1FE7813E" w14:textId="77777777" w:rsidR="00080A65" w:rsidRPr="000A2DD0" w:rsidRDefault="00080A65" w:rsidP="00080A65">
            <w:pPr>
              <w:jc w:val="both"/>
              <w:rPr>
                <w:rFonts w:asciiTheme="majorBidi" w:hAnsiTheme="majorBidi" w:cstheme="majorBidi"/>
                <w:sz w:val="20"/>
                <w:szCs w:val="20"/>
              </w:rPr>
            </w:pPr>
          </w:p>
        </w:tc>
        <w:tc>
          <w:tcPr>
            <w:tcW w:w="1842" w:type="dxa"/>
          </w:tcPr>
          <w:p w14:paraId="0F55D7DB" w14:textId="7BC29D59" w:rsidR="00080A65" w:rsidRDefault="00080A65" w:rsidP="00080A65">
            <w:pPr>
              <w:jc w:val="center"/>
              <w:rPr>
                <w:rFonts w:asciiTheme="majorBidi" w:hAnsiTheme="majorBidi" w:cstheme="majorBidi"/>
                <w:b/>
                <w:sz w:val="24"/>
                <w:szCs w:val="24"/>
              </w:rPr>
            </w:pPr>
            <w:r w:rsidRPr="00607DFD">
              <w:rPr>
                <w:rFonts w:asciiTheme="majorBidi" w:hAnsiTheme="majorBidi" w:cstheme="majorBidi"/>
                <w:b/>
                <w:sz w:val="24"/>
                <w:szCs w:val="24"/>
              </w:rPr>
              <w:t>Prevederi UE neaplicabile</w:t>
            </w:r>
          </w:p>
        </w:tc>
        <w:tc>
          <w:tcPr>
            <w:tcW w:w="3261" w:type="dxa"/>
          </w:tcPr>
          <w:p w14:paraId="6B46A61A" w14:textId="33C435E9" w:rsidR="00080A65" w:rsidRDefault="00080A65" w:rsidP="00080A65">
            <w:pPr>
              <w:jc w:val="both"/>
              <w:rPr>
                <w:rFonts w:asciiTheme="majorBidi" w:hAnsiTheme="majorBidi" w:cstheme="majorBidi"/>
                <w:bCs/>
                <w:sz w:val="20"/>
                <w:szCs w:val="20"/>
              </w:rPr>
            </w:pPr>
            <w:r>
              <w:rPr>
                <w:rFonts w:asciiTheme="majorBidi" w:hAnsiTheme="majorBidi" w:cstheme="majorBidi"/>
                <w:bCs/>
                <w:sz w:val="20"/>
                <w:szCs w:val="20"/>
              </w:rPr>
              <w:t xml:space="preserve">Prevederea se referă la statele membre UE </w:t>
            </w:r>
          </w:p>
        </w:tc>
      </w:tr>
      <w:tr w:rsidR="00080A65" w:rsidRPr="003F5F52" w14:paraId="2C57EBD4" w14:textId="77777777" w:rsidTr="000A2DD0">
        <w:tc>
          <w:tcPr>
            <w:tcW w:w="3964" w:type="dxa"/>
          </w:tcPr>
          <w:p w14:paraId="00D1601A" w14:textId="77777777" w:rsidR="00080A65" w:rsidRDefault="00080A65" w:rsidP="00080A65">
            <w:pPr>
              <w:jc w:val="both"/>
              <w:rPr>
                <w:rFonts w:asciiTheme="majorBidi" w:hAnsiTheme="majorBidi" w:cstheme="majorBidi"/>
                <w:b/>
                <w:bCs/>
                <w:sz w:val="20"/>
                <w:szCs w:val="20"/>
              </w:rPr>
            </w:pPr>
            <w:r w:rsidRPr="00A21E97">
              <w:rPr>
                <w:rFonts w:asciiTheme="majorBidi" w:hAnsiTheme="majorBidi" w:cstheme="majorBidi"/>
                <w:b/>
                <w:bCs/>
                <w:sz w:val="20"/>
                <w:szCs w:val="20"/>
              </w:rPr>
              <w:t>ANEXĂ</w:t>
            </w:r>
          </w:p>
          <w:p w14:paraId="337180B6" w14:textId="704C0199" w:rsidR="00080A65" w:rsidRPr="00A21E97" w:rsidRDefault="00080A65" w:rsidP="00080A65">
            <w:pPr>
              <w:jc w:val="both"/>
              <w:rPr>
                <w:rFonts w:asciiTheme="majorBidi" w:hAnsiTheme="majorBidi" w:cstheme="majorBidi"/>
                <w:sz w:val="20"/>
                <w:szCs w:val="20"/>
              </w:rPr>
            </w:pPr>
            <w:r w:rsidRPr="00740A34">
              <w:rPr>
                <w:rFonts w:asciiTheme="majorBidi" w:hAnsiTheme="majorBidi" w:cstheme="majorBidi"/>
                <w:b/>
                <w:bCs/>
                <w:sz w:val="20"/>
                <w:szCs w:val="20"/>
              </w:rPr>
              <w:t>Specificații tehnice pentru dispozitivele menționate la articolul 1</w:t>
            </w:r>
          </w:p>
        </w:tc>
        <w:tc>
          <w:tcPr>
            <w:tcW w:w="6776" w:type="dxa"/>
          </w:tcPr>
          <w:p w14:paraId="6B43C7B5" w14:textId="77777777" w:rsidR="00080A65" w:rsidRDefault="00080A65" w:rsidP="00080A65">
            <w:pPr>
              <w:jc w:val="both"/>
              <w:rPr>
                <w:rFonts w:ascii="Times New Roman" w:eastAsia="Times New Roman" w:hAnsi="Times New Roman" w:cs="Times New Roman"/>
                <w:b/>
                <w:sz w:val="28"/>
                <w:szCs w:val="32"/>
              </w:rPr>
            </w:pPr>
            <w:r w:rsidRPr="00050134">
              <w:rPr>
                <w:rFonts w:asciiTheme="majorBidi" w:hAnsiTheme="majorBidi" w:cstheme="majorBidi"/>
                <w:sz w:val="20"/>
                <w:szCs w:val="20"/>
              </w:rPr>
              <w:t xml:space="preserve">Proiectul de hotărâre a Guvernului pentru modificarea HG 293/2014, prevede completarea </w:t>
            </w:r>
            <w:r w:rsidRPr="00EF33A3">
              <w:rPr>
                <w:rFonts w:asciiTheme="majorBidi" w:hAnsiTheme="majorBidi" w:cstheme="majorBidi"/>
                <w:sz w:val="20"/>
                <w:szCs w:val="20"/>
              </w:rPr>
              <w:t>cu A</w:t>
            </w:r>
            <w:r w:rsidRPr="00EF33A3">
              <w:rPr>
                <w:rFonts w:asciiTheme="majorBidi" w:hAnsiTheme="majorBidi"/>
                <w:sz w:val="20"/>
                <w:szCs w:val="20"/>
              </w:rPr>
              <w:t>nexa nr. 48</w:t>
            </w:r>
            <w:r w:rsidRPr="00050134">
              <w:rPr>
                <w:rFonts w:asciiTheme="majorBidi" w:hAnsiTheme="majorBidi" w:cstheme="majorBidi"/>
                <w:sz w:val="20"/>
                <w:szCs w:val="20"/>
              </w:rPr>
              <w:t>, cu următorul conținut</w:t>
            </w:r>
            <w:r>
              <w:rPr>
                <w:rFonts w:asciiTheme="majorBidi" w:hAnsiTheme="majorBidi" w:cstheme="majorBidi"/>
                <w:sz w:val="20"/>
                <w:szCs w:val="20"/>
              </w:rPr>
              <w:t>:</w:t>
            </w:r>
            <w:r w:rsidRPr="00735719">
              <w:rPr>
                <w:rFonts w:ascii="Times New Roman" w:eastAsia="Times New Roman" w:hAnsi="Times New Roman" w:cs="Times New Roman"/>
                <w:b/>
                <w:sz w:val="28"/>
                <w:szCs w:val="32"/>
              </w:rPr>
              <w:t xml:space="preserve"> </w:t>
            </w:r>
          </w:p>
          <w:p w14:paraId="24638B6E" w14:textId="2739597F" w:rsidR="00080A65" w:rsidRPr="00050134" w:rsidRDefault="00080A65" w:rsidP="00080A65">
            <w:pPr>
              <w:jc w:val="both"/>
              <w:rPr>
                <w:rFonts w:asciiTheme="majorBidi" w:hAnsiTheme="majorBidi" w:cstheme="majorBidi"/>
                <w:sz w:val="20"/>
                <w:szCs w:val="20"/>
              </w:rPr>
            </w:pPr>
            <w:r w:rsidRPr="00735719">
              <w:rPr>
                <w:rFonts w:asciiTheme="majorBidi" w:hAnsiTheme="majorBidi" w:cstheme="majorBidi"/>
                <w:b/>
                <w:sz w:val="20"/>
                <w:szCs w:val="20"/>
              </w:rPr>
              <w:t>Specificații tehnice pentru armele de alarmă și semnalizare</w:t>
            </w:r>
          </w:p>
        </w:tc>
        <w:tc>
          <w:tcPr>
            <w:tcW w:w="1842" w:type="dxa"/>
          </w:tcPr>
          <w:p w14:paraId="19E8AF1D" w14:textId="3464FB37" w:rsidR="00080A65" w:rsidRPr="003C0C5F" w:rsidRDefault="00080A65" w:rsidP="00080A65">
            <w:pPr>
              <w:jc w:val="center"/>
              <w:rPr>
                <w:rFonts w:asciiTheme="majorBidi" w:hAnsiTheme="majorBidi" w:cstheme="majorBidi"/>
                <w:b/>
                <w:color w:val="EE0000"/>
                <w:sz w:val="24"/>
                <w:szCs w:val="24"/>
              </w:rPr>
            </w:pPr>
            <w:r>
              <w:rPr>
                <w:rFonts w:asciiTheme="majorBidi" w:hAnsiTheme="majorBidi" w:cstheme="majorBidi"/>
                <w:b/>
                <w:sz w:val="24"/>
                <w:szCs w:val="24"/>
              </w:rPr>
              <w:t>C</w:t>
            </w:r>
            <w:r w:rsidRPr="0057377F">
              <w:rPr>
                <w:rFonts w:asciiTheme="majorBidi" w:hAnsiTheme="majorBidi" w:cstheme="majorBidi"/>
                <w:b/>
                <w:sz w:val="24"/>
                <w:szCs w:val="24"/>
              </w:rPr>
              <w:t>ompatibil</w:t>
            </w:r>
          </w:p>
        </w:tc>
        <w:tc>
          <w:tcPr>
            <w:tcW w:w="3261" w:type="dxa"/>
          </w:tcPr>
          <w:p w14:paraId="0E92AF33" w14:textId="237E98AB" w:rsidR="00080A65" w:rsidRPr="003C0C5F" w:rsidRDefault="00080A65" w:rsidP="00080A65">
            <w:pPr>
              <w:jc w:val="both"/>
              <w:rPr>
                <w:rFonts w:asciiTheme="majorBidi" w:hAnsiTheme="majorBidi" w:cstheme="majorBidi"/>
                <w:bCs/>
                <w:color w:val="EE0000"/>
                <w:sz w:val="20"/>
                <w:szCs w:val="20"/>
              </w:rPr>
            </w:pPr>
          </w:p>
        </w:tc>
      </w:tr>
      <w:tr w:rsidR="00080A65" w:rsidRPr="003F5F52" w14:paraId="41C1E044" w14:textId="77777777" w:rsidTr="000A2DD0">
        <w:tc>
          <w:tcPr>
            <w:tcW w:w="3964" w:type="dxa"/>
          </w:tcPr>
          <w:p w14:paraId="396E5305" w14:textId="6C16DB5B" w:rsidR="00080A65" w:rsidRPr="00AE745F" w:rsidRDefault="00080A65" w:rsidP="00080A65">
            <w:pPr>
              <w:pStyle w:val="Listparagraf"/>
              <w:numPr>
                <w:ilvl w:val="0"/>
                <w:numId w:val="47"/>
              </w:numPr>
              <w:tabs>
                <w:tab w:val="left" w:pos="284"/>
              </w:tabs>
              <w:ind w:left="0" w:firstLine="0"/>
              <w:jc w:val="both"/>
              <w:rPr>
                <w:rFonts w:asciiTheme="majorBidi" w:hAnsiTheme="majorBidi" w:cstheme="majorBidi"/>
                <w:sz w:val="20"/>
                <w:szCs w:val="20"/>
              </w:rPr>
            </w:pPr>
            <w:r w:rsidRPr="00D24628">
              <w:rPr>
                <w:rFonts w:asciiTheme="majorBidi" w:hAnsiTheme="majorBidi" w:cstheme="majorBidi"/>
                <w:sz w:val="20"/>
                <w:szCs w:val="20"/>
              </w:rPr>
              <w:t>Dispozitivele trebuie să îndeplinească următoarele cerințe:</w:t>
            </w:r>
          </w:p>
        </w:tc>
        <w:tc>
          <w:tcPr>
            <w:tcW w:w="6776" w:type="dxa"/>
          </w:tcPr>
          <w:p w14:paraId="5873C706" w14:textId="052B6C1B" w:rsidR="00080A65" w:rsidRPr="000A2DD0" w:rsidRDefault="00080A65" w:rsidP="00080A65">
            <w:pPr>
              <w:jc w:val="both"/>
              <w:rPr>
                <w:rFonts w:asciiTheme="majorBidi" w:hAnsiTheme="majorBidi" w:cstheme="majorBidi"/>
                <w:sz w:val="20"/>
                <w:szCs w:val="20"/>
              </w:rPr>
            </w:pPr>
            <w:r>
              <w:rPr>
                <w:rFonts w:asciiTheme="majorBidi" w:hAnsiTheme="majorBidi" w:cstheme="majorBidi"/>
                <w:sz w:val="20"/>
                <w:szCs w:val="20"/>
              </w:rPr>
              <w:t xml:space="preserve">(1) </w:t>
            </w:r>
            <w:r w:rsidRPr="00735719">
              <w:rPr>
                <w:rFonts w:asciiTheme="majorBidi" w:hAnsiTheme="majorBidi" w:cstheme="majorBidi"/>
                <w:sz w:val="20"/>
                <w:szCs w:val="20"/>
              </w:rPr>
              <w:t>Pentru garantarea faptului că armele de alarmă şi armele de semnalizare nu pot fi transformate pentru a expulza o alică, un glonţ sau un proiectil, prin acţiunea unui combustibil de propulsie, acestea trebuie să îndeplinească următoarele cerinţe de ordin tehnic</w:t>
            </w:r>
          </w:p>
        </w:tc>
        <w:tc>
          <w:tcPr>
            <w:tcW w:w="1842" w:type="dxa"/>
          </w:tcPr>
          <w:p w14:paraId="6CA713B5" w14:textId="52927DEC" w:rsidR="00080A65" w:rsidRPr="00E548C7" w:rsidRDefault="00080A65" w:rsidP="00080A65">
            <w:pPr>
              <w:jc w:val="center"/>
              <w:rPr>
                <w:rFonts w:asciiTheme="majorBidi" w:hAnsiTheme="majorBidi" w:cstheme="majorBidi"/>
                <w:b/>
                <w:sz w:val="24"/>
                <w:szCs w:val="24"/>
                <w:highlight w:val="yellow"/>
              </w:rPr>
            </w:pPr>
            <w:r w:rsidRPr="00C503C4">
              <w:rPr>
                <w:rFonts w:asciiTheme="majorBidi" w:hAnsiTheme="majorBidi" w:cstheme="majorBidi"/>
                <w:b/>
                <w:sz w:val="24"/>
                <w:szCs w:val="24"/>
              </w:rPr>
              <w:t>Compatibil</w:t>
            </w:r>
          </w:p>
        </w:tc>
        <w:tc>
          <w:tcPr>
            <w:tcW w:w="3261" w:type="dxa"/>
          </w:tcPr>
          <w:p w14:paraId="60AC017C" w14:textId="77777777" w:rsidR="00080A65" w:rsidRDefault="00080A65" w:rsidP="00080A65">
            <w:pPr>
              <w:jc w:val="center"/>
              <w:rPr>
                <w:rFonts w:asciiTheme="majorBidi" w:hAnsiTheme="majorBidi" w:cstheme="majorBidi"/>
                <w:bCs/>
                <w:sz w:val="20"/>
                <w:szCs w:val="20"/>
              </w:rPr>
            </w:pPr>
          </w:p>
        </w:tc>
      </w:tr>
      <w:tr w:rsidR="00080A65" w:rsidRPr="00D24628" w14:paraId="6549E5DD" w14:textId="77777777" w:rsidTr="000A2DD0">
        <w:tc>
          <w:tcPr>
            <w:tcW w:w="3964" w:type="dxa"/>
          </w:tcPr>
          <w:p w14:paraId="15902060" w14:textId="16B1F527" w:rsidR="00080A65" w:rsidRPr="00D24628" w:rsidRDefault="00080A65" w:rsidP="00080A65">
            <w:pPr>
              <w:pStyle w:val="oj-normal"/>
              <w:spacing w:before="120"/>
              <w:jc w:val="both"/>
              <w:rPr>
                <w:rFonts w:ascii="inherit" w:hAnsi="inherit"/>
                <w:color w:val="000000"/>
                <w:sz w:val="20"/>
                <w:szCs w:val="20"/>
              </w:rPr>
            </w:pPr>
            <w:r w:rsidRPr="00D24628">
              <w:rPr>
                <w:rFonts w:ascii="inherit" w:hAnsi="inherit"/>
                <w:color w:val="000000"/>
                <w:sz w:val="20"/>
                <w:szCs w:val="20"/>
              </w:rPr>
              <w:t>(a) să fie în măsură să expulzeze muniție pirotehnică de semnalizare numai dacă pe gura țevii este fixat un adaptor;</w:t>
            </w:r>
          </w:p>
        </w:tc>
        <w:tc>
          <w:tcPr>
            <w:tcW w:w="6776" w:type="dxa"/>
          </w:tcPr>
          <w:p w14:paraId="7E7CBC6B" w14:textId="68DADF37" w:rsidR="00080A65" w:rsidRPr="00735719" w:rsidRDefault="00080A65" w:rsidP="00080A65">
            <w:pPr>
              <w:jc w:val="both"/>
              <w:rPr>
                <w:rFonts w:asciiTheme="majorBidi" w:hAnsiTheme="majorBidi" w:cstheme="majorBidi"/>
                <w:b/>
                <w:bCs/>
                <w:vanish/>
                <w:sz w:val="20"/>
                <w:szCs w:val="20"/>
              </w:rPr>
            </w:pPr>
            <w:r>
              <w:rPr>
                <w:rFonts w:asciiTheme="majorBidi" w:hAnsiTheme="majorBidi" w:cstheme="majorBidi"/>
                <w:sz w:val="20"/>
                <w:szCs w:val="20"/>
              </w:rPr>
              <w:t xml:space="preserve">a) </w:t>
            </w:r>
            <w:r w:rsidRPr="00735719">
              <w:rPr>
                <w:rFonts w:asciiTheme="majorBidi" w:hAnsiTheme="majorBidi" w:cstheme="majorBidi"/>
                <w:sz w:val="20"/>
                <w:szCs w:val="20"/>
              </w:rPr>
              <w:t>să fie în măsură să expulzeze muniţie pirotehnică de semnalizare numai dacă pe gura ţevii este fixat un adaptor;</w:t>
            </w:r>
          </w:p>
          <w:p w14:paraId="5536AE68" w14:textId="77777777" w:rsidR="00080A65" w:rsidRPr="00D24628" w:rsidRDefault="00080A65" w:rsidP="00080A65">
            <w:pPr>
              <w:jc w:val="both"/>
              <w:rPr>
                <w:rFonts w:asciiTheme="majorBidi" w:hAnsiTheme="majorBidi" w:cstheme="majorBidi"/>
                <w:sz w:val="20"/>
                <w:szCs w:val="20"/>
              </w:rPr>
            </w:pPr>
          </w:p>
        </w:tc>
        <w:tc>
          <w:tcPr>
            <w:tcW w:w="1842" w:type="dxa"/>
          </w:tcPr>
          <w:p w14:paraId="2DCDBA14" w14:textId="653195A3" w:rsidR="00080A65" w:rsidRPr="00E548C7" w:rsidRDefault="00080A65" w:rsidP="00080A65">
            <w:pPr>
              <w:jc w:val="center"/>
              <w:rPr>
                <w:rFonts w:asciiTheme="majorBidi" w:hAnsiTheme="majorBidi" w:cstheme="majorBidi"/>
                <w:b/>
                <w:sz w:val="20"/>
                <w:szCs w:val="20"/>
                <w:highlight w:val="yellow"/>
              </w:rPr>
            </w:pPr>
            <w:r w:rsidRPr="00C503C4">
              <w:rPr>
                <w:rFonts w:asciiTheme="majorBidi" w:hAnsiTheme="majorBidi" w:cstheme="majorBidi"/>
                <w:b/>
                <w:sz w:val="24"/>
                <w:szCs w:val="24"/>
              </w:rPr>
              <w:t>Compatibil</w:t>
            </w:r>
          </w:p>
        </w:tc>
        <w:tc>
          <w:tcPr>
            <w:tcW w:w="3261" w:type="dxa"/>
          </w:tcPr>
          <w:p w14:paraId="48685321" w14:textId="77777777" w:rsidR="00080A65" w:rsidRPr="00D24628" w:rsidRDefault="00080A65" w:rsidP="00080A65">
            <w:pPr>
              <w:jc w:val="center"/>
              <w:rPr>
                <w:rFonts w:asciiTheme="majorBidi" w:hAnsiTheme="majorBidi" w:cstheme="majorBidi"/>
                <w:bCs/>
                <w:sz w:val="20"/>
                <w:szCs w:val="20"/>
              </w:rPr>
            </w:pPr>
          </w:p>
        </w:tc>
      </w:tr>
      <w:tr w:rsidR="00080A65" w:rsidRPr="00C73578" w14:paraId="40656C3C" w14:textId="77777777" w:rsidTr="000A2DD0">
        <w:tc>
          <w:tcPr>
            <w:tcW w:w="3964" w:type="dxa"/>
          </w:tcPr>
          <w:p w14:paraId="5679D134" w14:textId="76C011E6" w:rsidR="00080A65" w:rsidRPr="00C73578" w:rsidRDefault="00080A65" w:rsidP="00080A65">
            <w:pPr>
              <w:pStyle w:val="oj-normal"/>
              <w:spacing w:before="120"/>
              <w:jc w:val="both"/>
              <w:rPr>
                <w:color w:val="000000"/>
                <w:sz w:val="20"/>
                <w:szCs w:val="20"/>
              </w:rPr>
            </w:pPr>
            <w:r>
              <w:rPr>
                <w:color w:val="000000"/>
                <w:sz w:val="20"/>
                <w:szCs w:val="20"/>
              </w:rPr>
              <w:t xml:space="preserve">(b) </w:t>
            </w:r>
            <w:r w:rsidRPr="00D24628">
              <w:rPr>
                <w:color w:val="000000"/>
                <w:sz w:val="20"/>
                <w:szCs w:val="20"/>
              </w:rPr>
              <w:t>să fie prevăzute cu un dispozitiv durabil, montat în interiorul dispozitivului, care împiedică tragerea cu cartușe încărcate cu una sau mai multe alice ori unul sau mai multe gloanțe ori proiectile solide;</w:t>
            </w:r>
          </w:p>
        </w:tc>
        <w:tc>
          <w:tcPr>
            <w:tcW w:w="6776" w:type="dxa"/>
          </w:tcPr>
          <w:p w14:paraId="1A5B8BD0" w14:textId="5308B761" w:rsidR="00080A65" w:rsidRPr="00C73578" w:rsidRDefault="00080A65" w:rsidP="00080A65">
            <w:pPr>
              <w:jc w:val="both"/>
              <w:rPr>
                <w:rFonts w:asciiTheme="majorBidi" w:hAnsiTheme="majorBidi" w:cstheme="majorBidi"/>
                <w:sz w:val="20"/>
                <w:szCs w:val="20"/>
              </w:rPr>
            </w:pPr>
            <w:r>
              <w:rPr>
                <w:rFonts w:asciiTheme="majorBidi" w:hAnsiTheme="majorBidi" w:cstheme="majorBidi"/>
                <w:sz w:val="20"/>
                <w:szCs w:val="20"/>
              </w:rPr>
              <w:t xml:space="preserve">b) </w:t>
            </w:r>
            <w:r w:rsidRPr="00735719">
              <w:rPr>
                <w:rFonts w:asciiTheme="majorBidi" w:hAnsiTheme="majorBidi" w:cstheme="majorBidi"/>
                <w:sz w:val="20"/>
                <w:szCs w:val="20"/>
              </w:rPr>
              <w:t>să fie prevăzute cu un dispozitiv durabil nedemontabil, montat în interiorul armei, care să împiedice tragerea cu cartuşe încărcate cu una sau mai multe alice ori unul sau mai multe gloanțe ori proiectile solide</w:t>
            </w:r>
          </w:p>
        </w:tc>
        <w:tc>
          <w:tcPr>
            <w:tcW w:w="1842" w:type="dxa"/>
          </w:tcPr>
          <w:p w14:paraId="450F6ED2" w14:textId="3D430E08" w:rsidR="00080A65" w:rsidRPr="00E548C7" w:rsidRDefault="00080A65" w:rsidP="00080A65">
            <w:pPr>
              <w:jc w:val="center"/>
              <w:rPr>
                <w:rFonts w:asciiTheme="majorBidi" w:hAnsiTheme="majorBidi" w:cstheme="majorBidi"/>
                <w:b/>
                <w:sz w:val="20"/>
                <w:szCs w:val="20"/>
                <w:highlight w:val="yellow"/>
              </w:rPr>
            </w:pPr>
            <w:r w:rsidRPr="00C503C4">
              <w:rPr>
                <w:rFonts w:asciiTheme="majorBidi" w:hAnsiTheme="majorBidi" w:cstheme="majorBidi"/>
                <w:b/>
                <w:sz w:val="24"/>
                <w:szCs w:val="24"/>
              </w:rPr>
              <w:t>Compatibil</w:t>
            </w:r>
          </w:p>
        </w:tc>
        <w:tc>
          <w:tcPr>
            <w:tcW w:w="3261" w:type="dxa"/>
          </w:tcPr>
          <w:p w14:paraId="7C1B5A55" w14:textId="77777777" w:rsidR="00080A65" w:rsidRPr="00C73578" w:rsidRDefault="00080A65" w:rsidP="00080A65">
            <w:pPr>
              <w:jc w:val="center"/>
              <w:rPr>
                <w:rFonts w:asciiTheme="majorBidi" w:hAnsiTheme="majorBidi" w:cstheme="majorBidi"/>
                <w:bCs/>
                <w:sz w:val="20"/>
                <w:szCs w:val="20"/>
              </w:rPr>
            </w:pPr>
          </w:p>
        </w:tc>
      </w:tr>
      <w:tr w:rsidR="00080A65" w:rsidRPr="00C73578" w14:paraId="5B4640D1" w14:textId="77777777" w:rsidTr="000A2DD0">
        <w:tc>
          <w:tcPr>
            <w:tcW w:w="3964" w:type="dxa"/>
          </w:tcPr>
          <w:p w14:paraId="348CE4E1" w14:textId="6CD87BD7" w:rsidR="00080A65" w:rsidRPr="00C73578" w:rsidRDefault="00080A65" w:rsidP="00080A65">
            <w:pPr>
              <w:jc w:val="both"/>
              <w:rPr>
                <w:rFonts w:asciiTheme="majorBidi" w:hAnsiTheme="majorBidi" w:cstheme="majorBidi"/>
                <w:sz w:val="20"/>
                <w:szCs w:val="20"/>
              </w:rPr>
            </w:pPr>
            <w:r>
              <w:rPr>
                <w:rFonts w:asciiTheme="majorBidi" w:hAnsiTheme="majorBidi" w:cstheme="majorBidi"/>
                <w:sz w:val="20"/>
                <w:szCs w:val="20"/>
              </w:rPr>
              <w:t xml:space="preserve">(c) </w:t>
            </w:r>
            <w:r w:rsidRPr="00D24628">
              <w:rPr>
                <w:rFonts w:asciiTheme="majorBidi" w:hAnsiTheme="majorBidi" w:cstheme="majorBidi"/>
                <w:sz w:val="20"/>
                <w:szCs w:val="20"/>
              </w:rPr>
              <w:t>să fie concepute pentru un cartuș care figurează în tabelul VIII din Tabelele cu dimensiuni pentru cartușe și camere (</w:t>
            </w:r>
            <w:r w:rsidRPr="00D24628">
              <w:rPr>
                <w:rFonts w:asciiTheme="majorBidi" w:hAnsiTheme="majorBidi" w:cstheme="majorBidi"/>
                <w:i/>
                <w:iCs/>
                <w:sz w:val="20"/>
                <w:szCs w:val="20"/>
              </w:rPr>
              <w:t>Tables of Dimensions of Cartridges and Chambers</w:t>
            </w:r>
            <w:r w:rsidRPr="00D24628">
              <w:rPr>
                <w:rFonts w:asciiTheme="majorBidi" w:hAnsiTheme="majorBidi" w:cstheme="majorBidi"/>
                <w:sz w:val="20"/>
                <w:szCs w:val="20"/>
              </w:rPr>
              <w:t xml:space="preserve"> – TDCC) stabilite de Comisia internațională </w:t>
            </w:r>
            <w:r w:rsidRPr="00D24628">
              <w:rPr>
                <w:rFonts w:asciiTheme="majorBidi" w:hAnsiTheme="majorBidi" w:cstheme="majorBidi"/>
                <w:sz w:val="20"/>
                <w:szCs w:val="20"/>
              </w:rPr>
              <w:lastRenderedPageBreak/>
              <w:t>permanentă pentru identificarea armelor de calibru mic (</w:t>
            </w:r>
            <w:r w:rsidRPr="00D24628">
              <w:rPr>
                <w:rFonts w:asciiTheme="majorBidi" w:hAnsiTheme="majorBidi" w:cstheme="majorBidi"/>
                <w:i/>
                <w:iCs/>
                <w:sz w:val="20"/>
                <w:szCs w:val="20"/>
              </w:rPr>
              <w:t>Permanent International Commission for the Proof of Small Arms</w:t>
            </w:r>
            <w:r w:rsidRPr="00D24628">
              <w:rPr>
                <w:rFonts w:asciiTheme="majorBidi" w:hAnsiTheme="majorBidi" w:cstheme="majorBidi"/>
                <w:sz w:val="20"/>
                <w:szCs w:val="20"/>
              </w:rPr>
              <w:t> – CIP) și care respectă dimensiunile și alte standarde indicate în tabelul respectiv, în versiunea sa în vigoare în momentul adoptării prezentei directive.</w:t>
            </w:r>
          </w:p>
        </w:tc>
        <w:tc>
          <w:tcPr>
            <w:tcW w:w="6776" w:type="dxa"/>
          </w:tcPr>
          <w:p w14:paraId="5F5328AA" w14:textId="2F1791E5" w:rsidR="00080A65" w:rsidRDefault="00080A65" w:rsidP="00080A65">
            <w:pPr>
              <w:jc w:val="both"/>
              <w:rPr>
                <w:rFonts w:asciiTheme="majorBidi" w:hAnsiTheme="majorBidi" w:cstheme="majorBidi"/>
                <w:sz w:val="20"/>
                <w:szCs w:val="20"/>
              </w:rPr>
            </w:pPr>
            <w:r>
              <w:rPr>
                <w:rFonts w:asciiTheme="majorBidi" w:hAnsiTheme="majorBidi" w:cstheme="majorBidi"/>
                <w:sz w:val="20"/>
                <w:szCs w:val="20"/>
              </w:rPr>
              <w:lastRenderedPageBreak/>
              <w:t xml:space="preserve">c) </w:t>
            </w:r>
            <w:r w:rsidRPr="00735719">
              <w:rPr>
                <w:rFonts w:asciiTheme="majorBidi" w:hAnsiTheme="majorBidi" w:cstheme="majorBidi"/>
                <w:sz w:val="20"/>
                <w:szCs w:val="20"/>
              </w:rPr>
              <w:t>să fie concepute pentru un cartuş care figurează şi respectă dimensiunile şi standardele indicate în tabelul nr. VIII din Tabelele cu dimensiuni pentru cartuşe şi camere stabilite de către Comisia internațională permanentă pentru identificarea armelor de calibru mic, în vigoare la data de 16.01.2019</w:t>
            </w:r>
            <w:r>
              <w:rPr>
                <w:rFonts w:asciiTheme="majorBidi" w:hAnsiTheme="majorBidi" w:cstheme="majorBidi"/>
                <w:sz w:val="20"/>
                <w:szCs w:val="20"/>
              </w:rPr>
              <w:t xml:space="preserve"> (</w:t>
            </w:r>
            <w:r w:rsidRPr="00E548C7">
              <w:rPr>
                <w:rFonts w:asciiTheme="majorBidi" w:hAnsiTheme="majorBidi" w:cstheme="majorBidi"/>
                <w:i/>
                <w:iCs/>
                <w:sz w:val="20"/>
                <w:szCs w:val="20"/>
              </w:rPr>
              <w:t>data adoptării Directivei 2019/69</w:t>
            </w:r>
            <w:r>
              <w:rPr>
                <w:rFonts w:asciiTheme="majorBidi" w:hAnsiTheme="majorBidi" w:cstheme="majorBidi"/>
                <w:sz w:val="20"/>
                <w:szCs w:val="20"/>
              </w:rPr>
              <w:t>)</w:t>
            </w:r>
          </w:p>
          <w:p w14:paraId="3E763FC5" w14:textId="77777777" w:rsidR="00080A65" w:rsidRDefault="00080A65" w:rsidP="00080A65">
            <w:pPr>
              <w:jc w:val="both"/>
              <w:rPr>
                <w:rFonts w:asciiTheme="majorBidi" w:hAnsiTheme="majorBidi" w:cstheme="majorBidi"/>
                <w:sz w:val="20"/>
                <w:szCs w:val="20"/>
              </w:rPr>
            </w:pPr>
          </w:p>
          <w:p w14:paraId="1C356907" w14:textId="646AD754" w:rsidR="00080A65" w:rsidRPr="00C73578" w:rsidRDefault="00080A65" w:rsidP="00080A65">
            <w:pPr>
              <w:jc w:val="both"/>
              <w:rPr>
                <w:rFonts w:asciiTheme="majorBidi" w:hAnsiTheme="majorBidi" w:cstheme="majorBidi"/>
                <w:sz w:val="20"/>
                <w:szCs w:val="20"/>
              </w:rPr>
            </w:pPr>
          </w:p>
        </w:tc>
        <w:tc>
          <w:tcPr>
            <w:tcW w:w="1842" w:type="dxa"/>
          </w:tcPr>
          <w:p w14:paraId="480AEA7D" w14:textId="0F0B2D76" w:rsidR="00080A65" w:rsidRPr="00E548C7" w:rsidRDefault="00080A65" w:rsidP="00080A65">
            <w:pPr>
              <w:jc w:val="center"/>
              <w:rPr>
                <w:rFonts w:asciiTheme="majorBidi" w:hAnsiTheme="majorBidi" w:cstheme="majorBidi"/>
                <w:b/>
                <w:sz w:val="20"/>
                <w:szCs w:val="20"/>
                <w:highlight w:val="yellow"/>
              </w:rPr>
            </w:pPr>
            <w:r w:rsidRPr="00C503C4">
              <w:rPr>
                <w:rFonts w:asciiTheme="majorBidi" w:hAnsiTheme="majorBidi" w:cstheme="majorBidi"/>
                <w:b/>
                <w:sz w:val="24"/>
                <w:szCs w:val="24"/>
              </w:rPr>
              <w:lastRenderedPageBreak/>
              <w:t>Compatibil</w:t>
            </w:r>
          </w:p>
        </w:tc>
        <w:tc>
          <w:tcPr>
            <w:tcW w:w="3261" w:type="dxa"/>
          </w:tcPr>
          <w:p w14:paraId="65D2990C" w14:textId="77777777" w:rsidR="00080A65" w:rsidRPr="00C73578" w:rsidRDefault="00080A65" w:rsidP="00080A65">
            <w:pPr>
              <w:jc w:val="center"/>
              <w:rPr>
                <w:rFonts w:asciiTheme="majorBidi" w:hAnsiTheme="majorBidi" w:cstheme="majorBidi"/>
                <w:bCs/>
                <w:sz w:val="20"/>
                <w:szCs w:val="20"/>
              </w:rPr>
            </w:pPr>
          </w:p>
        </w:tc>
      </w:tr>
      <w:tr w:rsidR="00080A65" w:rsidRPr="009B6132" w14:paraId="0A3E9B4B" w14:textId="77777777" w:rsidTr="000A2DD0">
        <w:tc>
          <w:tcPr>
            <w:tcW w:w="3964" w:type="dxa"/>
          </w:tcPr>
          <w:p w14:paraId="67AD6F51" w14:textId="4BA8C0C8"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t>Dispozitivele nu pot fi modificate cu ajutorul unor instrumente obișnuite astfel încât să arunce sau să devină capabile să arunce o alică, un glonț sau un proiectil prin acțiunea unui combustibil de propulsie.</w:t>
            </w:r>
          </w:p>
        </w:tc>
        <w:tc>
          <w:tcPr>
            <w:tcW w:w="6776" w:type="dxa"/>
          </w:tcPr>
          <w:p w14:paraId="03945B6F" w14:textId="58623692"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d) </w:t>
            </w:r>
            <w:r w:rsidRPr="00B714FE">
              <w:rPr>
                <w:rFonts w:ascii="Times New Roman" w:hAnsi="Times New Roman" w:cs="Times New Roman"/>
                <w:sz w:val="20"/>
                <w:szCs w:val="20"/>
              </w:rPr>
              <w:t>să nu poată fi modificate cu ajutorul unor instrumente obișnuite astfel încât să expulzeze sau să devină capabile să expulzeze o alică, un glonţ sau un proiectil prin acţiunea unui combustibil de propulsie</w:t>
            </w:r>
          </w:p>
        </w:tc>
        <w:tc>
          <w:tcPr>
            <w:tcW w:w="1842" w:type="dxa"/>
          </w:tcPr>
          <w:p w14:paraId="6D845F1A" w14:textId="1DEACB66" w:rsidR="00080A65" w:rsidRPr="00E548C7"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0A4167FA" w14:textId="77777777" w:rsidR="00080A65" w:rsidRPr="009B6132" w:rsidRDefault="00080A65" w:rsidP="00080A65">
            <w:pPr>
              <w:jc w:val="center"/>
              <w:rPr>
                <w:rFonts w:ascii="Times New Roman" w:hAnsi="Times New Roman" w:cs="Times New Roman"/>
                <w:bCs/>
                <w:sz w:val="20"/>
                <w:szCs w:val="20"/>
              </w:rPr>
            </w:pPr>
          </w:p>
        </w:tc>
      </w:tr>
      <w:tr w:rsidR="00080A65" w:rsidRPr="009B6132" w14:paraId="5D218B28" w14:textId="77777777" w:rsidTr="000A2DD0">
        <w:tc>
          <w:tcPr>
            <w:tcW w:w="3964" w:type="dxa"/>
          </w:tcPr>
          <w:p w14:paraId="120A92A2" w14:textId="1AEDD3D0"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color w:val="000000"/>
                <w:sz w:val="20"/>
                <w:szCs w:val="20"/>
              </w:rPr>
            </w:pPr>
            <w:r w:rsidRPr="009B6132">
              <w:rPr>
                <w:rFonts w:ascii="Times New Roman" w:hAnsi="Times New Roman" w:cs="Times New Roman"/>
                <w:color w:val="000000"/>
                <w:sz w:val="20"/>
                <w:szCs w:val="20"/>
              </w:rPr>
              <w:t>Toate componentele esențiale ale dispozitivelor sunt de așa natură încât nu pot fi montate sau utilizate drept componente esențiale ale armelor de foc.</w:t>
            </w:r>
          </w:p>
        </w:tc>
        <w:tc>
          <w:tcPr>
            <w:tcW w:w="6776" w:type="dxa"/>
          </w:tcPr>
          <w:p w14:paraId="3AA80215" w14:textId="2FA09C1E"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e) </w:t>
            </w:r>
            <w:r w:rsidRPr="00B714FE">
              <w:rPr>
                <w:rFonts w:ascii="Times New Roman" w:hAnsi="Times New Roman" w:cs="Times New Roman"/>
                <w:sz w:val="20"/>
                <w:szCs w:val="20"/>
              </w:rPr>
              <w:t>componentele esenţiale ale acestora să fie construite astfel încât să nu poată fi montate sau utilizate drept componente esenţiale ale armelor de foc</w:t>
            </w:r>
          </w:p>
        </w:tc>
        <w:tc>
          <w:tcPr>
            <w:tcW w:w="1842" w:type="dxa"/>
          </w:tcPr>
          <w:p w14:paraId="5A64A011" w14:textId="6636DEB7" w:rsidR="00080A65" w:rsidRPr="00E548C7"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615D8E1B" w14:textId="77777777" w:rsidR="00080A65" w:rsidRPr="009B6132" w:rsidRDefault="00080A65" w:rsidP="00080A65">
            <w:pPr>
              <w:jc w:val="center"/>
              <w:rPr>
                <w:rFonts w:ascii="Times New Roman" w:hAnsi="Times New Roman" w:cs="Times New Roman"/>
                <w:bCs/>
                <w:sz w:val="20"/>
                <w:szCs w:val="20"/>
              </w:rPr>
            </w:pPr>
          </w:p>
        </w:tc>
      </w:tr>
      <w:tr w:rsidR="00080A65" w:rsidRPr="009B6132" w14:paraId="100DC9BC" w14:textId="77777777" w:rsidTr="000A2DD0">
        <w:tc>
          <w:tcPr>
            <w:tcW w:w="3964" w:type="dxa"/>
          </w:tcPr>
          <w:p w14:paraId="6ECA8A18" w14:textId="2843BFAD"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color w:val="000000"/>
                <w:sz w:val="20"/>
                <w:szCs w:val="20"/>
              </w:rPr>
              <w:t>Țevile dispozitivelor nu pot fi înlăturate sau modificate fără distrugerea și deteriorarea semnificativă a dispozitivului.</w:t>
            </w:r>
          </w:p>
        </w:tc>
        <w:tc>
          <w:tcPr>
            <w:tcW w:w="6776" w:type="dxa"/>
          </w:tcPr>
          <w:p w14:paraId="6B20AC02" w14:textId="22228AD4"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f) </w:t>
            </w:r>
            <w:r w:rsidRPr="003C3C65">
              <w:rPr>
                <w:rFonts w:ascii="Times New Roman" w:hAnsi="Times New Roman" w:cs="Times New Roman"/>
                <w:sz w:val="20"/>
                <w:szCs w:val="20"/>
              </w:rPr>
              <w:t>înlăturarea sau modificarea țevilor să determine distrugerea şi deteriorarea semnificativă a acestora;</w:t>
            </w:r>
          </w:p>
        </w:tc>
        <w:tc>
          <w:tcPr>
            <w:tcW w:w="1842" w:type="dxa"/>
          </w:tcPr>
          <w:p w14:paraId="5F73BB24" w14:textId="59384A87" w:rsidR="00080A65" w:rsidRPr="00E548C7"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75DF3C00" w14:textId="77777777" w:rsidR="00080A65" w:rsidRPr="009B6132" w:rsidRDefault="00080A65" w:rsidP="00080A65">
            <w:pPr>
              <w:jc w:val="center"/>
              <w:rPr>
                <w:rFonts w:ascii="Times New Roman" w:hAnsi="Times New Roman" w:cs="Times New Roman"/>
                <w:bCs/>
                <w:sz w:val="20"/>
                <w:szCs w:val="20"/>
              </w:rPr>
            </w:pPr>
          </w:p>
        </w:tc>
      </w:tr>
      <w:tr w:rsidR="00080A65" w:rsidRPr="009B6132" w14:paraId="399AE02B" w14:textId="77777777" w:rsidTr="000A2DD0">
        <w:tc>
          <w:tcPr>
            <w:tcW w:w="3964" w:type="dxa"/>
          </w:tcPr>
          <w:p w14:paraId="336E0EB4" w14:textId="4792455B"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t>În cazul dispozitivelor a căror țeavă nu depășește 30 cm sau a căror lungime totală nu depășește 60 cm, dispozitivul este prevăzut cu obstacole inamovibile de-a lungul întregii lungimi a țevii, astfel încât o alică, un glonț sau un proiectil să nu poată trece prin țeavă prin acțiunea unui combustibil de propulsie și orice spațiu lăsat liber la nivelul țevii să nu depășească lungimea de 1 cm.</w:t>
            </w:r>
          </w:p>
        </w:tc>
        <w:tc>
          <w:tcPr>
            <w:tcW w:w="6776" w:type="dxa"/>
          </w:tcPr>
          <w:p w14:paraId="2036DCCB" w14:textId="757FFA64"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h) </w:t>
            </w:r>
            <w:r w:rsidRPr="007E558A">
              <w:rPr>
                <w:rFonts w:ascii="Times New Roman" w:hAnsi="Times New Roman" w:cs="Times New Roman"/>
                <w:sz w:val="20"/>
                <w:szCs w:val="20"/>
              </w:rPr>
              <w:t>să fie prevăzute cu obstacole inamovibile de-a lungul lungimii ţevii, astfel încât o alică, un glonţ sau un proiectil să nu poată trece prin ţeavă prin acţiunea unui combustibil de propulsie şi orice spaţiu lăsat liber la nivelul ţevii să nu depăşească lungimea de 1 cm.</w:t>
            </w:r>
          </w:p>
        </w:tc>
        <w:tc>
          <w:tcPr>
            <w:tcW w:w="1842" w:type="dxa"/>
          </w:tcPr>
          <w:p w14:paraId="73C12392" w14:textId="32693D7B"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537E9159" w14:textId="77777777" w:rsidR="00080A65" w:rsidRPr="009B6132" w:rsidRDefault="00080A65" w:rsidP="00080A65">
            <w:pPr>
              <w:jc w:val="center"/>
              <w:rPr>
                <w:rFonts w:ascii="Times New Roman" w:hAnsi="Times New Roman" w:cs="Times New Roman"/>
                <w:bCs/>
                <w:sz w:val="20"/>
                <w:szCs w:val="20"/>
              </w:rPr>
            </w:pPr>
          </w:p>
        </w:tc>
      </w:tr>
      <w:tr w:rsidR="00080A65" w:rsidRPr="009B6132" w14:paraId="7322E1BB" w14:textId="77777777" w:rsidTr="000A2DD0">
        <w:tc>
          <w:tcPr>
            <w:tcW w:w="3964" w:type="dxa"/>
          </w:tcPr>
          <w:p w14:paraId="1D8C188D" w14:textId="44137BFA"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t>În cazul dispozitivelor care nu se încadrează la punctul 5, dispozitivul este prevăzut cu obstacole inamovibile de-a lungul a cel puțin unei treimi din lungimea țevii, astfel încât o alică, un glonț sau un proiectil să nu poată trece prin țeavă prin acțiunea unui combustibil de propulsie și orice spațiu lăsat liber la nivelul țevii să nu depășească lungimea de 1 cm.</w:t>
            </w:r>
          </w:p>
        </w:tc>
        <w:tc>
          <w:tcPr>
            <w:tcW w:w="6776" w:type="dxa"/>
          </w:tcPr>
          <w:p w14:paraId="273C16F0" w14:textId="5E37D771" w:rsidR="00080A65" w:rsidRPr="00A445FC"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(2) </w:t>
            </w:r>
            <w:r w:rsidRPr="00A445FC">
              <w:rPr>
                <w:rFonts w:ascii="Times New Roman" w:hAnsi="Times New Roman" w:cs="Times New Roman"/>
                <w:sz w:val="20"/>
                <w:szCs w:val="20"/>
              </w:rPr>
              <w:t>Spaţiul lăsat liber la nivelul ţevii, care să nu depășească lungimea de 1 cm, prevăzut la pct. (1) lit. h), trebuie să existe:</w:t>
            </w:r>
          </w:p>
          <w:p w14:paraId="22969DEF" w14:textId="714DA2C3"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b) </w:t>
            </w:r>
            <w:r w:rsidRPr="00A445FC">
              <w:rPr>
                <w:rFonts w:ascii="Times New Roman" w:hAnsi="Times New Roman" w:cs="Times New Roman"/>
                <w:sz w:val="20"/>
                <w:szCs w:val="20"/>
              </w:rPr>
              <w:t>pe cel puțin o treime din lungimea ţevii, în cazul armelor de autoapărare special confecţionate pentru a împrăştia gaze nocive, iritante sau de neutralizare, armelor de alarmă şi armelor de semnalizare, a căror ţeavă depăşeşte 30 cm.</w:t>
            </w:r>
          </w:p>
        </w:tc>
        <w:tc>
          <w:tcPr>
            <w:tcW w:w="1842" w:type="dxa"/>
          </w:tcPr>
          <w:p w14:paraId="0735A2F5" w14:textId="60B31790"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2FB94F45" w14:textId="77777777" w:rsidR="00080A65" w:rsidRPr="009B6132" w:rsidRDefault="00080A65" w:rsidP="00080A65">
            <w:pPr>
              <w:jc w:val="center"/>
              <w:rPr>
                <w:rFonts w:ascii="Times New Roman" w:hAnsi="Times New Roman" w:cs="Times New Roman"/>
                <w:bCs/>
                <w:sz w:val="20"/>
                <w:szCs w:val="20"/>
              </w:rPr>
            </w:pPr>
          </w:p>
        </w:tc>
      </w:tr>
      <w:tr w:rsidR="00080A65" w:rsidRPr="009B6132" w14:paraId="1892B36B" w14:textId="77777777" w:rsidTr="000A2DD0">
        <w:tc>
          <w:tcPr>
            <w:tcW w:w="3964" w:type="dxa"/>
          </w:tcPr>
          <w:p w14:paraId="789264F5" w14:textId="51830828"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t>În toate cazurile, dacă dispozitivul se încadrează la punctul 5 sau la punctul 6, primul obstacol din țeavă este plasat cât mai aproape posibil de camera dispozitivului, permițând în același timp expulzarea gazelor prin orificiile de evacuare.</w:t>
            </w:r>
          </w:p>
        </w:tc>
        <w:tc>
          <w:tcPr>
            <w:tcW w:w="6776" w:type="dxa"/>
          </w:tcPr>
          <w:p w14:paraId="383A7A41" w14:textId="7E593C33" w:rsidR="00080A65" w:rsidRPr="00A445FC"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(3) </w:t>
            </w:r>
            <w:r w:rsidRPr="00A445FC">
              <w:rPr>
                <w:rFonts w:ascii="Times New Roman" w:hAnsi="Times New Roman" w:cs="Times New Roman"/>
                <w:sz w:val="20"/>
                <w:szCs w:val="20"/>
              </w:rPr>
              <w:t>Obstacolele prevăzute la pct. (1) lit. h) trebuie să îndeplinească următoarele cerinţe:</w:t>
            </w:r>
          </w:p>
          <w:p w14:paraId="2337FAF3" w14:textId="5FA63E8E" w:rsidR="00080A65" w:rsidRPr="00A445FC" w:rsidRDefault="00080A65" w:rsidP="00080A65">
            <w:pPr>
              <w:jc w:val="both"/>
              <w:rPr>
                <w:rFonts w:ascii="Times New Roman" w:hAnsi="Times New Roman" w:cs="Times New Roman"/>
                <w:sz w:val="20"/>
                <w:szCs w:val="20"/>
                <w:lang w:val="en-US"/>
              </w:rPr>
            </w:pPr>
            <w:r>
              <w:rPr>
                <w:rFonts w:ascii="Times New Roman" w:hAnsi="Times New Roman" w:cs="Times New Roman"/>
                <w:sz w:val="20"/>
                <w:szCs w:val="20"/>
              </w:rPr>
              <w:t xml:space="preserve">a) </w:t>
            </w:r>
            <w:r w:rsidRPr="00A445FC">
              <w:rPr>
                <w:rFonts w:ascii="Times New Roman" w:hAnsi="Times New Roman" w:cs="Times New Roman"/>
                <w:sz w:val="20"/>
                <w:szCs w:val="20"/>
              </w:rPr>
              <w:t>primul obstacol este plasat cât mai aproape posibil de camera armei de autoapărare special confecţionate pentru a împrăştia gaze nocive, iritante sau de neutralizare, a armei de alarmă sau a armei de semnalizare, astfel încât să permită în același timp expulzarea gazelor prin orificiile de evacuare;</w:t>
            </w:r>
          </w:p>
        </w:tc>
        <w:tc>
          <w:tcPr>
            <w:tcW w:w="1842" w:type="dxa"/>
          </w:tcPr>
          <w:p w14:paraId="35A2FE24" w14:textId="60E26A71"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48FC77F4" w14:textId="77777777" w:rsidR="00080A65" w:rsidRPr="009B6132" w:rsidRDefault="00080A65" w:rsidP="00080A65">
            <w:pPr>
              <w:jc w:val="center"/>
              <w:rPr>
                <w:rFonts w:ascii="Times New Roman" w:hAnsi="Times New Roman" w:cs="Times New Roman"/>
                <w:bCs/>
                <w:sz w:val="20"/>
                <w:szCs w:val="20"/>
              </w:rPr>
            </w:pPr>
          </w:p>
        </w:tc>
      </w:tr>
      <w:tr w:rsidR="00080A65" w:rsidRPr="009B6132" w14:paraId="6FD4C0B0" w14:textId="77777777" w:rsidTr="000A2DD0">
        <w:tc>
          <w:tcPr>
            <w:tcW w:w="3964" w:type="dxa"/>
          </w:tcPr>
          <w:p w14:paraId="3E470864" w14:textId="09DE9D40"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lastRenderedPageBreak/>
              <w:t>În cazul dispozitivelor concepute pentru a trage numai gloanțe oarbe, obstacolele menționate la punctul 5 sau la punctul 6 blochează complet țeava în afară de unul sau mai multe orificii de evacuare a presiunii gazului. În plus, obstacolele blochează complet țeava astfel încât niciun gaz să nu poată fi expulzat prin partea din față a dispozitivului.</w:t>
            </w:r>
          </w:p>
        </w:tc>
        <w:tc>
          <w:tcPr>
            <w:tcW w:w="6776" w:type="dxa"/>
          </w:tcPr>
          <w:p w14:paraId="4619B4A7" w14:textId="662E3FBC" w:rsidR="00080A65" w:rsidRPr="009B6132" w:rsidRDefault="00080A65" w:rsidP="00080A65">
            <w:pPr>
              <w:jc w:val="both"/>
              <w:rPr>
                <w:rFonts w:ascii="Times New Roman" w:hAnsi="Times New Roman" w:cs="Times New Roman"/>
                <w:sz w:val="20"/>
                <w:szCs w:val="20"/>
              </w:rPr>
            </w:pPr>
            <w:r w:rsidRPr="009F627D">
              <w:rPr>
                <w:rFonts w:ascii="Times New Roman" w:hAnsi="Times New Roman" w:cs="Times New Roman"/>
                <w:sz w:val="20"/>
                <w:szCs w:val="20"/>
              </w:rPr>
              <w:t>(5) În cazul armelor de alarmă şi al armelor de semnalizare, concepute pentru a trage numai gloanțe oarbe, obstacolele trebuie să blocheze complet ţeava, cu excepţia unuia sau mai multor orificii de evacuare a presiunii gazului, realizate astfel încât niciun gaz să nu poată fi expulzat prin partea din faţă a armei</w:t>
            </w:r>
          </w:p>
        </w:tc>
        <w:tc>
          <w:tcPr>
            <w:tcW w:w="1842" w:type="dxa"/>
          </w:tcPr>
          <w:p w14:paraId="633439B7" w14:textId="32A64842"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65971385" w14:textId="77777777" w:rsidR="00080A65" w:rsidRPr="009B6132" w:rsidRDefault="00080A65" w:rsidP="00080A65">
            <w:pPr>
              <w:jc w:val="center"/>
              <w:rPr>
                <w:rFonts w:ascii="Times New Roman" w:hAnsi="Times New Roman" w:cs="Times New Roman"/>
                <w:bCs/>
                <w:sz w:val="20"/>
                <w:szCs w:val="20"/>
              </w:rPr>
            </w:pPr>
          </w:p>
        </w:tc>
      </w:tr>
      <w:tr w:rsidR="00080A65" w:rsidRPr="009B6132" w14:paraId="2EE0A6AC" w14:textId="77777777" w:rsidTr="000A2DD0">
        <w:tc>
          <w:tcPr>
            <w:tcW w:w="3964" w:type="dxa"/>
          </w:tcPr>
          <w:p w14:paraId="636C20BD" w14:textId="59C77CB1" w:rsidR="00080A65" w:rsidRPr="009B6132" w:rsidRDefault="00080A65" w:rsidP="00080A65">
            <w:pPr>
              <w:pStyle w:val="Listparagraf"/>
              <w:numPr>
                <w:ilvl w:val="0"/>
                <w:numId w:val="47"/>
              </w:numPr>
              <w:tabs>
                <w:tab w:val="left" w:pos="284"/>
              </w:tabs>
              <w:ind w:left="0" w:firstLine="0"/>
              <w:jc w:val="both"/>
              <w:rPr>
                <w:rFonts w:ascii="Times New Roman" w:hAnsi="Times New Roman" w:cs="Times New Roman"/>
                <w:color w:val="000000"/>
                <w:sz w:val="20"/>
                <w:szCs w:val="20"/>
              </w:rPr>
            </w:pPr>
            <w:r w:rsidRPr="009B6132">
              <w:rPr>
                <w:rFonts w:ascii="Times New Roman" w:hAnsi="Times New Roman" w:cs="Times New Roman"/>
                <w:color w:val="000000"/>
                <w:sz w:val="20"/>
                <w:szCs w:val="20"/>
              </w:rPr>
              <w:t>Toate obstacolele sunt permanente și nu pot fi înlăturate fără distrugerea camerei sau a țevii dispozitivului.</w:t>
            </w:r>
          </w:p>
        </w:tc>
        <w:tc>
          <w:tcPr>
            <w:tcW w:w="6776" w:type="dxa"/>
          </w:tcPr>
          <w:p w14:paraId="02F5161E" w14:textId="5EAF7CFA" w:rsidR="00080A65" w:rsidRPr="009E1A18"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(3) </w:t>
            </w:r>
            <w:r w:rsidRPr="009E1A18">
              <w:rPr>
                <w:rFonts w:ascii="Times New Roman" w:hAnsi="Times New Roman" w:cs="Times New Roman"/>
                <w:sz w:val="20"/>
                <w:szCs w:val="20"/>
              </w:rPr>
              <w:t>Obstacolele prevăzute la pct. (1) lit. h) trebuie să îndeplinească următoarele cerinţe:</w:t>
            </w:r>
          </w:p>
          <w:p w14:paraId="4630D125" w14:textId="1AF33862"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b) </w:t>
            </w:r>
            <w:r w:rsidRPr="009E1A18">
              <w:rPr>
                <w:rFonts w:ascii="Times New Roman" w:hAnsi="Times New Roman" w:cs="Times New Roman"/>
                <w:sz w:val="20"/>
                <w:szCs w:val="20"/>
              </w:rPr>
              <w:t>să fie permanente şi să nu poată fi înlăturate fără distrugerea camerei cartuşului sau a ţevii armei de autoapărare special confecţionate pentru a împrăştia gaze nocive, iritante sau de neutralizare, a armei de alarmă sau a armei de semnalizare;</w:t>
            </w:r>
          </w:p>
        </w:tc>
        <w:tc>
          <w:tcPr>
            <w:tcW w:w="1842" w:type="dxa"/>
          </w:tcPr>
          <w:p w14:paraId="59D45427" w14:textId="0F64B4EF"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41AD4298" w14:textId="77777777" w:rsidR="00080A65" w:rsidRPr="009B6132" w:rsidRDefault="00080A65" w:rsidP="00080A65">
            <w:pPr>
              <w:jc w:val="center"/>
              <w:rPr>
                <w:rFonts w:ascii="Times New Roman" w:hAnsi="Times New Roman" w:cs="Times New Roman"/>
                <w:bCs/>
                <w:sz w:val="20"/>
                <w:szCs w:val="20"/>
              </w:rPr>
            </w:pPr>
          </w:p>
        </w:tc>
      </w:tr>
      <w:tr w:rsidR="00080A65" w:rsidRPr="009B6132" w14:paraId="109DCF1E" w14:textId="77777777" w:rsidTr="000A2DD0">
        <w:tc>
          <w:tcPr>
            <w:tcW w:w="3964" w:type="dxa"/>
          </w:tcPr>
          <w:p w14:paraId="11C9E42A" w14:textId="2F7653CB" w:rsidR="00080A65" w:rsidRPr="009B6132" w:rsidRDefault="00080A65" w:rsidP="00080A65">
            <w:pPr>
              <w:pStyle w:val="Listparagraf"/>
              <w:tabs>
                <w:tab w:val="left" w:pos="284"/>
              </w:tabs>
              <w:ind w:left="0"/>
              <w:jc w:val="both"/>
              <w:rPr>
                <w:rFonts w:ascii="Times New Roman" w:hAnsi="Times New Roman" w:cs="Times New Roman"/>
                <w:sz w:val="20"/>
                <w:szCs w:val="20"/>
              </w:rPr>
            </w:pPr>
            <w:r w:rsidRPr="009B6132">
              <w:rPr>
                <w:rFonts w:ascii="Times New Roman" w:hAnsi="Times New Roman" w:cs="Times New Roman"/>
                <w:sz w:val="20"/>
                <w:szCs w:val="20"/>
              </w:rPr>
              <w:t>În cazul dispozitivelor concepute pentru a trage numai gloanțe oarbe, obstacolele sunt fabricate în întregime dintr-un material rezistent la tăiere, perforare, sfredelire sau măcinare (sau orice alt procedeu similar) având o duritate minimă de 700 HV 30 (în conformitate cu încercarea de duritate Vickers).</w:t>
            </w:r>
          </w:p>
        </w:tc>
        <w:tc>
          <w:tcPr>
            <w:tcW w:w="6776" w:type="dxa"/>
          </w:tcPr>
          <w:p w14:paraId="0942C912" w14:textId="7C5F888B"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(4) </w:t>
            </w:r>
            <w:r w:rsidRPr="00B705D4">
              <w:rPr>
                <w:rFonts w:ascii="Times New Roman" w:hAnsi="Times New Roman" w:cs="Times New Roman"/>
                <w:sz w:val="20"/>
                <w:szCs w:val="20"/>
              </w:rPr>
              <w:t>Prin excepție de la prevederile pct. (3) lit. c), în cazul armelor de alarmă şi al armelor de semnalizare, concepute pentru a trage numai gloanțe oarbe, obstacolele trebuie să fie fabricate în întregime dintr-un material rezistent la tăiere, perforare, sfredelire, măcinare sau orice alt procedeu similar, cu o duritate minimă de 700 HV 30 pe scara Vickers.</w:t>
            </w:r>
          </w:p>
        </w:tc>
        <w:tc>
          <w:tcPr>
            <w:tcW w:w="1842" w:type="dxa"/>
          </w:tcPr>
          <w:p w14:paraId="622878A6" w14:textId="695FADFD" w:rsidR="00080A65" w:rsidRPr="00A445FC"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45A97296" w14:textId="77777777" w:rsidR="00080A65" w:rsidRPr="009B6132" w:rsidRDefault="00080A65" w:rsidP="00080A65">
            <w:pPr>
              <w:jc w:val="center"/>
              <w:rPr>
                <w:rFonts w:ascii="Times New Roman" w:hAnsi="Times New Roman" w:cs="Times New Roman"/>
                <w:bCs/>
                <w:sz w:val="20"/>
                <w:szCs w:val="20"/>
              </w:rPr>
            </w:pPr>
          </w:p>
        </w:tc>
      </w:tr>
      <w:tr w:rsidR="00080A65" w:rsidRPr="009B6132" w14:paraId="7E99764C" w14:textId="77777777" w:rsidTr="000A2DD0">
        <w:tc>
          <w:tcPr>
            <w:tcW w:w="3964" w:type="dxa"/>
          </w:tcPr>
          <w:p w14:paraId="5E83B409" w14:textId="353D984A" w:rsidR="00080A65" w:rsidRPr="009B6132" w:rsidRDefault="00080A65" w:rsidP="00080A65">
            <w:pPr>
              <w:pStyle w:val="Listparagraf"/>
              <w:tabs>
                <w:tab w:val="left" w:pos="284"/>
              </w:tabs>
              <w:ind w:left="0"/>
              <w:jc w:val="both"/>
              <w:rPr>
                <w:rFonts w:ascii="Times New Roman" w:hAnsi="Times New Roman" w:cs="Times New Roman"/>
                <w:sz w:val="20"/>
                <w:szCs w:val="20"/>
              </w:rPr>
            </w:pPr>
            <w:r w:rsidRPr="009B6132">
              <w:rPr>
                <w:rFonts w:ascii="Times New Roman" w:hAnsi="Times New Roman" w:cs="Times New Roman"/>
                <w:sz w:val="20"/>
                <w:szCs w:val="20"/>
              </w:rPr>
              <w:t>În cazul dispozitivelor care nu se încadrează la al doilea paragraf al prezentului punct, obstacolele sunt fabricate în întregime dintr-un material rezistent la tăiere, perforare, sfredelire sau măcinare (sau orice alt procedeu similar) având o duritate minimă de 610 HV 30. Țeava poate avea un canal de-a lungul axei sale pentru a permite substanțelor iritante sau altor substanțe active să fie expulzate din dispozitiv.</w:t>
            </w:r>
          </w:p>
        </w:tc>
        <w:tc>
          <w:tcPr>
            <w:tcW w:w="6776" w:type="dxa"/>
          </w:tcPr>
          <w:p w14:paraId="437F75E5" w14:textId="77777777" w:rsidR="00080A65"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(3) </w:t>
            </w:r>
            <w:r w:rsidRPr="00102BAB">
              <w:rPr>
                <w:rFonts w:ascii="Times New Roman" w:hAnsi="Times New Roman" w:cs="Times New Roman"/>
                <w:sz w:val="20"/>
                <w:szCs w:val="20"/>
              </w:rPr>
              <w:t xml:space="preserve">Obstacolele prevăzute </w:t>
            </w:r>
            <w:r w:rsidRPr="00EC6121">
              <w:rPr>
                <w:rFonts w:ascii="Times New Roman" w:hAnsi="Times New Roman" w:cs="Times New Roman"/>
                <w:sz w:val="20"/>
                <w:szCs w:val="20"/>
              </w:rPr>
              <w:t>la pct. (1) lit. h)</w:t>
            </w:r>
            <w:r w:rsidRPr="00102BAB">
              <w:rPr>
                <w:rFonts w:ascii="Times New Roman" w:hAnsi="Times New Roman" w:cs="Times New Roman"/>
                <w:sz w:val="20"/>
                <w:szCs w:val="20"/>
              </w:rPr>
              <w:t xml:space="preserve"> trebuie să îndeplinească următoarele cerinţe:</w:t>
            </w:r>
          </w:p>
          <w:p w14:paraId="7D9E93E2" w14:textId="213C9D65"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c) </w:t>
            </w:r>
            <w:r w:rsidRPr="00102BAB">
              <w:rPr>
                <w:rFonts w:ascii="Times New Roman" w:hAnsi="Times New Roman" w:cs="Times New Roman"/>
                <w:sz w:val="20"/>
                <w:szCs w:val="20"/>
              </w:rPr>
              <w:t>să fie fabricate în întregime dintr-un material rezistent la tăiere, perforare, sfredelire, măcinare sau orice alt procedeu similar, cu o duritate minimă de 610 HV 30 pe scara Vickers. Ţeava poate avea un canal de-a lungul axei sale pentru a permite substanțelor iritante sau altor substanţe active să fie expulzate din dispozitiv;</w:t>
            </w:r>
          </w:p>
        </w:tc>
        <w:tc>
          <w:tcPr>
            <w:tcW w:w="1842" w:type="dxa"/>
          </w:tcPr>
          <w:p w14:paraId="479C4468" w14:textId="7ABCDCE1" w:rsidR="00080A65" w:rsidRPr="00FD5A35"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50F914A2" w14:textId="77777777" w:rsidR="00080A65" w:rsidRPr="009B6132" w:rsidRDefault="00080A65" w:rsidP="00080A65">
            <w:pPr>
              <w:jc w:val="center"/>
              <w:rPr>
                <w:rFonts w:ascii="Times New Roman" w:hAnsi="Times New Roman" w:cs="Times New Roman"/>
                <w:bCs/>
                <w:sz w:val="20"/>
                <w:szCs w:val="20"/>
              </w:rPr>
            </w:pPr>
          </w:p>
        </w:tc>
      </w:tr>
      <w:tr w:rsidR="00080A65" w:rsidRPr="009B6132" w14:paraId="09D680E0" w14:textId="77777777" w:rsidTr="000A2DD0">
        <w:tc>
          <w:tcPr>
            <w:tcW w:w="3964" w:type="dxa"/>
          </w:tcPr>
          <w:p w14:paraId="144F18ED" w14:textId="77777777" w:rsidR="00080A65" w:rsidRPr="009B6132" w:rsidRDefault="00080A65" w:rsidP="00080A65">
            <w:pPr>
              <w:pStyle w:val="Listparagraf"/>
              <w:tabs>
                <w:tab w:val="left" w:pos="284"/>
              </w:tabs>
              <w:ind w:left="0"/>
              <w:jc w:val="both"/>
              <w:rPr>
                <w:rFonts w:ascii="Times New Roman" w:hAnsi="Times New Roman" w:cs="Times New Roman"/>
                <w:sz w:val="20"/>
                <w:szCs w:val="20"/>
              </w:rPr>
            </w:pPr>
            <w:r w:rsidRPr="009B6132">
              <w:rPr>
                <w:rFonts w:ascii="Times New Roman" w:hAnsi="Times New Roman" w:cs="Times New Roman"/>
                <w:sz w:val="20"/>
                <w:szCs w:val="20"/>
              </w:rPr>
              <w:t>În ambele cazuri, obstacolele sunt concepute astfel încât să împiedice:</w:t>
            </w:r>
          </w:p>
          <w:p w14:paraId="1AB1EBCF" w14:textId="4DD76CD4" w:rsidR="00080A65" w:rsidRPr="009B6132" w:rsidRDefault="00080A65" w:rsidP="00080A65">
            <w:pPr>
              <w:pStyle w:val="Listparagraf"/>
              <w:numPr>
                <w:ilvl w:val="0"/>
                <w:numId w:val="48"/>
              </w:numPr>
              <w:tabs>
                <w:tab w:val="left" w:pos="284"/>
              </w:tabs>
              <w:ind w:left="0" w:firstLine="0"/>
              <w:jc w:val="both"/>
              <w:rPr>
                <w:rFonts w:ascii="Times New Roman" w:hAnsi="Times New Roman" w:cs="Times New Roman"/>
                <w:sz w:val="20"/>
                <w:szCs w:val="20"/>
              </w:rPr>
            </w:pPr>
            <w:r w:rsidRPr="009B6132">
              <w:rPr>
                <w:rFonts w:ascii="Times New Roman" w:hAnsi="Times New Roman" w:cs="Times New Roman"/>
                <w:sz w:val="20"/>
                <w:szCs w:val="20"/>
              </w:rPr>
              <w:t>crearea sau lărgirea unui orificiu în țeavă, de-a lungul axei sale;</w:t>
            </w:r>
          </w:p>
        </w:tc>
        <w:tc>
          <w:tcPr>
            <w:tcW w:w="6776" w:type="dxa"/>
          </w:tcPr>
          <w:p w14:paraId="060BB621" w14:textId="77777777" w:rsidR="00080A65"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(3) </w:t>
            </w:r>
            <w:r w:rsidRPr="00102BAB">
              <w:rPr>
                <w:rFonts w:ascii="Times New Roman" w:hAnsi="Times New Roman" w:cs="Times New Roman"/>
                <w:sz w:val="20"/>
                <w:szCs w:val="20"/>
              </w:rPr>
              <w:t xml:space="preserve">Obstacolele prevăzute la </w:t>
            </w:r>
            <w:r w:rsidRPr="00EC6121">
              <w:rPr>
                <w:rFonts w:ascii="Times New Roman" w:hAnsi="Times New Roman" w:cs="Times New Roman"/>
                <w:sz w:val="20"/>
                <w:szCs w:val="20"/>
              </w:rPr>
              <w:t>pct. (1) lit. h)</w:t>
            </w:r>
            <w:r w:rsidRPr="00102BAB">
              <w:rPr>
                <w:rFonts w:ascii="Times New Roman" w:hAnsi="Times New Roman" w:cs="Times New Roman"/>
                <w:sz w:val="20"/>
                <w:szCs w:val="20"/>
              </w:rPr>
              <w:t xml:space="preserve"> trebuie să îndeplinească următoarele cerinţe</w:t>
            </w:r>
          </w:p>
          <w:p w14:paraId="36B01A39" w14:textId="150A75CB"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d) </w:t>
            </w:r>
            <w:r w:rsidRPr="00FD5A35">
              <w:rPr>
                <w:rFonts w:ascii="Times New Roman" w:hAnsi="Times New Roman" w:cs="Times New Roman"/>
                <w:sz w:val="20"/>
                <w:szCs w:val="20"/>
              </w:rPr>
              <w:t>să fie concepute astfel încât să împiedice crearea sau lărgirea unui orificiu în ţeavă, de-a lungul axei sale</w:t>
            </w:r>
            <w:r>
              <w:rPr>
                <w:rFonts w:ascii="Times New Roman" w:hAnsi="Times New Roman" w:cs="Times New Roman"/>
                <w:sz w:val="20"/>
                <w:szCs w:val="20"/>
              </w:rPr>
              <w:t>;</w:t>
            </w:r>
          </w:p>
        </w:tc>
        <w:tc>
          <w:tcPr>
            <w:tcW w:w="1842" w:type="dxa"/>
          </w:tcPr>
          <w:p w14:paraId="1CEAD520" w14:textId="5AE5A7D9" w:rsidR="00080A65" w:rsidRPr="00FD5A35"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77FEECFC" w14:textId="77777777" w:rsidR="00080A65" w:rsidRPr="009B6132" w:rsidRDefault="00080A65" w:rsidP="00080A65">
            <w:pPr>
              <w:jc w:val="center"/>
              <w:rPr>
                <w:rFonts w:ascii="Times New Roman" w:hAnsi="Times New Roman" w:cs="Times New Roman"/>
                <w:bCs/>
                <w:sz w:val="20"/>
                <w:szCs w:val="20"/>
              </w:rPr>
            </w:pPr>
          </w:p>
        </w:tc>
      </w:tr>
      <w:tr w:rsidR="00080A65" w:rsidRPr="009B6132" w14:paraId="706ADE56" w14:textId="77777777" w:rsidTr="00050563">
        <w:trPr>
          <w:trHeight w:val="1932"/>
        </w:trPr>
        <w:tc>
          <w:tcPr>
            <w:tcW w:w="3964" w:type="dxa"/>
          </w:tcPr>
          <w:p w14:paraId="4486FE02" w14:textId="563B9964" w:rsidR="00080A65" w:rsidRPr="009B6132" w:rsidRDefault="00080A65" w:rsidP="00080A65">
            <w:pPr>
              <w:pStyle w:val="oj-normal"/>
              <w:numPr>
                <w:ilvl w:val="0"/>
                <w:numId w:val="48"/>
              </w:numPr>
              <w:tabs>
                <w:tab w:val="left" w:pos="284"/>
              </w:tabs>
              <w:spacing w:before="0" w:beforeAutospacing="0" w:after="0" w:afterAutospacing="0"/>
              <w:ind w:left="0" w:firstLine="0"/>
              <w:jc w:val="both"/>
              <w:rPr>
                <w:color w:val="000000"/>
                <w:sz w:val="20"/>
                <w:szCs w:val="20"/>
              </w:rPr>
            </w:pPr>
            <w:r w:rsidRPr="009B6132">
              <w:rPr>
                <w:color w:val="000000"/>
                <w:sz w:val="20"/>
                <w:szCs w:val="20"/>
              </w:rPr>
              <w:lastRenderedPageBreak/>
              <w:t>înlăturarea țevii, cu excepția cazului în care spațiul aferent cadrului și camerei devine inutil ca urmare a înlăturării respective sau dacă integritatea dispozitivului este atât de compromisă încât el nu poate fi utilizat pentru a constitui baza unei arme de foc fără efectuarea unor reparații sau a unor completări semnificative.</w:t>
            </w:r>
          </w:p>
        </w:tc>
        <w:tc>
          <w:tcPr>
            <w:tcW w:w="6776" w:type="dxa"/>
          </w:tcPr>
          <w:p w14:paraId="58A462EB" w14:textId="29275A89" w:rsidR="00080A65"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(3) </w:t>
            </w:r>
            <w:r w:rsidRPr="00102BAB">
              <w:rPr>
                <w:rFonts w:ascii="Times New Roman" w:hAnsi="Times New Roman" w:cs="Times New Roman"/>
                <w:sz w:val="20"/>
                <w:szCs w:val="20"/>
              </w:rPr>
              <w:t xml:space="preserve">Obstacolele prevăzute la </w:t>
            </w:r>
            <w:r w:rsidRPr="00EC6121">
              <w:rPr>
                <w:rFonts w:ascii="Times New Roman" w:hAnsi="Times New Roman" w:cs="Times New Roman"/>
                <w:sz w:val="20"/>
                <w:szCs w:val="20"/>
              </w:rPr>
              <w:t>pct. (1) lit. h)</w:t>
            </w:r>
            <w:r w:rsidRPr="00102BAB">
              <w:rPr>
                <w:rFonts w:ascii="Times New Roman" w:hAnsi="Times New Roman" w:cs="Times New Roman"/>
                <w:sz w:val="20"/>
                <w:szCs w:val="20"/>
              </w:rPr>
              <w:t xml:space="preserve"> trebuie să îndeplinească următoarele cerinţe</w:t>
            </w:r>
            <w:r>
              <w:rPr>
                <w:rFonts w:ascii="Times New Roman" w:hAnsi="Times New Roman" w:cs="Times New Roman"/>
                <w:sz w:val="20"/>
                <w:szCs w:val="20"/>
              </w:rPr>
              <w:t>:</w:t>
            </w:r>
          </w:p>
          <w:p w14:paraId="09CB5F3B" w14:textId="15E69315"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e) </w:t>
            </w:r>
            <w:r w:rsidRPr="009B4BE0">
              <w:rPr>
                <w:rFonts w:ascii="Times New Roman" w:hAnsi="Times New Roman" w:cs="Times New Roman"/>
                <w:sz w:val="20"/>
                <w:szCs w:val="20"/>
              </w:rPr>
              <w:t>să fie concepute astfel încât să împiedice înlăturarea ţevii, cu excepţia cazului în care spaţiul aferent cadrului şi camerei devine inutil ca urmare a înlăturării respective sau dacă integritatea armei de autoapărare special confecţionate pentru a împrăştia gaze nocive, iritante sau de neutralizare, a armei de alarmă sau a armei de semnalizare este atât de compromisă încât aceasta nu poate fi utilizată pentru a constitui baza unei arme de foc fără efectuarea unor reparații sau a unor completări semnificative.</w:t>
            </w:r>
          </w:p>
        </w:tc>
        <w:tc>
          <w:tcPr>
            <w:tcW w:w="1842" w:type="dxa"/>
          </w:tcPr>
          <w:p w14:paraId="5A111F5E" w14:textId="3CD45EC4" w:rsidR="00080A65" w:rsidRPr="00FD5A35"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5DED372F" w14:textId="77777777" w:rsidR="00080A65" w:rsidRPr="009B6132" w:rsidRDefault="00080A65" w:rsidP="00080A65">
            <w:pPr>
              <w:jc w:val="center"/>
              <w:rPr>
                <w:rFonts w:ascii="Times New Roman" w:hAnsi="Times New Roman" w:cs="Times New Roman"/>
                <w:bCs/>
                <w:sz w:val="20"/>
                <w:szCs w:val="20"/>
              </w:rPr>
            </w:pPr>
          </w:p>
        </w:tc>
      </w:tr>
      <w:tr w:rsidR="00080A65" w:rsidRPr="009B6132" w14:paraId="74BAE9EB" w14:textId="77777777" w:rsidTr="00050563">
        <w:trPr>
          <w:trHeight w:val="927"/>
        </w:trPr>
        <w:tc>
          <w:tcPr>
            <w:tcW w:w="3964" w:type="dxa"/>
          </w:tcPr>
          <w:p w14:paraId="163E7893" w14:textId="0BF902F5" w:rsidR="00080A65" w:rsidRPr="009B6132" w:rsidRDefault="00080A65" w:rsidP="00080A65">
            <w:pPr>
              <w:pStyle w:val="oj-normal"/>
              <w:numPr>
                <w:ilvl w:val="0"/>
                <w:numId w:val="47"/>
              </w:numPr>
              <w:tabs>
                <w:tab w:val="left" w:pos="284"/>
              </w:tabs>
              <w:spacing w:before="0" w:beforeAutospacing="0" w:after="0" w:afterAutospacing="0"/>
              <w:ind w:left="0" w:firstLine="0"/>
              <w:jc w:val="both"/>
              <w:rPr>
                <w:color w:val="000000"/>
                <w:sz w:val="20"/>
                <w:szCs w:val="20"/>
              </w:rPr>
            </w:pPr>
            <w:r w:rsidRPr="009B6132">
              <w:rPr>
                <w:color w:val="000000"/>
                <w:sz w:val="20"/>
                <w:szCs w:val="20"/>
              </w:rPr>
              <w:t>Atât camera cartușului, cât și țeava sunt deplasate, înclinate sau decalate, astfel încât să împiedice ca dispozitivul respectiv să fie încărcat cu muniție sau să tragă muniție. </w:t>
            </w:r>
          </w:p>
        </w:tc>
        <w:tc>
          <w:tcPr>
            <w:tcW w:w="6776" w:type="dxa"/>
          </w:tcPr>
          <w:p w14:paraId="2D293E57" w14:textId="1FA8FB0C" w:rsidR="00080A65"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(1) </w:t>
            </w:r>
            <w:r w:rsidRPr="00152B7D">
              <w:rPr>
                <w:rFonts w:ascii="Times New Roman" w:hAnsi="Times New Roman" w:cs="Times New Roman"/>
                <w:sz w:val="20"/>
                <w:szCs w:val="20"/>
              </w:rPr>
              <w:t>Pentru garantarea faptului că armele de alarmă şi armele de semnalizare nu pot fi transformate pentru a expulza o alică, un glonţ sau un proiectil, prin acţiunea unui combustibil de propulsie, acestea trebuie să îndeplinească următoarele cerinţe de ordin tehnic</w:t>
            </w:r>
            <w:r>
              <w:rPr>
                <w:rFonts w:ascii="Times New Roman" w:hAnsi="Times New Roman" w:cs="Times New Roman"/>
                <w:sz w:val="20"/>
                <w:szCs w:val="20"/>
              </w:rPr>
              <w:t>:</w:t>
            </w:r>
          </w:p>
          <w:p w14:paraId="75A46D8D" w14:textId="416725FD"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g) </w:t>
            </w:r>
            <w:r w:rsidRPr="00152B7D">
              <w:rPr>
                <w:rFonts w:ascii="Times New Roman" w:hAnsi="Times New Roman" w:cs="Times New Roman"/>
                <w:sz w:val="20"/>
                <w:szCs w:val="20"/>
              </w:rPr>
              <w:t>atât camera cartuşului, cât şi ţeava trebuie să fie deplasate, înclinate sau decalate, astfel încât să împiedice ca armele să fie încărcate cu muniţie sau să tragă muniţie;</w:t>
            </w:r>
          </w:p>
        </w:tc>
        <w:tc>
          <w:tcPr>
            <w:tcW w:w="1842" w:type="dxa"/>
          </w:tcPr>
          <w:p w14:paraId="400BA55F" w14:textId="6A866B9B" w:rsidR="00080A65" w:rsidRPr="00FD5A35"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19D3FDC3" w14:textId="77777777" w:rsidR="00080A65" w:rsidRPr="009B6132" w:rsidRDefault="00080A65" w:rsidP="00080A65">
            <w:pPr>
              <w:jc w:val="center"/>
              <w:rPr>
                <w:rFonts w:ascii="Times New Roman" w:hAnsi="Times New Roman" w:cs="Times New Roman"/>
                <w:bCs/>
                <w:sz w:val="20"/>
                <w:szCs w:val="20"/>
              </w:rPr>
            </w:pPr>
          </w:p>
        </w:tc>
      </w:tr>
      <w:tr w:rsidR="00080A65" w:rsidRPr="009B6132" w14:paraId="0B7C9C00" w14:textId="77777777" w:rsidTr="000A2DD0">
        <w:tc>
          <w:tcPr>
            <w:tcW w:w="3964" w:type="dxa"/>
          </w:tcPr>
          <w:p w14:paraId="412D950C" w14:textId="77777777" w:rsidR="00080A65" w:rsidRPr="009B6132" w:rsidRDefault="00080A65" w:rsidP="00080A65">
            <w:pPr>
              <w:pStyle w:val="oj-normal"/>
              <w:spacing w:before="0" w:beforeAutospacing="0" w:after="0" w:afterAutospacing="0"/>
              <w:jc w:val="both"/>
              <w:rPr>
                <w:color w:val="000000"/>
                <w:sz w:val="20"/>
                <w:szCs w:val="20"/>
              </w:rPr>
            </w:pPr>
            <w:r w:rsidRPr="009B6132">
              <w:rPr>
                <w:color w:val="000000"/>
                <w:sz w:val="20"/>
                <w:szCs w:val="20"/>
              </w:rPr>
              <w:t>În plus, în cazul dispozitivelor de tip revolver:</w:t>
            </w:r>
          </w:p>
          <w:p w14:paraId="4C6E0C0A" w14:textId="6BDB571E" w:rsidR="00080A65" w:rsidRPr="009B6132" w:rsidRDefault="00080A65" w:rsidP="00080A65">
            <w:pPr>
              <w:pStyle w:val="oj-normal"/>
              <w:tabs>
                <w:tab w:val="left" w:pos="284"/>
              </w:tabs>
              <w:spacing w:before="0" w:beforeAutospacing="0" w:after="0" w:afterAutospacing="0"/>
              <w:jc w:val="both"/>
              <w:rPr>
                <w:color w:val="000000"/>
                <w:sz w:val="20"/>
                <w:szCs w:val="20"/>
              </w:rPr>
            </w:pPr>
            <w:r w:rsidRPr="009B6132">
              <w:rPr>
                <w:color w:val="000000"/>
                <w:sz w:val="20"/>
                <w:szCs w:val="20"/>
              </w:rPr>
              <w:t>(a)</w:t>
            </w:r>
            <w:r>
              <w:rPr>
                <w:color w:val="000000"/>
                <w:sz w:val="20"/>
                <w:szCs w:val="20"/>
              </w:rPr>
              <w:t xml:space="preserve"> </w:t>
            </w:r>
            <w:r w:rsidRPr="009B6132">
              <w:rPr>
                <w:color w:val="000000"/>
                <w:sz w:val="20"/>
                <w:szCs w:val="20"/>
              </w:rPr>
              <w:t>deschiderile frontale ale camerei cilindrului sunt îngustate pentru a se asigura faptul că gloanțele sunt blocate în cameră;</w:t>
            </w:r>
          </w:p>
        </w:tc>
        <w:tc>
          <w:tcPr>
            <w:tcW w:w="6776" w:type="dxa"/>
          </w:tcPr>
          <w:p w14:paraId="34D0CC07" w14:textId="566DB725"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(6) </w:t>
            </w:r>
            <w:r w:rsidRPr="00225A9A">
              <w:rPr>
                <w:rFonts w:ascii="Times New Roman" w:hAnsi="Times New Roman" w:cs="Times New Roman"/>
                <w:sz w:val="20"/>
                <w:szCs w:val="20"/>
              </w:rPr>
              <w:t xml:space="preserve">În cazul armelor de autoapărare special confecţionate pentru a împrăştia gaze nocive, iritante sau de neutralizare, al armelor de alarmă şi al armelor de semnalizare, de tip revolver, suplimentar cerinţei prevăzute la </w:t>
            </w:r>
            <w:r w:rsidRPr="00EC6121">
              <w:rPr>
                <w:rFonts w:ascii="Times New Roman" w:hAnsi="Times New Roman" w:cs="Times New Roman"/>
                <w:sz w:val="20"/>
                <w:szCs w:val="20"/>
              </w:rPr>
              <w:t>pct. (1) lit. g),</w:t>
            </w:r>
            <w:r w:rsidRPr="00225A9A">
              <w:rPr>
                <w:rFonts w:ascii="Times New Roman" w:hAnsi="Times New Roman" w:cs="Times New Roman"/>
                <w:sz w:val="20"/>
                <w:szCs w:val="20"/>
              </w:rPr>
              <w:t xml:space="preserve"> deschiderile frontale ale camerei cilindrului trebuie să fie îngustate pentru a se asigura faptul că gloanţele sunt blocate în camera cilindrului şi să fie deplasate în raport cu camera cilindrului.</w:t>
            </w:r>
          </w:p>
        </w:tc>
        <w:tc>
          <w:tcPr>
            <w:tcW w:w="1842" w:type="dxa"/>
          </w:tcPr>
          <w:p w14:paraId="492FEDB4" w14:textId="0DC7A442" w:rsidR="00080A65" w:rsidRPr="00FD5A35" w:rsidRDefault="00080A65" w:rsidP="00080A65">
            <w:pPr>
              <w:jc w:val="center"/>
              <w:rPr>
                <w:rFonts w:ascii="Times New Roman" w:hAnsi="Times New Roman" w:cs="Times New Roman"/>
                <w:b/>
                <w:sz w:val="20"/>
                <w:szCs w:val="20"/>
                <w:highlight w:val="yellow"/>
              </w:rPr>
            </w:pPr>
            <w:r w:rsidRPr="00C503C4">
              <w:rPr>
                <w:rFonts w:asciiTheme="majorBidi" w:hAnsiTheme="majorBidi" w:cstheme="majorBidi"/>
                <w:b/>
                <w:sz w:val="24"/>
                <w:szCs w:val="24"/>
              </w:rPr>
              <w:t>Compatibil</w:t>
            </w:r>
          </w:p>
        </w:tc>
        <w:tc>
          <w:tcPr>
            <w:tcW w:w="3261" w:type="dxa"/>
          </w:tcPr>
          <w:p w14:paraId="4EBEDEF7" w14:textId="77777777" w:rsidR="00080A65" w:rsidRPr="009B6132" w:rsidRDefault="00080A65" w:rsidP="00080A65">
            <w:pPr>
              <w:jc w:val="center"/>
              <w:rPr>
                <w:rFonts w:ascii="Times New Roman" w:hAnsi="Times New Roman" w:cs="Times New Roman"/>
                <w:bCs/>
                <w:sz w:val="20"/>
                <w:szCs w:val="20"/>
              </w:rPr>
            </w:pPr>
          </w:p>
        </w:tc>
      </w:tr>
      <w:tr w:rsidR="00080A65" w:rsidRPr="009B6132" w14:paraId="0CE3F8EA" w14:textId="77777777" w:rsidTr="000A2DD0">
        <w:tc>
          <w:tcPr>
            <w:tcW w:w="3964" w:type="dxa"/>
          </w:tcPr>
          <w:p w14:paraId="48D70AD7" w14:textId="684D04ED" w:rsidR="00080A65" w:rsidRPr="009B6132" w:rsidRDefault="00080A65" w:rsidP="00080A65">
            <w:pPr>
              <w:pStyle w:val="oj-normal"/>
              <w:spacing w:before="0" w:beforeAutospacing="0" w:after="0" w:afterAutospacing="0"/>
              <w:jc w:val="both"/>
              <w:rPr>
                <w:color w:val="000000"/>
                <w:sz w:val="20"/>
                <w:szCs w:val="20"/>
              </w:rPr>
            </w:pPr>
            <w:r w:rsidRPr="009B6132">
              <w:rPr>
                <w:color w:val="000000"/>
                <w:sz w:val="20"/>
                <w:szCs w:val="20"/>
              </w:rPr>
              <w:t>(b) deschiderile respective sunt deplasate în raport cu camera.</w:t>
            </w:r>
          </w:p>
        </w:tc>
        <w:tc>
          <w:tcPr>
            <w:tcW w:w="6776" w:type="dxa"/>
          </w:tcPr>
          <w:p w14:paraId="7CC7B19E" w14:textId="13D63091" w:rsidR="00080A65" w:rsidRPr="009B6132" w:rsidRDefault="00080A65" w:rsidP="00080A65">
            <w:pPr>
              <w:jc w:val="both"/>
              <w:rPr>
                <w:rFonts w:ascii="Times New Roman" w:hAnsi="Times New Roman" w:cs="Times New Roman"/>
                <w:sz w:val="20"/>
                <w:szCs w:val="20"/>
              </w:rPr>
            </w:pPr>
            <w:r>
              <w:rPr>
                <w:rFonts w:ascii="Times New Roman" w:hAnsi="Times New Roman" w:cs="Times New Roman"/>
                <w:sz w:val="20"/>
                <w:szCs w:val="20"/>
              </w:rPr>
              <w:t xml:space="preserve">(6) </w:t>
            </w:r>
            <w:r w:rsidRPr="00225A9A">
              <w:rPr>
                <w:rFonts w:ascii="Times New Roman" w:hAnsi="Times New Roman" w:cs="Times New Roman"/>
                <w:sz w:val="20"/>
                <w:szCs w:val="20"/>
              </w:rPr>
              <w:t xml:space="preserve">În cazul armelor de autoapărare special confecţionate pentru a împrăştia gaze nocive, iritante sau de neutralizare, al armelor de alarmă şi al armelor de semnalizare, de tip revolver, suplimentar cerinţei prevăzute la </w:t>
            </w:r>
            <w:r w:rsidRPr="00EC6121">
              <w:rPr>
                <w:rFonts w:ascii="Times New Roman" w:hAnsi="Times New Roman" w:cs="Times New Roman"/>
                <w:sz w:val="20"/>
                <w:szCs w:val="20"/>
              </w:rPr>
              <w:t>pct. (1) lit. g),</w:t>
            </w:r>
            <w:r w:rsidRPr="00225A9A">
              <w:rPr>
                <w:rFonts w:ascii="Times New Roman" w:hAnsi="Times New Roman" w:cs="Times New Roman"/>
                <w:sz w:val="20"/>
                <w:szCs w:val="20"/>
              </w:rPr>
              <w:t xml:space="preserve"> deschiderile frontale ale camerei cilindrului trebuie să fie îngustate pentru a se asigura faptul că gloanţele sunt blocate în camera cilindrului şi să fie deplasate în raport cu camera cilindrului.</w:t>
            </w:r>
          </w:p>
        </w:tc>
        <w:tc>
          <w:tcPr>
            <w:tcW w:w="1842" w:type="dxa"/>
          </w:tcPr>
          <w:p w14:paraId="13F60099" w14:textId="7A6A4D0C" w:rsidR="00080A65" w:rsidRPr="009B6132" w:rsidRDefault="00080A65" w:rsidP="00080A65">
            <w:pPr>
              <w:jc w:val="center"/>
              <w:rPr>
                <w:rFonts w:ascii="Times New Roman" w:hAnsi="Times New Roman" w:cs="Times New Roman"/>
                <w:b/>
                <w:sz w:val="20"/>
                <w:szCs w:val="20"/>
              </w:rPr>
            </w:pPr>
            <w:r>
              <w:rPr>
                <w:rFonts w:asciiTheme="majorBidi" w:hAnsiTheme="majorBidi" w:cstheme="majorBidi"/>
                <w:b/>
                <w:sz w:val="24"/>
                <w:szCs w:val="24"/>
              </w:rPr>
              <w:t>C</w:t>
            </w:r>
            <w:r w:rsidRPr="0057377F">
              <w:rPr>
                <w:rFonts w:asciiTheme="majorBidi" w:hAnsiTheme="majorBidi" w:cstheme="majorBidi"/>
                <w:b/>
                <w:sz w:val="24"/>
                <w:szCs w:val="24"/>
              </w:rPr>
              <w:t>ompatibil</w:t>
            </w:r>
          </w:p>
        </w:tc>
        <w:tc>
          <w:tcPr>
            <w:tcW w:w="3261" w:type="dxa"/>
          </w:tcPr>
          <w:p w14:paraId="5F81AD58" w14:textId="77777777" w:rsidR="00080A65" w:rsidRPr="009B6132" w:rsidRDefault="00080A65" w:rsidP="00080A65">
            <w:pPr>
              <w:jc w:val="center"/>
              <w:rPr>
                <w:rFonts w:ascii="Times New Roman" w:hAnsi="Times New Roman" w:cs="Times New Roman"/>
                <w:bCs/>
                <w:sz w:val="20"/>
                <w:szCs w:val="20"/>
              </w:rPr>
            </w:pPr>
          </w:p>
        </w:tc>
      </w:tr>
    </w:tbl>
    <w:p w14:paraId="032C47B7" w14:textId="77777777" w:rsidR="006B1777" w:rsidRDefault="006B1777" w:rsidP="00B266E5">
      <w:pPr>
        <w:rPr>
          <w:rFonts w:ascii="Times New Roman" w:hAnsi="Times New Roman" w:cs="Times New Roman"/>
          <w:b/>
          <w:sz w:val="28"/>
        </w:rPr>
      </w:pPr>
    </w:p>
    <w:sectPr w:rsidR="006B1777" w:rsidSect="00292960">
      <w:pgSz w:w="16838" w:h="11906" w:orient="landscape"/>
      <w:pgMar w:top="851" w:right="678"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FAAB" w14:textId="77777777" w:rsidR="00E214CB" w:rsidRDefault="00E214CB" w:rsidP="007D6B40">
      <w:pPr>
        <w:spacing w:after="0" w:line="240" w:lineRule="auto"/>
      </w:pPr>
      <w:r>
        <w:separator/>
      </w:r>
    </w:p>
  </w:endnote>
  <w:endnote w:type="continuationSeparator" w:id="0">
    <w:p w14:paraId="620E7CED" w14:textId="77777777" w:rsidR="00E214CB" w:rsidRDefault="00E214CB" w:rsidP="007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2192" w14:textId="77777777" w:rsidR="00E214CB" w:rsidRDefault="00E214CB" w:rsidP="007D6B40">
      <w:pPr>
        <w:spacing w:after="0" w:line="240" w:lineRule="auto"/>
      </w:pPr>
      <w:r>
        <w:separator/>
      </w:r>
    </w:p>
  </w:footnote>
  <w:footnote w:type="continuationSeparator" w:id="0">
    <w:p w14:paraId="0F549BCE" w14:textId="77777777" w:rsidR="00E214CB" w:rsidRDefault="00E214CB" w:rsidP="007D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59"/>
    <w:multiLevelType w:val="multilevel"/>
    <w:tmpl w:val="942E166E"/>
    <w:lvl w:ilvl="0">
      <w:start w:val="4"/>
      <w:numFmt w:val="decimal"/>
      <w:lvlText w:val="%1."/>
      <w:lvlJc w:val="left"/>
      <w:pPr>
        <w:ind w:left="1429" w:hanging="360"/>
      </w:pPr>
      <w:rPr>
        <w:b/>
        <w:bCs/>
      </w:r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 w15:restartNumberingAfterBreak="0">
    <w:nsid w:val="067B4298"/>
    <w:multiLevelType w:val="hybridMultilevel"/>
    <w:tmpl w:val="C8620F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F4F96"/>
    <w:multiLevelType w:val="hybridMultilevel"/>
    <w:tmpl w:val="0322678A"/>
    <w:lvl w:ilvl="0" w:tplc="12DA8D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64F31"/>
    <w:multiLevelType w:val="hybridMultilevel"/>
    <w:tmpl w:val="15EEC68C"/>
    <w:lvl w:ilvl="0" w:tplc="991657CE">
      <w:start w:val="2"/>
      <w:numFmt w:val="bullet"/>
      <w:lvlText w:val="-"/>
      <w:lvlJc w:val="left"/>
      <w:pPr>
        <w:ind w:left="405" w:hanging="360"/>
      </w:pPr>
      <w:rPr>
        <w:rFonts w:ascii="Times New Roman" w:eastAsiaTheme="minorHAnsi"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4" w15:restartNumberingAfterBreak="0">
    <w:nsid w:val="11064411"/>
    <w:multiLevelType w:val="hybridMultilevel"/>
    <w:tmpl w:val="B8DA32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A573ED"/>
    <w:multiLevelType w:val="hybridMultilevel"/>
    <w:tmpl w:val="4C14003C"/>
    <w:lvl w:ilvl="0" w:tplc="7D5E0E34">
      <w:start w:val="1"/>
      <w:numFmt w:val="lowerLetter"/>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6" w15:restartNumberingAfterBreak="0">
    <w:nsid w:val="16DA5DB5"/>
    <w:multiLevelType w:val="hybridMultilevel"/>
    <w:tmpl w:val="82FA1E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02BC3"/>
    <w:multiLevelType w:val="hybridMultilevel"/>
    <w:tmpl w:val="0924EA8C"/>
    <w:lvl w:ilvl="0" w:tplc="90080C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1346F"/>
    <w:multiLevelType w:val="hybridMultilevel"/>
    <w:tmpl w:val="17A8D3AC"/>
    <w:lvl w:ilvl="0" w:tplc="8DCA11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29419D"/>
    <w:multiLevelType w:val="hybridMultilevel"/>
    <w:tmpl w:val="C2FCD024"/>
    <w:lvl w:ilvl="0" w:tplc="856E2D4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5F58A6"/>
    <w:multiLevelType w:val="hybridMultilevel"/>
    <w:tmpl w:val="909E65F4"/>
    <w:lvl w:ilvl="0" w:tplc="D9A42AAC">
      <w:start w:val="2"/>
      <w:numFmt w:val="bullet"/>
      <w:lvlText w:val="-"/>
      <w:lvlJc w:val="left"/>
      <w:pPr>
        <w:ind w:left="365" w:hanging="360"/>
      </w:pPr>
      <w:rPr>
        <w:rFonts w:ascii="Times New Roman" w:eastAsiaTheme="minorHAnsi" w:hAnsi="Times New Roman" w:cs="Times New Roman"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11" w15:restartNumberingAfterBreak="0">
    <w:nsid w:val="2285024A"/>
    <w:multiLevelType w:val="hybridMultilevel"/>
    <w:tmpl w:val="F2FEA9EC"/>
    <w:lvl w:ilvl="0" w:tplc="110AE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C63EA7"/>
    <w:multiLevelType w:val="hybridMultilevel"/>
    <w:tmpl w:val="962E1252"/>
    <w:lvl w:ilvl="0" w:tplc="07F216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B3246C"/>
    <w:multiLevelType w:val="hybridMultilevel"/>
    <w:tmpl w:val="E1D0A09A"/>
    <w:lvl w:ilvl="0" w:tplc="A786552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5D70E0"/>
    <w:multiLevelType w:val="hybridMultilevel"/>
    <w:tmpl w:val="725E15B8"/>
    <w:lvl w:ilvl="0" w:tplc="FAD6A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A7D2F"/>
    <w:multiLevelType w:val="hybridMultilevel"/>
    <w:tmpl w:val="A01CD5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E3C7484"/>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307254A8"/>
    <w:multiLevelType w:val="hybridMultilevel"/>
    <w:tmpl w:val="E952AF24"/>
    <w:lvl w:ilvl="0" w:tplc="F7B0CF3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2884EAE"/>
    <w:multiLevelType w:val="hybridMultilevel"/>
    <w:tmpl w:val="605C4486"/>
    <w:lvl w:ilvl="0" w:tplc="269CB8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7E7152"/>
    <w:multiLevelType w:val="hybridMultilevel"/>
    <w:tmpl w:val="77E056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FC4D88"/>
    <w:multiLevelType w:val="hybridMultilevel"/>
    <w:tmpl w:val="4010F946"/>
    <w:lvl w:ilvl="0" w:tplc="574EC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21B97"/>
    <w:multiLevelType w:val="hybridMultilevel"/>
    <w:tmpl w:val="D9785E24"/>
    <w:lvl w:ilvl="0" w:tplc="9BFEE6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2E6685"/>
    <w:multiLevelType w:val="hybridMultilevel"/>
    <w:tmpl w:val="EA22D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7626DD"/>
    <w:multiLevelType w:val="hybridMultilevel"/>
    <w:tmpl w:val="C302A136"/>
    <w:lvl w:ilvl="0" w:tplc="32AC68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2E44B0"/>
    <w:multiLevelType w:val="hybridMultilevel"/>
    <w:tmpl w:val="209C596E"/>
    <w:lvl w:ilvl="0" w:tplc="EE54CAF2">
      <w:start w:val="1"/>
      <w:numFmt w:val="decimal"/>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25" w15:restartNumberingAfterBreak="0">
    <w:nsid w:val="51F61510"/>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6" w15:restartNumberingAfterBreak="0">
    <w:nsid w:val="53CA27D6"/>
    <w:multiLevelType w:val="hybridMultilevel"/>
    <w:tmpl w:val="CFD6DE70"/>
    <w:lvl w:ilvl="0" w:tplc="0396F1A6">
      <w:start w:val="2"/>
      <w:numFmt w:val="lowerLett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186012"/>
    <w:multiLevelType w:val="hybridMultilevel"/>
    <w:tmpl w:val="EA22D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5A0E0EA1"/>
    <w:multiLevelType w:val="hybridMultilevel"/>
    <w:tmpl w:val="26BC62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C35A50"/>
    <w:multiLevelType w:val="hybridMultilevel"/>
    <w:tmpl w:val="037AB696"/>
    <w:lvl w:ilvl="0" w:tplc="6DFCCA4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2B2204D"/>
    <w:multiLevelType w:val="hybridMultilevel"/>
    <w:tmpl w:val="19CCFB5A"/>
    <w:lvl w:ilvl="0" w:tplc="F296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E53D18"/>
    <w:multiLevelType w:val="hybridMultilevel"/>
    <w:tmpl w:val="EB3624A0"/>
    <w:lvl w:ilvl="0" w:tplc="035C492E">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3451918"/>
    <w:multiLevelType w:val="hybridMultilevel"/>
    <w:tmpl w:val="4CEA242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012AA5"/>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5" w15:restartNumberingAfterBreak="0">
    <w:nsid w:val="658730CA"/>
    <w:multiLevelType w:val="hybridMultilevel"/>
    <w:tmpl w:val="36EEC854"/>
    <w:lvl w:ilvl="0" w:tplc="C784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A41512"/>
    <w:multiLevelType w:val="hybridMultilevel"/>
    <w:tmpl w:val="98E65322"/>
    <w:lvl w:ilvl="0" w:tplc="EB9C61E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AC06CA"/>
    <w:multiLevelType w:val="hybridMultilevel"/>
    <w:tmpl w:val="BE44D4C6"/>
    <w:lvl w:ilvl="0" w:tplc="9FE47C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D94AEB"/>
    <w:multiLevelType w:val="hybridMultilevel"/>
    <w:tmpl w:val="CC160572"/>
    <w:lvl w:ilvl="0" w:tplc="B4B052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24365"/>
    <w:multiLevelType w:val="hybridMultilevel"/>
    <w:tmpl w:val="A72E1EA8"/>
    <w:lvl w:ilvl="0" w:tplc="A2066C4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6986CA0"/>
    <w:multiLevelType w:val="hybridMultilevel"/>
    <w:tmpl w:val="27B01618"/>
    <w:lvl w:ilvl="0" w:tplc="BC86FE22">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758EA"/>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2" w15:restartNumberingAfterBreak="0">
    <w:nsid w:val="7B2E678B"/>
    <w:multiLevelType w:val="hybridMultilevel"/>
    <w:tmpl w:val="4C3CF940"/>
    <w:lvl w:ilvl="0" w:tplc="06D69C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2F1473"/>
    <w:multiLevelType w:val="hybridMultilevel"/>
    <w:tmpl w:val="64DCCDF6"/>
    <w:lvl w:ilvl="0" w:tplc="A2BCA32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756198"/>
    <w:multiLevelType w:val="hybridMultilevel"/>
    <w:tmpl w:val="579C60F8"/>
    <w:lvl w:ilvl="0" w:tplc="9378E17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F867999"/>
    <w:multiLevelType w:val="hybridMultilevel"/>
    <w:tmpl w:val="59267C44"/>
    <w:lvl w:ilvl="0" w:tplc="03A06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368950">
    <w:abstractNumId w:val="1"/>
  </w:num>
  <w:num w:numId="2" w16cid:durableId="1394431795">
    <w:abstractNumId w:val="45"/>
  </w:num>
  <w:num w:numId="3" w16cid:durableId="738526004">
    <w:abstractNumId w:val="11"/>
  </w:num>
  <w:num w:numId="4" w16cid:durableId="1621376640">
    <w:abstractNumId w:val="23"/>
  </w:num>
  <w:num w:numId="5" w16cid:durableId="872961972">
    <w:abstractNumId w:val="31"/>
  </w:num>
  <w:num w:numId="6" w16cid:durableId="1686440004">
    <w:abstractNumId w:val="2"/>
  </w:num>
  <w:num w:numId="7" w16cid:durableId="356663261">
    <w:abstractNumId w:val="13"/>
  </w:num>
  <w:num w:numId="8" w16cid:durableId="1009139476">
    <w:abstractNumId w:val="18"/>
  </w:num>
  <w:num w:numId="9" w16cid:durableId="1914317753">
    <w:abstractNumId w:val="38"/>
  </w:num>
  <w:num w:numId="10" w16cid:durableId="846749296">
    <w:abstractNumId w:val="12"/>
  </w:num>
  <w:num w:numId="11" w16cid:durableId="1851332461">
    <w:abstractNumId w:val="7"/>
  </w:num>
  <w:num w:numId="12" w16cid:durableId="1829396797">
    <w:abstractNumId w:val="35"/>
  </w:num>
  <w:num w:numId="13" w16cid:durableId="895776463">
    <w:abstractNumId w:val="26"/>
  </w:num>
  <w:num w:numId="14" w16cid:durableId="1741361579">
    <w:abstractNumId w:val="27"/>
  </w:num>
  <w:num w:numId="15" w16cid:durableId="528614807">
    <w:abstractNumId w:val="6"/>
  </w:num>
  <w:num w:numId="16" w16cid:durableId="1849784231">
    <w:abstractNumId w:val="36"/>
  </w:num>
  <w:num w:numId="17" w16cid:durableId="2114400218">
    <w:abstractNumId w:val="42"/>
  </w:num>
  <w:num w:numId="18" w16cid:durableId="1362317574">
    <w:abstractNumId w:val="40"/>
  </w:num>
  <w:num w:numId="19" w16cid:durableId="830020478">
    <w:abstractNumId w:val="37"/>
  </w:num>
  <w:num w:numId="20" w16cid:durableId="213279796">
    <w:abstractNumId w:val="14"/>
  </w:num>
  <w:num w:numId="21" w16cid:durableId="1353923302">
    <w:abstractNumId w:val="20"/>
  </w:num>
  <w:num w:numId="22" w16cid:durableId="1657806750">
    <w:abstractNumId w:val="28"/>
  </w:num>
  <w:num w:numId="23" w16cid:durableId="83379038">
    <w:abstractNumId w:val="9"/>
  </w:num>
  <w:num w:numId="24" w16cid:durableId="1103765080">
    <w:abstractNumId w:val="39"/>
  </w:num>
  <w:num w:numId="25" w16cid:durableId="1856534684">
    <w:abstractNumId w:val="3"/>
  </w:num>
  <w:num w:numId="26" w16cid:durableId="1599943397">
    <w:abstractNumId w:val="44"/>
  </w:num>
  <w:num w:numId="27" w16cid:durableId="51861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198701">
    <w:abstractNumId w:val="32"/>
  </w:num>
  <w:num w:numId="29" w16cid:durableId="840049305">
    <w:abstractNumId w:val="17"/>
  </w:num>
  <w:num w:numId="30" w16cid:durableId="2089302097">
    <w:abstractNumId w:val="5"/>
  </w:num>
  <w:num w:numId="31" w16cid:durableId="1195075957">
    <w:abstractNumId w:val="22"/>
  </w:num>
  <w:num w:numId="32" w16cid:durableId="1876262563">
    <w:abstractNumId w:val="29"/>
  </w:num>
  <w:num w:numId="33" w16cid:durableId="2026976667">
    <w:abstractNumId w:val="33"/>
  </w:num>
  <w:num w:numId="34" w16cid:durableId="693114163">
    <w:abstractNumId w:val="10"/>
  </w:num>
  <w:num w:numId="35" w16cid:durableId="662855618">
    <w:abstractNumId w:val="15"/>
  </w:num>
  <w:num w:numId="36" w16cid:durableId="1817911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3509">
    <w:abstractNumId w:val="8"/>
  </w:num>
  <w:num w:numId="38" w16cid:durableId="2079012313">
    <w:abstractNumId w:val="24"/>
  </w:num>
  <w:num w:numId="39" w16cid:durableId="1202593170">
    <w:abstractNumId w:val="25"/>
  </w:num>
  <w:num w:numId="40" w16cid:durableId="1520194800">
    <w:abstractNumId w:val="41"/>
  </w:num>
  <w:num w:numId="41" w16cid:durableId="1078868100">
    <w:abstractNumId w:val="34"/>
  </w:num>
  <w:num w:numId="42" w16cid:durableId="920799599">
    <w:abstractNumId w:val="16"/>
  </w:num>
  <w:num w:numId="43" w16cid:durableId="11938120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7958904">
    <w:abstractNumId w:val="21"/>
  </w:num>
  <w:num w:numId="45" w16cid:durableId="681319097">
    <w:abstractNumId w:val="4"/>
  </w:num>
  <w:num w:numId="46" w16cid:durableId="1715158311">
    <w:abstractNumId w:val="30"/>
  </w:num>
  <w:num w:numId="47" w16cid:durableId="1643460839">
    <w:abstractNumId w:val="19"/>
  </w:num>
  <w:num w:numId="48" w16cid:durableId="12879288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B6"/>
    <w:rsid w:val="00000793"/>
    <w:rsid w:val="00000821"/>
    <w:rsid w:val="0000114F"/>
    <w:rsid w:val="00001D73"/>
    <w:rsid w:val="00002651"/>
    <w:rsid w:val="00004033"/>
    <w:rsid w:val="00005D06"/>
    <w:rsid w:val="000114ED"/>
    <w:rsid w:val="00013D70"/>
    <w:rsid w:val="0001406F"/>
    <w:rsid w:val="000143DF"/>
    <w:rsid w:val="00015351"/>
    <w:rsid w:val="00016E4B"/>
    <w:rsid w:val="000206C3"/>
    <w:rsid w:val="00020E7C"/>
    <w:rsid w:val="00020F03"/>
    <w:rsid w:val="00022DDD"/>
    <w:rsid w:val="00024734"/>
    <w:rsid w:val="00030986"/>
    <w:rsid w:val="0003166B"/>
    <w:rsid w:val="0003418E"/>
    <w:rsid w:val="000375C9"/>
    <w:rsid w:val="000414A8"/>
    <w:rsid w:val="00041958"/>
    <w:rsid w:val="00041CED"/>
    <w:rsid w:val="00043868"/>
    <w:rsid w:val="00044A59"/>
    <w:rsid w:val="00047AB7"/>
    <w:rsid w:val="00047B5D"/>
    <w:rsid w:val="00050134"/>
    <w:rsid w:val="00050563"/>
    <w:rsid w:val="00050C50"/>
    <w:rsid w:val="00054AE6"/>
    <w:rsid w:val="00054B21"/>
    <w:rsid w:val="000568C2"/>
    <w:rsid w:val="000651CC"/>
    <w:rsid w:val="000657D7"/>
    <w:rsid w:val="00080A65"/>
    <w:rsid w:val="000816C2"/>
    <w:rsid w:val="00083918"/>
    <w:rsid w:val="00085DC8"/>
    <w:rsid w:val="0008650E"/>
    <w:rsid w:val="0009281F"/>
    <w:rsid w:val="00094E0B"/>
    <w:rsid w:val="000955F6"/>
    <w:rsid w:val="0009602E"/>
    <w:rsid w:val="00096144"/>
    <w:rsid w:val="000A0B56"/>
    <w:rsid w:val="000A15FC"/>
    <w:rsid w:val="000A2AF5"/>
    <w:rsid w:val="000A2DD0"/>
    <w:rsid w:val="000A4458"/>
    <w:rsid w:val="000B0B97"/>
    <w:rsid w:val="000B1C7E"/>
    <w:rsid w:val="000B391C"/>
    <w:rsid w:val="000B3EAD"/>
    <w:rsid w:val="000C124A"/>
    <w:rsid w:val="000C1898"/>
    <w:rsid w:val="000C4F84"/>
    <w:rsid w:val="000D2294"/>
    <w:rsid w:val="000D3651"/>
    <w:rsid w:val="000D5721"/>
    <w:rsid w:val="000D5FDC"/>
    <w:rsid w:val="000D71D5"/>
    <w:rsid w:val="000D796A"/>
    <w:rsid w:val="000E0E4F"/>
    <w:rsid w:val="000E3177"/>
    <w:rsid w:val="000E3436"/>
    <w:rsid w:val="000E37D8"/>
    <w:rsid w:val="000E5CC2"/>
    <w:rsid w:val="000E7FEC"/>
    <w:rsid w:val="000F0793"/>
    <w:rsid w:val="000F274E"/>
    <w:rsid w:val="000F27EC"/>
    <w:rsid w:val="00100C68"/>
    <w:rsid w:val="00101877"/>
    <w:rsid w:val="0010278B"/>
    <w:rsid w:val="00102BAB"/>
    <w:rsid w:val="00103366"/>
    <w:rsid w:val="00104E6C"/>
    <w:rsid w:val="001068D4"/>
    <w:rsid w:val="001111DA"/>
    <w:rsid w:val="001124E4"/>
    <w:rsid w:val="001141CB"/>
    <w:rsid w:val="00115829"/>
    <w:rsid w:val="00116754"/>
    <w:rsid w:val="00121870"/>
    <w:rsid w:val="00122829"/>
    <w:rsid w:val="0012776E"/>
    <w:rsid w:val="00127EE0"/>
    <w:rsid w:val="00132909"/>
    <w:rsid w:val="001363B6"/>
    <w:rsid w:val="001450F3"/>
    <w:rsid w:val="00145738"/>
    <w:rsid w:val="00145E13"/>
    <w:rsid w:val="00146851"/>
    <w:rsid w:val="00147115"/>
    <w:rsid w:val="001471F6"/>
    <w:rsid w:val="001501D6"/>
    <w:rsid w:val="001507CF"/>
    <w:rsid w:val="00152B7D"/>
    <w:rsid w:val="0015361C"/>
    <w:rsid w:val="0015538C"/>
    <w:rsid w:val="00156CFA"/>
    <w:rsid w:val="00160A94"/>
    <w:rsid w:val="001613D5"/>
    <w:rsid w:val="00161968"/>
    <w:rsid w:val="00162AFF"/>
    <w:rsid w:val="001640BD"/>
    <w:rsid w:val="00164F70"/>
    <w:rsid w:val="00165BE6"/>
    <w:rsid w:val="001701CC"/>
    <w:rsid w:val="00170844"/>
    <w:rsid w:val="00172269"/>
    <w:rsid w:val="00173DED"/>
    <w:rsid w:val="0017463D"/>
    <w:rsid w:val="00174E53"/>
    <w:rsid w:val="0017629A"/>
    <w:rsid w:val="00181070"/>
    <w:rsid w:val="001830EC"/>
    <w:rsid w:val="00183E72"/>
    <w:rsid w:val="0018493B"/>
    <w:rsid w:val="00194DE7"/>
    <w:rsid w:val="00194E55"/>
    <w:rsid w:val="001960A3"/>
    <w:rsid w:val="0019656A"/>
    <w:rsid w:val="001A1C25"/>
    <w:rsid w:val="001A2FA1"/>
    <w:rsid w:val="001A309C"/>
    <w:rsid w:val="001A35DF"/>
    <w:rsid w:val="001A4215"/>
    <w:rsid w:val="001A565E"/>
    <w:rsid w:val="001A5959"/>
    <w:rsid w:val="001B1E9A"/>
    <w:rsid w:val="001B2E81"/>
    <w:rsid w:val="001B4D44"/>
    <w:rsid w:val="001B5B5C"/>
    <w:rsid w:val="001B635A"/>
    <w:rsid w:val="001B6610"/>
    <w:rsid w:val="001C3960"/>
    <w:rsid w:val="001C44AC"/>
    <w:rsid w:val="001C6D6E"/>
    <w:rsid w:val="001D0B42"/>
    <w:rsid w:val="001D2F34"/>
    <w:rsid w:val="001D4AE4"/>
    <w:rsid w:val="001D4C4A"/>
    <w:rsid w:val="001D546D"/>
    <w:rsid w:val="001D684A"/>
    <w:rsid w:val="001E114D"/>
    <w:rsid w:val="001E1C94"/>
    <w:rsid w:val="001E1EBB"/>
    <w:rsid w:val="001E5869"/>
    <w:rsid w:val="001E7F07"/>
    <w:rsid w:val="001F137E"/>
    <w:rsid w:val="001F78B5"/>
    <w:rsid w:val="001F7992"/>
    <w:rsid w:val="001F7DF8"/>
    <w:rsid w:val="00200851"/>
    <w:rsid w:val="002046EB"/>
    <w:rsid w:val="0020476F"/>
    <w:rsid w:val="002073D0"/>
    <w:rsid w:val="002076BB"/>
    <w:rsid w:val="00214780"/>
    <w:rsid w:val="0021672E"/>
    <w:rsid w:val="00216A1B"/>
    <w:rsid w:val="0021791C"/>
    <w:rsid w:val="0022012A"/>
    <w:rsid w:val="002214DB"/>
    <w:rsid w:val="00223BD8"/>
    <w:rsid w:val="00225A9A"/>
    <w:rsid w:val="00225DB7"/>
    <w:rsid w:val="00227418"/>
    <w:rsid w:val="00230313"/>
    <w:rsid w:val="00231954"/>
    <w:rsid w:val="00232419"/>
    <w:rsid w:val="00232D3C"/>
    <w:rsid w:val="00232E2B"/>
    <w:rsid w:val="00237626"/>
    <w:rsid w:val="00243A28"/>
    <w:rsid w:val="00246CB3"/>
    <w:rsid w:val="00246E61"/>
    <w:rsid w:val="00251CBF"/>
    <w:rsid w:val="00254C97"/>
    <w:rsid w:val="00255DF2"/>
    <w:rsid w:val="00256C28"/>
    <w:rsid w:val="00261DC1"/>
    <w:rsid w:val="0026277C"/>
    <w:rsid w:val="0026425F"/>
    <w:rsid w:val="002670F9"/>
    <w:rsid w:val="002679C8"/>
    <w:rsid w:val="002748AA"/>
    <w:rsid w:val="00275526"/>
    <w:rsid w:val="00275998"/>
    <w:rsid w:val="0027725D"/>
    <w:rsid w:val="00282561"/>
    <w:rsid w:val="00284EFC"/>
    <w:rsid w:val="002850DC"/>
    <w:rsid w:val="0028593F"/>
    <w:rsid w:val="00285F26"/>
    <w:rsid w:val="00290C82"/>
    <w:rsid w:val="00290E1A"/>
    <w:rsid w:val="00292960"/>
    <w:rsid w:val="00293ED9"/>
    <w:rsid w:val="0029482F"/>
    <w:rsid w:val="002958C3"/>
    <w:rsid w:val="00295FD6"/>
    <w:rsid w:val="002A06ED"/>
    <w:rsid w:val="002A1ADC"/>
    <w:rsid w:val="002A3016"/>
    <w:rsid w:val="002A4AB6"/>
    <w:rsid w:val="002A519C"/>
    <w:rsid w:val="002A5580"/>
    <w:rsid w:val="002A5581"/>
    <w:rsid w:val="002B4134"/>
    <w:rsid w:val="002B6E8C"/>
    <w:rsid w:val="002C13F3"/>
    <w:rsid w:val="002C79A6"/>
    <w:rsid w:val="002D3A26"/>
    <w:rsid w:val="002D5296"/>
    <w:rsid w:val="002D7E85"/>
    <w:rsid w:val="002E4A95"/>
    <w:rsid w:val="002E6E4C"/>
    <w:rsid w:val="002F0401"/>
    <w:rsid w:val="002F1A3A"/>
    <w:rsid w:val="002F3F8F"/>
    <w:rsid w:val="002F7A10"/>
    <w:rsid w:val="002F7EAC"/>
    <w:rsid w:val="0030295E"/>
    <w:rsid w:val="00303143"/>
    <w:rsid w:val="003042D3"/>
    <w:rsid w:val="00304F24"/>
    <w:rsid w:val="0030600D"/>
    <w:rsid w:val="00310374"/>
    <w:rsid w:val="00313ED3"/>
    <w:rsid w:val="00314F9C"/>
    <w:rsid w:val="00316782"/>
    <w:rsid w:val="00317750"/>
    <w:rsid w:val="003224C3"/>
    <w:rsid w:val="00322EF5"/>
    <w:rsid w:val="00323CD9"/>
    <w:rsid w:val="00330079"/>
    <w:rsid w:val="00333742"/>
    <w:rsid w:val="00334497"/>
    <w:rsid w:val="003348FB"/>
    <w:rsid w:val="0033734D"/>
    <w:rsid w:val="00341670"/>
    <w:rsid w:val="00341C67"/>
    <w:rsid w:val="0034239D"/>
    <w:rsid w:val="003423F4"/>
    <w:rsid w:val="00345C34"/>
    <w:rsid w:val="00346AA4"/>
    <w:rsid w:val="00346C8D"/>
    <w:rsid w:val="00350108"/>
    <w:rsid w:val="0035046E"/>
    <w:rsid w:val="00350532"/>
    <w:rsid w:val="00350589"/>
    <w:rsid w:val="00352B8A"/>
    <w:rsid w:val="00352B9B"/>
    <w:rsid w:val="00352E18"/>
    <w:rsid w:val="003530B6"/>
    <w:rsid w:val="00353F9A"/>
    <w:rsid w:val="00357083"/>
    <w:rsid w:val="003579C2"/>
    <w:rsid w:val="003606E6"/>
    <w:rsid w:val="00363D89"/>
    <w:rsid w:val="003655AF"/>
    <w:rsid w:val="003667E9"/>
    <w:rsid w:val="003669B3"/>
    <w:rsid w:val="00370DB5"/>
    <w:rsid w:val="003721AF"/>
    <w:rsid w:val="00373B75"/>
    <w:rsid w:val="00375627"/>
    <w:rsid w:val="003773E4"/>
    <w:rsid w:val="00384205"/>
    <w:rsid w:val="00384CDC"/>
    <w:rsid w:val="00387EF7"/>
    <w:rsid w:val="00390B82"/>
    <w:rsid w:val="00390D03"/>
    <w:rsid w:val="003956DC"/>
    <w:rsid w:val="00396EA6"/>
    <w:rsid w:val="003A18A6"/>
    <w:rsid w:val="003A1A40"/>
    <w:rsid w:val="003A243B"/>
    <w:rsid w:val="003A4815"/>
    <w:rsid w:val="003A6056"/>
    <w:rsid w:val="003A61F8"/>
    <w:rsid w:val="003B5695"/>
    <w:rsid w:val="003C0C5F"/>
    <w:rsid w:val="003C1113"/>
    <w:rsid w:val="003C3C65"/>
    <w:rsid w:val="003C5D01"/>
    <w:rsid w:val="003D1961"/>
    <w:rsid w:val="003D1CB7"/>
    <w:rsid w:val="003D4825"/>
    <w:rsid w:val="003D4F2F"/>
    <w:rsid w:val="003D60CB"/>
    <w:rsid w:val="003D764D"/>
    <w:rsid w:val="003D7C7B"/>
    <w:rsid w:val="003E15ED"/>
    <w:rsid w:val="003E1F86"/>
    <w:rsid w:val="003E267D"/>
    <w:rsid w:val="003E34BC"/>
    <w:rsid w:val="003E3932"/>
    <w:rsid w:val="003E55D9"/>
    <w:rsid w:val="003E6053"/>
    <w:rsid w:val="003E6C0D"/>
    <w:rsid w:val="003F01D3"/>
    <w:rsid w:val="003F0BE0"/>
    <w:rsid w:val="003F0EA1"/>
    <w:rsid w:val="003F2BEF"/>
    <w:rsid w:val="003F2F22"/>
    <w:rsid w:val="003F4702"/>
    <w:rsid w:val="003F494C"/>
    <w:rsid w:val="003F55C9"/>
    <w:rsid w:val="003F65E5"/>
    <w:rsid w:val="003F66AB"/>
    <w:rsid w:val="003F703B"/>
    <w:rsid w:val="004030B5"/>
    <w:rsid w:val="0040319D"/>
    <w:rsid w:val="00403759"/>
    <w:rsid w:val="00404FEC"/>
    <w:rsid w:val="00405B26"/>
    <w:rsid w:val="00406CCB"/>
    <w:rsid w:val="0040724A"/>
    <w:rsid w:val="004152B5"/>
    <w:rsid w:val="00416F54"/>
    <w:rsid w:val="00421DC2"/>
    <w:rsid w:val="00422B53"/>
    <w:rsid w:val="0042623E"/>
    <w:rsid w:val="004277A2"/>
    <w:rsid w:val="00427B50"/>
    <w:rsid w:val="00427DF5"/>
    <w:rsid w:val="00432E04"/>
    <w:rsid w:val="00432EA9"/>
    <w:rsid w:val="00441E17"/>
    <w:rsid w:val="004437EF"/>
    <w:rsid w:val="0044390C"/>
    <w:rsid w:val="00443B4A"/>
    <w:rsid w:val="0044522E"/>
    <w:rsid w:val="00445F96"/>
    <w:rsid w:val="004536FA"/>
    <w:rsid w:val="00462605"/>
    <w:rsid w:val="00467BF9"/>
    <w:rsid w:val="004702A5"/>
    <w:rsid w:val="00472B39"/>
    <w:rsid w:val="004735A7"/>
    <w:rsid w:val="00476E64"/>
    <w:rsid w:val="00477653"/>
    <w:rsid w:val="00477BC2"/>
    <w:rsid w:val="00481979"/>
    <w:rsid w:val="004824CE"/>
    <w:rsid w:val="00482565"/>
    <w:rsid w:val="00484997"/>
    <w:rsid w:val="00485765"/>
    <w:rsid w:val="00486348"/>
    <w:rsid w:val="0049276F"/>
    <w:rsid w:val="0049375A"/>
    <w:rsid w:val="00494E53"/>
    <w:rsid w:val="00494FFB"/>
    <w:rsid w:val="00497836"/>
    <w:rsid w:val="00497871"/>
    <w:rsid w:val="004A3BD3"/>
    <w:rsid w:val="004B16D5"/>
    <w:rsid w:val="004B367B"/>
    <w:rsid w:val="004B7B01"/>
    <w:rsid w:val="004C18EC"/>
    <w:rsid w:val="004C2B57"/>
    <w:rsid w:val="004C2D71"/>
    <w:rsid w:val="004C50F4"/>
    <w:rsid w:val="004C528A"/>
    <w:rsid w:val="004C5A00"/>
    <w:rsid w:val="004C5BAF"/>
    <w:rsid w:val="004C6284"/>
    <w:rsid w:val="004D1466"/>
    <w:rsid w:val="004D1C95"/>
    <w:rsid w:val="004D293D"/>
    <w:rsid w:val="004D2A62"/>
    <w:rsid w:val="004D3502"/>
    <w:rsid w:val="004D4925"/>
    <w:rsid w:val="004D78BA"/>
    <w:rsid w:val="004E059A"/>
    <w:rsid w:val="004E2DCB"/>
    <w:rsid w:val="004E5056"/>
    <w:rsid w:val="004E5066"/>
    <w:rsid w:val="004E708F"/>
    <w:rsid w:val="004E759E"/>
    <w:rsid w:val="004F4639"/>
    <w:rsid w:val="00500E57"/>
    <w:rsid w:val="005016D5"/>
    <w:rsid w:val="00501F2A"/>
    <w:rsid w:val="00501F74"/>
    <w:rsid w:val="005021F4"/>
    <w:rsid w:val="0050595F"/>
    <w:rsid w:val="00510F38"/>
    <w:rsid w:val="00511C71"/>
    <w:rsid w:val="00511C86"/>
    <w:rsid w:val="005141E3"/>
    <w:rsid w:val="00516784"/>
    <w:rsid w:val="00517EAC"/>
    <w:rsid w:val="00521D55"/>
    <w:rsid w:val="0052494C"/>
    <w:rsid w:val="00524985"/>
    <w:rsid w:val="00525AD3"/>
    <w:rsid w:val="00526919"/>
    <w:rsid w:val="00526E6E"/>
    <w:rsid w:val="00527C3B"/>
    <w:rsid w:val="005329D2"/>
    <w:rsid w:val="00532C4F"/>
    <w:rsid w:val="00534827"/>
    <w:rsid w:val="00536B0B"/>
    <w:rsid w:val="00536E9B"/>
    <w:rsid w:val="00536F3B"/>
    <w:rsid w:val="00536FAC"/>
    <w:rsid w:val="00542F5B"/>
    <w:rsid w:val="005454C2"/>
    <w:rsid w:val="00545552"/>
    <w:rsid w:val="00545EEE"/>
    <w:rsid w:val="0054612F"/>
    <w:rsid w:val="0054753C"/>
    <w:rsid w:val="00553F34"/>
    <w:rsid w:val="00555857"/>
    <w:rsid w:val="005568FA"/>
    <w:rsid w:val="005604B6"/>
    <w:rsid w:val="00562820"/>
    <w:rsid w:val="00564591"/>
    <w:rsid w:val="005661A6"/>
    <w:rsid w:val="0056782E"/>
    <w:rsid w:val="005739FB"/>
    <w:rsid w:val="005809B0"/>
    <w:rsid w:val="00582F3F"/>
    <w:rsid w:val="005847A8"/>
    <w:rsid w:val="00584E21"/>
    <w:rsid w:val="00585839"/>
    <w:rsid w:val="005877B2"/>
    <w:rsid w:val="005924A4"/>
    <w:rsid w:val="00592B69"/>
    <w:rsid w:val="005A1A25"/>
    <w:rsid w:val="005A2C04"/>
    <w:rsid w:val="005A57E4"/>
    <w:rsid w:val="005B1E9B"/>
    <w:rsid w:val="005B2629"/>
    <w:rsid w:val="005B2FFA"/>
    <w:rsid w:val="005B5712"/>
    <w:rsid w:val="005C0434"/>
    <w:rsid w:val="005C1F31"/>
    <w:rsid w:val="005C3A4D"/>
    <w:rsid w:val="005C77DF"/>
    <w:rsid w:val="005D3396"/>
    <w:rsid w:val="005D44AD"/>
    <w:rsid w:val="005E0080"/>
    <w:rsid w:val="005E52C1"/>
    <w:rsid w:val="005F3FD8"/>
    <w:rsid w:val="005F6315"/>
    <w:rsid w:val="005F7516"/>
    <w:rsid w:val="005F7E32"/>
    <w:rsid w:val="00603147"/>
    <w:rsid w:val="006034CC"/>
    <w:rsid w:val="00606D00"/>
    <w:rsid w:val="006079B1"/>
    <w:rsid w:val="00607B3C"/>
    <w:rsid w:val="00607DFD"/>
    <w:rsid w:val="00611EE6"/>
    <w:rsid w:val="006124A7"/>
    <w:rsid w:val="00613C60"/>
    <w:rsid w:val="00615D10"/>
    <w:rsid w:val="006165E1"/>
    <w:rsid w:val="00621CBF"/>
    <w:rsid w:val="00622A86"/>
    <w:rsid w:val="0062707B"/>
    <w:rsid w:val="00627445"/>
    <w:rsid w:val="0063091C"/>
    <w:rsid w:val="00631FD9"/>
    <w:rsid w:val="006326A6"/>
    <w:rsid w:val="006329BC"/>
    <w:rsid w:val="00632F83"/>
    <w:rsid w:val="00633447"/>
    <w:rsid w:val="00634576"/>
    <w:rsid w:val="00641CCD"/>
    <w:rsid w:val="00645B99"/>
    <w:rsid w:val="00651EF7"/>
    <w:rsid w:val="00655692"/>
    <w:rsid w:val="00656288"/>
    <w:rsid w:val="006564B6"/>
    <w:rsid w:val="0065695B"/>
    <w:rsid w:val="00656B10"/>
    <w:rsid w:val="006611D7"/>
    <w:rsid w:val="00663437"/>
    <w:rsid w:val="006641F8"/>
    <w:rsid w:val="00665584"/>
    <w:rsid w:val="0066709B"/>
    <w:rsid w:val="006708BB"/>
    <w:rsid w:val="00672743"/>
    <w:rsid w:val="00675CD9"/>
    <w:rsid w:val="006805E4"/>
    <w:rsid w:val="00681E21"/>
    <w:rsid w:val="006841A8"/>
    <w:rsid w:val="00685CCC"/>
    <w:rsid w:val="006866AA"/>
    <w:rsid w:val="00687034"/>
    <w:rsid w:val="006931B5"/>
    <w:rsid w:val="00695077"/>
    <w:rsid w:val="006960C8"/>
    <w:rsid w:val="006976B1"/>
    <w:rsid w:val="006A19A1"/>
    <w:rsid w:val="006A563E"/>
    <w:rsid w:val="006A5EFC"/>
    <w:rsid w:val="006B08B9"/>
    <w:rsid w:val="006B143C"/>
    <w:rsid w:val="006B1777"/>
    <w:rsid w:val="006B3492"/>
    <w:rsid w:val="006B4FF0"/>
    <w:rsid w:val="006C4114"/>
    <w:rsid w:val="006C4504"/>
    <w:rsid w:val="006C4553"/>
    <w:rsid w:val="006D1939"/>
    <w:rsid w:val="006D3389"/>
    <w:rsid w:val="006E2902"/>
    <w:rsid w:val="006E3305"/>
    <w:rsid w:val="006E7ABE"/>
    <w:rsid w:val="006F019A"/>
    <w:rsid w:val="006F14C0"/>
    <w:rsid w:val="006F23A5"/>
    <w:rsid w:val="006F2701"/>
    <w:rsid w:val="006F3DA0"/>
    <w:rsid w:val="006F7E27"/>
    <w:rsid w:val="0070003B"/>
    <w:rsid w:val="0070061A"/>
    <w:rsid w:val="00701825"/>
    <w:rsid w:val="00702569"/>
    <w:rsid w:val="00706B7E"/>
    <w:rsid w:val="00707464"/>
    <w:rsid w:val="007103E9"/>
    <w:rsid w:val="00710DBA"/>
    <w:rsid w:val="007116CE"/>
    <w:rsid w:val="007213E7"/>
    <w:rsid w:val="00721B5B"/>
    <w:rsid w:val="00722D2F"/>
    <w:rsid w:val="00726396"/>
    <w:rsid w:val="0073090D"/>
    <w:rsid w:val="00735719"/>
    <w:rsid w:val="00735BAD"/>
    <w:rsid w:val="007360B1"/>
    <w:rsid w:val="00737305"/>
    <w:rsid w:val="007375B5"/>
    <w:rsid w:val="00740A34"/>
    <w:rsid w:val="0074419D"/>
    <w:rsid w:val="00747611"/>
    <w:rsid w:val="00747764"/>
    <w:rsid w:val="00750B90"/>
    <w:rsid w:val="00751DC9"/>
    <w:rsid w:val="00754A18"/>
    <w:rsid w:val="00756814"/>
    <w:rsid w:val="00756BB9"/>
    <w:rsid w:val="00760407"/>
    <w:rsid w:val="0076543A"/>
    <w:rsid w:val="00767954"/>
    <w:rsid w:val="0077077D"/>
    <w:rsid w:val="00770AC7"/>
    <w:rsid w:val="007721F0"/>
    <w:rsid w:val="00775349"/>
    <w:rsid w:val="0077602E"/>
    <w:rsid w:val="00776DC7"/>
    <w:rsid w:val="00777C58"/>
    <w:rsid w:val="00777F72"/>
    <w:rsid w:val="0078126E"/>
    <w:rsid w:val="00781A5E"/>
    <w:rsid w:val="007832E0"/>
    <w:rsid w:val="007900AB"/>
    <w:rsid w:val="00794858"/>
    <w:rsid w:val="00794A2E"/>
    <w:rsid w:val="007950B7"/>
    <w:rsid w:val="00795BC0"/>
    <w:rsid w:val="007A3BAF"/>
    <w:rsid w:val="007A3EA6"/>
    <w:rsid w:val="007A507B"/>
    <w:rsid w:val="007B0F06"/>
    <w:rsid w:val="007B1276"/>
    <w:rsid w:val="007B149B"/>
    <w:rsid w:val="007B5CEE"/>
    <w:rsid w:val="007B6E58"/>
    <w:rsid w:val="007C2D56"/>
    <w:rsid w:val="007C3132"/>
    <w:rsid w:val="007C31BC"/>
    <w:rsid w:val="007C413D"/>
    <w:rsid w:val="007C4C04"/>
    <w:rsid w:val="007C4D61"/>
    <w:rsid w:val="007C6DD9"/>
    <w:rsid w:val="007D0379"/>
    <w:rsid w:val="007D076E"/>
    <w:rsid w:val="007D19B8"/>
    <w:rsid w:val="007D4F05"/>
    <w:rsid w:val="007D52DE"/>
    <w:rsid w:val="007D5BD8"/>
    <w:rsid w:val="007D6B40"/>
    <w:rsid w:val="007E0096"/>
    <w:rsid w:val="007E0FC6"/>
    <w:rsid w:val="007E251F"/>
    <w:rsid w:val="007E47FD"/>
    <w:rsid w:val="007E558A"/>
    <w:rsid w:val="007E60AF"/>
    <w:rsid w:val="007E7444"/>
    <w:rsid w:val="007F015C"/>
    <w:rsid w:val="007F391D"/>
    <w:rsid w:val="007F5CC2"/>
    <w:rsid w:val="007F7655"/>
    <w:rsid w:val="00800544"/>
    <w:rsid w:val="00807463"/>
    <w:rsid w:val="00810C59"/>
    <w:rsid w:val="00810C9C"/>
    <w:rsid w:val="008164EF"/>
    <w:rsid w:val="008223AA"/>
    <w:rsid w:val="0082307B"/>
    <w:rsid w:val="00823A91"/>
    <w:rsid w:val="00823EF7"/>
    <w:rsid w:val="00825411"/>
    <w:rsid w:val="0082788D"/>
    <w:rsid w:val="00827D4D"/>
    <w:rsid w:val="008346F0"/>
    <w:rsid w:val="00835441"/>
    <w:rsid w:val="00837C9B"/>
    <w:rsid w:val="00840549"/>
    <w:rsid w:val="0084423C"/>
    <w:rsid w:val="00846ADB"/>
    <w:rsid w:val="00846FB6"/>
    <w:rsid w:val="00855D46"/>
    <w:rsid w:val="0085713A"/>
    <w:rsid w:val="0086177E"/>
    <w:rsid w:val="00862C10"/>
    <w:rsid w:val="008635D6"/>
    <w:rsid w:val="008654BA"/>
    <w:rsid w:val="00865FFB"/>
    <w:rsid w:val="0087228D"/>
    <w:rsid w:val="008744BE"/>
    <w:rsid w:val="00875FC8"/>
    <w:rsid w:val="00881424"/>
    <w:rsid w:val="00882837"/>
    <w:rsid w:val="00884F37"/>
    <w:rsid w:val="008859F9"/>
    <w:rsid w:val="00885C0A"/>
    <w:rsid w:val="00886E35"/>
    <w:rsid w:val="008877F0"/>
    <w:rsid w:val="00894098"/>
    <w:rsid w:val="00895AE0"/>
    <w:rsid w:val="008977E9"/>
    <w:rsid w:val="008A093A"/>
    <w:rsid w:val="008A1A94"/>
    <w:rsid w:val="008A40C2"/>
    <w:rsid w:val="008B0283"/>
    <w:rsid w:val="008B2C59"/>
    <w:rsid w:val="008B3505"/>
    <w:rsid w:val="008B4435"/>
    <w:rsid w:val="008B7BAE"/>
    <w:rsid w:val="008C19A8"/>
    <w:rsid w:val="008C23FC"/>
    <w:rsid w:val="008C5464"/>
    <w:rsid w:val="008C7646"/>
    <w:rsid w:val="008D11A7"/>
    <w:rsid w:val="008D13B2"/>
    <w:rsid w:val="008D184D"/>
    <w:rsid w:val="008D1C39"/>
    <w:rsid w:val="008D203A"/>
    <w:rsid w:val="008D2DB3"/>
    <w:rsid w:val="008D3419"/>
    <w:rsid w:val="008D6C9E"/>
    <w:rsid w:val="008E0D9C"/>
    <w:rsid w:val="008E3209"/>
    <w:rsid w:val="008E3266"/>
    <w:rsid w:val="008E35C3"/>
    <w:rsid w:val="008E3ACC"/>
    <w:rsid w:val="008F2371"/>
    <w:rsid w:val="008F30D3"/>
    <w:rsid w:val="008F6AE6"/>
    <w:rsid w:val="0090333D"/>
    <w:rsid w:val="009044C8"/>
    <w:rsid w:val="00904A95"/>
    <w:rsid w:val="0090727A"/>
    <w:rsid w:val="0091047C"/>
    <w:rsid w:val="00911642"/>
    <w:rsid w:val="00911821"/>
    <w:rsid w:val="00911935"/>
    <w:rsid w:val="0091358C"/>
    <w:rsid w:val="00915200"/>
    <w:rsid w:val="00916DC4"/>
    <w:rsid w:val="00917301"/>
    <w:rsid w:val="00920347"/>
    <w:rsid w:val="009252B6"/>
    <w:rsid w:val="00927369"/>
    <w:rsid w:val="009300D5"/>
    <w:rsid w:val="009345B1"/>
    <w:rsid w:val="00935DF4"/>
    <w:rsid w:val="00937015"/>
    <w:rsid w:val="00942335"/>
    <w:rsid w:val="0094280B"/>
    <w:rsid w:val="009466E3"/>
    <w:rsid w:val="00946C28"/>
    <w:rsid w:val="00946FB1"/>
    <w:rsid w:val="009516FD"/>
    <w:rsid w:val="00951836"/>
    <w:rsid w:val="00951F5A"/>
    <w:rsid w:val="009566F6"/>
    <w:rsid w:val="009605E9"/>
    <w:rsid w:val="00961350"/>
    <w:rsid w:val="0096149C"/>
    <w:rsid w:val="009618D8"/>
    <w:rsid w:val="0096278F"/>
    <w:rsid w:val="00963B5A"/>
    <w:rsid w:val="00963BE5"/>
    <w:rsid w:val="00971056"/>
    <w:rsid w:val="009731E8"/>
    <w:rsid w:val="0097590A"/>
    <w:rsid w:val="00980F35"/>
    <w:rsid w:val="0098304B"/>
    <w:rsid w:val="00984768"/>
    <w:rsid w:val="0098556F"/>
    <w:rsid w:val="00985968"/>
    <w:rsid w:val="00985E0B"/>
    <w:rsid w:val="009907B8"/>
    <w:rsid w:val="00993A3D"/>
    <w:rsid w:val="009A086C"/>
    <w:rsid w:val="009A0F54"/>
    <w:rsid w:val="009A2CCF"/>
    <w:rsid w:val="009A305E"/>
    <w:rsid w:val="009A5014"/>
    <w:rsid w:val="009B32EF"/>
    <w:rsid w:val="009B4BE0"/>
    <w:rsid w:val="009B564F"/>
    <w:rsid w:val="009B6132"/>
    <w:rsid w:val="009C02CF"/>
    <w:rsid w:val="009C60B4"/>
    <w:rsid w:val="009D3B69"/>
    <w:rsid w:val="009D5BCD"/>
    <w:rsid w:val="009D6F68"/>
    <w:rsid w:val="009D7E7A"/>
    <w:rsid w:val="009E1A18"/>
    <w:rsid w:val="009E26F0"/>
    <w:rsid w:val="009E7421"/>
    <w:rsid w:val="009F3FD8"/>
    <w:rsid w:val="009F627D"/>
    <w:rsid w:val="009F73B9"/>
    <w:rsid w:val="00A00223"/>
    <w:rsid w:val="00A023AF"/>
    <w:rsid w:val="00A05A58"/>
    <w:rsid w:val="00A06D9E"/>
    <w:rsid w:val="00A06E4B"/>
    <w:rsid w:val="00A10A2B"/>
    <w:rsid w:val="00A10EF7"/>
    <w:rsid w:val="00A13458"/>
    <w:rsid w:val="00A1592B"/>
    <w:rsid w:val="00A1641D"/>
    <w:rsid w:val="00A16BE0"/>
    <w:rsid w:val="00A17B26"/>
    <w:rsid w:val="00A2039D"/>
    <w:rsid w:val="00A21894"/>
    <w:rsid w:val="00A21E97"/>
    <w:rsid w:val="00A240BA"/>
    <w:rsid w:val="00A24AFF"/>
    <w:rsid w:val="00A259A4"/>
    <w:rsid w:val="00A26032"/>
    <w:rsid w:val="00A26651"/>
    <w:rsid w:val="00A27850"/>
    <w:rsid w:val="00A3265F"/>
    <w:rsid w:val="00A335B5"/>
    <w:rsid w:val="00A341DB"/>
    <w:rsid w:val="00A35549"/>
    <w:rsid w:val="00A358FA"/>
    <w:rsid w:val="00A371A9"/>
    <w:rsid w:val="00A37268"/>
    <w:rsid w:val="00A376C4"/>
    <w:rsid w:val="00A445FC"/>
    <w:rsid w:val="00A44B63"/>
    <w:rsid w:val="00A4792F"/>
    <w:rsid w:val="00A52B12"/>
    <w:rsid w:val="00A52C29"/>
    <w:rsid w:val="00A5479D"/>
    <w:rsid w:val="00A56472"/>
    <w:rsid w:val="00A57623"/>
    <w:rsid w:val="00A704DE"/>
    <w:rsid w:val="00A71E17"/>
    <w:rsid w:val="00A730E0"/>
    <w:rsid w:val="00A73CCE"/>
    <w:rsid w:val="00A75620"/>
    <w:rsid w:val="00A75CBC"/>
    <w:rsid w:val="00A76AA6"/>
    <w:rsid w:val="00A76D28"/>
    <w:rsid w:val="00A77878"/>
    <w:rsid w:val="00A8076C"/>
    <w:rsid w:val="00A825CC"/>
    <w:rsid w:val="00A83631"/>
    <w:rsid w:val="00A84DCD"/>
    <w:rsid w:val="00A8765B"/>
    <w:rsid w:val="00A87680"/>
    <w:rsid w:val="00A90A7B"/>
    <w:rsid w:val="00A92261"/>
    <w:rsid w:val="00A926B6"/>
    <w:rsid w:val="00A94349"/>
    <w:rsid w:val="00A951F8"/>
    <w:rsid w:val="00A954CC"/>
    <w:rsid w:val="00A96207"/>
    <w:rsid w:val="00A97A41"/>
    <w:rsid w:val="00AA16D7"/>
    <w:rsid w:val="00AA1B4C"/>
    <w:rsid w:val="00AB0D31"/>
    <w:rsid w:val="00AB6515"/>
    <w:rsid w:val="00AB7AA9"/>
    <w:rsid w:val="00AC09AA"/>
    <w:rsid w:val="00AC0B00"/>
    <w:rsid w:val="00AC19AD"/>
    <w:rsid w:val="00AC23FD"/>
    <w:rsid w:val="00AC4463"/>
    <w:rsid w:val="00AD06E5"/>
    <w:rsid w:val="00AD1B00"/>
    <w:rsid w:val="00AD1B30"/>
    <w:rsid w:val="00AD458F"/>
    <w:rsid w:val="00AD5694"/>
    <w:rsid w:val="00AD6E41"/>
    <w:rsid w:val="00AD6ECF"/>
    <w:rsid w:val="00AE514F"/>
    <w:rsid w:val="00AE51E0"/>
    <w:rsid w:val="00AE5EDD"/>
    <w:rsid w:val="00AE604E"/>
    <w:rsid w:val="00AE745F"/>
    <w:rsid w:val="00AF2519"/>
    <w:rsid w:val="00AF4BB6"/>
    <w:rsid w:val="00AF5A46"/>
    <w:rsid w:val="00AF727F"/>
    <w:rsid w:val="00AF766D"/>
    <w:rsid w:val="00B04D3D"/>
    <w:rsid w:val="00B05935"/>
    <w:rsid w:val="00B06DE9"/>
    <w:rsid w:val="00B07815"/>
    <w:rsid w:val="00B07960"/>
    <w:rsid w:val="00B079C9"/>
    <w:rsid w:val="00B07F4B"/>
    <w:rsid w:val="00B1022F"/>
    <w:rsid w:val="00B12AA4"/>
    <w:rsid w:val="00B175D2"/>
    <w:rsid w:val="00B211C4"/>
    <w:rsid w:val="00B2159D"/>
    <w:rsid w:val="00B22310"/>
    <w:rsid w:val="00B2309F"/>
    <w:rsid w:val="00B247F1"/>
    <w:rsid w:val="00B266E5"/>
    <w:rsid w:val="00B27739"/>
    <w:rsid w:val="00B31566"/>
    <w:rsid w:val="00B457D5"/>
    <w:rsid w:val="00B468B0"/>
    <w:rsid w:val="00B46A00"/>
    <w:rsid w:val="00B47AC9"/>
    <w:rsid w:val="00B50351"/>
    <w:rsid w:val="00B50E74"/>
    <w:rsid w:val="00B527F2"/>
    <w:rsid w:val="00B55AA1"/>
    <w:rsid w:val="00B57F68"/>
    <w:rsid w:val="00B705D4"/>
    <w:rsid w:val="00B714FE"/>
    <w:rsid w:val="00B717FE"/>
    <w:rsid w:val="00B7281E"/>
    <w:rsid w:val="00B74514"/>
    <w:rsid w:val="00B76705"/>
    <w:rsid w:val="00B77E98"/>
    <w:rsid w:val="00B83648"/>
    <w:rsid w:val="00B838B7"/>
    <w:rsid w:val="00B84C02"/>
    <w:rsid w:val="00B84E1F"/>
    <w:rsid w:val="00B85C3A"/>
    <w:rsid w:val="00B85EC5"/>
    <w:rsid w:val="00B872DE"/>
    <w:rsid w:val="00B9394A"/>
    <w:rsid w:val="00B96054"/>
    <w:rsid w:val="00BA0689"/>
    <w:rsid w:val="00BA13D0"/>
    <w:rsid w:val="00BA2BB5"/>
    <w:rsid w:val="00BB417C"/>
    <w:rsid w:val="00BB4985"/>
    <w:rsid w:val="00BB661A"/>
    <w:rsid w:val="00BB701E"/>
    <w:rsid w:val="00BC187E"/>
    <w:rsid w:val="00BC215C"/>
    <w:rsid w:val="00BC3163"/>
    <w:rsid w:val="00BC46FA"/>
    <w:rsid w:val="00BC56EF"/>
    <w:rsid w:val="00BD06FF"/>
    <w:rsid w:val="00BD0E62"/>
    <w:rsid w:val="00BD27DB"/>
    <w:rsid w:val="00BD3699"/>
    <w:rsid w:val="00BD7B30"/>
    <w:rsid w:val="00BE0B61"/>
    <w:rsid w:val="00BE1D5C"/>
    <w:rsid w:val="00BE31B1"/>
    <w:rsid w:val="00BE52D5"/>
    <w:rsid w:val="00BE59F3"/>
    <w:rsid w:val="00BE6598"/>
    <w:rsid w:val="00BE75CB"/>
    <w:rsid w:val="00BE7D0B"/>
    <w:rsid w:val="00BE7F8C"/>
    <w:rsid w:val="00BF0CF0"/>
    <w:rsid w:val="00BF1443"/>
    <w:rsid w:val="00BF27A3"/>
    <w:rsid w:val="00BF64A0"/>
    <w:rsid w:val="00BF6C72"/>
    <w:rsid w:val="00C00FA3"/>
    <w:rsid w:val="00C0236C"/>
    <w:rsid w:val="00C04420"/>
    <w:rsid w:val="00C066F7"/>
    <w:rsid w:val="00C107F3"/>
    <w:rsid w:val="00C11C36"/>
    <w:rsid w:val="00C16722"/>
    <w:rsid w:val="00C20773"/>
    <w:rsid w:val="00C208D0"/>
    <w:rsid w:val="00C20DD2"/>
    <w:rsid w:val="00C238E0"/>
    <w:rsid w:val="00C24BFA"/>
    <w:rsid w:val="00C25540"/>
    <w:rsid w:val="00C268C2"/>
    <w:rsid w:val="00C30937"/>
    <w:rsid w:val="00C34554"/>
    <w:rsid w:val="00C35E14"/>
    <w:rsid w:val="00C35E35"/>
    <w:rsid w:val="00C3679A"/>
    <w:rsid w:val="00C36C84"/>
    <w:rsid w:val="00C36EF3"/>
    <w:rsid w:val="00C377A8"/>
    <w:rsid w:val="00C4036C"/>
    <w:rsid w:val="00C4641E"/>
    <w:rsid w:val="00C51298"/>
    <w:rsid w:val="00C51B20"/>
    <w:rsid w:val="00C5219C"/>
    <w:rsid w:val="00C52964"/>
    <w:rsid w:val="00C52D43"/>
    <w:rsid w:val="00C53B13"/>
    <w:rsid w:val="00C625CC"/>
    <w:rsid w:val="00C63004"/>
    <w:rsid w:val="00C70C8B"/>
    <w:rsid w:val="00C71409"/>
    <w:rsid w:val="00C71D3C"/>
    <w:rsid w:val="00C7273C"/>
    <w:rsid w:val="00C73578"/>
    <w:rsid w:val="00C802DB"/>
    <w:rsid w:val="00C80778"/>
    <w:rsid w:val="00C809D5"/>
    <w:rsid w:val="00C82668"/>
    <w:rsid w:val="00C8412F"/>
    <w:rsid w:val="00C85113"/>
    <w:rsid w:val="00C86458"/>
    <w:rsid w:val="00C8710C"/>
    <w:rsid w:val="00C87688"/>
    <w:rsid w:val="00C95712"/>
    <w:rsid w:val="00C9696B"/>
    <w:rsid w:val="00C96C71"/>
    <w:rsid w:val="00CA2BF1"/>
    <w:rsid w:val="00CA48F7"/>
    <w:rsid w:val="00CA5300"/>
    <w:rsid w:val="00CA6BCD"/>
    <w:rsid w:val="00CB0AED"/>
    <w:rsid w:val="00CB0C8F"/>
    <w:rsid w:val="00CB2F6E"/>
    <w:rsid w:val="00CB3B37"/>
    <w:rsid w:val="00CB4268"/>
    <w:rsid w:val="00CB5369"/>
    <w:rsid w:val="00CB6030"/>
    <w:rsid w:val="00CC0617"/>
    <w:rsid w:val="00CC0787"/>
    <w:rsid w:val="00CC2C9E"/>
    <w:rsid w:val="00CC4240"/>
    <w:rsid w:val="00CC4BD9"/>
    <w:rsid w:val="00CC70F6"/>
    <w:rsid w:val="00CC7AD6"/>
    <w:rsid w:val="00CD00F1"/>
    <w:rsid w:val="00CD3C16"/>
    <w:rsid w:val="00CD7419"/>
    <w:rsid w:val="00CE0DB3"/>
    <w:rsid w:val="00CE122D"/>
    <w:rsid w:val="00CE3699"/>
    <w:rsid w:val="00CE6C9D"/>
    <w:rsid w:val="00CE752D"/>
    <w:rsid w:val="00CF32A5"/>
    <w:rsid w:val="00CF65AF"/>
    <w:rsid w:val="00D0070B"/>
    <w:rsid w:val="00D0111C"/>
    <w:rsid w:val="00D01903"/>
    <w:rsid w:val="00D02004"/>
    <w:rsid w:val="00D032EE"/>
    <w:rsid w:val="00D0555F"/>
    <w:rsid w:val="00D0556A"/>
    <w:rsid w:val="00D07672"/>
    <w:rsid w:val="00D144E4"/>
    <w:rsid w:val="00D14D9A"/>
    <w:rsid w:val="00D15603"/>
    <w:rsid w:val="00D16645"/>
    <w:rsid w:val="00D2194C"/>
    <w:rsid w:val="00D220DC"/>
    <w:rsid w:val="00D24628"/>
    <w:rsid w:val="00D31420"/>
    <w:rsid w:val="00D403AC"/>
    <w:rsid w:val="00D40A60"/>
    <w:rsid w:val="00D41F45"/>
    <w:rsid w:val="00D44B1C"/>
    <w:rsid w:val="00D50749"/>
    <w:rsid w:val="00D53554"/>
    <w:rsid w:val="00D53C93"/>
    <w:rsid w:val="00D57CAA"/>
    <w:rsid w:val="00D655B7"/>
    <w:rsid w:val="00D65B20"/>
    <w:rsid w:val="00D71FB0"/>
    <w:rsid w:val="00D729C2"/>
    <w:rsid w:val="00D75674"/>
    <w:rsid w:val="00D75D03"/>
    <w:rsid w:val="00D77DD8"/>
    <w:rsid w:val="00D80515"/>
    <w:rsid w:val="00D92405"/>
    <w:rsid w:val="00D93114"/>
    <w:rsid w:val="00D93F57"/>
    <w:rsid w:val="00D945DE"/>
    <w:rsid w:val="00D94A08"/>
    <w:rsid w:val="00D9749D"/>
    <w:rsid w:val="00D97AAB"/>
    <w:rsid w:val="00DA14DB"/>
    <w:rsid w:val="00DA3E7C"/>
    <w:rsid w:val="00DB0C39"/>
    <w:rsid w:val="00DB1871"/>
    <w:rsid w:val="00DB1E84"/>
    <w:rsid w:val="00DB3324"/>
    <w:rsid w:val="00DB334D"/>
    <w:rsid w:val="00DB352A"/>
    <w:rsid w:val="00DB5457"/>
    <w:rsid w:val="00DB7E2A"/>
    <w:rsid w:val="00DC46B8"/>
    <w:rsid w:val="00DC5DFE"/>
    <w:rsid w:val="00DC6257"/>
    <w:rsid w:val="00DC72BB"/>
    <w:rsid w:val="00DD204E"/>
    <w:rsid w:val="00DE3E46"/>
    <w:rsid w:val="00DE4819"/>
    <w:rsid w:val="00DE4D65"/>
    <w:rsid w:val="00DE7F07"/>
    <w:rsid w:val="00DF114F"/>
    <w:rsid w:val="00DF1538"/>
    <w:rsid w:val="00DF1CA1"/>
    <w:rsid w:val="00DF308D"/>
    <w:rsid w:val="00DF3705"/>
    <w:rsid w:val="00DF62D2"/>
    <w:rsid w:val="00DF6DB4"/>
    <w:rsid w:val="00E010BB"/>
    <w:rsid w:val="00E02991"/>
    <w:rsid w:val="00E07257"/>
    <w:rsid w:val="00E0748F"/>
    <w:rsid w:val="00E11251"/>
    <w:rsid w:val="00E1464F"/>
    <w:rsid w:val="00E15FE1"/>
    <w:rsid w:val="00E1758C"/>
    <w:rsid w:val="00E20927"/>
    <w:rsid w:val="00E214CB"/>
    <w:rsid w:val="00E23904"/>
    <w:rsid w:val="00E23D5D"/>
    <w:rsid w:val="00E2544A"/>
    <w:rsid w:val="00E34E53"/>
    <w:rsid w:val="00E34FD0"/>
    <w:rsid w:val="00E356CA"/>
    <w:rsid w:val="00E40001"/>
    <w:rsid w:val="00E40C12"/>
    <w:rsid w:val="00E412CE"/>
    <w:rsid w:val="00E42445"/>
    <w:rsid w:val="00E448C3"/>
    <w:rsid w:val="00E515B4"/>
    <w:rsid w:val="00E53D3C"/>
    <w:rsid w:val="00E548C7"/>
    <w:rsid w:val="00E54930"/>
    <w:rsid w:val="00E54A92"/>
    <w:rsid w:val="00E553F9"/>
    <w:rsid w:val="00E60A67"/>
    <w:rsid w:val="00E624C8"/>
    <w:rsid w:val="00E63C87"/>
    <w:rsid w:val="00E64F75"/>
    <w:rsid w:val="00E6502F"/>
    <w:rsid w:val="00E70AE3"/>
    <w:rsid w:val="00E71214"/>
    <w:rsid w:val="00E7124B"/>
    <w:rsid w:val="00E77365"/>
    <w:rsid w:val="00E776D2"/>
    <w:rsid w:val="00E777FF"/>
    <w:rsid w:val="00E80682"/>
    <w:rsid w:val="00E808F4"/>
    <w:rsid w:val="00E814DF"/>
    <w:rsid w:val="00E83A11"/>
    <w:rsid w:val="00E8747D"/>
    <w:rsid w:val="00E87F9B"/>
    <w:rsid w:val="00E90F9A"/>
    <w:rsid w:val="00E92072"/>
    <w:rsid w:val="00E93147"/>
    <w:rsid w:val="00E95F89"/>
    <w:rsid w:val="00E96588"/>
    <w:rsid w:val="00E96736"/>
    <w:rsid w:val="00EA66ED"/>
    <w:rsid w:val="00EB6DBE"/>
    <w:rsid w:val="00EC23A4"/>
    <w:rsid w:val="00EC2C5A"/>
    <w:rsid w:val="00EC3DDC"/>
    <w:rsid w:val="00EC405B"/>
    <w:rsid w:val="00EC4C7D"/>
    <w:rsid w:val="00EC6121"/>
    <w:rsid w:val="00EC6FB1"/>
    <w:rsid w:val="00ED0C62"/>
    <w:rsid w:val="00ED6689"/>
    <w:rsid w:val="00ED6CC4"/>
    <w:rsid w:val="00ED73A1"/>
    <w:rsid w:val="00ED7643"/>
    <w:rsid w:val="00EE2893"/>
    <w:rsid w:val="00EE2BEE"/>
    <w:rsid w:val="00EE467A"/>
    <w:rsid w:val="00EE4FBC"/>
    <w:rsid w:val="00EE653F"/>
    <w:rsid w:val="00EE70FD"/>
    <w:rsid w:val="00EE784E"/>
    <w:rsid w:val="00EE7E5B"/>
    <w:rsid w:val="00EF2225"/>
    <w:rsid w:val="00EF29C1"/>
    <w:rsid w:val="00EF33A3"/>
    <w:rsid w:val="00EF4BD9"/>
    <w:rsid w:val="00EF657E"/>
    <w:rsid w:val="00EF7F06"/>
    <w:rsid w:val="00F019A3"/>
    <w:rsid w:val="00F01A5C"/>
    <w:rsid w:val="00F0245B"/>
    <w:rsid w:val="00F027E8"/>
    <w:rsid w:val="00F02AD8"/>
    <w:rsid w:val="00F110F5"/>
    <w:rsid w:val="00F118C0"/>
    <w:rsid w:val="00F11AED"/>
    <w:rsid w:val="00F14D5A"/>
    <w:rsid w:val="00F16038"/>
    <w:rsid w:val="00F1657A"/>
    <w:rsid w:val="00F17D1A"/>
    <w:rsid w:val="00F20915"/>
    <w:rsid w:val="00F2110B"/>
    <w:rsid w:val="00F211C6"/>
    <w:rsid w:val="00F2193E"/>
    <w:rsid w:val="00F21940"/>
    <w:rsid w:val="00F23320"/>
    <w:rsid w:val="00F236D3"/>
    <w:rsid w:val="00F236DC"/>
    <w:rsid w:val="00F24EEF"/>
    <w:rsid w:val="00F24F69"/>
    <w:rsid w:val="00F25FC5"/>
    <w:rsid w:val="00F2669E"/>
    <w:rsid w:val="00F27191"/>
    <w:rsid w:val="00F31026"/>
    <w:rsid w:val="00F31A70"/>
    <w:rsid w:val="00F326D3"/>
    <w:rsid w:val="00F345C9"/>
    <w:rsid w:val="00F372A6"/>
    <w:rsid w:val="00F40D57"/>
    <w:rsid w:val="00F41E1A"/>
    <w:rsid w:val="00F44FC4"/>
    <w:rsid w:val="00F52ABF"/>
    <w:rsid w:val="00F53C76"/>
    <w:rsid w:val="00F55D37"/>
    <w:rsid w:val="00F6210E"/>
    <w:rsid w:val="00F62B3A"/>
    <w:rsid w:val="00F654FD"/>
    <w:rsid w:val="00F66AFC"/>
    <w:rsid w:val="00F71771"/>
    <w:rsid w:val="00F7181D"/>
    <w:rsid w:val="00F76031"/>
    <w:rsid w:val="00F83CF6"/>
    <w:rsid w:val="00F8644B"/>
    <w:rsid w:val="00F86B22"/>
    <w:rsid w:val="00F9125A"/>
    <w:rsid w:val="00F920D9"/>
    <w:rsid w:val="00F92230"/>
    <w:rsid w:val="00F93408"/>
    <w:rsid w:val="00F95ECD"/>
    <w:rsid w:val="00F9763E"/>
    <w:rsid w:val="00FA1ABD"/>
    <w:rsid w:val="00FA4D95"/>
    <w:rsid w:val="00FA6965"/>
    <w:rsid w:val="00FB04C3"/>
    <w:rsid w:val="00FB189C"/>
    <w:rsid w:val="00FB462B"/>
    <w:rsid w:val="00FB680B"/>
    <w:rsid w:val="00FC3C57"/>
    <w:rsid w:val="00FC40E8"/>
    <w:rsid w:val="00FC6C8E"/>
    <w:rsid w:val="00FD2857"/>
    <w:rsid w:val="00FD28AD"/>
    <w:rsid w:val="00FD3443"/>
    <w:rsid w:val="00FD5A35"/>
    <w:rsid w:val="00FD62D7"/>
    <w:rsid w:val="00FD67D5"/>
    <w:rsid w:val="00FD7BD0"/>
    <w:rsid w:val="00FE1BAF"/>
    <w:rsid w:val="00FE3471"/>
    <w:rsid w:val="00FE484C"/>
    <w:rsid w:val="00FE60AF"/>
    <w:rsid w:val="00FE641E"/>
    <w:rsid w:val="00FF1728"/>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2086"/>
  <w15:docId w15:val="{519B0098-DA7A-4614-A20C-B7F7ECD7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16"/>
    <w:rPr>
      <w:lang w:val="ro-RO"/>
    </w:rPr>
  </w:style>
  <w:style w:type="paragraph" w:styleId="Titlu4">
    <w:name w:val="heading 4"/>
    <w:basedOn w:val="Normal"/>
    <w:next w:val="Normal"/>
    <w:link w:val="Titlu4Caracter"/>
    <w:uiPriority w:val="9"/>
    <w:semiHidden/>
    <w:unhideWhenUsed/>
    <w:qFormat/>
    <w:rsid w:val="008A1A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E514F"/>
    <w:pPr>
      <w:ind w:left="720"/>
      <w:contextualSpacing/>
    </w:pPr>
  </w:style>
  <w:style w:type="paragraph" w:styleId="Titlu">
    <w:name w:val="Title"/>
    <w:basedOn w:val="Normal"/>
    <w:next w:val="Normal"/>
    <w:link w:val="TitluCaracter"/>
    <w:uiPriority w:val="10"/>
    <w:qFormat/>
    <w:rsid w:val="002F3F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F8F"/>
    <w:rPr>
      <w:rFonts w:asciiTheme="majorHAnsi" w:eastAsiaTheme="majorEastAsia" w:hAnsiTheme="majorHAnsi" w:cstheme="majorBidi"/>
      <w:spacing w:val="-10"/>
      <w:kern w:val="28"/>
      <w:sz w:val="56"/>
      <w:szCs w:val="56"/>
      <w:lang w:val="ro-RO"/>
    </w:rPr>
  </w:style>
  <w:style w:type="character" w:styleId="Robust">
    <w:name w:val="Strong"/>
    <w:basedOn w:val="Fontdeparagrafimplicit"/>
    <w:uiPriority w:val="22"/>
    <w:qFormat/>
    <w:rsid w:val="00985E0B"/>
    <w:rPr>
      <w:b/>
      <w:bCs/>
    </w:rPr>
  </w:style>
  <w:style w:type="paragraph" w:styleId="Antet">
    <w:name w:val="header"/>
    <w:basedOn w:val="Normal"/>
    <w:link w:val="AntetCaracter"/>
    <w:unhideWhenUsed/>
    <w:rsid w:val="007D6B40"/>
    <w:pPr>
      <w:tabs>
        <w:tab w:val="center" w:pos="4677"/>
        <w:tab w:val="right" w:pos="9355"/>
      </w:tabs>
      <w:spacing w:after="0" w:line="240" w:lineRule="auto"/>
    </w:pPr>
  </w:style>
  <w:style w:type="character" w:customStyle="1" w:styleId="AntetCaracter">
    <w:name w:val="Antet Caracter"/>
    <w:basedOn w:val="Fontdeparagrafimplicit"/>
    <w:link w:val="Antet"/>
    <w:rsid w:val="007D6B40"/>
    <w:rPr>
      <w:lang w:val="ro-RO"/>
    </w:rPr>
  </w:style>
  <w:style w:type="paragraph" w:styleId="Subsol">
    <w:name w:val="footer"/>
    <w:basedOn w:val="Normal"/>
    <w:link w:val="SubsolCaracter"/>
    <w:uiPriority w:val="99"/>
    <w:unhideWhenUsed/>
    <w:rsid w:val="007D6B4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D6B40"/>
    <w:rPr>
      <w:lang w:val="ro-RO"/>
    </w:rPr>
  </w:style>
  <w:style w:type="paragraph" w:styleId="Textcomentariu">
    <w:name w:val="annotation text"/>
    <w:basedOn w:val="Normal"/>
    <w:link w:val="TextcomentariuCaracter"/>
    <w:uiPriority w:val="99"/>
    <w:semiHidden/>
    <w:unhideWhenUsed/>
    <w:rsid w:val="00A825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825CC"/>
    <w:rPr>
      <w:sz w:val="20"/>
      <w:szCs w:val="20"/>
      <w:lang w:val="ro-RO"/>
    </w:rPr>
  </w:style>
  <w:style w:type="character" w:styleId="Referincomentariu">
    <w:name w:val="annotation reference"/>
    <w:basedOn w:val="Fontdeparagrafimplicit"/>
    <w:uiPriority w:val="99"/>
    <w:semiHidden/>
    <w:unhideWhenUsed/>
    <w:rsid w:val="00A825CC"/>
    <w:rPr>
      <w:sz w:val="16"/>
      <w:szCs w:val="16"/>
    </w:rPr>
  </w:style>
  <w:style w:type="character" w:customStyle="1" w:styleId="Titlu4Caracter">
    <w:name w:val="Titlu 4 Caracter"/>
    <w:basedOn w:val="Fontdeparagrafimplicit"/>
    <w:link w:val="Titlu4"/>
    <w:uiPriority w:val="9"/>
    <w:semiHidden/>
    <w:rsid w:val="008A1A94"/>
    <w:rPr>
      <w:rFonts w:asciiTheme="majorHAnsi" w:eastAsiaTheme="majorEastAsia" w:hAnsiTheme="majorHAnsi" w:cstheme="majorBidi"/>
      <w:i/>
      <w:iCs/>
      <w:color w:val="2E74B5" w:themeColor="accent1" w:themeShade="BF"/>
      <w:lang w:val="ro-RO"/>
    </w:rPr>
  </w:style>
  <w:style w:type="paragraph" w:customStyle="1" w:styleId="oj-normal">
    <w:name w:val="oj-normal"/>
    <w:basedOn w:val="Normal"/>
    <w:rsid w:val="00AE745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alnbdy">
    <w:name w:val="s_aln_bdy"/>
    <w:basedOn w:val="Fontdeparagrafimplicit"/>
    <w:rsid w:val="00E96736"/>
    <w:rPr>
      <w:rFonts w:ascii="Verdana" w:hAnsi="Verdana" w:hint="default"/>
      <w:b w:val="0"/>
      <w:bCs w:val="0"/>
      <w:color w:val="000000"/>
      <w:sz w:val="20"/>
      <w:szCs w:val="20"/>
      <w:shd w:val="clear" w:color="auto" w:fill="FFFFFF"/>
    </w:rPr>
  </w:style>
  <w:style w:type="paragraph" w:customStyle="1" w:styleId="spar">
    <w:name w:val="s_par"/>
    <w:basedOn w:val="Normal"/>
    <w:uiPriority w:val="99"/>
    <w:semiHidden/>
    <w:rsid w:val="008C7646"/>
    <w:pPr>
      <w:spacing w:after="0" w:line="240" w:lineRule="auto"/>
      <w:ind w:left="225"/>
    </w:pPr>
    <w:rPr>
      <w:rFonts w:ascii="Times New Roman" w:eastAsiaTheme="minorEastAsia" w:hAnsi="Times New Roman" w:cs="Times New Roman"/>
      <w:sz w:val="24"/>
      <w:szCs w:val="24"/>
      <w:lang w:val="en-GB" w:eastAsia="en-GB"/>
    </w:rPr>
  </w:style>
  <w:style w:type="character" w:customStyle="1" w:styleId="slgi1">
    <w:name w:val="s_lgi1"/>
    <w:basedOn w:val="Fontdeparagrafimplicit"/>
    <w:rsid w:val="008C7646"/>
    <w:rPr>
      <w:rFonts w:ascii="Verdana" w:hAnsi="Verdana" w:hint="default"/>
      <w:b w:val="0"/>
      <w:bCs w:val="0"/>
      <w:color w:val="006400"/>
      <w:sz w:val="20"/>
      <w:szCs w:val="20"/>
      <w:u w:val="single"/>
      <w:shd w:val="clear" w:color="auto" w:fill="FFFFFF"/>
    </w:rPr>
  </w:style>
  <w:style w:type="character" w:customStyle="1" w:styleId="salnttl1">
    <w:name w:val="s_aln_ttl1"/>
    <w:basedOn w:val="Fontdeparagrafimplicit"/>
    <w:rsid w:val="008C7646"/>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Fontdeparagrafimplicit"/>
    <w:rsid w:val="008C764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8C764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81">
      <w:bodyDiv w:val="1"/>
      <w:marLeft w:val="0"/>
      <w:marRight w:val="0"/>
      <w:marTop w:val="0"/>
      <w:marBottom w:val="0"/>
      <w:divBdr>
        <w:top w:val="none" w:sz="0" w:space="0" w:color="auto"/>
        <w:left w:val="none" w:sz="0" w:space="0" w:color="auto"/>
        <w:bottom w:val="none" w:sz="0" w:space="0" w:color="auto"/>
        <w:right w:val="none" w:sz="0" w:space="0" w:color="auto"/>
      </w:divBdr>
    </w:div>
    <w:div w:id="26100622">
      <w:bodyDiv w:val="1"/>
      <w:marLeft w:val="0"/>
      <w:marRight w:val="0"/>
      <w:marTop w:val="0"/>
      <w:marBottom w:val="0"/>
      <w:divBdr>
        <w:top w:val="none" w:sz="0" w:space="0" w:color="auto"/>
        <w:left w:val="none" w:sz="0" w:space="0" w:color="auto"/>
        <w:bottom w:val="none" w:sz="0" w:space="0" w:color="auto"/>
        <w:right w:val="none" w:sz="0" w:space="0" w:color="auto"/>
      </w:divBdr>
    </w:div>
    <w:div w:id="33695918">
      <w:bodyDiv w:val="1"/>
      <w:marLeft w:val="0"/>
      <w:marRight w:val="0"/>
      <w:marTop w:val="0"/>
      <w:marBottom w:val="0"/>
      <w:divBdr>
        <w:top w:val="none" w:sz="0" w:space="0" w:color="auto"/>
        <w:left w:val="none" w:sz="0" w:space="0" w:color="auto"/>
        <w:bottom w:val="none" w:sz="0" w:space="0" w:color="auto"/>
        <w:right w:val="none" w:sz="0" w:space="0" w:color="auto"/>
      </w:divBdr>
    </w:div>
    <w:div w:id="41637649">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80491238">
      <w:bodyDiv w:val="1"/>
      <w:marLeft w:val="0"/>
      <w:marRight w:val="0"/>
      <w:marTop w:val="0"/>
      <w:marBottom w:val="0"/>
      <w:divBdr>
        <w:top w:val="none" w:sz="0" w:space="0" w:color="auto"/>
        <w:left w:val="none" w:sz="0" w:space="0" w:color="auto"/>
        <w:bottom w:val="none" w:sz="0" w:space="0" w:color="auto"/>
        <w:right w:val="none" w:sz="0" w:space="0" w:color="auto"/>
      </w:divBdr>
    </w:div>
    <w:div w:id="86469522">
      <w:bodyDiv w:val="1"/>
      <w:marLeft w:val="0"/>
      <w:marRight w:val="0"/>
      <w:marTop w:val="0"/>
      <w:marBottom w:val="0"/>
      <w:divBdr>
        <w:top w:val="none" w:sz="0" w:space="0" w:color="auto"/>
        <w:left w:val="none" w:sz="0" w:space="0" w:color="auto"/>
        <w:bottom w:val="none" w:sz="0" w:space="0" w:color="auto"/>
        <w:right w:val="none" w:sz="0" w:space="0" w:color="auto"/>
      </w:divBdr>
    </w:div>
    <w:div w:id="135227394">
      <w:bodyDiv w:val="1"/>
      <w:marLeft w:val="0"/>
      <w:marRight w:val="0"/>
      <w:marTop w:val="0"/>
      <w:marBottom w:val="0"/>
      <w:divBdr>
        <w:top w:val="none" w:sz="0" w:space="0" w:color="auto"/>
        <w:left w:val="none" w:sz="0" w:space="0" w:color="auto"/>
        <w:bottom w:val="none" w:sz="0" w:space="0" w:color="auto"/>
        <w:right w:val="none" w:sz="0" w:space="0" w:color="auto"/>
      </w:divBdr>
    </w:div>
    <w:div w:id="140925094">
      <w:bodyDiv w:val="1"/>
      <w:marLeft w:val="0"/>
      <w:marRight w:val="0"/>
      <w:marTop w:val="0"/>
      <w:marBottom w:val="0"/>
      <w:divBdr>
        <w:top w:val="none" w:sz="0" w:space="0" w:color="auto"/>
        <w:left w:val="none" w:sz="0" w:space="0" w:color="auto"/>
        <w:bottom w:val="none" w:sz="0" w:space="0" w:color="auto"/>
        <w:right w:val="none" w:sz="0" w:space="0" w:color="auto"/>
      </w:divBdr>
    </w:div>
    <w:div w:id="166990271">
      <w:bodyDiv w:val="1"/>
      <w:marLeft w:val="0"/>
      <w:marRight w:val="0"/>
      <w:marTop w:val="0"/>
      <w:marBottom w:val="0"/>
      <w:divBdr>
        <w:top w:val="none" w:sz="0" w:space="0" w:color="auto"/>
        <w:left w:val="none" w:sz="0" w:space="0" w:color="auto"/>
        <w:bottom w:val="none" w:sz="0" w:space="0" w:color="auto"/>
        <w:right w:val="none" w:sz="0" w:space="0" w:color="auto"/>
      </w:divBdr>
    </w:div>
    <w:div w:id="182860394">
      <w:bodyDiv w:val="1"/>
      <w:marLeft w:val="0"/>
      <w:marRight w:val="0"/>
      <w:marTop w:val="0"/>
      <w:marBottom w:val="0"/>
      <w:divBdr>
        <w:top w:val="none" w:sz="0" w:space="0" w:color="auto"/>
        <w:left w:val="none" w:sz="0" w:space="0" w:color="auto"/>
        <w:bottom w:val="none" w:sz="0" w:space="0" w:color="auto"/>
        <w:right w:val="none" w:sz="0" w:space="0" w:color="auto"/>
      </w:divBdr>
    </w:div>
    <w:div w:id="221332007">
      <w:bodyDiv w:val="1"/>
      <w:marLeft w:val="0"/>
      <w:marRight w:val="0"/>
      <w:marTop w:val="0"/>
      <w:marBottom w:val="0"/>
      <w:divBdr>
        <w:top w:val="none" w:sz="0" w:space="0" w:color="auto"/>
        <w:left w:val="none" w:sz="0" w:space="0" w:color="auto"/>
        <w:bottom w:val="none" w:sz="0" w:space="0" w:color="auto"/>
        <w:right w:val="none" w:sz="0" w:space="0" w:color="auto"/>
      </w:divBdr>
    </w:div>
    <w:div w:id="251594892">
      <w:bodyDiv w:val="1"/>
      <w:marLeft w:val="0"/>
      <w:marRight w:val="0"/>
      <w:marTop w:val="0"/>
      <w:marBottom w:val="0"/>
      <w:divBdr>
        <w:top w:val="none" w:sz="0" w:space="0" w:color="auto"/>
        <w:left w:val="none" w:sz="0" w:space="0" w:color="auto"/>
        <w:bottom w:val="none" w:sz="0" w:space="0" w:color="auto"/>
        <w:right w:val="none" w:sz="0" w:space="0" w:color="auto"/>
      </w:divBdr>
    </w:div>
    <w:div w:id="257182695">
      <w:bodyDiv w:val="1"/>
      <w:marLeft w:val="0"/>
      <w:marRight w:val="0"/>
      <w:marTop w:val="0"/>
      <w:marBottom w:val="0"/>
      <w:divBdr>
        <w:top w:val="none" w:sz="0" w:space="0" w:color="auto"/>
        <w:left w:val="none" w:sz="0" w:space="0" w:color="auto"/>
        <w:bottom w:val="none" w:sz="0" w:space="0" w:color="auto"/>
        <w:right w:val="none" w:sz="0" w:space="0" w:color="auto"/>
      </w:divBdr>
    </w:div>
    <w:div w:id="304817025">
      <w:bodyDiv w:val="1"/>
      <w:marLeft w:val="0"/>
      <w:marRight w:val="0"/>
      <w:marTop w:val="0"/>
      <w:marBottom w:val="0"/>
      <w:divBdr>
        <w:top w:val="none" w:sz="0" w:space="0" w:color="auto"/>
        <w:left w:val="none" w:sz="0" w:space="0" w:color="auto"/>
        <w:bottom w:val="none" w:sz="0" w:space="0" w:color="auto"/>
        <w:right w:val="none" w:sz="0" w:space="0" w:color="auto"/>
      </w:divBdr>
    </w:div>
    <w:div w:id="331683752">
      <w:bodyDiv w:val="1"/>
      <w:marLeft w:val="0"/>
      <w:marRight w:val="0"/>
      <w:marTop w:val="0"/>
      <w:marBottom w:val="0"/>
      <w:divBdr>
        <w:top w:val="none" w:sz="0" w:space="0" w:color="auto"/>
        <w:left w:val="none" w:sz="0" w:space="0" w:color="auto"/>
        <w:bottom w:val="none" w:sz="0" w:space="0" w:color="auto"/>
        <w:right w:val="none" w:sz="0" w:space="0" w:color="auto"/>
      </w:divBdr>
    </w:div>
    <w:div w:id="334069537">
      <w:bodyDiv w:val="1"/>
      <w:marLeft w:val="0"/>
      <w:marRight w:val="0"/>
      <w:marTop w:val="0"/>
      <w:marBottom w:val="0"/>
      <w:divBdr>
        <w:top w:val="none" w:sz="0" w:space="0" w:color="auto"/>
        <w:left w:val="none" w:sz="0" w:space="0" w:color="auto"/>
        <w:bottom w:val="none" w:sz="0" w:space="0" w:color="auto"/>
        <w:right w:val="none" w:sz="0" w:space="0" w:color="auto"/>
      </w:divBdr>
    </w:div>
    <w:div w:id="345913176">
      <w:bodyDiv w:val="1"/>
      <w:marLeft w:val="0"/>
      <w:marRight w:val="0"/>
      <w:marTop w:val="0"/>
      <w:marBottom w:val="0"/>
      <w:divBdr>
        <w:top w:val="none" w:sz="0" w:space="0" w:color="auto"/>
        <w:left w:val="none" w:sz="0" w:space="0" w:color="auto"/>
        <w:bottom w:val="none" w:sz="0" w:space="0" w:color="auto"/>
        <w:right w:val="none" w:sz="0" w:space="0" w:color="auto"/>
      </w:divBdr>
    </w:div>
    <w:div w:id="351036805">
      <w:bodyDiv w:val="1"/>
      <w:marLeft w:val="0"/>
      <w:marRight w:val="0"/>
      <w:marTop w:val="0"/>
      <w:marBottom w:val="0"/>
      <w:divBdr>
        <w:top w:val="none" w:sz="0" w:space="0" w:color="auto"/>
        <w:left w:val="none" w:sz="0" w:space="0" w:color="auto"/>
        <w:bottom w:val="none" w:sz="0" w:space="0" w:color="auto"/>
        <w:right w:val="none" w:sz="0" w:space="0" w:color="auto"/>
      </w:divBdr>
    </w:div>
    <w:div w:id="365637206">
      <w:bodyDiv w:val="1"/>
      <w:marLeft w:val="0"/>
      <w:marRight w:val="0"/>
      <w:marTop w:val="0"/>
      <w:marBottom w:val="0"/>
      <w:divBdr>
        <w:top w:val="none" w:sz="0" w:space="0" w:color="auto"/>
        <w:left w:val="none" w:sz="0" w:space="0" w:color="auto"/>
        <w:bottom w:val="none" w:sz="0" w:space="0" w:color="auto"/>
        <w:right w:val="none" w:sz="0" w:space="0" w:color="auto"/>
      </w:divBdr>
    </w:div>
    <w:div w:id="370419317">
      <w:bodyDiv w:val="1"/>
      <w:marLeft w:val="0"/>
      <w:marRight w:val="0"/>
      <w:marTop w:val="0"/>
      <w:marBottom w:val="0"/>
      <w:divBdr>
        <w:top w:val="none" w:sz="0" w:space="0" w:color="auto"/>
        <w:left w:val="none" w:sz="0" w:space="0" w:color="auto"/>
        <w:bottom w:val="none" w:sz="0" w:space="0" w:color="auto"/>
        <w:right w:val="none" w:sz="0" w:space="0" w:color="auto"/>
      </w:divBdr>
    </w:div>
    <w:div w:id="371735938">
      <w:bodyDiv w:val="1"/>
      <w:marLeft w:val="0"/>
      <w:marRight w:val="0"/>
      <w:marTop w:val="0"/>
      <w:marBottom w:val="0"/>
      <w:divBdr>
        <w:top w:val="none" w:sz="0" w:space="0" w:color="auto"/>
        <w:left w:val="none" w:sz="0" w:space="0" w:color="auto"/>
        <w:bottom w:val="none" w:sz="0" w:space="0" w:color="auto"/>
        <w:right w:val="none" w:sz="0" w:space="0" w:color="auto"/>
      </w:divBdr>
    </w:div>
    <w:div w:id="390421614">
      <w:bodyDiv w:val="1"/>
      <w:marLeft w:val="0"/>
      <w:marRight w:val="0"/>
      <w:marTop w:val="0"/>
      <w:marBottom w:val="0"/>
      <w:divBdr>
        <w:top w:val="none" w:sz="0" w:space="0" w:color="auto"/>
        <w:left w:val="none" w:sz="0" w:space="0" w:color="auto"/>
        <w:bottom w:val="none" w:sz="0" w:space="0" w:color="auto"/>
        <w:right w:val="none" w:sz="0" w:space="0" w:color="auto"/>
      </w:divBdr>
    </w:div>
    <w:div w:id="410858579">
      <w:bodyDiv w:val="1"/>
      <w:marLeft w:val="0"/>
      <w:marRight w:val="0"/>
      <w:marTop w:val="0"/>
      <w:marBottom w:val="0"/>
      <w:divBdr>
        <w:top w:val="none" w:sz="0" w:space="0" w:color="auto"/>
        <w:left w:val="none" w:sz="0" w:space="0" w:color="auto"/>
        <w:bottom w:val="none" w:sz="0" w:space="0" w:color="auto"/>
        <w:right w:val="none" w:sz="0" w:space="0" w:color="auto"/>
      </w:divBdr>
    </w:div>
    <w:div w:id="443354082">
      <w:bodyDiv w:val="1"/>
      <w:marLeft w:val="0"/>
      <w:marRight w:val="0"/>
      <w:marTop w:val="0"/>
      <w:marBottom w:val="0"/>
      <w:divBdr>
        <w:top w:val="none" w:sz="0" w:space="0" w:color="auto"/>
        <w:left w:val="none" w:sz="0" w:space="0" w:color="auto"/>
        <w:bottom w:val="none" w:sz="0" w:space="0" w:color="auto"/>
        <w:right w:val="none" w:sz="0" w:space="0" w:color="auto"/>
      </w:divBdr>
    </w:div>
    <w:div w:id="485710926">
      <w:bodyDiv w:val="1"/>
      <w:marLeft w:val="0"/>
      <w:marRight w:val="0"/>
      <w:marTop w:val="0"/>
      <w:marBottom w:val="0"/>
      <w:divBdr>
        <w:top w:val="none" w:sz="0" w:space="0" w:color="auto"/>
        <w:left w:val="none" w:sz="0" w:space="0" w:color="auto"/>
        <w:bottom w:val="none" w:sz="0" w:space="0" w:color="auto"/>
        <w:right w:val="none" w:sz="0" w:space="0" w:color="auto"/>
      </w:divBdr>
    </w:div>
    <w:div w:id="532696899">
      <w:bodyDiv w:val="1"/>
      <w:marLeft w:val="0"/>
      <w:marRight w:val="0"/>
      <w:marTop w:val="0"/>
      <w:marBottom w:val="0"/>
      <w:divBdr>
        <w:top w:val="none" w:sz="0" w:space="0" w:color="auto"/>
        <w:left w:val="none" w:sz="0" w:space="0" w:color="auto"/>
        <w:bottom w:val="none" w:sz="0" w:space="0" w:color="auto"/>
        <w:right w:val="none" w:sz="0" w:space="0" w:color="auto"/>
      </w:divBdr>
    </w:div>
    <w:div w:id="581184900">
      <w:bodyDiv w:val="1"/>
      <w:marLeft w:val="0"/>
      <w:marRight w:val="0"/>
      <w:marTop w:val="0"/>
      <w:marBottom w:val="0"/>
      <w:divBdr>
        <w:top w:val="none" w:sz="0" w:space="0" w:color="auto"/>
        <w:left w:val="none" w:sz="0" w:space="0" w:color="auto"/>
        <w:bottom w:val="none" w:sz="0" w:space="0" w:color="auto"/>
        <w:right w:val="none" w:sz="0" w:space="0" w:color="auto"/>
      </w:divBdr>
    </w:div>
    <w:div w:id="587732469">
      <w:bodyDiv w:val="1"/>
      <w:marLeft w:val="0"/>
      <w:marRight w:val="0"/>
      <w:marTop w:val="0"/>
      <w:marBottom w:val="0"/>
      <w:divBdr>
        <w:top w:val="none" w:sz="0" w:space="0" w:color="auto"/>
        <w:left w:val="none" w:sz="0" w:space="0" w:color="auto"/>
        <w:bottom w:val="none" w:sz="0" w:space="0" w:color="auto"/>
        <w:right w:val="none" w:sz="0" w:space="0" w:color="auto"/>
      </w:divBdr>
    </w:div>
    <w:div w:id="590355492">
      <w:bodyDiv w:val="1"/>
      <w:marLeft w:val="0"/>
      <w:marRight w:val="0"/>
      <w:marTop w:val="0"/>
      <w:marBottom w:val="0"/>
      <w:divBdr>
        <w:top w:val="none" w:sz="0" w:space="0" w:color="auto"/>
        <w:left w:val="none" w:sz="0" w:space="0" w:color="auto"/>
        <w:bottom w:val="none" w:sz="0" w:space="0" w:color="auto"/>
        <w:right w:val="none" w:sz="0" w:space="0" w:color="auto"/>
      </w:divBdr>
    </w:div>
    <w:div w:id="596836905">
      <w:bodyDiv w:val="1"/>
      <w:marLeft w:val="0"/>
      <w:marRight w:val="0"/>
      <w:marTop w:val="0"/>
      <w:marBottom w:val="0"/>
      <w:divBdr>
        <w:top w:val="none" w:sz="0" w:space="0" w:color="auto"/>
        <w:left w:val="none" w:sz="0" w:space="0" w:color="auto"/>
        <w:bottom w:val="none" w:sz="0" w:space="0" w:color="auto"/>
        <w:right w:val="none" w:sz="0" w:space="0" w:color="auto"/>
      </w:divBdr>
    </w:div>
    <w:div w:id="611982258">
      <w:bodyDiv w:val="1"/>
      <w:marLeft w:val="0"/>
      <w:marRight w:val="0"/>
      <w:marTop w:val="0"/>
      <w:marBottom w:val="0"/>
      <w:divBdr>
        <w:top w:val="none" w:sz="0" w:space="0" w:color="auto"/>
        <w:left w:val="none" w:sz="0" w:space="0" w:color="auto"/>
        <w:bottom w:val="none" w:sz="0" w:space="0" w:color="auto"/>
        <w:right w:val="none" w:sz="0" w:space="0" w:color="auto"/>
      </w:divBdr>
    </w:div>
    <w:div w:id="646714077">
      <w:bodyDiv w:val="1"/>
      <w:marLeft w:val="0"/>
      <w:marRight w:val="0"/>
      <w:marTop w:val="0"/>
      <w:marBottom w:val="0"/>
      <w:divBdr>
        <w:top w:val="none" w:sz="0" w:space="0" w:color="auto"/>
        <w:left w:val="none" w:sz="0" w:space="0" w:color="auto"/>
        <w:bottom w:val="none" w:sz="0" w:space="0" w:color="auto"/>
        <w:right w:val="none" w:sz="0" w:space="0" w:color="auto"/>
      </w:divBdr>
    </w:div>
    <w:div w:id="674571982">
      <w:bodyDiv w:val="1"/>
      <w:marLeft w:val="0"/>
      <w:marRight w:val="0"/>
      <w:marTop w:val="0"/>
      <w:marBottom w:val="0"/>
      <w:divBdr>
        <w:top w:val="none" w:sz="0" w:space="0" w:color="auto"/>
        <w:left w:val="none" w:sz="0" w:space="0" w:color="auto"/>
        <w:bottom w:val="none" w:sz="0" w:space="0" w:color="auto"/>
        <w:right w:val="none" w:sz="0" w:space="0" w:color="auto"/>
      </w:divBdr>
    </w:div>
    <w:div w:id="693924798">
      <w:bodyDiv w:val="1"/>
      <w:marLeft w:val="0"/>
      <w:marRight w:val="0"/>
      <w:marTop w:val="0"/>
      <w:marBottom w:val="0"/>
      <w:divBdr>
        <w:top w:val="none" w:sz="0" w:space="0" w:color="auto"/>
        <w:left w:val="none" w:sz="0" w:space="0" w:color="auto"/>
        <w:bottom w:val="none" w:sz="0" w:space="0" w:color="auto"/>
        <w:right w:val="none" w:sz="0" w:space="0" w:color="auto"/>
      </w:divBdr>
    </w:div>
    <w:div w:id="710154693">
      <w:bodyDiv w:val="1"/>
      <w:marLeft w:val="0"/>
      <w:marRight w:val="0"/>
      <w:marTop w:val="0"/>
      <w:marBottom w:val="0"/>
      <w:divBdr>
        <w:top w:val="none" w:sz="0" w:space="0" w:color="auto"/>
        <w:left w:val="none" w:sz="0" w:space="0" w:color="auto"/>
        <w:bottom w:val="none" w:sz="0" w:space="0" w:color="auto"/>
        <w:right w:val="none" w:sz="0" w:space="0" w:color="auto"/>
      </w:divBdr>
    </w:div>
    <w:div w:id="722215761">
      <w:bodyDiv w:val="1"/>
      <w:marLeft w:val="0"/>
      <w:marRight w:val="0"/>
      <w:marTop w:val="0"/>
      <w:marBottom w:val="0"/>
      <w:divBdr>
        <w:top w:val="none" w:sz="0" w:space="0" w:color="auto"/>
        <w:left w:val="none" w:sz="0" w:space="0" w:color="auto"/>
        <w:bottom w:val="none" w:sz="0" w:space="0" w:color="auto"/>
        <w:right w:val="none" w:sz="0" w:space="0" w:color="auto"/>
      </w:divBdr>
    </w:div>
    <w:div w:id="729497774">
      <w:bodyDiv w:val="1"/>
      <w:marLeft w:val="0"/>
      <w:marRight w:val="0"/>
      <w:marTop w:val="0"/>
      <w:marBottom w:val="0"/>
      <w:divBdr>
        <w:top w:val="none" w:sz="0" w:space="0" w:color="auto"/>
        <w:left w:val="none" w:sz="0" w:space="0" w:color="auto"/>
        <w:bottom w:val="none" w:sz="0" w:space="0" w:color="auto"/>
        <w:right w:val="none" w:sz="0" w:space="0" w:color="auto"/>
      </w:divBdr>
    </w:div>
    <w:div w:id="735392718">
      <w:bodyDiv w:val="1"/>
      <w:marLeft w:val="0"/>
      <w:marRight w:val="0"/>
      <w:marTop w:val="0"/>
      <w:marBottom w:val="0"/>
      <w:divBdr>
        <w:top w:val="none" w:sz="0" w:space="0" w:color="auto"/>
        <w:left w:val="none" w:sz="0" w:space="0" w:color="auto"/>
        <w:bottom w:val="none" w:sz="0" w:space="0" w:color="auto"/>
        <w:right w:val="none" w:sz="0" w:space="0" w:color="auto"/>
      </w:divBdr>
    </w:div>
    <w:div w:id="742340495">
      <w:bodyDiv w:val="1"/>
      <w:marLeft w:val="0"/>
      <w:marRight w:val="0"/>
      <w:marTop w:val="0"/>
      <w:marBottom w:val="0"/>
      <w:divBdr>
        <w:top w:val="none" w:sz="0" w:space="0" w:color="auto"/>
        <w:left w:val="none" w:sz="0" w:space="0" w:color="auto"/>
        <w:bottom w:val="none" w:sz="0" w:space="0" w:color="auto"/>
        <w:right w:val="none" w:sz="0" w:space="0" w:color="auto"/>
      </w:divBdr>
    </w:div>
    <w:div w:id="743376975">
      <w:bodyDiv w:val="1"/>
      <w:marLeft w:val="0"/>
      <w:marRight w:val="0"/>
      <w:marTop w:val="0"/>
      <w:marBottom w:val="0"/>
      <w:divBdr>
        <w:top w:val="none" w:sz="0" w:space="0" w:color="auto"/>
        <w:left w:val="none" w:sz="0" w:space="0" w:color="auto"/>
        <w:bottom w:val="none" w:sz="0" w:space="0" w:color="auto"/>
        <w:right w:val="none" w:sz="0" w:space="0" w:color="auto"/>
      </w:divBdr>
    </w:div>
    <w:div w:id="746464386">
      <w:bodyDiv w:val="1"/>
      <w:marLeft w:val="0"/>
      <w:marRight w:val="0"/>
      <w:marTop w:val="0"/>
      <w:marBottom w:val="0"/>
      <w:divBdr>
        <w:top w:val="none" w:sz="0" w:space="0" w:color="auto"/>
        <w:left w:val="none" w:sz="0" w:space="0" w:color="auto"/>
        <w:bottom w:val="none" w:sz="0" w:space="0" w:color="auto"/>
        <w:right w:val="none" w:sz="0" w:space="0" w:color="auto"/>
      </w:divBdr>
    </w:div>
    <w:div w:id="815412099">
      <w:bodyDiv w:val="1"/>
      <w:marLeft w:val="0"/>
      <w:marRight w:val="0"/>
      <w:marTop w:val="0"/>
      <w:marBottom w:val="0"/>
      <w:divBdr>
        <w:top w:val="none" w:sz="0" w:space="0" w:color="auto"/>
        <w:left w:val="none" w:sz="0" w:space="0" w:color="auto"/>
        <w:bottom w:val="none" w:sz="0" w:space="0" w:color="auto"/>
        <w:right w:val="none" w:sz="0" w:space="0" w:color="auto"/>
      </w:divBdr>
    </w:div>
    <w:div w:id="831525572">
      <w:bodyDiv w:val="1"/>
      <w:marLeft w:val="0"/>
      <w:marRight w:val="0"/>
      <w:marTop w:val="0"/>
      <w:marBottom w:val="0"/>
      <w:divBdr>
        <w:top w:val="none" w:sz="0" w:space="0" w:color="auto"/>
        <w:left w:val="none" w:sz="0" w:space="0" w:color="auto"/>
        <w:bottom w:val="none" w:sz="0" w:space="0" w:color="auto"/>
        <w:right w:val="none" w:sz="0" w:space="0" w:color="auto"/>
      </w:divBdr>
    </w:div>
    <w:div w:id="855194878">
      <w:bodyDiv w:val="1"/>
      <w:marLeft w:val="0"/>
      <w:marRight w:val="0"/>
      <w:marTop w:val="0"/>
      <w:marBottom w:val="0"/>
      <w:divBdr>
        <w:top w:val="none" w:sz="0" w:space="0" w:color="auto"/>
        <w:left w:val="none" w:sz="0" w:space="0" w:color="auto"/>
        <w:bottom w:val="none" w:sz="0" w:space="0" w:color="auto"/>
        <w:right w:val="none" w:sz="0" w:space="0" w:color="auto"/>
      </w:divBdr>
    </w:div>
    <w:div w:id="891623498">
      <w:bodyDiv w:val="1"/>
      <w:marLeft w:val="0"/>
      <w:marRight w:val="0"/>
      <w:marTop w:val="0"/>
      <w:marBottom w:val="0"/>
      <w:divBdr>
        <w:top w:val="none" w:sz="0" w:space="0" w:color="auto"/>
        <w:left w:val="none" w:sz="0" w:space="0" w:color="auto"/>
        <w:bottom w:val="none" w:sz="0" w:space="0" w:color="auto"/>
        <w:right w:val="none" w:sz="0" w:space="0" w:color="auto"/>
      </w:divBdr>
    </w:div>
    <w:div w:id="927268871">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988241424">
      <w:bodyDiv w:val="1"/>
      <w:marLeft w:val="0"/>
      <w:marRight w:val="0"/>
      <w:marTop w:val="0"/>
      <w:marBottom w:val="0"/>
      <w:divBdr>
        <w:top w:val="none" w:sz="0" w:space="0" w:color="auto"/>
        <w:left w:val="none" w:sz="0" w:space="0" w:color="auto"/>
        <w:bottom w:val="none" w:sz="0" w:space="0" w:color="auto"/>
        <w:right w:val="none" w:sz="0" w:space="0" w:color="auto"/>
      </w:divBdr>
    </w:div>
    <w:div w:id="1012143475">
      <w:bodyDiv w:val="1"/>
      <w:marLeft w:val="0"/>
      <w:marRight w:val="0"/>
      <w:marTop w:val="0"/>
      <w:marBottom w:val="0"/>
      <w:divBdr>
        <w:top w:val="none" w:sz="0" w:space="0" w:color="auto"/>
        <w:left w:val="none" w:sz="0" w:space="0" w:color="auto"/>
        <w:bottom w:val="none" w:sz="0" w:space="0" w:color="auto"/>
        <w:right w:val="none" w:sz="0" w:space="0" w:color="auto"/>
      </w:divBdr>
    </w:div>
    <w:div w:id="1029915146">
      <w:bodyDiv w:val="1"/>
      <w:marLeft w:val="0"/>
      <w:marRight w:val="0"/>
      <w:marTop w:val="0"/>
      <w:marBottom w:val="0"/>
      <w:divBdr>
        <w:top w:val="none" w:sz="0" w:space="0" w:color="auto"/>
        <w:left w:val="none" w:sz="0" w:space="0" w:color="auto"/>
        <w:bottom w:val="none" w:sz="0" w:space="0" w:color="auto"/>
        <w:right w:val="none" w:sz="0" w:space="0" w:color="auto"/>
      </w:divBdr>
    </w:div>
    <w:div w:id="1111129689">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328515">
      <w:bodyDiv w:val="1"/>
      <w:marLeft w:val="0"/>
      <w:marRight w:val="0"/>
      <w:marTop w:val="0"/>
      <w:marBottom w:val="0"/>
      <w:divBdr>
        <w:top w:val="none" w:sz="0" w:space="0" w:color="auto"/>
        <w:left w:val="none" w:sz="0" w:space="0" w:color="auto"/>
        <w:bottom w:val="none" w:sz="0" w:space="0" w:color="auto"/>
        <w:right w:val="none" w:sz="0" w:space="0" w:color="auto"/>
      </w:divBdr>
    </w:div>
    <w:div w:id="1167088267">
      <w:bodyDiv w:val="1"/>
      <w:marLeft w:val="0"/>
      <w:marRight w:val="0"/>
      <w:marTop w:val="0"/>
      <w:marBottom w:val="0"/>
      <w:divBdr>
        <w:top w:val="none" w:sz="0" w:space="0" w:color="auto"/>
        <w:left w:val="none" w:sz="0" w:space="0" w:color="auto"/>
        <w:bottom w:val="none" w:sz="0" w:space="0" w:color="auto"/>
        <w:right w:val="none" w:sz="0" w:space="0" w:color="auto"/>
      </w:divBdr>
    </w:div>
    <w:div w:id="1172338280">
      <w:bodyDiv w:val="1"/>
      <w:marLeft w:val="0"/>
      <w:marRight w:val="0"/>
      <w:marTop w:val="0"/>
      <w:marBottom w:val="0"/>
      <w:divBdr>
        <w:top w:val="none" w:sz="0" w:space="0" w:color="auto"/>
        <w:left w:val="none" w:sz="0" w:space="0" w:color="auto"/>
        <w:bottom w:val="none" w:sz="0" w:space="0" w:color="auto"/>
        <w:right w:val="none" w:sz="0" w:space="0" w:color="auto"/>
      </w:divBdr>
    </w:div>
    <w:div w:id="1179999530">
      <w:bodyDiv w:val="1"/>
      <w:marLeft w:val="0"/>
      <w:marRight w:val="0"/>
      <w:marTop w:val="0"/>
      <w:marBottom w:val="0"/>
      <w:divBdr>
        <w:top w:val="none" w:sz="0" w:space="0" w:color="auto"/>
        <w:left w:val="none" w:sz="0" w:space="0" w:color="auto"/>
        <w:bottom w:val="none" w:sz="0" w:space="0" w:color="auto"/>
        <w:right w:val="none" w:sz="0" w:space="0" w:color="auto"/>
      </w:divBdr>
    </w:div>
    <w:div w:id="1203440896">
      <w:bodyDiv w:val="1"/>
      <w:marLeft w:val="0"/>
      <w:marRight w:val="0"/>
      <w:marTop w:val="0"/>
      <w:marBottom w:val="0"/>
      <w:divBdr>
        <w:top w:val="none" w:sz="0" w:space="0" w:color="auto"/>
        <w:left w:val="none" w:sz="0" w:space="0" w:color="auto"/>
        <w:bottom w:val="none" w:sz="0" w:space="0" w:color="auto"/>
        <w:right w:val="none" w:sz="0" w:space="0" w:color="auto"/>
      </w:divBdr>
    </w:div>
    <w:div w:id="1214583488">
      <w:bodyDiv w:val="1"/>
      <w:marLeft w:val="0"/>
      <w:marRight w:val="0"/>
      <w:marTop w:val="0"/>
      <w:marBottom w:val="0"/>
      <w:divBdr>
        <w:top w:val="none" w:sz="0" w:space="0" w:color="auto"/>
        <w:left w:val="none" w:sz="0" w:space="0" w:color="auto"/>
        <w:bottom w:val="none" w:sz="0" w:space="0" w:color="auto"/>
        <w:right w:val="none" w:sz="0" w:space="0" w:color="auto"/>
      </w:divBdr>
    </w:div>
    <w:div w:id="1237936074">
      <w:bodyDiv w:val="1"/>
      <w:marLeft w:val="0"/>
      <w:marRight w:val="0"/>
      <w:marTop w:val="0"/>
      <w:marBottom w:val="0"/>
      <w:divBdr>
        <w:top w:val="none" w:sz="0" w:space="0" w:color="auto"/>
        <w:left w:val="none" w:sz="0" w:space="0" w:color="auto"/>
        <w:bottom w:val="none" w:sz="0" w:space="0" w:color="auto"/>
        <w:right w:val="none" w:sz="0" w:space="0" w:color="auto"/>
      </w:divBdr>
    </w:div>
    <w:div w:id="1244215688">
      <w:bodyDiv w:val="1"/>
      <w:marLeft w:val="0"/>
      <w:marRight w:val="0"/>
      <w:marTop w:val="0"/>
      <w:marBottom w:val="0"/>
      <w:divBdr>
        <w:top w:val="none" w:sz="0" w:space="0" w:color="auto"/>
        <w:left w:val="none" w:sz="0" w:space="0" w:color="auto"/>
        <w:bottom w:val="none" w:sz="0" w:space="0" w:color="auto"/>
        <w:right w:val="none" w:sz="0" w:space="0" w:color="auto"/>
      </w:divBdr>
    </w:div>
    <w:div w:id="1272936176">
      <w:bodyDiv w:val="1"/>
      <w:marLeft w:val="0"/>
      <w:marRight w:val="0"/>
      <w:marTop w:val="0"/>
      <w:marBottom w:val="0"/>
      <w:divBdr>
        <w:top w:val="none" w:sz="0" w:space="0" w:color="auto"/>
        <w:left w:val="none" w:sz="0" w:space="0" w:color="auto"/>
        <w:bottom w:val="none" w:sz="0" w:space="0" w:color="auto"/>
        <w:right w:val="none" w:sz="0" w:space="0" w:color="auto"/>
      </w:divBdr>
    </w:div>
    <w:div w:id="1291668368">
      <w:bodyDiv w:val="1"/>
      <w:marLeft w:val="0"/>
      <w:marRight w:val="0"/>
      <w:marTop w:val="0"/>
      <w:marBottom w:val="0"/>
      <w:divBdr>
        <w:top w:val="none" w:sz="0" w:space="0" w:color="auto"/>
        <w:left w:val="none" w:sz="0" w:space="0" w:color="auto"/>
        <w:bottom w:val="none" w:sz="0" w:space="0" w:color="auto"/>
        <w:right w:val="none" w:sz="0" w:space="0" w:color="auto"/>
      </w:divBdr>
    </w:div>
    <w:div w:id="1300305650">
      <w:bodyDiv w:val="1"/>
      <w:marLeft w:val="0"/>
      <w:marRight w:val="0"/>
      <w:marTop w:val="0"/>
      <w:marBottom w:val="0"/>
      <w:divBdr>
        <w:top w:val="none" w:sz="0" w:space="0" w:color="auto"/>
        <w:left w:val="none" w:sz="0" w:space="0" w:color="auto"/>
        <w:bottom w:val="none" w:sz="0" w:space="0" w:color="auto"/>
        <w:right w:val="none" w:sz="0" w:space="0" w:color="auto"/>
      </w:divBdr>
    </w:div>
    <w:div w:id="1306934104">
      <w:bodyDiv w:val="1"/>
      <w:marLeft w:val="0"/>
      <w:marRight w:val="0"/>
      <w:marTop w:val="0"/>
      <w:marBottom w:val="0"/>
      <w:divBdr>
        <w:top w:val="none" w:sz="0" w:space="0" w:color="auto"/>
        <w:left w:val="none" w:sz="0" w:space="0" w:color="auto"/>
        <w:bottom w:val="none" w:sz="0" w:space="0" w:color="auto"/>
        <w:right w:val="none" w:sz="0" w:space="0" w:color="auto"/>
      </w:divBdr>
    </w:div>
    <w:div w:id="1349524375">
      <w:bodyDiv w:val="1"/>
      <w:marLeft w:val="0"/>
      <w:marRight w:val="0"/>
      <w:marTop w:val="0"/>
      <w:marBottom w:val="0"/>
      <w:divBdr>
        <w:top w:val="none" w:sz="0" w:space="0" w:color="auto"/>
        <w:left w:val="none" w:sz="0" w:space="0" w:color="auto"/>
        <w:bottom w:val="none" w:sz="0" w:space="0" w:color="auto"/>
        <w:right w:val="none" w:sz="0" w:space="0" w:color="auto"/>
      </w:divBdr>
    </w:div>
    <w:div w:id="1392576132">
      <w:bodyDiv w:val="1"/>
      <w:marLeft w:val="0"/>
      <w:marRight w:val="0"/>
      <w:marTop w:val="0"/>
      <w:marBottom w:val="0"/>
      <w:divBdr>
        <w:top w:val="none" w:sz="0" w:space="0" w:color="auto"/>
        <w:left w:val="none" w:sz="0" w:space="0" w:color="auto"/>
        <w:bottom w:val="none" w:sz="0" w:space="0" w:color="auto"/>
        <w:right w:val="none" w:sz="0" w:space="0" w:color="auto"/>
      </w:divBdr>
    </w:div>
    <w:div w:id="1455518270">
      <w:bodyDiv w:val="1"/>
      <w:marLeft w:val="0"/>
      <w:marRight w:val="0"/>
      <w:marTop w:val="0"/>
      <w:marBottom w:val="0"/>
      <w:divBdr>
        <w:top w:val="none" w:sz="0" w:space="0" w:color="auto"/>
        <w:left w:val="none" w:sz="0" w:space="0" w:color="auto"/>
        <w:bottom w:val="none" w:sz="0" w:space="0" w:color="auto"/>
        <w:right w:val="none" w:sz="0" w:space="0" w:color="auto"/>
      </w:divBdr>
    </w:div>
    <w:div w:id="1488748085">
      <w:bodyDiv w:val="1"/>
      <w:marLeft w:val="0"/>
      <w:marRight w:val="0"/>
      <w:marTop w:val="0"/>
      <w:marBottom w:val="0"/>
      <w:divBdr>
        <w:top w:val="none" w:sz="0" w:space="0" w:color="auto"/>
        <w:left w:val="none" w:sz="0" w:space="0" w:color="auto"/>
        <w:bottom w:val="none" w:sz="0" w:space="0" w:color="auto"/>
        <w:right w:val="none" w:sz="0" w:space="0" w:color="auto"/>
      </w:divBdr>
    </w:div>
    <w:div w:id="1544901857">
      <w:bodyDiv w:val="1"/>
      <w:marLeft w:val="0"/>
      <w:marRight w:val="0"/>
      <w:marTop w:val="0"/>
      <w:marBottom w:val="0"/>
      <w:divBdr>
        <w:top w:val="none" w:sz="0" w:space="0" w:color="auto"/>
        <w:left w:val="none" w:sz="0" w:space="0" w:color="auto"/>
        <w:bottom w:val="none" w:sz="0" w:space="0" w:color="auto"/>
        <w:right w:val="none" w:sz="0" w:space="0" w:color="auto"/>
      </w:divBdr>
    </w:div>
    <w:div w:id="1587151405">
      <w:bodyDiv w:val="1"/>
      <w:marLeft w:val="0"/>
      <w:marRight w:val="0"/>
      <w:marTop w:val="0"/>
      <w:marBottom w:val="0"/>
      <w:divBdr>
        <w:top w:val="none" w:sz="0" w:space="0" w:color="auto"/>
        <w:left w:val="none" w:sz="0" w:space="0" w:color="auto"/>
        <w:bottom w:val="none" w:sz="0" w:space="0" w:color="auto"/>
        <w:right w:val="none" w:sz="0" w:space="0" w:color="auto"/>
      </w:divBdr>
    </w:div>
    <w:div w:id="1656375864">
      <w:bodyDiv w:val="1"/>
      <w:marLeft w:val="0"/>
      <w:marRight w:val="0"/>
      <w:marTop w:val="0"/>
      <w:marBottom w:val="0"/>
      <w:divBdr>
        <w:top w:val="none" w:sz="0" w:space="0" w:color="auto"/>
        <w:left w:val="none" w:sz="0" w:space="0" w:color="auto"/>
        <w:bottom w:val="none" w:sz="0" w:space="0" w:color="auto"/>
        <w:right w:val="none" w:sz="0" w:space="0" w:color="auto"/>
      </w:divBdr>
    </w:div>
    <w:div w:id="1665472323">
      <w:bodyDiv w:val="1"/>
      <w:marLeft w:val="0"/>
      <w:marRight w:val="0"/>
      <w:marTop w:val="0"/>
      <w:marBottom w:val="0"/>
      <w:divBdr>
        <w:top w:val="none" w:sz="0" w:space="0" w:color="auto"/>
        <w:left w:val="none" w:sz="0" w:space="0" w:color="auto"/>
        <w:bottom w:val="none" w:sz="0" w:space="0" w:color="auto"/>
        <w:right w:val="none" w:sz="0" w:space="0" w:color="auto"/>
      </w:divBdr>
    </w:div>
    <w:div w:id="1701322114">
      <w:bodyDiv w:val="1"/>
      <w:marLeft w:val="0"/>
      <w:marRight w:val="0"/>
      <w:marTop w:val="0"/>
      <w:marBottom w:val="0"/>
      <w:divBdr>
        <w:top w:val="none" w:sz="0" w:space="0" w:color="auto"/>
        <w:left w:val="none" w:sz="0" w:space="0" w:color="auto"/>
        <w:bottom w:val="none" w:sz="0" w:space="0" w:color="auto"/>
        <w:right w:val="none" w:sz="0" w:space="0" w:color="auto"/>
      </w:divBdr>
    </w:div>
    <w:div w:id="1750077521">
      <w:bodyDiv w:val="1"/>
      <w:marLeft w:val="0"/>
      <w:marRight w:val="0"/>
      <w:marTop w:val="0"/>
      <w:marBottom w:val="0"/>
      <w:divBdr>
        <w:top w:val="none" w:sz="0" w:space="0" w:color="auto"/>
        <w:left w:val="none" w:sz="0" w:space="0" w:color="auto"/>
        <w:bottom w:val="none" w:sz="0" w:space="0" w:color="auto"/>
        <w:right w:val="none" w:sz="0" w:space="0" w:color="auto"/>
      </w:divBdr>
    </w:div>
    <w:div w:id="1792477232">
      <w:bodyDiv w:val="1"/>
      <w:marLeft w:val="0"/>
      <w:marRight w:val="0"/>
      <w:marTop w:val="0"/>
      <w:marBottom w:val="0"/>
      <w:divBdr>
        <w:top w:val="none" w:sz="0" w:space="0" w:color="auto"/>
        <w:left w:val="none" w:sz="0" w:space="0" w:color="auto"/>
        <w:bottom w:val="none" w:sz="0" w:space="0" w:color="auto"/>
        <w:right w:val="none" w:sz="0" w:space="0" w:color="auto"/>
      </w:divBdr>
    </w:div>
    <w:div w:id="1808280449">
      <w:bodyDiv w:val="1"/>
      <w:marLeft w:val="0"/>
      <w:marRight w:val="0"/>
      <w:marTop w:val="0"/>
      <w:marBottom w:val="0"/>
      <w:divBdr>
        <w:top w:val="none" w:sz="0" w:space="0" w:color="auto"/>
        <w:left w:val="none" w:sz="0" w:space="0" w:color="auto"/>
        <w:bottom w:val="none" w:sz="0" w:space="0" w:color="auto"/>
        <w:right w:val="none" w:sz="0" w:space="0" w:color="auto"/>
      </w:divBdr>
    </w:div>
    <w:div w:id="1873960760">
      <w:bodyDiv w:val="1"/>
      <w:marLeft w:val="0"/>
      <w:marRight w:val="0"/>
      <w:marTop w:val="0"/>
      <w:marBottom w:val="0"/>
      <w:divBdr>
        <w:top w:val="none" w:sz="0" w:space="0" w:color="auto"/>
        <w:left w:val="none" w:sz="0" w:space="0" w:color="auto"/>
        <w:bottom w:val="none" w:sz="0" w:space="0" w:color="auto"/>
        <w:right w:val="none" w:sz="0" w:space="0" w:color="auto"/>
      </w:divBdr>
    </w:div>
    <w:div w:id="1893729506">
      <w:bodyDiv w:val="1"/>
      <w:marLeft w:val="0"/>
      <w:marRight w:val="0"/>
      <w:marTop w:val="0"/>
      <w:marBottom w:val="0"/>
      <w:divBdr>
        <w:top w:val="none" w:sz="0" w:space="0" w:color="auto"/>
        <w:left w:val="none" w:sz="0" w:space="0" w:color="auto"/>
        <w:bottom w:val="none" w:sz="0" w:space="0" w:color="auto"/>
        <w:right w:val="none" w:sz="0" w:space="0" w:color="auto"/>
      </w:divBdr>
    </w:div>
    <w:div w:id="1905750965">
      <w:bodyDiv w:val="1"/>
      <w:marLeft w:val="0"/>
      <w:marRight w:val="0"/>
      <w:marTop w:val="0"/>
      <w:marBottom w:val="0"/>
      <w:divBdr>
        <w:top w:val="none" w:sz="0" w:space="0" w:color="auto"/>
        <w:left w:val="none" w:sz="0" w:space="0" w:color="auto"/>
        <w:bottom w:val="none" w:sz="0" w:space="0" w:color="auto"/>
        <w:right w:val="none" w:sz="0" w:space="0" w:color="auto"/>
      </w:divBdr>
    </w:div>
    <w:div w:id="1946109966">
      <w:bodyDiv w:val="1"/>
      <w:marLeft w:val="0"/>
      <w:marRight w:val="0"/>
      <w:marTop w:val="0"/>
      <w:marBottom w:val="0"/>
      <w:divBdr>
        <w:top w:val="none" w:sz="0" w:space="0" w:color="auto"/>
        <w:left w:val="none" w:sz="0" w:space="0" w:color="auto"/>
        <w:bottom w:val="none" w:sz="0" w:space="0" w:color="auto"/>
        <w:right w:val="none" w:sz="0" w:space="0" w:color="auto"/>
      </w:divBdr>
    </w:div>
    <w:div w:id="1961692195">
      <w:bodyDiv w:val="1"/>
      <w:marLeft w:val="0"/>
      <w:marRight w:val="0"/>
      <w:marTop w:val="0"/>
      <w:marBottom w:val="0"/>
      <w:divBdr>
        <w:top w:val="none" w:sz="0" w:space="0" w:color="auto"/>
        <w:left w:val="none" w:sz="0" w:space="0" w:color="auto"/>
        <w:bottom w:val="none" w:sz="0" w:space="0" w:color="auto"/>
        <w:right w:val="none" w:sz="0" w:space="0" w:color="auto"/>
      </w:divBdr>
    </w:div>
    <w:div w:id="1980572998">
      <w:bodyDiv w:val="1"/>
      <w:marLeft w:val="0"/>
      <w:marRight w:val="0"/>
      <w:marTop w:val="0"/>
      <w:marBottom w:val="0"/>
      <w:divBdr>
        <w:top w:val="none" w:sz="0" w:space="0" w:color="auto"/>
        <w:left w:val="none" w:sz="0" w:space="0" w:color="auto"/>
        <w:bottom w:val="none" w:sz="0" w:space="0" w:color="auto"/>
        <w:right w:val="none" w:sz="0" w:space="0" w:color="auto"/>
      </w:divBdr>
    </w:div>
    <w:div w:id="1997755178">
      <w:bodyDiv w:val="1"/>
      <w:marLeft w:val="0"/>
      <w:marRight w:val="0"/>
      <w:marTop w:val="0"/>
      <w:marBottom w:val="0"/>
      <w:divBdr>
        <w:top w:val="none" w:sz="0" w:space="0" w:color="auto"/>
        <w:left w:val="none" w:sz="0" w:space="0" w:color="auto"/>
        <w:bottom w:val="none" w:sz="0" w:space="0" w:color="auto"/>
        <w:right w:val="none" w:sz="0" w:space="0" w:color="auto"/>
      </w:divBdr>
    </w:div>
    <w:div w:id="2018801496">
      <w:bodyDiv w:val="1"/>
      <w:marLeft w:val="0"/>
      <w:marRight w:val="0"/>
      <w:marTop w:val="0"/>
      <w:marBottom w:val="0"/>
      <w:divBdr>
        <w:top w:val="none" w:sz="0" w:space="0" w:color="auto"/>
        <w:left w:val="none" w:sz="0" w:space="0" w:color="auto"/>
        <w:bottom w:val="none" w:sz="0" w:space="0" w:color="auto"/>
        <w:right w:val="none" w:sz="0" w:space="0" w:color="auto"/>
      </w:divBdr>
    </w:div>
    <w:div w:id="2054040818">
      <w:bodyDiv w:val="1"/>
      <w:marLeft w:val="0"/>
      <w:marRight w:val="0"/>
      <w:marTop w:val="0"/>
      <w:marBottom w:val="0"/>
      <w:divBdr>
        <w:top w:val="none" w:sz="0" w:space="0" w:color="auto"/>
        <w:left w:val="none" w:sz="0" w:space="0" w:color="auto"/>
        <w:bottom w:val="none" w:sz="0" w:space="0" w:color="auto"/>
        <w:right w:val="none" w:sz="0" w:space="0" w:color="auto"/>
      </w:divBdr>
    </w:div>
    <w:div w:id="2055499825">
      <w:bodyDiv w:val="1"/>
      <w:marLeft w:val="0"/>
      <w:marRight w:val="0"/>
      <w:marTop w:val="0"/>
      <w:marBottom w:val="0"/>
      <w:divBdr>
        <w:top w:val="none" w:sz="0" w:space="0" w:color="auto"/>
        <w:left w:val="none" w:sz="0" w:space="0" w:color="auto"/>
        <w:bottom w:val="none" w:sz="0" w:space="0" w:color="auto"/>
        <w:right w:val="none" w:sz="0" w:space="0" w:color="auto"/>
      </w:divBdr>
    </w:div>
    <w:div w:id="2060662730">
      <w:bodyDiv w:val="1"/>
      <w:marLeft w:val="0"/>
      <w:marRight w:val="0"/>
      <w:marTop w:val="0"/>
      <w:marBottom w:val="0"/>
      <w:divBdr>
        <w:top w:val="none" w:sz="0" w:space="0" w:color="auto"/>
        <w:left w:val="none" w:sz="0" w:space="0" w:color="auto"/>
        <w:bottom w:val="none" w:sz="0" w:space="0" w:color="auto"/>
        <w:right w:val="none" w:sz="0" w:space="0" w:color="auto"/>
      </w:divBdr>
    </w:div>
    <w:div w:id="2107384893">
      <w:bodyDiv w:val="1"/>
      <w:marLeft w:val="0"/>
      <w:marRight w:val="0"/>
      <w:marTop w:val="0"/>
      <w:marBottom w:val="0"/>
      <w:divBdr>
        <w:top w:val="none" w:sz="0" w:space="0" w:color="auto"/>
        <w:left w:val="none" w:sz="0" w:space="0" w:color="auto"/>
        <w:bottom w:val="none" w:sz="0" w:space="0" w:color="auto"/>
        <w:right w:val="none" w:sz="0" w:space="0" w:color="auto"/>
      </w:divBdr>
    </w:div>
    <w:div w:id="2113092030">
      <w:bodyDiv w:val="1"/>
      <w:marLeft w:val="0"/>
      <w:marRight w:val="0"/>
      <w:marTop w:val="0"/>
      <w:marBottom w:val="0"/>
      <w:divBdr>
        <w:top w:val="none" w:sz="0" w:space="0" w:color="auto"/>
        <w:left w:val="none" w:sz="0" w:space="0" w:color="auto"/>
        <w:bottom w:val="none" w:sz="0" w:space="0" w:color="auto"/>
        <w:right w:val="none" w:sz="0" w:space="0" w:color="auto"/>
      </w:divBdr>
    </w:div>
    <w:div w:id="2118938517">
      <w:bodyDiv w:val="1"/>
      <w:marLeft w:val="0"/>
      <w:marRight w:val="0"/>
      <w:marTop w:val="0"/>
      <w:marBottom w:val="0"/>
      <w:divBdr>
        <w:top w:val="none" w:sz="0" w:space="0" w:color="auto"/>
        <w:left w:val="none" w:sz="0" w:space="0" w:color="auto"/>
        <w:bottom w:val="none" w:sz="0" w:space="0" w:color="auto"/>
        <w:right w:val="none" w:sz="0" w:space="0" w:color="auto"/>
      </w:divBdr>
    </w:div>
    <w:div w:id="2122414148">
      <w:bodyDiv w:val="1"/>
      <w:marLeft w:val="0"/>
      <w:marRight w:val="0"/>
      <w:marTop w:val="0"/>
      <w:marBottom w:val="0"/>
      <w:divBdr>
        <w:top w:val="none" w:sz="0" w:space="0" w:color="auto"/>
        <w:left w:val="none" w:sz="0" w:space="0" w:color="auto"/>
        <w:bottom w:val="none" w:sz="0" w:space="0" w:color="auto"/>
        <w:right w:val="none" w:sz="0" w:space="0" w:color="auto"/>
      </w:divBdr>
    </w:div>
    <w:div w:id="21318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5710</TotalTime>
  <Pages>7</Pages>
  <Words>3107</Words>
  <Characters>18026</Characters>
  <Application>Microsoft Office Word</Application>
  <DocSecurity>0</DocSecurity>
  <Lines>150</Lines>
  <Paragraphs>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Sergiu Sofronii</cp:lastModifiedBy>
  <cp:revision>244</cp:revision>
  <dcterms:created xsi:type="dcterms:W3CDTF">2023-09-11T08:12:00Z</dcterms:created>
  <dcterms:modified xsi:type="dcterms:W3CDTF">2026-04-05T10:45:00Z</dcterms:modified>
</cp:coreProperties>
</file>