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C357" w14:textId="77777777" w:rsidR="003F0F5E" w:rsidRPr="003F0F5E" w:rsidRDefault="003F0F5E" w:rsidP="003F0F5E">
      <w:pPr>
        <w:spacing w:line="259" w:lineRule="auto"/>
        <w:jc w:val="center"/>
        <w:rPr>
          <w:rFonts w:eastAsia="Calibri" w:cs="Times New Roman"/>
          <w:i/>
          <w:iCs/>
          <w:kern w:val="0"/>
          <w:szCs w:val="28"/>
          <w:lang w:val="ro-MD"/>
          <w14:ligatures w14:val="none"/>
        </w:rPr>
      </w:pPr>
      <w:r w:rsidRPr="003F0F5E">
        <w:rPr>
          <w:rFonts w:eastAsia="Calibri" w:cs="Times New Roman"/>
          <w:i/>
          <w:iCs/>
          <w:noProof/>
          <w:kern w:val="0"/>
          <w:szCs w:val="28"/>
          <w:lang w:val="ro-MD"/>
          <w14:ligatures w14:val="none"/>
        </w:rPr>
        <w:drawing>
          <wp:inline distT="0" distB="0" distL="0" distR="0" wp14:anchorId="5CEAEA26" wp14:editId="3B25A41F">
            <wp:extent cx="560705" cy="7073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 cy="707390"/>
                    </a:xfrm>
                    <a:prstGeom prst="rect">
                      <a:avLst/>
                    </a:prstGeom>
                    <a:noFill/>
                  </pic:spPr>
                </pic:pic>
              </a:graphicData>
            </a:graphic>
          </wp:inline>
        </w:drawing>
      </w:r>
    </w:p>
    <w:p w14:paraId="3143B93F"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0E267B29" w14:textId="77777777" w:rsidR="003F0F5E" w:rsidRPr="003F0F5E" w:rsidRDefault="003F0F5E" w:rsidP="003F0F5E">
      <w:pPr>
        <w:spacing w:line="259" w:lineRule="auto"/>
        <w:jc w:val="center"/>
        <w:rPr>
          <w:rFonts w:eastAsia="Calibri" w:cs="Times New Roman"/>
          <w:b/>
          <w:bCs/>
          <w:kern w:val="0"/>
          <w:sz w:val="32"/>
          <w:szCs w:val="32"/>
          <w:lang w:val="ro-MD"/>
          <w14:ligatures w14:val="none"/>
        </w:rPr>
      </w:pPr>
      <w:r w:rsidRPr="003F0F5E">
        <w:rPr>
          <w:rFonts w:eastAsia="Calibri" w:cs="Times New Roman"/>
          <w:b/>
          <w:bCs/>
          <w:kern w:val="0"/>
          <w:sz w:val="32"/>
          <w:szCs w:val="32"/>
          <w:lang w:val="ro-MD"/>
          <w14:ligatures w14:val="none"/>
        </w:rPr>
        <w:t>GUVERNUL REPUBLICII MOLDOVA</w:t>
      </w:r>
    </w:p>
    <w:p w14:paraId="754F7C21" w14:textId="77777777" w:rsidR="003F0F5E" w:rsidRPr="003F0F5E" w:rsidRDefault="003F0F5E" w:rsidP="003F0F5E">
      <w:pPr>
        <w:spacing w:line="259" w:lineRule="auto"/>
        <w:jc w:val="center"/>
        <w:rPr>
          <w:rFonts w:eastAsia="Calibri" w:cs="Times New Roman"/>
          <w:b/>
          <w:bCs/>
          <w:kern w:val="0"/>
          <w:sz w:val="32"/>
          <w:szCs w:val="32"/>
          <w:lang w:val="ro-MD"/>
          <w14:ligatures w14:val="none"/>
        </w:rPr>
      </w:pPr>
    </w:p>
    <w:p w14:paraId="0559EC96" w14:textId="77777777" w:rsidR="003F0F5E" w:rsidRPr="003F0F5E" w:rsidRDefault="003F0F5E" w:rsidP="003F0F5E">
      <w:pPr>
        <w:spacing w:line="259" w:lineRule="auto"/>
        <w:jc w:val="center"/>
        <w:rPr>
          <w:rFonts w:eastAsia="Calibri" w:cs="Times New Roman"/>
          <w:b/>
          <w:bCs/>
          <w:kern w:val="0"/>
          <w:sz w:val="32"/>
          <w:szCs w:val="32"/>
          <w:lang w:val="ro-MD"/>
          <w14:ligatures w14:val="none"/>
        </w:rPr>
      </w:pPr>
      <w:r w:rsidRPr="003F0F5E">
        <w:rPr>
          <w:rFonts w:eastAsia="Calibri" w:cs="Times New Roman"/>
          <w:b/>
          <w:bCs/>
          <w:kern w:val="0"/>
          <w:sz w:val="32"/>
          <w:szCs w:val="32"/>
          <w:lang w:val="ro-MD"/>
          <w14:ligatures w14:val="none"/>
        </w:rPr>
        <w:t>DECIZIE PROTOCOLARĂ nr. ___/2026</w:t>
      </w:r>
    </w:p>
    <w:p w14:paraId="65D5EDDD" w14:textId="77777777" w:rsidR="003F0F5E" w:rsidRPr="003F0F5E" w:rsidRDefault="003F0F5E" w:rsidP="003F0F5E">
      <w:pPr>
        <w:spacing w:line="259" w:lineRule="auto"/>
        <w:jc w:val="center"/>
        <w:rPr>
          <w:rFonts w:eastAsia="Calibri" w:cs="Times New Roman"/>
          <w:b/>
          <w:bCs/>
          <w:i/>
          <w:iCs/>
          <w:kern w:val="0"/>
          <w:szCs w:val="28"/>
          <w:lang w:val="ro-MD"/>
          <w14:ligatures w14:val="none"/>
        </w:rPr>
      </w:pPr>
    </w:p>
    <w:p w14:paraId="5B131A0A" w14:textId="77777777" w:rsidR="003F0F5E" w:rsidRPr="003F0F5E" w:rsidRDefault="003F0F5E" w:rsidP="003F0F5E">
      <w:pPr>
        <w:spacing w:line="259" w:lineRule="auto"/>
        <w:jc w:val="center"/>
        <w:rPr>
          <w:rFonts w:eastAsia="Calibri" w:cs="Times New Roman"/>
          <w:b/>
          <w:bCs/>
          <w:i/>
          <w:iCs/>
          <w:kern w:val="0"/>
          <w:szCs w:val="28"/>
          <w:lang w:val="ro-MD"/>
          <w14:ligatures w14:val="none"/>
        </w:rPr>
      </w:pPr>
    </w:p>
    <w:p w14:paraId="06DADAE9" w14:textId="77777777" w:rsidR="003F0F5E" w:rsidRPr="003F0F5E" w:rsidRDefault="003F0F5E" w:rsidP="003F0F5E">
      <w:pPr>
        <w:spacing w:line="259" w:lineRule="auto"/>
        <w:jc w:val="center"/>
        <w:rPr>
          <w:rFonts w:eastAsia="Calibri" w:cs="Times New Roman"/>
          <w:b/>
          <w:bCs/>
          <w:i/>
          <w:iCs/>
          <w:kern w:val="0"/>
          <w:szCs w:val="28"/>
          <w:u w:val="single"/>
          <w:lang w:val="ro-MD"/>
          <w14:ligatures w14:val="none"/>
        </w:rPr>
      </w:pPr>
      <w:r w:rsidRPr="003F0F5E">
        <w:rPr>
          <w:rFonts w:eastAsia="Calibri" w:cs="Times New Roman"/>
          <w:b/>
          <w:bCs/>
          <w:i/>
          <w:iCs/>
          <w:kern w:val="0"/>
          <w:szCs w:val="28"/>
          <w:u w:val="single"/>
          <w:lang w:val="ro-MD"/>
          <w14:ligatures w14:val="none"/>
        </w:rPr>
        <w:t>Extras din procesul-verbal nr. _ __ (pct. ____)</w:t>
      </w:r>
    </w:p>
    <w:p w14:paraId="150CD7FE" w14:textId="77777777" w:rsidR="003F0F5E" w:rsidRPr="003F0F5E" w:rsidRDefault="003F0F5E" w:rsidP="003F0F5E">
      <w:pPr>
        <w:spacing w:line="259" w:lineRule="auto"/>
        <w:jc w:val="center"/>
        <w:rPr>
          <w:rFonts w:eastAsia="Calibri" w:cs="Times New Roman"/>
          <w:b/>
          <w:bCs/>
          <w:i/>
          <w:iCs/>
          <w:kern w:val="0"/>
          <w:szCs w:val="28"/>
          <w:u w:val="single"/>
          <w:lang w:val="ro-MD"/>
          <w14:ligatures w14:val="none"/>
        </w:rPr>
      </w:pPr>
    </w:p>
    <w:p w14:paraId="28C6D95B" w14:textId="77777777" w:rsidR="003F0F5E" w:rsidRPr="003F0F5E" w:rsidRDefault="003F0F5E" w:rsidP="003F0F5E">
      <w:pPr>
        <w:spacing w:line="259" w:lineRule="auto"/>
        <w:jc w:val="center"/>
        <w:rPr>
          <w:rFonts w:eastAsia="Calibri" w:cs="Times New Roman"/>
          <w:i/>
          <w:iCs/>
          <w:kern w:val="0"/>
          <w:szCs w:val="28"/>
          <w:u w:val="single"/>
          <w:lang w:val="ro-MD"/>
          <w14:ligatures w14:val="none"/>
        </w:rPr>
      </w:pPr>
      <w:r w:rsidRPr="003F0F5E">
        <w:rPr>
          <w:rFonts w:eastAsia="Calibri" w:cs="Times New Roman"/>
          <w:b/>
          <w:bCs/>
          <w:i/>
          <w:iCs/>
          <w:kern w:val="0"/>
          <w:szCs w:val="28"/>
          <w:u w:val="single"/>
          <w:lang w:val="ro-MD"/>
          <w14:ligatures w14:val="none"/>
        </w:rPr>
        <w:t>al ședinței Guvernului din __ _ ____ 2026</w:t>
      </w:r>
    </w:p>
    <w:p w14:paraId="6F8D46BB"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19DF6980"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2ADF06D4"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4915B6C0"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6110C561" w14:textId="77777777" w:rsidR="003F0F5E" w:rsidRPr="003F0F5E" w:rsidRDefault="003F0F5E" w:rsidP="003F0F5E">
      <w:pPr>
        <w:spacing w:line="259" w:lineRule="auto"/>
        <w:ind w:firstLine="709"/>
        <w:jc w:val="both"/>
        <w:rPr>
          <w:rFonts w:eastAsia="Calibri" w:cs="Times New Roman"/>
          <w:kern w:val="0"/>
          <w:szCs w:val="28"/>
          <w:lang w:val="ro-MD"/>
          <w14:ligatures w14:val="none"/>
        </w:rPr>
      </w:pPr>
      <w:r w:rsidRPr="003F0F5E">
        <w:rPr>
          <w:rFonts w:eastAsia="Calibri" w:cs="Times New Roman"/>
          <w:kern w:val="0"/>
          <w:szCs w:val="28"/>
          <w:lang w:val="ro-MD"/>
          <w14:ligatures w14:val="none"/>
        </w:rPr>
        <w:t xml:space="preserve">Se aprobă și se prezintă Parlamentului spre examinare proiectul de lege pentru modificarea Legii nr. 131/2007 privind siguranța traficului rutier.  </w:t>
      </w:r>
    </w:p>
    <w:p w14:paraId="5B710E13"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1B35E810" w14:textId="77777777" w:rsidR="003F0F5E" w:rsidRPr="003F0F5E" w:rsidRDefault="003F0F5E" w:rsidP="003F0F5E">
      <w:pPr>
        <w:spacing w:line="259" w:lineRule="auto"/>
        <w:jc w:val="center"/>
        <w:rPr>
          <w:rFonts w:eastAsia="Calibri" w:cs="Times New Roman"/>
          <w:i/>
          <w:iCs/>
          <w:kern w:val="0"/>
          <w:szCs w:val="28"/>
          <w:lang w:val="ro-MD"/>
          <w14:ligatures w14:val="none"/>
        </w:rPr>
      </w:pPr>
    </w:p>
    <w:p w14:paraId="7E147CA2" w14:textId="77777777" w:rsidR="003F0F5E" w:rsidRPr="003F0F5E" w:rsidRDefault="003F0F5E" w:rsidP="003F0F5E">
      <w:pPr>
        <w:spacing w:line="259" w:lineRule="auto"/>
        <w:jc w:val="center"/>
        <w:rPr>
          <w:rFonts w:eastAsia="Calibri" w:cs="Times New Roman"/>
          <w:b/>
          <w:bCs/>
          <w:kern w:val="0"/>
          <w:szCs w:val="28"/>
          <w:lang w:val="ro-MD"/>
          <w14:ligatures w14:val="none"/>
        </w:rPr>
      </w:pPr>
      <w:r w:rsidRPr="003F0F5E">
        <w:rPr>
          <w:rFonts w:eastAsia="Calibri" w:cs="Times New Roman"/>
          <w:b/>
          <w:bCs/>
          <w:kern w:val="0"/>
          <w:szCs w:val="28"/>
          <w:lang w:val="ro-MD"/>
          <w14:ligatures w14:val="none"/>
        </w:rPr>
        <w:t xml:space="preserve">PRIM-MINISTRU </w:t>
      </w:r>
      <w:r w:rsidRPr="003F0F5E">
        <w:rPr>
          <w:rFonts w:eastAsia="Calibri" w:cs="Times New Roman"/>
          <w:b/>
          <w:bCs/>
          <w:kern w:val="0"/>
          <w:szCs w:val="28"/>
          <w:lang w:val="ro-MD"/>
          <w14:ligatures w14:val="none"/>
        </w:rPr>
        <w:tab/>
      </w:r>
      <w:r w:rsidRPr="003F0F5E">
        <w:rPr>
          <w:rFonts w:eastAsia="Calibri" w:cs="Times New Roman"/>
          <w:b/>
          <w:bCs/>
          <w:kern w:val="0"/>
          <w:szCs w:val="28"/>
          <w:lang w:val="ro-MD"/>
          <w14:ligatures w14:val="none"/>
        </w:rPr>
        <w:tab/>
        <w:t xml:space="preserve">                                ALEXANDRU MUNTEANU</w:t>
      </w:r>
      <w:r w:rsidRPr="003F0F5E">
        <w:rPr>
          <w:rFonts w:eastAsia="Calibri" w:cs="Times New Roman"/>
          <w:b/>
          <w:bCs/>
          <w:kern w:val="0"/>
          <w:szCs w:val="28"/>
          <w:lang w:val="ro-MD"/>
          <w14:ligatures w14:val="none"/>
        </w:rPr>
        <w:tab/>
      </w:r>
      <w:r w:rsidRPr="003F0F5E">
        <w:rPr>
          <w:rFonts w:eastAsia="Calibri" w:cs="Times New Roman"/>
          <w:b/>
          <w:bCs/>
          <w:kern w:val="0"/>
          <w:szCs w:val="28"/>
          <w:lang w:val="ro-MD"/>
          <w14:ligatures w14:val="none"/>
        </w:rPr>
        <w:tab/>
      </w:r>
      <w:r w:rsidRPr="003F0F5E">
        <w:rPr>
          <w:rFonts w:eastAsia="Calibri" w:cs="Times New Roman"/>
          <w:b/>
          <w:bCs/>
          <w:kern w:val="0"/>
          <w:szCs w:val="28"/>
          <w:lang w:val="ro-MD"/>
          <w14:ligatures w14:val="none"/>
        </w:rPr>
        <w:tab/>
        <w:t xml:space="preserve">        </w:t>
      </w:r>
    </w:p>
    <w:p w14:paraId="72FE5659"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22438C25"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14642C01"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61F8DD8E"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23587D75"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14D1C86C"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4F02A5AF" w14:textId="77777777" w:rsidR="003F0F5E" w:rsidRPr="003F0F5E" w:rsidRDefault="003F0F5E" w:rsidP="003F0F5E">
      <w:pPr>
        <w:spacing w:line="259" w:lineRule="auto"/>
        <w:jc w:val="right"/>
        <w:rPr>
          <w:rFonts w:eastAsia="Calibri" w:cs="Times New Roman"/>
          <w:i/>
          <w:iCs/>
          <w:kern w:val="0"/>
          <w:szCs w:val="28"/>
          <w:lang w:val="ro-MD"/>
          <w14:ligatures w14:val="none"/>
        </w:rPr>
      </w:pPr>
    </w:p>
    <w:p w14:paraId="339B0B3C" w14:textId="77777777" w:rsidR="003F0F5E" w:rsidRPr="003F0F5E" w:rsidRDefault="003F0F5E" w:rsidP="003F0F5E">
      <w:pPr>
        <w:spacing w:line="259" w:lineRule="auto"/>
        <w:jc w:val="right"/>
        <w:rPr>
          <w:rFonts w:eastAsia="Calibri" w:cs="Times New Roman"/>
          <w:i/>
          <w:iCs/>
          <w:kern w:val="0"/>
          <w:szCs w:val="28"/>
          <w:lang w:val="ro-MD"/>
          <w14:ligatures w14:val="none"/>
        </w:rPr>
      </w:pPr>
      <w:r w:rsidRPr="003F0F5E">
        <w:rPr>
          <w:rFonts w:eastAsia="Calibri" w:cs="Times New Roman"/>
          <w:i/>
          <w:iCs/>
          <w:kern w:val="0"/>
          <w:szCs w:val="28"/>
          <w:lang w:val="ro-MD"/>
          <w14:ligatures w14:val="none"/>
        </w:rPr>
        <w:lastRenderedPageBreak/>
        <w:t>Proiect</w:t>
      </w:r>
    </w:p>
    <w:p w14:paraId="5E0ABC69" w14:textId="77777777" w:rsidR="003F0F5E" w:rsidRPr="003F0F5E" w:rsidRDefault="003F0F5E" w:rsidP="003F0F5E">
      <w:pPr>
        <w:spacing w:line="259" w:lineRule="auto"/>
        <w:jc w:val="right"/>
        <w:rPr>
          <w:rFonts w:eastAsia="Calibri" w:cs="Times New Roman"/>
          <w:b/>
          <w:bCs/>
          <w:kern w:val="0"/>
          <w:sz w:val="32"/>
          <w:szCs w:val="32"/>
          <w:lang w:val="ro-MD"/>
          <w14:ligatures w14:val="none"/>
        </w:rPr>
      </w:pPr>
      <w:r w:rsidRPr="003F0F5E">
        <w:rPr>
          <w:rFonts w:eastAsia="Calibri" w:cs="Times New Roman"/>
          <w:b/>
          <w:bCs/>
          <w:kern w:val="0"/>
          <w:sz w:val="32"/>
          <w:szCs w:val="32"/>
          <w:lang w:val="ro-MD"/>
          <w14:ligatures w14:val="none"/>
        </w:rPr>
        <w:t>UE</w:t>
      </w:r>
    </w:p>
    <w:p w14:paraId="2CAF0AA8" w14:textId="248B9290" w:rsidR="003F0F5E" w:rsidRPr="003F0F5E" w:rsidRDefault="003F0F5E" w:rsidP="003F0F5E">
      <w:pPr>
        <w:spacing w:after="0"/>
        <w:jc w:val="center"/>
        <w:rPr>
          <w:rFonts w:cs="Times New Roman"/>
          <w:b/>
          <w:bCs/>
          <w:szCs w:val="28"/>
          <w:lang w:val="ro-MD"/>
        </w:rPr>
      </w:pPr>
      <w:r w:rsidRPr="003F0F5E">
        <w:rPr>
          <w:rFonts w:cs="Times New Roman"/>
          <w:b/>
          <w:bCs/>
          <w:szCs w:val="28"/>
          <w:lang w:val="ro-MD"/>
        </w:rPr>
        <w:t>L E G E</w:t>
      </w:r>
    </w:p>
    <w:p w14:paraId="5238A5DF" w14:textId="19825BAE" w:rsidR="003F0F5E" w:rsidRPr="003F0F5E" w:rsidRDefault="003F0F5E" w:rsidP="003F0F5E">
      <w:pPr>
        <w:spacing w:after="0"/>
        <w:jc w:val="center"/>
        <w:rPr>
          <w:rFonts w:cs="Times New Roman"/>
          <w:b/>
          <w:bCs/>
          <w:szCs w:val="28"/>
          <w:lang w:val="ro-MD"/>
        </w:rPr>
      </w:pPr>
      <w:r w:rsidRPr="003F0F5E">
        <w:rPr>
          <w:rFonts w:cs="Times New Roman"/>
          <w:b/>
          <w:bCs/>
          <w:szCs w:val="28"/>
          <w:lang w:val="ro-MD"/>
        </w:rPr>
        <w:t>pentru modificarea Legii nr. 131/2007 privind siguranța traficului rutier</w:t>
      </w:r>
    </w:p>
    <w:p w14:paraId="624049DB" w14:textId="77777777" w:rsidR="003F0F5E" w:rsidRPr="003F0F5E" w:rsidRDefault="003F0F5E" w:rsidP="003F0F5E">
      <w:pPr>
        <w:spacing w:after="0"/>
        <w:ind w:firstLine="709"/>
        <w:jc w:val="both"/>
        <w:rPr>
          <w:rFonts w:cs="Times New Roman"/>
          <w:szCs w:val="28"/>
          <w:lang w:val="ro-MD"/>
        </w:rPr>
      </w:pPr>
    </w:p>
    <w:p w14:paraId="575E3B56"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Prezenta lege transpune parțial articolul 8 din Decizia Consiliului (2004/919/CE) din 22 decembrie 2004 privind combaterea criminalității referitoare la vehicule și având implicații transfrontaliere, CELEX 32004D0919, publicată în Jurnalul Oficial al Uniunii Europene seria L, nr. 389 din 30 decembrie 2004.  </w:t>
      </w:r>
    </w:p>
    <w:p w14:paraId="551737D8"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Parlamentul adoptă prezenta lege organică.</w:t>
      </w:r>
    </w:p>
    <w:p w14:paraId="76C63EFE" w14:textId="77777777" w:rsidR="003F0F5E" w:rsidRPr="003F0F5E" w:rsidRDefault="003F0F5E" w:rsidP="003F0F5E">
      <w:pPr>
        <w:spacing w:after="0"/>
        <w:ind w:firstLine="709"/>
        <w:jc w:val="both"/>
        <w:rPr>
          <w:rFonts w:cs="Times New Roman"/>
          <w:szCs w:val="28"/>
          <w:lang w:val="ro-MD"/>
        </w:rPr>
      </w:pPr>
      <w:r w:rsidRPr="003F0F5E">
        <w:rPr>
          <w:rFonts w:cs="Times New Roman"/>
          <w:b/>
          <w:bCs/>
          <w:szCs w:val="28"/>
          <w:lang w:val="ro-MD"/>
        </w:rPr>
        <w:t>Art. I.</w:t>
      </w:r>
      <w:r w:rsidRPr="003F0F5E">
        <w:rPr>
          <w:rFonts w:cs="Times New Roman"/>
          <w:szCs w:val="28"/>
          <w:lang w:val="ro-MD"/>
        </w:rPr>
        <w:t xml:space="preserve"> – Legea nr. 131/2007 privind siguranța traficului rutier (republicată în Monitorul Oficial al Republicii Moldova, 2015, nr. 11–21, art. 6), cu modificările ulterioare, se modifică după cum urmează:</w:t>
      </w:r>
    </w:p>
    <w:p w14:paraId="2E6B9B33"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sidRPr="003F0F5E">
        <w:rPr>
          <w:rFonts w:cs="Times New Roman"/>
          <w:szCs w:val="28"/>
          <w:lang w:val="ro-MD"/>
        </w:rPr>
        <w:tab/>
        <w:t>Se completează cu clauza de armonizare, cu următorul cuprins:</w:t>
      </w:r>
    </w:p>
    <w:p w14:paraId="712DAFFE"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„Prezenta lege transpune parțial articolul 8 din Decizia Consiliului .(2004/919/CE) din 22 decembrie 2004 privind combaterea criminalității referitoare la vehicule și având implicații transfrontaliere, CELEX 32004D0919, publicată în Jurnalul Oficial al Uniunii Europene seria L, nr.389 din 30 decembrie 2004.”.  </w:t>
      </w:r>
    </w:p>
    <w:p w14:paraId="00C59385"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2.</w:t>
      </w:r>
      <w:r w:rsidRPr="003F0F5E">
        <w:rPr>
          <w:rFonts w:cs="Times New Roman"/>
          <w:szCs w:val="28"/>
          <w:lang w:val="ro-MD"/>
        </w:rPr>
        <w:tab/>
        <w:t>Articolul 2, după noțiunea „conducere preventivă” se completează cu o noțiune nouă, cu următorul cuprins:</w:t>
      </w:r>
    </w:p>
    <w:p w14:paraId="36B90CB0"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w:t>
      </w:r>
      <w:r w:rsidRPr="00A703DA">
        <w:rPr>
          <w:rFonts w:cs="Times New Roman"/>
          <w:i/>
          <w:iCs/>
          <w:szCs w:val="28"/>
          <w:lang w:val="ro-MD"/>
        </w:rPr>
        <w:t>daună totală a vehiculului</w:t>
      </w:r>
      <w:r w:rsidRPr="003F0F5E">
        <w:rPr>
          <w:rFonts w:cs="Times New Roman"/>
          <w:szCs w:val="28"/>
          <w:lang w:val="ro-MD"/>
        </w:rPr>
        <w:t xml:space="preserve"> - situația în care vehiculul a suferit avarii, constatate în condițiile legislației din domeniul asigurării obligatorii de răspundere civilă auto, în urma cărora acesta nu mai poate fi recondiționat din punct de vedere tehnic sau economic.”. </w:t>
      </w:r>
    </w:p>
    <w:p w14:paraId="74289EB1"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3.</w:t>
      </w:r>
      <w:r w:rsidRPr="003F0F5E">
        <w:rPr>
          <w:rFonts w:cs="Times New Roman"/>
          <w:szCs w:val="28"/>
          <w:lang w:val="ro-MD"/>
        </w:rPr>
        <w:tab/>
        <w:t>La articolul 55:</w:t>
      </w:r>
    </w:p>
    <w:p w14:paraId="555CE10A"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Articolul 55 va avea următorul cuprins: </w:t>
      </w:r>
    </w:p>
    <w:p w14:paraId="67321678"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w:t>
      </w:r>
      <w:r w:rsidRPr="003F0F5E">
        <w:rPr>
          <w:rFonts w:cs="Times New Roman"/>
          <w:b/>
          <w:bCs/>
          <w:szCs w:val="28"/>
          <w:lang w:val="ro-MD"/>
        </w:rPr>
        <w:t>Articolul 55.</w:t>
      </w:r>
      <w:r w:rsidRPr="003F0F5E">
        <w:rPr>
          <w:rFonts w:cs="Times New Roman"/>
          <w:szCs w:val="28"/>
          <w:lang w:val="ro-MD"/>
        </w:rPr>
        <w:t xml:space="preserve"> Radierea din Registrul de stat al vehiculelor</w:t>
      </w:r>
    </w:p>
    <w:p w14:paraId="0794F1A2"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 Radierea vehiculelor din Registrul de stat al vehiculelor se face de către autoritatea care a efectuat înmatricularea sau înregistrarea, în următoarele cazuri:</w:t>
      </w:r>
    </w:p>
    <w:p w14:paraId="780686E0"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a) proprietarul sau mandatarul dorește retragerea din circulație a vehiculului și face dovada depozitării acestuia în afara domeniului public;</w:t>
      </w:r>
    </w:p>
    <w:p w14:paraId="2D7133F7"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b) proprietarul sau mandatarul face dovada dezmembrării, casării sau predării vehiculului la unități specializate; </w:t>
      </w:r>
    </w:p>
    <w:p w14:paraId="6AE3567B" w14:textId="42481AF6"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c) vehiculul urmează să fie scos definitiv din Republica Moldova</w:t>
      </w:r>
      <w:r w:rsidR="00925719">
        <w:rPr>
          <w:rFonts w:cs="Times New Roman"/>
          <w:szCs w:val="28"/>
          <w:lang w:val="ro-MD"/>
        </w:rPr>
        <w:t>;</w:t>
      </w:r>
    </w:p>
    <w:p w14:paraId="2E799F07"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d) în baza notificării actului de constatare a daunei totale transmis de autoritatea sau entitatea competentă potrivit alin. (2).</w:t>
      </w:r>
    </w:p>
    <w:p w14:paraId="0AD68A37"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(2) În cazul constatării daunei totale a vehiculului, actul de constatare se întocmește de către asigurătorul care practică asigurarea obligatorie de răspundere civilă auto, în condițiile legislației din domeniul asigurărilor, sau, după caz, de către autoritatea ori entitatea competentă potrivit legii, în baza evaluărilor tehnice efectuate în condițiile legii. </w:t>
      </w:r>
    </w:p>
    <w:p w14:paraId="63811C12"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(3) În cazurile în care dauna totală a vehiculului rezultă din documentarea accidentelor rutiere, Poliția transmite, în limitele competenței, actele și informațiile </w:t>
      </w:r>
      <w:r w:rsidRPr="003F0F5E">
        <w:rPr>
          <w:rFonts w:cs="Times New Roman"/>
          <w:szCs w:val="28"/>
          <w:lang w:val="ro-MD"/>
        </w:rPr>
        <w:lastRenderedPageBreak/>
        <w:t xml:space="preserve">relevante către autoritatea ori entitatea competentă pentru întocmirea actului de constatare a daunei totale a vehiculului, sau, după caz, către Agenția Servicii Publice, potrivit procedurii stabilite de Guvern. </w:t>
      </w:r>
    </w:p>
    <w:p w14:paraId="6B1ED24D"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(4) Proprietarul sau mandatarul vehiculului este notificat printr-un act de constatare de către autoritatea ori entitatea competentă despre constatarea daunei totale a vehiculului, consecințele juridice ale acesteia, inclusiv inițierea procedurii de radiere, precum și despre dreptul de contestare în instanța de judecată. </w:t>
      </w:r>
    </w:p>
    <w:p w14:paraId="1876C62B"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(5) Proprietarul sau mandatarul vehiculului este în drept să conteste, în instanța de judecată, actul de constatare a daunei totale a vehiculului, în termen de 30 de zile de la data notificării. În cazul contestării actului de constatare, procedura de radiere se suspendă până la rămânerea definitivă a hotărârii judecătorești.  </w:t>
      </w:r>
    </w:p>
    <w:p w14:paraId="1F9D0C35"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(6) Radierea vehiculului în temeiul alin. (1) lit. d) se efectuează după expirarea termenului de 30 de zile de la data notificării proprietarului sau mandatarului acestuia, dacă actul de constatare nu a fost contestat, sau după rămânerea definitivă a hotărârii judecătorești prin care contestația a fost respinsă. </w:t>
      </w:r>
    </w:p>
    <w:p w14:paraId="66EA03A6"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(7) În cazul în care vehiculul care a suportat daună totală face obiectul unei cauze sau este supus unor măsuri asigurătorii ori altor măsuri de indisponibilizare, dispuse în condițiile legii, radierea din Registrul de stat al vehiculelor se suspendă până la soluționarea definitivă a cauzei sau până la dispunerea de către organul competent asupra bunului. </w:t>
      </w:r>
    </w:p>
    <w:p w14:paraId="3A9AF290" w14:textId="77777777" w:rsidR="003F0F5E" w:rsidRDefault="003F0F5E" w:rsidP="003F0F5E">
      <w:pPr>
        <w:spacing w:after="0"/>
        <w:ind w:firstLine="709"/>
        <w:jc w:val="both"/>
        <w:rPr>
          <w:rFonts w:cs="Times New Roman"/>
          <w:szCs w:val="28"/>
          <w:lang w:val="ro-MD"/>
        </w:rPr>
      </w:pPr>
      <w:r w:rsidRPr="003F0F5E">
        <w:rPr>
          <w:rFonts w:cs="Times New Roman"/>
          <w:szCs w:val="28"/>
          <w:lang w:val="ro-MD"/>
        </w:rPr>
        <w:t xml:space="preserve">(8) Prin derogare de la alin. (7), radierea vehiculului supus măsurilor de indisponibilizare poate fi dispusă, în cazuri justificate, prin hotărâre judecătorească definitivă, potrivit legii. </w:t>
      </w:r>
    </w:p>
    <w:p w14:paraId="62DCF583"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(9) După rămânerea definitivă a actului de constatare a daunei totale, proprietarul sau mandatarul acestuia asigură predarea certificatului de înmatriculare Agenției Servicii Publice, potrivit procedurii stabilite de Guvern.</w:t>
      </w:r>
    </w:p>
    <w:p w14:paraId="6558506F" w14:textId="21EA14F5"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w:t>
      </w:r>
      <w:r>
        <w:rPr>
          <w:rFonts w:cs="Times New Roman"/>
          <w:szCs w:val="28"/>
          <w:lang w:val="ro-MD"/>
        </w:rPr>
        <w:t>10</w:t>
      </w:r>
      <w:r w:rsidRPr="003F0F5E">
        <w:rPr>
          <w:rFonts w:cs="Times New Roman"/>
          <w:szCs w:val="28"/>
          <w:lang w:val="ro-MD"/>
        </w:rPr>
        <w:t xml:space="preserve">) Asigurătorul care practică asigurarea de răspundere civilă auto sau, după caz, autoritatea ori entitatea competentă potrivit legii notifică Agenția Servicii Publice despre constatarea daunei totale a vehiculului, în baza actului de constatare prevăzut la alin. (2), în vederea inițierii procedurii de radiere din Registrul de stat al vehiculelor, după expirarea termenului de 30 de zile de la data notificării proprietarului, dacă actul de constatare nu a fost contestat, sau după soluționarea definitivă a contestației. </w:t>
      </w:r>
    </w:p>
    <w:p w14:paraId="08128F2A" w14:textId="341F3F86"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Pr>
          <w:rFonts w:cs="Times New Roman"/>
          <w:szCs w:val="28"/>
          <w:lang w:val="ro-MD"/>
        </w:rPr>
        <w:t>1</w:t>
      </w:r>
      <w:r w:rsidRPr="003F0F5E">
        <w:rPr>
          <w:rFonts w:cs="Times New Roman"/>
          <w:szCs w:val="28"/>
          <w:lang w:val="ro-MD"/>
        </w:rPr>
        <w:t xml:space="preserve">) Agenția Servicii Publice, prin intermediul platformei de interoperabilitate (MConnect) sau prin alte căi de comunicare prevăzute de lege, notifică autoritatea competentă desemnată ca punct unic de contact în domeniul cooperării polițienești internaționale despre radierea vehiculului din Registrul de stat al vehiculelor, în vederea introducerii sau actualizării datelor în sistemele de cooperare polițienească internațională.  </w:t>
      </w:r>
    </w:p>
    <w:p w14:paraId="4B0AF3C2" w14:textId="554091F9"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Pr>
          <w:rFonts w:cs="Times New Roman"/>
          <w:szCs w:val="28"/>
          <w:lang w:val="ro-MD"/>
        </w:rPr>
        <w:t>2</w:t>
      </w:r>
      <w:r w:rsidRPr="003F0F5E">
        <w:rPr>
          <w:rFonts w:cs="Times New Roman"/>
          <w:szCs w:val="28"/>
          <w:lang w:val="ro-MD"/>
        </w:rPr>
        <w:t>) Procedura de constatare, notificare și radiere a vehiculelor constatate cu daună totală se stabilește de Guvern.</w:t>
      </w:r>
    </w:p>
    <w:p w14:paraId="7E362779" w14:textId="3C62A135"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Pr>
          <w:rFonts w:cs="Times New Roman"/>
          <w:szCs w:val="28"/>
          <w:lang w:val="ro-MD"/>
        </w:rPr>
        <w:t>3</w:t>
      </w:r>
      <w:r w:rsidRPr="003F0F5E">
        <w:rPr>
          <w:rFonts w:cs="Times New Roman"/>
          <w:szCs w:val="28"/>
          <w:lang w:val="ro-MD"/>
        </w:rPr>
        <w:t>) Aspectele tehnice privind schimbul de date, interoperabilitatea sistemelor informaționale și cooperarea operațională între autoritățile publice competente se reglementează prin acte administrative ale autorităților implicate, în limitele competențelor stabilite de lege.</w:t>
      </w:r>
    </w:p>
    <w:p w14:paraId="7E955087" w14:textId="6066D9E4"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lastRenderedPageBreak/>
        <w:t>(1</w:t>
      </w:r>
      <w:r>
        <w:rPr>
          <w:rFonts w:cs="Times New Roman"/>
          <w:szCs w:val="28"/>
          <w:lang w:val="ro-MD"/>
        </w:rPr>
        <w:t>4</w:t>
      </w:r>
      <w:r w:rsidRPr="003F0F5E">
        <w:rPr>
          <w:rFonts w:cs="Times New Roman"/>
          <w:szCs w:val="28"/>
          <w:lang w:val="ro-MD"/>
        </w:rPr>
        <w:t xml:space="preserve">) Este interzisă circulația pe drumurile publice a vehiculelor radiate din Registrul de stat al vehiculelor. </w:t>
      </w:r>
    </w:p>
    <w:p w14:paraId="413F49BF" w14:textId="72F9E4CA"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Pr>
          <w:rFonts w:cs="Times New Roman"/>
          <w:szCs w:val="28"/>
          <w:lang w:val="ro-MD"/>
        </w:rPr>
        <w:t>5</w:t>
      </w:r>
      <w:r w:rsidRPr="003F0F5E">
        <w:rPr>
          <w:rFonts w:cs="Times New Roman"/>
          <w:szCs w:val="28"/>
          <w:lang w:val="ro-MD"/>
        </w:rPr>
        <w:t>) Prin derogare de la alin. (1</w:t>
      </w:r>
      <w:r w:rsidR="0082012E">
        <w:rPr>
          <w:rFonts w:cs="Times New Roman"/>
          <w:szCs w:val="28"/>
          <w:lang w:val="ro-MD"/>
        </w:rPr>
        <w:t>4</w:t>
      </w:r>
      <w:r w:rsidRPr="003F0F5E">
        <w:rPr>
          <w:rFonts w:cs="Times New Roman"/>
          <w:szCs w:val="28"/>
          <w:lang w:val="ro-MD"/>
        </w:rPr>
        <w:t xml:space="preserve">), circulația pe drumurile publice este permisă în cazul prevăzut la alin. (1) lit. c), în condițiile stabilite de lege. </w:t>
      </w:r>
    </w:p>
    <w:p w14:paraId="33FD0439" w14:textId="63BA070E"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w:t>
      </w:r>
      <w:r>
        <w:rPr>
          <w:rFonts w:cs="Times New Roman"/>
          <w:szCs w:val="28"/>
          <w:lang w:val="ro-MD"/>
        </w:rPr>
        <w:t>6</w:t>
      </w:r>
      <w:r w:rsidRPr="003F0F5E">
        <w:rPr>
          <w:rFonts w:cs="Times New Roman"/>
          <w:szCs w:val="28"/>
          <w:lang w:val="ro-MD"/>
        </w:rPr>
        <w:t>) Vehiculul declarat prin hotărâre judecătorească fără stăpân sau abandonat se radiază din oficiu în termen de 30 de zile de la adoptarea hotărârii.</w:t>
      </w:r>
      <w:r w:rsidR="00925719">
        <w:rPr>
          <w:rFonts w:cs="Times New Roman"/>
          <w:szCs w:val="28"/>
          <w:lang w:val="ro-MD"/>
        </w:rPr>
        <w:t>”.</w:t>
      </w:r>
      <w:r w:rsidRPr="003F0F5E">
        <w:rPr>
          <w:rFonts w:cs="Times New Roman"/>
          <w:szCs w:val="28"/>
          <w:lang w:val="ro-MD"/>
        </w:rPr>
        <w:t xml:space="preserve"> </w:t>
      </w:r>
    </w:p>
    <w:p w14:paraId="0C97BE66"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4. Se completează cu articolul 55</w:t>
      </w:r>
      <w:r w:rsidRPr="00D04C97">
        <w:rPr>
          <w:rFonts w:cs="Times New Roman"/>
          <w:szCs w:val="28"/>
          <w:vertAlign w:val="superscript"/>
          <w:lang w:val="ro-MD"/>
        </w:rPr>
        <w:t>1</w:t>
      </w:r>
      <w:r w:rsidRPr="003F0F5E">
        <w:rPr>
          <w:rFonts w:cs="Times New Roman"/>
          <w:szCs w:val="28"/>
          <w:lang w:val="ro-MD"/>
        </w:rPr>
        <w:t>, cu următorul cuprins:</w:t>
      </w:r>
    </w:p>
    <w:p w14:paraId="347011AB"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„Articolul 55</w:t>
      </w:r>
      <w:r w:rsidRPr="00D04C97">
        <w:rPr>
          <w:rFonts w:cs="Times New Roman"/>
          <w:szCs w:val="28"/>
          <w:vertAlign w:val="superscript"/>
          <w:lang w:val="ro-MD"/>
        </w:rPr>
        <w:t>1</w:t>
      </w:r>
      <w:r w:rsidRPr="003F0F5E">
        <w:rPr>
          <w:rFonts w:cs="Times New Roman"/>
          <w:szCs w:val="28"/>
          <w:lang w:val="ro-MD"/>
        </w:rPr>
        <w:t xml:space="preserve">. Măsuri aplicabile în cazul existenței bănuielilor  rezonabile de falsificare a certificatului de înmatriculare sau a elementelor de identificare ale vehiculului </w:t>
      </w:r>
    </w:p>
    <w:p w14:paraId="4A6292F4"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 În cazul existenței unor bănuieli rezonabile privind falsificarea certificatului de înmatriculare sau a elementelor de identificare ale vehiculului, autoritățile competente potrivit legii dispun ridicarea temporară a certificatului de înmatriculare, cu întocmirea actului procesual corespunzător, în condițiile legii.</w:t>
      </w:r>
    </w:p>
    <w:p w14:paraId="42AC7F92"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(2) Ridicarea temporară a certificatului de înmatriculare se aplică pe perioada necesară verificării autenticității acestuia și a elementelor de identificare ale vehiculului. În cazul în care certificatul de înmatriculare sau vehiculul este ridicat, reținut ori recunoscut în calitate de corp delict în cadrul unei cauze penale, regimul juridic al acestora se stabilește potrivit legislației procesual-penale.  </w:t>
      </w:r>
    </w:p>
    <w:p w14:paraId="6EA6D136" w14:textId="0D0A2C29"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(3) Certificatul de înmatriculare a vehiculului se restituie proprietarului sau mandatarului acestuia dacă, în urma verificărilor efectuate, nu s-au confirmat </w:t>
      </w:r>
      <w:r w:rsidR="007D1E2D">
        <w:rPr>
          <w:rFonts w:cs="Times New Roman"/>
          <w:szCs w:val="28"/>
          <w:lang w:val="ro-MD"/>
        </w:rPr>
        <w:t>bănuielile</w:t>
      </w:r>
      <w:r w:rsidRPr="003F0F5E">
        <w:rPr>
          <w:rFonts w:cs="Times New Roman"/>
          <w:szCs w:val="28"/>
          <w:lang w:val="ro-MD"/>
        </w:rPr>
        <w:t xml:space="preserve"> de falsificare și nu există alte temeiuri legale pentru menținerea ridicării.”. </w:t>
      </w:r>
    </w:p>
    <w:p w14:paraId="08860D8D" w14:textId="10B50845" w:rsidR="00F12C76" w:rsidRPr="003F0F5E" w:rsidRDefault="003F0F5E" w:rsidP="003F0F5E">
      <w:pPr>
        <w:spacing w:after="0"/>
        <w:ind w:firstLine="709"/>
        <w:jc w:val="both"/>
        <w:rPr>
          <w:rFonts w:cs="Times New Roman"/>
          <w:szCs w:val="28"/>
          <w:lang w:val="ro-MD"/>
        </w:rPr>
      </w:pPr>
      <w:r w:rsidRPr="003F0F5E">
        <w:rPr>
          <w:rFonts w:cs="Times New Roman"/>
          <w:b/>
          <w:bCs/>
          <w:szCs w:val="28"/>
          <w:lang w:val="ro-MD"/>
        </w:rPr>
        <w:t>Art. II.</w:t>
      </w:r>
      <w:r w:rsidRPr="003F0F5E">
        <w:rPr>
          <w:rFonts w:cs="Times New Roman"/>
          <w:szCs w:val="28"/>
          <w:lang w:val="ro-MD"/>
        </w:rPr>
        <w:t xml:space="preserve"> – Dispoziții finale</w:t>
      </w:r>
    </w:p>
    <w:p w14:paraId="3B240DB2"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(1) Prezenta lege intră în vigoare la expirarea a 6 luni de la data publicării în Monitorul Oficial al Republicii Moldova.</w:t>
      </w:r>
    </w:p>
    <w:p w14:paraId="663880A2" w14:textId="2860F0C1"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 xml:space="preserve">(2) Guvernul, până la intrarea în vigoare a prezentei legi: </w:t>
      </w:r>
    </w:p>
    <w:p w14:paraId="03A2CF4B" w14:textId="77777777" w:rsidR="003F0F5E" w:rsidRPr="003F0F5E" w:rsidRDefault="003F0F5E" w:rsidP="003F0F5E">
      <w:pPr>
        <w:spacing w:after="0"/>
        <w:ind w:firstLine="709"/>
        <w:jc w:val="both"/>
        <w:rPr>
          <w:rFonts w:cs="Times New Roman"/>
          <w:szCs w:val="28"/>
          <w:lang w:val="ro-MD"/>
        </w:rPr>
      </w:pPr>
      <w:r w:rsidRPr="003F0F5E">
        <w:rPr>
          <w:rFonts w:cs="Times New Roman"/>
          <w:szCs w:val="28"/>
          <w:lang w:val="ro-MD"/>
        </w:rPr>
        <w:t>a) va modifica actele sale normative în conformitate cu prezenta lege;</w:t>
      </w:r>
    </w:p>
    <w:p w14:paraId="7DB8338C" w14:textId="17F71198" w:rsidR="003F0F5E" w:rsidRDefault="003F0F5E" w:rsidP="003F0F5E">
      <w:pPr>
        <w:spacing w:after="0"/>
        <w:ind w:firstLine="709"/>
        <w:jc w:val="both"/>
        <w:rPr>
          <w:rFonts w:cs="Times New Roman"/>
          <w:szCs w:val="28"/>
          <w:lang w:val="ro-MD"/>
        </w:rPr>
      </w:pPr>
      <w:r w:rsidRPr="003F0F5E">
        <w:rPr>
          <w:rFonts w:cs="Times New Roman"/>
          <w:szCs w:val="28"/>
          <w:lang w:val="ro-MD"/>
        </w:rPr>
        <w:t>b) va elabora actele normative necesare pentru implementarea prezentei legi.</w:t>
      </w:r>
    </w:p>
    <w:p w14:paraId="1621648D" w14:textId="77777777" w:rsidR="003F0F5E" w:rsidRDefault="003F0F5E" w:rsidP="003F0F5E">
      <w:pPr>
        <w:ind w:firstLine="709"/>
        <w:rPr>
          <w:rFonts w:cs="Times New Roman"/>
          <w:szCs w:val="28"/>
          <w:lang w:val="ro-MD"/>
        </w:rPr>
      </w:pPr>
    </w:p>
    <w:p w14:paraId="34A9D42E" w14:textId="77777777" w:rsidR="003F0F5E" w:rsidRDefault="003F0F5E" w:rsidP="003F0F5E">
      <w:pPr>
        <w:ind w:firstLine="709"/>
        <w:rPr>
          <w:rFonts w:cs="Times New Roman"/>
          <w:szCs w:val="28"/>
          <w:lang w:val="ro-MD"/>
        </w:rPr>
      </w:pPr>
    </w:p>
    <w:p w14:paraId="213412D6" w14:textId="723DC64B" w:rsidR="003F0F5E" w:rsidRPr="003F0F5E" w:rsidRDefault="003F0F5E" w:rsidP="003F0F5E">
      <w:pPr>
        <w:tabs>
          <w:tab w:val="left" w:pos="990"/>
        </w:tabs>
        <w:ind w:firstLine="709"/>
        <w:jc w:val="both"/>
        <w:rPr>
          <w:rFonts w:cs="Times New Roman"/>
          <w:b/>
          <w:bCs/>
          <w:szCs w:val="28"/>
          <w:lang w:val="ro-MD"/>
        </w:rPr>
      </w:pPr>
      <w:r w:rsidRPr="003F0F5E">
        <w:rPr>
          <w:rFonts w:cs="Times New Roman"/>
          <w:b/>
          <w:bCs/>
          <w:szCs w:val="28"/>
          <w:lang w:val="ro-MD"/>
        </w:rPr>
        <w:t>Președintele Parlamentului                                                  Igor GROSU</w:t>
      </w:r>
    </w:p>
    <w:sectPr w:rsidR="003F0F5E" w:rsidRPr="003F0F5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2AE2"/>
    <w:multiLevelType w:val="hybridMultilevel"/>
    <w:tmpl w:val="5A32978E"/>
    <w:lvl w:ilvl="0" w:tplc="C6C4CCBA">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87676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5A"/>
    <w:rsid w:val="001459F3"/>
    <w:rsid w:val="002D78D6"/>
    <w:rsid w:val="003F0F5E"/>
    <w:rsid w:val="0064526A"/>
    <w:rsid w:val="006C0B77"/>
    <w:rsid w:val="007D1E2D"/>
    <w:rsid w:val="0082012E"/>
    <w:rsid w:val="008242FF"/>
    <w:rsid w:val="00870751"/>
    <w:rsid w:val="00922C48"/>
    <w:rsid w:val="00925719"/>
    <w:rsid w:val="00A62B56"/>
    <w:rsid w:val="00A703DA"/>
    <w:rsid w:val="00B915B7"/>
    <w:rsid w:val="00C2585A"/>
    <w:rsid w:val="00D04C97"/>
    <w:rsid w:val="00DE7BC9"/>
    <w:rsid w:val="00E06E68"/>
    <w:rsid w:val="00E71E5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36EB"/>
  <w15:chartTrackingRefBased/>
  <w15:docId w15:val="{4C43E42C-DFFB-485E-A6AA-076A2628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258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258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2585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258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2585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258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2585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2585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2585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85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2585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2585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2585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2585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2585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2585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2585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2585A"/>
    <w:rPr>
      <w:rFonts w:eastAsiaTheme="majorEastAsia" w:cstheme="majorBidi"/>
      <w:color w:val="272727" w:themeColor="text1" w:themeTint="D8"/>
      <w:sz w:val="28"/>
    </w:rPr>
  </w:style>
  <w:style w:type="paragraph" w:styleId="a3">
    <w:name w:val="Title"/>
    <w:basedOn w:val="a"/>
    <w:next w:val="a"/>
    <w:link w:val="a4"/>
    <w:uiPriority w:val="10"/>
    <w:qFormat/>
    <w:rsid w:val="00C258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5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85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258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585A"/>
    <w:pPr>
      <w:spacing w:before="160"/>
      <w:jc w:val="center"/>
    </w:pPr>
    <w:rPr>
      <w:i/>
      <w:iCs/>
      <w:color w:val="404040" w:themeColor="text1" w:themeTint="BF"/>
    </w:rPr>
  </w:style>
  <w:style w:type="character" w:customStyle="1" w:styleId="22">
    <w:name w:val="Цитата 2 Знак"/>
    <w:basedOn w:val="a0"/>
    <w:link w:val="21"/>
    <w:uiPriority w:val="29"/>
    <w:rsid w:val="00C2585A"/>
    <w:rPr>
      <w:rFonts w:ascii="Times New Roman" w:hAnsi="Times New Roman"/>
      <w:i/>
      <w:iCs/>
      <w:color w:val="404040" w:themeColor="text1" w:themeTint="BF"/>
      <w:sz w:val="28"/>
    </w:rPr>
  </w:style>
  <w:style w:type="paragraph" w:styleId="a7">
    <w:name w:val="List Paragraph"/>
    <w:basedOn w:val="a"/>
    <w:uiPriority w:val="34"/>
    <w:qFormat/>
    <w:rsid w:val="00C2585A"/>
    <w:pPr>
      <w:ind w:left="720"/>
      <w:contextualSpacing/>
    </w:pPr>
  </w:style>
  <w:style w:type="character" w:styleId="a8">
    <w:name w:val="Intense Emphasis"/>
    <w:basedOn w:val="a0"/>
    <w:uiPriority w:val="21"/>
    <w:qFormat/>
    <w:rsid w:val="00C2585A"/>
    <w:rPr>
      <w:i/>
      <w:iCs/>
      <w:color w:val="2E74B5" w:themeColor="accent1" w:themeShade="BF"/>
    </w:rPr>
  </w:style>
  <w:style w:type="paragraph" w:styleId="a9">
    <w:name w:val="Intense Quote"/>
    <w:basedOn w:val="a"/>
    <w:next w:val="a"/>
    <w:link w:val="aa"/>
    <w:uiPriority w:val="30"/>
    <w:qFormat/>
    <w:rsid w:val="00C258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2585A"/>
    <w:rPr>
      <w:rFonts w:ascii="Times New Roman" w:hAnsi="Times New Roman"/>
      <w:i/>
      <w:iCs/>
      <w:color w:val="2E74B5" w:themeColor="accent1" w:themeShade="BF"/>
      <w:sz w:val="28"/>
    </w:rPr>
  </w:style>
  <w:style w:type="character" w:styleId="ab">
    <w:name w:val="Intense Reference"/>
    <w:basedOn w:val="a0"/>
    <w:uiPriority w:val="32"/>
    <w:qFormat/>
    <w:rsid w:val="00C258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Vergiliu Lotca</dc:creator>
  <cp:keywords/>
  <dc:description/>
  <cp:lastModifiedBy>Vergiliu Lotca</cp:lastModifiedBy>
  <cp:revision>8</cp:revision>
  <dcterms:created xsi:type="dcterms:W3CDTF">2026-05-04T07:50:00Z</dcterms:created>
  <dcterms:modified xsi:type="dcterms:W3CDTF">2026-05-04T13:20:00Z</dcterms:modified>
</cp:coreProperties>
</file>