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77777777" w:rsidR="00177035" w:rsidRPr="00BB3899" w:rsidRDefault="00177035" w:rsidP="00177035">
      <w:pPr>
        <w:pBdr>
          <w:top w:val="none" w:sz="4" w:space="0" w:color="000000"/>
          <w:left w:val="none" w:sz="4" w:space="0" w:color="000000"/>
          <w:bottom w:val="none" w:sz="4" w:space="0" w:color="000000"/>
          <w:right w:val="none" w:sz="4" w:space="0" w:color="000000"/>
        </w:pBdr>
        <w:ind w:firstLine="0"/>
        <w:jc w:val="center"/>
        <w:rPr>
          <w:sz w:val="28"/>
          <w:szCs w:val="28"/>
          <w:lang w:val="ro-MD"/>
        </w:rPr>
      </w:pPr>
      <w:r w:rsidRPr="00BB3899">
        <w:rPr>
          <w:b/>
          <w:sz w:val="28"/>
          <w:szCs w:val="28"/>
          <w:lang w:val="ro-MD"/>
        </w:rPr>
        <w:t>Tabelul comparativ</w:t>
      </w:r>
    </w:p>
    <w:p w14:paraId="2EEECF7B" w14:textId="7F344698" w:rsidR="00177035" w:rsidRPr="00BB3899" w:rsidRDefault="00177035" w:rsidP="00F54079">
      <w:pPr>
        <w:pBdr>
          <w:top w:val="none" w:sz="4" w:space="0" w:color="000000"/>
          <w:left w:val="none" w:sz="4" w:space="0" w:color="000000"/>
          <w:bottom w:val="none" w:sz="4" w:space="0" w:color="000000"/>
          <w:right w:val="none" w:sz="4" w:space="0" w:color="000000"/>
        </w:pBdr>
        <w:ind w:firstLine="0"/>
        <w:jc w:val="center"/>
        <w:rPr>
          <w:b/>
          <w:sz w:val="28"/>
          <w:szCs w:val="28"/>
          <w:lang w:val="ro-MD"/>
        </w:rPr>
      </w:pPr>
      <w:r w:rsidRPr="00BB3899">
        <w:rPr>
          <w:b/>
          <w:sz w:val="28"/>
          <w:szCs w:val="28"/>
          <w:lang w:val="ro-MD"/>
        </w:rPr>
        <w:t xml:space="preserve">la proiectul </w:t>
      </w:r>
      <w:r w:rsidR="00F81060" w:rsidRPr="00BB3899">
        <w:rPr>
          <w:b/>
          <w:sz w:val="28"/>
          <w:szCs w:val="28"/>
          <w:lang w:val="ro-MD"/>
        </w:rPr>
        <w:t xml:space="preserve">de lege </w:t>
      </w:r>
      <w:r w:rsidR="00F54079" w:rsidRPr="00BB3899">
        <w:rPr>
          <w:b/>
          <w:sz w:val="28"/>
          <w:szCs w:val="28"/>
          <w:lang w:val="ro-MD"/>
        </w:rPr>
        <w:t xml:space="preserve">pentru modificarea Legii nr. 131/2007 privind siguranța traficului rutier </w:t>
      </w:r>
    </w:p>
    <w:p w14:paraId="796D75D2" w14:textId="77777777" w:rsidR="001D3213" w:rsidRPr="00BB3899" w:rsidRDefault="001D3213" w:rsidP="00F54079">
      <w:pPr>
        <w:pBdr>
          <w:top w:val="none" w:sz="4" w:space="0" w:color="000000"/>
          <w:left w:val="none" w:sz="4" w:space="0" w:color="000000"/>
          <w:bottom w:val="none" w:sz="4" w:space="0" w:color="000000"/>
          <w:right w:val="none" w:sz="4" w:space="0" w:color="000000"/>
        </w:pBdr>
        <w:ind w:firstLine="0"/>
        <w:jc w:val="center"/>
        <w:rPr>
          <w:sz w:val="24"/>
          <w:szCs w:val="24"/>
          <w:lang w:val="ro-MD"/>
        </w:rPr>
      </w:pPr>
    </w:p>
    <w:tbl>
      <w:tblPr>
        <w:tblStyle w:val="afa"/>
        <w:tblW w:w="0" w:type="auto"/>
        <w:tblLook w:val="04A0" w:firstRow="1" w:lastRow="0" w:firstColumn="1" w:lastColumn="0" w:noHBand="0" w:noVBand="1"/>
      </w:tblPr>
      <w:tblGrid>
        <w:gridCol w:w="4664"/>
        <w:gridCol w:w="4665"/>
        <w:gridCol w:w="4665"/>
      </w:tblGrid>
      <w:tr w:rsidR="00371AD3" w:rsidRPr="00BB3899" w14:paraId="5F25AF09" w14:textId="77777777" w:rsidTr="00642519">
        <w:tc>
          <w:tcPr>
            <w:tcW w:w="4664" w:type="dxa"/>
          </w:tcPr>
          <w:p w14:paraId="3880ACAF" w14:textId="77777777" w:rsidR="00642519" w:rsidRPr="00BB3899" w:rsidRDefault="00642519" w:rsidP="00642519">
            <w:pPr>
              <w:ind w:firstLine="0"/>
              <w:jc w:val="center"/>
              <w:rPr>
                <w:rFonts w:ascii="Times New Roman" w:hAnsi="Times New Roman"/>
                <w:b/>
                <w:bCs/>
                <w:sz w:val="24"/>
                <w:szCs w:val="24"/>
                <w:lang w:val="ro-MD"/>
              </w:rPr>
            </w:pPr>
            <w:r w:rsidRPr="00BB3899">
              <w:rPr>
                <w:rFonts w:ascii="Times New Roman" w:hAnsi="Times New Roman"/>
                <w:b/>
                <w:bCs/>
                <w:sz w:val="24"/>
                <w:szCs w:val="24"/>
                <w:lang w:val="ro-MD"/>
              </w:rPr>
              <w:t>Conţinutul normei</w:t>
            </w:r>
          </w:p>
          <w:p w14:paraId="7BF1CA7C" w14:textId="3B6D8B68" w:rsidR="00642519" w:rsidRPr="00BB3899" w:rsidRDefault="00642519" w:rsidP="00642519">
            <w:pPr>
              <w:ind w:firstLine="0"/>
              <w:jc w:val="center"/>
              <w:rPr>
                <w:rFonts w:ascii="Times New Roman" w:hAnsi="Times New Roman"/>
                <w:b/>
                <w:bCs/>
                <w:sz w:val="24"/>
                <w:szCs w:val="24"/>
                <w:lang w:val="ro-MD"/>
              </w:rPr>
            </w:pPr>
            <w:r w:rsidRPr="00BB3899">
              <w:rPr>
                <w:rFonts w:ascii="Times New Roman" w:hAnsi="Times New Roman"/>
                <w:b/>
                <w:bCs/>
                <w:sz w:val="24"/>
                <w:szCs w:val="24"/>
                <w:lang w:val="ro-MD"/>
              </w:rPr>
              <w:t>în vigoare</w:t>
            </w:r>
          </w:p>
        </w:tc>
        <w:tc>
          <w:tcPr>
            <w:tcW w:w="4665" w:type="dxa"/>
          </w:tcPr>
          <w:p w14:paraId="05F1F515" w14:textId="5769CA4C" w:rsidR="00642519" w:rsidRPr="00BB3899" w:rsidRDefault="00642519" w:rsidP="00642519">
            <w:pPr>
              <w:ind w:firstLine="0"/>
              <w:jc w:val="center"/>
              <w:rPr>
                <w:rFonts w:ascii="Times New Roman" w:hAnsi="Times New Roman"/>
                <w:b/>
                <w:bCs/>
                <w:sz w:val="24"/>
                <w:szCs w:val="24"/>
                <w:lang w:val="ro-MD"/>
              </w:rPr>
            </w:pPr>
            <w:r w:rsidRPr="00BB3899">
              <w:rPr>
                <w:rFonts w:ascii="Times New Roman" w:hAnsi="Times New Roman"/>
                <w:b/>
                <w:bCs/>
                <w:sz w:val="24"/>
                <w:szCs w:val="24"/>
                <w:lang w:val="ro-MD"/>
              </w:rPr>
              <w:t>Modificarea propusă</w:t>
            </w:r>
          </w:p>
        </w:tc>
        <w:tc>
          <w:tcPr>
            <w:tcW w:w="4665" w:type="dxa"/>
          </w:tcPr>
          <w:p w14:paraId="73F1EB84" w14:textId="77777777" w:rsidR="00642519" w:rsidRPr="00BB3899" w:rsidRDefault="00642519" w:rsidP="00642519">
            <w:pPr>
              <w:ind w:firstLine="0"/>
              <w:jc w:val="center"/>
              <w:rPr>
                <w:rFonts w:ascii="Times New Roman" w:hAnsi="Times New Roman"/>
                <w:b/>
                <w:bCs/>
                <w:sz w:val="24"/>
                <w:szCs w:val="24"/>
                <w:lang w:val="ro-MD"/>
              </w:rPr>
            </w:pPr>
            <w:r w:rsidRPr="00BB3899">
              <w:rPr>
                <w:rFonts w:ascii="Times New Roman" w:hAnsi="Times New Roman"/>
                <w:b/>
                <w:bCs/>
                <w:sz w:val="24"/>
                <w:szCs w:val="24"/>
                <w:lang w:val="ro-MD"/>
              </w:rPr>
              <w:t>Conţinutul normei</w:t>
            </w:r>
          </w:p>
          <w:p w14:paraId="2E53C7D3" w14:textId="22E509A3" w:rsidR="00642519" w:rsidRPr="00BB3899" w:rsidRDefault="00642519" w:rsidP="00642519">
            <w:pPr>
              <w:ind w:firstLine="0"/>
              <w:jc w:val="center"/>
              <w:rPr>
                <w:rFonts w:ascii="Times New Roman" w:hAnsi="Times New Roman"/>
                <w:b/>
                <w:bCs/>
                <w:sz w:val="24"/>
                <w:szCs w:val="24"/>
                <w:lang w:val="ro-MD"/>
              </w:rPr>
            </w:pPr>
            <w:r w:rsidRPr="00BB3899">
              <w:rPr>
                <w:rFonts w:ascii="Times New Roman" w:hAnsi="Times New Roman"/>
                <w:b/>
                <w:bCs/>
                <w:sz w:val="24"/>
                <w:szCs w:val="24"/>
                <w:lang w:val="ro-MD"/>
              </w:rPr>
              <w:t>după modificare</w:t>
            </w:r>
          </w:p>
        </w:tc>
      </w:tr>
      <w:tr w:rsidR="00623759" w:rsidRPr="00BB3899" w14:paraId="38312F63" w14:textId="77777777" w:rsidTr="00642519">
        <w:tc>
          <w:tcPr>
            <w:tcW w:w="4664" w:type="dxa"/>
          </w:tcPr>
          <w:p w14:paraId="16B0C314" w14:textId="77777777" w:rsidR="00623759" w:rsidRPr="00BB3899" w:rsidRDefault="00623759" w:rsidP="00623759">
            <w:pPr>
              <w:shd w:val="clear" w:color="auto" w:fill="FFFFFF"/>
              <w:ind w:firstLine="22"/>
              <w:rPr>
                <w:rFonts w:ascii="Times New Roman" w:eastAsia="Times New Roman" w:hAnsi="Times New Roman"/>
                <w:sz w:val="24"/>
                <w:szCs w:val="24"/>
                <w:lang w:val="ro-MD" w:eastAsia="ro-RO"/>
              </w:rPr>
            </w:pPr>
            <w:r w:rsidRPr="00BB3899">
              <w:rPr>
                <w:rFonts w:ascii="Times New Roman" w:eastAsia="Times New Roman" w:hAnsi="Times New Roman"/>
                <w:b/>
                <w:bCs/>
                <w:sz w:val="24"/>
                <w:szCs w:val="24"/>
                <w:lang w:val="ro-MD" w:eastAsia="ro-RO"/>
              </w:rPr>
              <w:t xml:space="preserve">Articolul 2. </w:t>
            </w:r>
            <w:r w:rsidRPr="00BB3899">
              <w:rPr>
                <w:rFonts w:ascii="Times New Roman" w:eastAsia="Times New Roman" w:hAnsi="Times New Roman"/>
                <w:sz w:val="24"/>
                <w:szCs w:val="24"/>
                <w:lang w:val="ro-MD" w:eastAsia="ro-RO"/>
              </w:rPr>
              <w:t>Noţiuni principale</w:t>
            </w:r>
          </w:p>
          <w:p w14:paraId="152F16E8" w14:textId="77777777" w:rsidR="00623759" w:rsidRPr="00BB3899" w:rsidRDefault="00623759" w:rsidP="00623759">
            <w:pPr>
              <w:shd w:val="clear" w:color="auto" w:fill="FFFFFF"/>
              <w:ind w:firstLine="22"/>
              <w:rPr>
                <w:rFonts w:ascii="Times New Roman" w:eastAsia="Times New Roman" w:hAnsi="Times New Roman"/>
                <w:sz w:val="24"/>
                <w:szCs w:val="24"/>
                <w:lang w:val="ro-MD" w:eastAsia="ro-RO"/>
              </w:rPr>
            </w:pPr>
            <w:r w:rsidRPr="00BB3899">
              <w:rPr>
                <w:rFonts w:ascii="Times New Roman" w:eastAsia="Times New Roman" w:hAnsi="Times New Roman"/>
                <w:i/>
                <w:iCs/>
                <w:sz w:val="24"/>
                <w:szCs w:val="24"/>
                <w:lang w:val="ro-MD" w:eastAsia="ro-RO"/>
              </w:rPr>
              <w:t>conducere preventivă</w:t>
            </w:r>
            <w:r w:rsidRPr="00BB3899">
              <w:rPr>
                <w:rFonts w:ascii="Times New Roman" w:eastAsia="Times New Roman" w:hAnsi="Times New Roman"/>
                <w:sz w:val="24"/>
                <w:szCs w:val="24"/>
                <w:lang w:val="ro-MD" w:eastAsia="ro-RO"/>
              </w:rPr>
              <w:t xml:space="preserve"> – comportament al conducătorului de vehicul, conform cu prevederile Regulamentului circulației rutiere, care asigură prevenirea accidentelor în traficul rutier prin neadmiterea situațiilor periculoase în timpul conducerii vehiculului, precum și prin anticiparea și evitarea situațiilor periculoase ce pot fi provocate de ceilalți participanți la trafic;</w:t>
            </w:r>
          </w:p>
          <w:p w14:paraId="6670D1D0" w14:textId="561D4716" w:rsidR="00623759" w:rsidRPr="00BB3899" w:rsidRDefault="00623759" w:rsidP="00623759">
            <w:pPr>
              <w:shd w:val="clear" w:color="auto" w:fill="FFFFFF"/>
              <w:ind w:firstLine="22"/>
              <w:rPr>
                <w:rFonts w:ascii="Times New Roman" w:eastAsia="Times New Roman" w:hAnsi="Times New Roman"/>
                <w:b/>
                <w:bCs/>
                <w:sz w:val="24"/>
                <w:szCs w:val="24"/>
                <w:lang w:val="ro-MD" w:eastAsia="ro-RO"/>
              </w:rPr>
            </w:pPr>
            <w:r w:rsidRPr="00BB3899">
              <w:rPr>
                <w:rFonts w:ascii="Times New Roman" w:eastAsia="Times New Roman" w:hAnsi="Times New Roman"/>
                <w:i/>
                <w:iCs/>
                <w:sz w:val="24"/>
                <w:szCs w:val="24"/>
                <w:lang w:val="ro-MD" w:eastAsia="ro-RO"/>
              </w:rPr>
              <w:t>drum public</w:t>
            </w:r>
            <w:r w:rsidRPr="00BB3899">
              <w:rPr>
                <w:rFonts w:ascii="Times New Roman" w:eastAsia="Times New Roman" w:hAnsi="Times New Roman"/>
                <w:sz w:val="24"/>
                <w:szCs w:val="24"/>
                <w:lang w:val="ro-MD" w:eastAsia="ro-RO"/>
              </w:rPr>
              <w:t xml:space="preserve"> – orice cale de comunicaţie terestră, inclusiv construcţii artificiale şi drumuri cu înveliş natural, deschisă pentru circulaţia vehiculelor şi a pietonilor, administrată de un organ abilitat;</w:t>
            </w:r>
          </w:p>
        </w:tc>
        <w:tc>
          <w:tcPr>
            <w:tcW w:w="4665" w:type="dxa"/>
          </w:tcPr>
          <w:p w14:paraId="295F87C3" w14:textId="0411487C" w:rsidR="00623759" w:rsidRPr="00BB3899" w:rsidRDefault="00623759" w:rsidP="00623759">
            <w:pPr>
              <w:shd w:val="clear" w:color="auto" w:fill="FFFFFF"/>
              <w:ind w:firstLine="0"/>
              <w:rPr>
                <w:rFonts w:ascii="Times New Roman" w:eastAsia="Times New Roman" w:hAnsi="Times New Roman"/>
                <w:sz w:val="24"/>
                <w:szCs w:val="24"/>
                <w:lang w:val="ro-MD" w:eastAsia="ro-RO"/>
              </w:rPr>
            </w:pPr>
            <w:r w:rsidRPr="00BB3899">
              <w:rPr>
                <w:rFonts w:ascii="Times New Roman" w:eastAsia="Times New Roman" w:hAnsi="Times New Roman"/>
                <w:sz w:val="24"/>
                <w:szCs w:val="24"/>
                <w:lang w:val="ro-MD" w:eastAsia="ro-RO"/>
              </w:rPr>
              <w:t>Articolul 2, după noțiunea „conducere preventivă” se completează cu o noțiune nouă, cu următorul cuprins:</w:t>
            </w:r>
          </w:p>
          <w:p w14:paraId="112DF614" w14:textId="4D329A8A" w:rsidR="00623759" w:rsidRPr="00BB3899" w:rsidRDefault="00623759" w:rsidP="00623759">
            <w:pPr>
              <w:shd w:val="clear" w:color="auto" w:fill="FFFFFF"/>
              <w:ind w:firstLine="0"/>
              <w:rPr>
                <w:rFonts w:ascii="Times New Roman" w:eastAsia="Times New Roman" w:hAnsi="Times New Roman"/>
                <w:sz w:val="24"/>
                <w:szCs w:val="24"/>
                <w:lang w:val="ro-MD" w:eastAsia="ro-RO"/>
              </w:rPr>
            </w:pPr>
            <w:r w:rsidRPr="00BB3899">
              <w:rPr>
                <w:rFonts w:ascii="Times New Roman" w:eastAsia="Times New Roman" w:hAnsi="Times New Roman"/>
                <w:sz w:val="24"/>
                <w:szCs w:val="24"/>
                <w:lang w:val="ro-MD" w:eastAsia="ro-RO"/>
              </w:rPr>
              <w:t>„</w:t>
            </w:r>
            <w:r w:rsidRPr="00BB3899">
              <w:rPr>
                <w:rFonts w:ascii="Times New Roman" w:eastAsia="Times New Roman" w:hAnsi="Times New Roman"/>
                <w:i/>
                <w:iCs/>
                <w:sz w:val="24"/>
                <w:szCs w:val="24"/>
                <w:lang w:val="ro-MD" w:eastAsia="ro-RO"/>
              </w:rPr>
              <w:t>daună totală a vehiculului</w:t>
            </w:r>
            <w:r w:rsidRPr="00BB3899">
              <w:rPr>
                <w:rFonts w:ascii="Times New Roman" w:eastAsia="Times New Roman" w:hAnsi="Times New Roman"/>
                <w:sz w:val="24"/>
                <w:szCs w:val="24"/>
                <w:lang w:val="ro-MD" w:eastAsia="ro-RO"/>
              </w:rPr>
              <w:t xml:space="preserve"> - situația în care vehiculul a suferit avarii, constatate în condițiile legislației din domeniul asigurării obligatorii de răspundere civilă auto, în urma cărora acesta nu mai poate fi recondiționat din punct de vedere tehnic sau economic.”.</w:t>
            </w:r>
          </w:p>
        </w:tc>
        <w:tc>
          <w:tcPr>
            <w:tcW w:w="4665" w:type="dxa"/>
          </w:tcPr>
          <w:p w14:paraId="29422866" w14:textId="77777777" w:rsidR="00623759" w:rsidRPr="00BB3899" w:rsidRDefault="00623759" w:rsidP="00623759">
            <w:pPr>
              <w:shd w:val="clear" w:color="auto" w:fill="FFFFFF"/>
              <w:ind w:firstLine="0"/>
              <w:rPr>
                <w:rFonts w:ascii="Times New Roman" w:eastAsia="Times New Roman" w:hAnsi="Times New Roman"/>
                <w:b/>
                <w:bCs/>
                <w:sz w:val="24"/>
                <w:szCs w:val="24"/>
                <w:lang w:val="ro-MD" w:eastAsia="ro-RO"/>
              </w:rPr>
            </w:pPr>
            <w:r w:rsidRPr="00BB3899">
              <w:rPr>
                <w:rFonts w:ascii="Times New Roman" w:eastAsia="Times New Roman" w:hAnsi="Times New Roman"/>
                <w:b/>
                <w:bCs/>
                <w:sz w:val="24"/>
                <w:szCs w:val="24"/>
                <w:lang w:val="ro-MD" w:eastAsia="ro-RO"/>
              </w:rPr>
              <w:t xml:space="preserve">Articolul 2. </w:t>
            </w:r>
            <w:r w:rsidRPr="00BB3899">
              <w:rPr>
                <w:rFonts w:ascii="Times New Roman" w:eastAsia="Times New Roman" w:hAnsi="Times New Roman"/>
                <w:sz w:val="24"/>
                <w:szCs w:val="24"/>
                <w:lang w:val="ro-MD" w:eastAsia="ro-RO"/>
              </w:rPr>
              <w:t>Noţiuni principale</w:t>
            </w:r>
          </w:p>
          <w:p w14:paraId="6A14A067" w14:textId="77777777" w:rsidR="00623759" w:rsidRPr="00BB3899" w:rsidRDefault="00623759" w:rsidP="00623759">
            <w:pPr>
              <w:shd w:val="clear" w:color="auto" w:fill="FFFFFF"/>
              <w:ind w:firstLine="0"/>
              <w:rPr>
                <w:rFonts w:ascii="Times New Roman" w:eastAsia="Times New Roman" w:hAnsi="Times New Roman"/>
                <w:sz w:val="24"/>
                <w:szCs w:val="24"/>
                <w:lang w:val="ro-MD" w:eastAsia="ro-RO"/>
              </w:rPr>
            </w:pPr>
            <w:r w:rsidRPr="00BB3899">
              <w:rPr>
                <w:rFonts w:ascii="Times New Roman" w:eastAsia="Times New Roman" w:hAnsi="Times New Roman"/>
                <w:i/>
                <w:iCs/>
                <w:sz w:val="24"/>
                <w:szCs w:val="24"/>
                <w:lang w:val="ro-MD" w:eastAsia="ro-RO"/>
              </w:rPr>
              <w:t>conducere preventivă</w:t>
            </w:r>
            <w:r w:rsidRPr="00BB3899">
              <w:rPr>
                <w:rFonts w:ascii="Times New Roman" w:eastAsia="Times New Roman" w:hAnsi="Times New Roman"/>
                <w:sz w:val="24"/>
                <w:szCs w:val="24"/>
                <w:lang w:val="ro-MD" w:eastAsia="ro-RO"/>
              </w:rPr>
              <w:t xml:space="preserve"> – comportament al conducătorului de vehicul, conform cu prevederile Regulamentului circulației rutiere, care asigură prevenirea accidentelor în traficul rutier prin neadmiterea situațiilor periculoase în timpul conducerii vehiculului, precum și prin anticiparea și evitarea situațiilor periculoase ce pot fi provocate de ceilalți participanți la trafic;</w:t>
            </w:r>
          </w:p>
          <w:p w14:paraId="24D32ADA" w14:textId="7BBC3DA0" w:rsidR="00623759" w:rsidRPr="00BB3899" w:rsidRDefault="00623759" w:rsidP="00623759">
            <w:pPr>
              <w:shd w:val="clear" w:color="auto" w:fill="FFFFFF"/>
              <w:ind w:firstLine="0"/>
              <w:rPr>
                <w:rFonts w:ascii="Times New Roman" w:eastAsia="Times New Roman" w:hAnsi="Times New Roman"/>
                <w:sz w:val="24"/>
                <w:szCs w:val="24"/>
                <w:lang w:val="ro-MD" w:eastAsia="ro-RO"/>
              </w:rPr>
            </w:pPr>
            <w:r w:rsidRPr="00BB3899">
              <w:rPr>
                <w:rFonts w:ascii="Times New Roman" w:eastAsia="Times New Roman" w:hAnsi="Times New Roman"/>
                <w:sz w:val="24"/>
                <w:szCs w:val="24"/>
                <w:lang w:val="ro-MD" w:eastAsia="ro-RO"/>
              </w:rPr>
              <w:t>„</w:t>
            </w:r>
            <w:r w:rsidRPr="00BB3899">
              <w:rPr>
                <w:rFonts w:ascii="Times New Roman" w:eastAsia="Times New Roman" w:hAnsi="Times New Roman"/>
                <w:i/>
                <w:iCs/>
                <w:sz w:val="24"/>
                <w:szCs w:val="24"/>
                <w:lang w:val="ro-MD" w:eastAsia="ro-RO"/>
              </w:rPr>
              <w:t>daună totală a vehiculului</w:t>
            </w:r>
            <w:r w:rsidRPr="00BB3899">
              <w:rPr>
                <w:rFonts w:ascii="Times New Roman" w:eastAsia="Times New Roman" w:hAnsi="Times New Roman"/>
                <w:sz w:val="24"/>
                <w:szCs w:val="24"/>
                <w:lang w:val="ro-MD" w:eastAsia="ro-RO"/>
              </w:rPr>
              <w:t xml:space="preserve"> - situația în care vehiculul a suferit avarii, constatate în condițiile legislației din domeniul asigurării obligatorii de răspundere civilă auto, în urma cărora acesta nu mai poate fi recondiționat din punct de vedere tehnic sau economic;</w:t>
            </w:r>
          </w:p>
          <w:p w14:paraId="2B4604C1" w14:textId="345A76F8" w:rsidR="00623759" w:rsidRPr="00BB3899" w:rsidRDefault="00623759" w:rsidP="00623759">
            <w:pPr>
              <w:shd w:val="clear" w:color="auto" w:fill="FFFFFF"/>
              <w:ind w:firstLine="0"/>
              <w:rPr>
                <w:rFonts w:ascii="Times New Roman" w:eastAsia="Times New Roman" w:hAnsi="Times New Roman"/>
                <w:b/>
                <w:bCs/>
                <w:sz w:val="24"/>
                <w:szCs w:val="24"/>
                <w:lang w:val="ro-MD" w:eastAsia="ro-RO"/>
              </w:rPr>
            </w:pPr>
            <w:r w:rsidRPr="00BB3899">
              <w:rPr>
                <w:rFonts w:ascii="Times New Roman" w:eastAsia="Times New Roman" w:hAnsi="Times New Roman"/>
                <w:i/>
                <w:iCs/>
                <w:sz w:val="24"/>
                <w:szCs w:val="24"/>
                <w:lang w:val="ro-MD" w:eastAsia="ro-RO"/>
              </w:rPr>
              <w:t>drum public</w:t>
            </w:r>
            <w:r w:rsidRPr="00BB3899">
              <w:rPr>
                <w:rFonts w:ascii="Times New Roman" w:eastAsia="Times New Roman" w:hAnsi="Times New Roman"/>
                <w:sz w:val="24"/>
                <w:szCs w:val="24"/>
                <w:lang w:val="ro-MD" w:eastAsia="ro-RO"/>
              </w:rPr>
              <w:t xml:space="preserve"> – orice cale de comunicaţie terestră, inclusiv construcţii artificiale şi drumuri cu înveliş natural, deschisă pentru circulaţia vehiculelor şi a pietonilor, administrată de un organ abilitat;</w:t>
            </w:r>
          </w:p>
        </w:tc>
      </w:tr>
      <w:tr w:rsidR="00371AD3" w:rsidRPr="00BB3899" w14:paraId="018D5FE7" w14:textId="77777777" w:rsidTr="00642519">
        <w:tc>
          <w:tcPr>
            <w:tcW w:w="4664" w:type="dxa"/>
          </w:tcPr>
          <w:p w14:paraId="295A58F8" w14:textId="4C1B0C9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eastAsia="Times New Roman" w:hAnsi="Times New Roman"/>
                <w:b/>
                <w:bCs/>
                <w:sz w:val="24"/>
                <w:szCs w:val="24"/>
                <w:lang w:val="ro-MD" w:eastAsia="ro-RO"/>
              </w:rPr>
              <w:t>Articolul 55.</w:t>
            </w:r>
            <w:r w:rsidRPr="00BB3899">
              <w:rPr>
                <w:rFonts w:ascii="Times New Roman" w:hAnsi="Times New Roman"/>
                <w:sz w:val="24"/>
                <w:szCs w:val="24"/>
                <w:lang w:val="ro-MD" w:eastAsia="ro-RO"/>
              </w:rPr>
              <w:t> Radierea din Registrul de stat al vehiculelor</w:t>
            </w:r>
          </w:p>
          <w:p w14:paraId="0A13EF20"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(1) Radierea vehiculelor din Registrul de stat al vehiculelor se face de către autoritatea care a efectuat înmatricularea sau înregistrarea, la cererea proprietarului, în următoarele cazuri:</w:t>
            </w:r>
          </w:p>
          <w:p w14:paraId="39C95E9D"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 xml:space="preserve">a) proprietarul sau mandatarul doreşte retragerea din circulaţie a vehiculului şi face </w:t>
            </w:r>
            <w:r w:rsidRPr="00BB3899">
              <w:rPr>
                <w:rFonts w:ascii="Times New Roman" w:hAnsi="Times New Roman"/>
                <w:sz w:val="24"/>
                <w:szCs w:val="24"/>
                <w:lang w:val="ro-MD" w:eastAsia="ro-RO"/>
              </w:rPr>
              <w:lastRenderedPageBreak/>
              <w:t>dovada depozitării acestuia în afara domeniului public;</w:t>
            </w:r>
          </w:p>
          <w:p w14:paraId="7D3F8B84"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b) proprietarul sau mandatarul face dovada dezmembrării, casării sau predării vehiculului la unităţi specializate;</w:t>
            </w:r>
          </w:p>
          <w:p w14:paraId="09D84908"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c) vehiculul urmează să fie scos definitiv din Republica Moldova.</w:t>
            </w:r>
          </w:p>
          <w:p w14:paraId="497677F8"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(2) Radierea din evidenţă a vehiculului indisponibilizat prin instituirea de sechestru se poate face prin hotărâre judecătorească, conform legii, de către autoritatea care a efectuat înmatricularea sau înregistrarea.</w:t>
            </w:r>
          </w:p>
          <w:p w14:paraId="60E54A8C"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(3) Este interzisă circulaţia pe drumurile publice a vehiculelor radiate din Registrul de stat al vehiculelor, cu excepţia cazului prevăzut la alin.(1) lit.c).</w:t>
            </w:r>
          </w:p>
          <w:p w14:paraId="5769B473" w14:textId="77777777" w:rsidR="00C42054" w:rsidRPr="00BB3899" w:rsidRDefault="00C42054" w:rsidP="00C42054">
            <w:pPr>
              <w:shd w:val="clear" w:color="auto" w:fill="FFFFFF"/>
              <w:rPr>
                <w:rFonts w:ascii="Times New Roman" w:hAnsi="Times New Roman"/>
                <w:sz w:val="24"/>
                <w:szCs w:val="24"/>
                <w:lang w:val="ro-MD" w:eastAsia="ro-RO"/>
              </w:rPr>
            </w:pPr>
            <w:r w:rsidRPr="00BB3899">
              <w:rPr>
                <w:rFonts w:ascii="Times New Roman" w:hAnsi="Times New Roman"/>
                <w:sz w:val="24"/>
                <w:szCs w:val="24"/>
                <w:lang w:val="ro-MD" w:eastAsia="ro-RO"/>
              </w:rPr>
              <w:t>(4) Vehiculul declarat prin hotărâre judecătorească fără stăpân sau abandonat se radiază din oficiu în termen de 30 de zile de la adoptarea hotărârii.</w:t>
            </w:r>
          </w:p>
          <w:p w14:paraId="6BA33A57" w14:textId="77777777" w:rsidR="00C42054" w:rsidRPr="00BB3899" w:rsidRDefault="00C42054" w:rsidP="00C42054">
            <w:pPr>
              <w:ind w:firstLine="0"/>
              <w:rPr>
                <w:rFonts w:ascii="Times New Roman" w:hAnsi="Times New Roman"/>
                <w:sz w:val="24"/>
                <w:szCs w:val="24"/>
                <w:lang w:val="ro-MD"/>
              </w:rPr>
            </w:pPr>
          </w:p>
        </w:tc>
        <w:tc>
          <w:tcPr>
            <w:tcW w:w="4665" w:type="dxa"/>
          </w:tcPr>
          <w:p w14:paraId="1A73EA93"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lastRenderedPageBreak/>
              <w:t xml:space="preserve">Articolul 55 va avea următorul cuprins: </w:t>
            </w:r>
          </w:p>
          <w:p w14:paraId="6BFAC737"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„Articolul 55. Radierea din Registrul de stat al vehiculelor</w:t>
            </w:r>
          </w:p>
          <w:p w14:paraId="0EB98391"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(1) Radierea vehiculelor din Registrul de stat al vehiculelor se face de către autoritatea care a efectuat înmatricularea sau înregistrarea, în următoarele cazuri:</w:t>
            </w:r>
          </w:p>
          <w:p w14:paraId="7DF90B71"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a) proprietarul sau mandatarul dorește retragerea din circulație a vehiculului și face </w:t>
            </w:r>
            <w:r w:rsidRPr="00BB3899">
              <w:rPr>
                <w:rFonts w:ascii="Times New Roman" w:hAnsi="Times New Roman"/>
                <w:sz w:val="24"/>
                <w:szCs w:val="24"/>
                <w:lang w:val="ro-MD"/>
              </w:rPr>
              <w:lastRenderedPageBreak/>
              <w:t>dovada depozitării acestuia în afara domeniului public;</w:t>
            </w:r>
          </w:p>
          <w:p w14:paraId="5638EFFA"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b) proprietarul sau mandatarul face dovada dezmembrării, casării sau predării vehiculului la unități specializate; </w:t>
            </w:r>
          </w:p>
          <w:p w14:paraId="615B2275" w14:textId="50DC35E0"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c) vehiculul urmează să fie scos definitiv din Republica Moldova;  </w:t>
            </w:r>
          </w:p>
          <w:p w14:paraId="0045DE24"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d) în baza notificării actului de constatare a daunei totale transmis de autoritatea sau entitatea competentă potrivit alin. (2).</w:t>
            </w:r>
          </w:p>
          <w:p w14:paraId="1367B351"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(2) În cazul constatării daunei totale a vehiculului, actul de constatare se întocmește de către asigurătorul care practică asigurarea obligatorie de răspundere civilă auto, în condițiile legislației din domeniul asigurărilor, sau, după caz, de către autoritatea ori entitatea competentă potrivit legii, în baza evaluărilor tehnice efectuate în condițiile legii. </w:t>
            </w:r>
          </w:p>
          <w:p w14:paraId="0C56F2A9"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(3) În cazurile în care dauna totală a vehiculului rezultă din documentarea accidentelor rutiere, Poliția transmite, în limitele competenței, actele și informațiile relevante către autoritatea ori entitatea competentă pentru întocmirea actului de constatare a daunei totale a vehiculului, sau, după caz, către Agenția Servicii Publice, potrivit procedurii stabilite de Guvern. </w:t>
            </w:r>
          </w:p>
          <w:p w14:paraId="7EA80321"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(4) Proprietarul sau mandatarul vehiculului este notificat printr-un act de constatare de către autoritatea ori entitatea competentă despre constatarea daunei totale a vehiculului, consecințele juridice ale acesteia, inclusiv inițierea procedurii de radiere, precum și despre dreptul de contestare în instanța de judecată. </w:t>
            </w:r>
          </w:p>
          <w:p w14:paraId="0E8D152A"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lastRenderedPageBreak/>
              <w:t xml:space="preserve">(5) Proprietarul sau mandatarul vehiculului este în drept să conteste, în instanța de judecată, actul de constatare a daunei totale a vehiculului, în termen de 30 de zile de la data notificării. În cazul contestării actului de constatare, procedura de radiere se suspendă până la rămânerea definitivă a hotărârii judecătorești.  </w:t>
            </w:r>
          </w:p>
          <w:p w14:paraId="5571A1D5"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(6) Radierea vehiculului în temeiul alin. (1) lit. d) se efectuează după expirarea termenului de 30 de zile de la data notificării proprietarului sau mandatarului acestuia, dacă actul de constatare nu a fost contestat, sau după rămânerea definitivă a hotărârii judecătorești prin care contestația a fost respinsă. </w:t>
            </w:r>
          </w:p>
          <w:p w14:paraId="035A3D5A"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(7) În cazul în care vehiculul care a suportat daună totală face obiectul unei cauze sau este supus unor măsuri asigurătorii ori altor măsuri de indisponibilizare, dispuse în condițiile legii, radierea din Registrul de stat al vehiculelor se suspendă până la soluționarea definitivă a cauzei sau până la dispunerea de către organul competent asupra bunului. </w:t>
            </w:r>
          </w:p>
          <w:p w14:paraId="37F0586C"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(8) Prin derogare de la alin. (7), radierea vehiculului supus măsurilor de indisponibilizare poate fi dispusă, în cazuri justificate, prin hotărâre judecătorească definitivă, potrivit legii. </w:t>
            </w:r>
          </w:p>
          <w:p w14:paraId="1A7CFFF4"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(9) După rămânerea definitivă a actului de constatare a daunei totale, proprietarul sau mandatarul acestuia asigură predarea certificatului de înmatriculare Agenției Servicii Publice, potrivit procedurii stabilite de Guvern.</w:t>
            </w:r>
          </w:p>
          <w:p w14:paraId="4873E984"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(10) Asigurătorul care practică asigurarea de răspundere civilă auto sau, după caz, </w:t>
            </w:r>
            <w:r w:rsidRPr="00BB3899">
              <w:rPr>
                <w:rFonts w:ascii="Times New Roman" w:hAnsi="Times New Roman"/>
                <w:sz w:val="24"/>
                <w:szCs w:val="24"/>
                <w:lang w:val="ro-MD"/>
              </w:rPr>
              <w:lastRenderedPageBreak/>
              <w:t xml:space="preserve">autoritatea ori entitatea competentă potrivit legii notifică Agenția Servicii Publice despre constatarea daunei totale a vehiculului, în baza actului de constatare prevăzut la alin. (2), în vederea inițierii procedurii de radiere din Registrul de stat al vehiculelor, după expirarea termenului de 30 de zile de la data notificării proprietarului, dacă actul de constatare nu a fost contestat, sau după soluționarea definitivă a contestației. </w:t>
            </w:r>
          </w:p>
          <w:p w14:paraId="21D2376F"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(11) Agenția Servicii Publice, prin intermediul platformei de interoperabilitate (MConnect) sau prin alte căi de comunicare prevăzute de lege, notifică autoritatea competentă desemnată ca punct unic de contact în domeniul cooperării polițienești internaționale despre radierea vehiculului din Registrul de stat al vehiculelor, în vederea introducerii sau actualizării datelor în sistemele de cooperare polițienească internațională.  </w:t>
            </w:r>
          </w:p>
          <w:p w14:paraId="18A565EF"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(12) Procedura de constatare, notificare și radiere a vehiculelor constatate cu daună totală se stabilește de Guvern.</w:t>
            </w:r>
          </w:p>
          <w:p w14:paraId="1C4435AD"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(13) Aspectele tehnice privind schimbul de date, interoperabilitatea sistemelor informaționale și cooperarea operațională între autoritățile publice competente se reglementează prin acte administrative ale autorităților implicate, în limitele competențelor stabilite de lege.</w:t>
            </w:r>
          </w:p>
          <w:p w14:paraId="7FCBFBFF"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(14) Este interzisă circulația pe drumurile publice a vehiculelor radiate din Registrul de stat al vehiculelor. </w:t>
            </w:r>
          </w:p>
          <w:p w14:paraId="4F8F50C9" w14:textId="692F1E1C"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(15) Prin derogare de la alin. (1</w:t>
            </w:r>
            <w:r w:rsidR="002E03A2">
              <w:rPr>
                <w:rFonts w:ascii="Times New Roman" w:hAnsi="Times New Roman"/>
                <w:sz w:val="24"/>
                <w:szCs w:val="24"/>
                <w:lang w:val="ro-MD"/>
              </w:rPr>
              <w:t>4</w:t>
            </w:r>
            <w:r w:rsidRPr="00BB3899">
              <w:rPr>
                <w:rFonts w:ascii="Times New Roman" w:hAnsi="Times New Roman"/>
                <w:sz w:val="24"/>
                <w:szCs w:val="24"/>
                <w:lang w:val="ro-MD"/>
              </w:rPr>
              <w:t xml:space="preserve">), circulația pe drumurile publice este permisă în cazul </w:t>
            </w:r>
            <w:r w:rsidRPr="00BB3899">
              <w:rPr>
                <w:rFonts w:ascii="Times New Roman" w:hAnsi="Times New Roman"/>
                <w:sz w:val="24"/>
                <w:szCs w:val="24"/>
                <w:lang w:val="ro-MD"/>
              </w:rPr>
              <w:lastRenderedPageBreak/>
              <w:t xml:space="preserve">prevăzut la alin. (1) lit. c), în condițiile stabilite de lege. </w:t>
            </w:r>
          </w:p>
          <w:p w14:paraId="481AFF44" w14:textId="7A75C0D8"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(16) Vehiculul declarat prin hotărâre judecătorească fără stăpân sau abandonat se radiază din oficiu în termen de 30 de zile de la adoptarea hotărârii.”. </w:t>
            </w:r>
          </w:p>
          <w:p w14:paraId="4EBFC226"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4. Se completează cu articolul 55</w:t>
            </w:r>
            <w:r w:rsidRPr="00BB3899">
              <w:rPr>
                <w:rFonts w:ascii="Times New Roman" w:hAnsi="Times New Roman"/>
                <w:sz w:val="24"/>
                <w:szCs w:val="24"/>
                <w:vertAlign w:val="superscript"/>
                <w:lang w:val="ro-MD"/>
              </w:rPr>
              <w:t>1</w:t>
            </w:r>
            <w:r w:rsidRPr="00BB3899">
              <w:rPr>
                <w:rFonts w:ascii="Times New Roman" w:hAnsi="Times New Roman"/>
                <w:sz w:val="24"/>
                <w:szCs w:val="24"/>
                <w:lang w:val="ro-MD"/>
              </w:rPr>
              <w:t>, cu următorul cuprins:</w:t>
            </w:r>
          </w:p>
          <w:p w14:paraId="2D87FB9B"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„Articolul 55</w:t>
            </w:r>
            <w:r w:rsidRPr="00BB3899">
              <w:rPr>
                <w:rFonts w:ascii="Times New Roman" w:hAnsi="Times New Roman"/>
                <w:sz w:val="24"/>
                <w:szCs w:val="24"/>
                <w:vertAlign w:val="superscript"/>
                <w:lang w:val="ro-MD"/>
              </w:rPr>
              <w:t>1</w:t>
            </w:r>
            <w:r w:rsidRPr="00BB3899">
              <w:rPr>
                <w:rFonts w:ascii="Times New Roman" w:hAnsi="Times New Roman"/>
                <w:sz w:val="24"/>
                <w:szCs w:val="24"/>
                <w:lang w:val="ro-MD"/>
              </w:rPr>
              <w:t xml:space="preserve">. Măsuri aplicabile în cazul existenței bănuielilor  rezonabile de falsificare a certificatului de înmatriculare sau a elementelor de identificare ale vehiculului </w:t>
            </w:r>
          </w:p>
          <w:p w14:paraId="54CC2DF1"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(1) În cazul existenței unor bănuieli rezonabile privind falsificarea certificatului de înmatriculare sau a elementelor de identificare ale vehiculului, autoritățile competente potrivit legii dispun ridicarea temporară a certificatului de înmatriculare, cu întocmirea actului procesual corespunzător, în condițiile legii.</w:t>
            </w:r>
          </w:p>
          <w:p w14:paraId="380B5F14" w14:textId="77777777" w:rsidR="00623759"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(2) Ridicarea temporară a certificatului de înmatriculare se aplică pe perioada necesară verificării autenticității acestuia și a elementelor de identificare ale vehiculului. În cazul în care certificatul de înmatriculare sau vehiculul este ridicat, reținut ori recunoscut în calitate de corp delict în cadrul unei cauze penale, regimul juridic al acestora se stabilește potrivit legislației procesual-penale.  </w:t>
            </w:r>
          </w:p>
          <w:p w14:paraId="70020421" w14:textId="3598221C" w:rsidR="00C42054" w:rsidRPr="00BB3899" w:rsidRDefault="00623759" w:rsidP="00623759">
            <w:pPr>
              <w:ind w:firstLine="0"/>
              <w:rPr>
                <w:rFonts w:ascii="Times New Roman" w:hAnsi="Times New Roman"/>
                <w:sz w:val="24"/>
                <w:szCs w:val="24"/>
                <w:lang w:val="ro-MD"/>
              </w:rPr>
            </w:pPr>
            <w:r w:rsidRPr="00BB3899">
              <w:rPr>
                <w:rFonts w:ascii="Times New Roman" w:hAnsi="Times New Roman"/>
                <w:sz w:val="24"/>
                <w:szCs w:val="24"/>
                <w:lang w:val="ro-MD"/>
              </w:rPr>
              <w:t xml:space="preserve">(3) Certificatul de înmatriculare a vehiculului se restituie proprietarului sau mandatarului acestuia dacă, în urma verificărilor efectuate, nu s-au confirmat </w:t>
            </w:r>
            <w:r w:rsidR="00B411A0" w:rsidRPr="00BB3899">
              <w:rPr>
                <w:rFonts w:ascii="Times New Roman" w:hAnsi="Times New Roman"/>
                <w:sz w:val="24"/>
                <w:szCs w:val="24"/>
                <w:lang w:val="ro-MD"/>
              </w:rPr>
              <w:t>bănuielile</w:t>
            </w:r>
            <w:r w:rsidRPr="00BB3899">
              <w:rPr>
                <w:rFonts w:ascii="Times New Roman" w:hAnsi="Times New Roman"/>
                <w:sz w:val="24"/>
                <w:szCs w:val="24"/>
                <w:lang w:val="ro-MD"/>
              </w:rPr>
              <w:t xml:space="preserve"> de falsificare și nu există alte temeiuri legale pentru menținerea ridicării.”.</w:t>
            </w:r>
          </w:p>
        </w:tc>
        <w:tc>
          <w:tcPr>
            <w:tcW w:w="4665" w:type="dxa"/>
          </w:tcPr>
          <w:p w14:paraId="7AE8624D" w14:textId="534ACBE9"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b/>
                <w:bCs/>
                <w:sz w:val="24"/>
                <w:szCs w:val="24"/>
                <w:lang w:val="ro-MD"/>
              </w:rPr>
              <w:lastRenderedPageBreak/>
              <w:t>Articolul 55.</w:t>
            </w:r>
            <w:r w:rsidRPr="00BB3899">
              <w:rPr>
                <w:rFonts w:ascii="Times New Roman" w:hAnsi="Times New Roman"/>
                <w:sz w:val="24"/>
                <w:szCs w:val="24"/>
                <w:lang w:val="ro-MD"/>
              </w:rPr>
              <w:t xml:space="preserve"> Radierea din Registrul de stat al vehiculelor</w:t>
            </w:r>
          </w:p>
          <w:p w14:paraId="4010114B"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(1) Radierea vehiculelor din Registrul de stat al vehiculelor se face de către autoritatea care a efectuat înmatricularea sau înregistrarea, în următoarele cazuri:</w:t>
            </w:r>
          </w:p>
          <w:p w14:paraId="437444AF"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a) proprietarul sau mandatarul dorește retragerea din circulație a vehiculului și face dovada depozitării acestuia în afara domeniului public;</w:t>
            </w:r>
          </w:p>
          <w:p w14:paraId="5E7BD0A1"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lastRenderedPageBreak/>
              <w:t xml:space="preserve">b) proprietarul sau mandatarul face dovada dezmembrării, casării sau predării vehiculului la unități specializate; </w:t>
            </w:r>
          </w:p>
          <w:p w14:paraId="4EFF8F46" w14:textId="0D89EA0F"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c) vehiculul urmează să fie scos definitiv din Republica Moldova; </w:t>
            </w:r>
          </w:p>
          <w:p w14:paraId="3D2841A7"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d) în baza notificării actului de constatare a daunei totale transmis de autoritatea sau entitatea competentă potrivit alin. (2).</w:t>
            </w:r>
          </w:p>
          <w:p w14:paraId="4C6B799C"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(2) În cazul constatării daunei totale a vehiculului, actul de constatare se întocmește de către asigurătorul care practică asigurarea obligatorie de răspundere civilă auto, în condițiile legislației din domeniul asigurărilor, sau, după caz, de către autoritatea ori entitatea competentă potrivit legii, în baza evaluărilor tehnice efectuate în condițiile legii. </w:t>
            </w:r>
          </w:p>
          <w:p w14:paraId="52253C9F"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(3) În cazurile în care dauna totală a vehiculului rezultă din documentarea accidentelor rutiere, Poliția transmite, în limitele competenței, actele și informațiile relevante către autoritatea ori entitatea competentă pentru întocmirea actului de constatare a daunei totale a vehiculului, sau, după caz, către Agenția Servicii Publice, potrivit procedurii stabilite de Guvern. </w:t>
            </w:r>
          </w:p>
          <w:p w14:paraId="79938FA0"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(4) Proprietarul sau mandatarul vehiculului este notificat printr-un act de constatare de către autoritatea ori entitatea competentă despre constatarea daunei totale a vehiculului, consecințele juridice ale acesteia, inclusiv inițierea procedurii de radiere, precum și despre dreptul de contestare în instanța de judecată. </w:t>
            </w:r>
          </w:p>
          <w:p w14:paraId="2CF9F499"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(5) Proprietarul sau mandatarul vehiculului este în drept să conteste, în instanța de judecată, actul de constatare a daunei totale a </w:t>
            </w:r>
            <w:r w:rsidRPr="00BB3899">
              <w:rPr>
                <w:rFonts w:ascii="Times New Roman" w:hAnsi="Times New Roman"/>
                <w:sz w:val="24"/>
                <w:szCs w:val="24"/>
                <w:lang w:val="ro-MD"/>
              </w:rPr>
              <w:lastRenderedPageBreak/>
              <w:t xml:space="preserve">vehiculului, în termen de 30 de zile de la data notificării. În cazul contestării actului de constatare, procedura de radiere se suspendă până la rămânerea definitivă a hotărârii judecătorești.  </w:t>
            </w:r>
          </w:p>
          <w:p w14:paraId="0C2954A5"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(6) Radierea vehiculului în temeiul alin. (1) lit. d) se efectuează după expirarea termenului de 30 de zile de la data notificării proprietarului sau mandatarului acestuia, dacă actul de constatare nu a fost contestat, sau după rămânerea definitivă a hotărârii judecătorești prin care contestația a fost respinsă. </w:t>
            </w:r>
          </w:p>
          <w:p w14:paraId="28A10739"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(7) În cazul în care vehiculul care a suportat daună totală face obiectul unei cauze sau este supus unor măsuri asigurătorii ori altor măsuri de indisponibilizare, dispuse în condițiile legii, radierea din Registrul de stat al vehiculelor se suspendă până la soluționarea definitivă a cauzei sau până la dispunerea de către organul competent asupra bunului. </w:t>
            </w:r>
          </w:p>
          <w:p w14:paraId="449EE1E9"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(8) Prin derogare de la alin. (7), radierea vehiculului supus măsurilor de indisponibilizare poate fi dispusă, în cazuri justificate, prin hotărâre judecătorească definitivă, potrivit legii. </w:t>
            </w:r>
          </w:p>
          <w:p w14:paraId="1E4D7712"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(9) După rămânerea definitivă a actului de constatare a daunei totale, proprietarul sau mandatarul acestuia asigură predarea certificatului de înmatriculare Agenției Servicii Publice, potrivit procedurii stabilite de Guvern.</w:t>
            </w:r>
          </w:p>
          <w:p w14:paraId="1CDDB5B3"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(10) Asigurătorul care practică asigurarea de răspundere civilă auto sau, după caz, autoritatea ori entitatea competentă potrivit legii notifică Agenția Servicii Publice despre constatarea daunei totale a vehiculului, în baza </w:t>
            </w:r>
            <w:r w:rsidRPr="00BB3899">
              <w:rPr>
                <w:rFonts w:ascii="Times New Roman" w:hAnsi="Times New Roman"/>
                <w:sz w:val="24"/>
                <w:szCs w:val="24"/>
                <w:lang w:val="ro-MD"/>
              </w:rPr>
              <w:lastRenderedPageBreak/>
              <w:t xml:space="preserve">actului de constatare prevăzut la alin. (2), în vederea inițierii procedurii de radiere din Registrul de stat al vehiculelor, după expirarea termenului de 30 de zile de la data notificării proprietarului, dacă actul de constatare nu a fost contestat, sau după soluționarea definitivă a contestației. </w:t>
            </w:r>
          </w:p>
          <w:p w14:paraId="0090446F"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(11) Agenția Servicii Publice, prin intermediul platformei de interoperabilitate (MConnect) sau prin alte căi de comunicare prevăzute de lege, notifică autoritatea competentă desemnată ca punct unic de contact în domeniul cooperării polițienești internaționale despre radierea vehiculului din Registrul de stat al vehiculelor, în vederea introducerii sau actualizării datelor în sistemele de cooperare polițienească internațională.  </w:t>
            </w:r>
          </w:p>
          <w:p w14:paraId="399E16D7"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(12) Procedura de constatare, notificare și radiere a vehiculelor constatate cu daună totală se stabilește de Guvern.</w:t>
            </w:r>
          </w:p>
          <w:p w14:paraId="00DEF8A6"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(13) Aspectele tehnice privind schimbul de date, interoperabilitatea sistemelor informaționale și cooperarea operațională între autoritățile publice competente se reglementează prin acte administrative ale autorităților implicate, în limitele competențelor stabilite de lege.</w:t>
            </w:r>
          </w:p>
          <w:p w14:paraId="04F59C46"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(14) Este interzisă circulația pe drumurile publice a vehiculelor radiate din Registrul de stat al vehiculelor. </w:t>
            </w:r>
          </w:p>
          <w:p w14:paraId="5D78E419" w14:textId="3E107660"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(15) Prin derogare de la alin. (1</w:t>
            </w:r>
            <w:r w:rsidR="002E03A2">
              <w:rPr>
                <w:rFonts w:ascii="Times New Roman" w:hAnsi="Times New Roman"/>
                <w:sz w:val="24"/>
                <w:szCs w:val="24"/>
                <w:lang w:val="ro-MD"/>
              </w:rPr>
              <w:t>4</w:t>
            </w:r>
            <w:r w:rsidRPr="00BB3899">
              <w:rPr>
                <w:rFonts w:ascii="Times New Roman" w:hAnsi="Times New Roman"/>
                <w:sz w:val="24"/>
                <w:szCs w:val="24"/>
                <w:lang w:val="ro-MD"/>
              </w:rPr>
              <w:t xml:space="preserve">), circulația pe drumurile publice este permisă în cazul prevăzut la alin. (1) lit. c), în condițiile stabilite de lege. </w:t>
            </w:r>
          </w:p>
          <w:p w14:paraId="01D3810A"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(16) Vehiculul declarat prin hotărâre judecătorească fără stăpân sau abandonat se </w:t>
            </w:r>
            <w:r w:rsidRPr="00BB3899">
              <w:rPr>
                <w:rFonts w:ascii="Times New Roman" w:hAnsi="Times New Roman"/>
                <w:sz w:val="24"/>
                <w:szCs w:val="24"/>
                <w:lang w:val="ro-MD"/>
              </w:rPr>
              <w:lastRenderedPageBreak/>
              <w:t xml:space="preserve">radiază din oficiu în termen de 30 de zile de la adoptarea hotărârii. </w:t>
            </w:r>
          </w:p>
          <w:p w14:paraId="5E49DD28" w14:textId="777D9623"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b/>
                <w:bCs/>
                <w:sz w:val="24"/>
                <w:szCs w:val="24"/>
                <w:lang w:val="ro-MD"/>
              </w:rPr>
              <w:t>Articolul 55</w:t>
            </w:r>
            <w:r w:rsidRPr="00BB3899">
              <w:rPr>
                <w:rFonts w:ascii="Times New Roman" w:hAnsi="Times New Roman"/>
                <w:b/>
                <w:bCs/>
                <w:sz w:val="24"/>
                <w:szCs w:val="24"/>
                <w:vertAlign w:val="superscript"/>
                <w:lang w:val="ro-MD"/>
              </w:rPr>
              <w:t>1</w:t>
            </w:r>
            <w:r w:rsidRPr="00BB3899">
              <w:rPr>
                <w:rFonts w:ascii="Times New Roman" w:hAnsi="Times New Roman"/>
                <w:b/>
                <w:bCs/>
                <w:sz w:val="24"/>
                <w:szCs w:val="24"/>
                <w:lang w:val="ro-MD"/>
              </w:rPr>
              <w:t>.</w:t>
            </w:r>
            <w:r w:rsidRPr="00BB3899">
              <w:rPr>
                <w:rFonts w:ascii="Times New Roman" w:hAnsi="Times New Roman"/>
                <w:sz w:val="24"/>
                <w:szCs w:val="24"/>
                <w:lang w:val="ro-MD"/>
              </w:rPr>
              <w:t xml:space="preserve"> Măsuri aplicabile în cazul existenței bănuielilor  rezonabile de falsificare a certificatului de înmatriculare sau a elementelor de identificare ale vehiculului </w:t>
            </w:r>
          </w:p>
          <w:p w14:paraId="52B62DBC"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(1) În cazul existenței unor bănuieli rezonabile privind falsificarea certificatului de înmatriculare sau a elementelor de identificare ale vehiculului, autoritățile competente potrivit legii dispun ridicarea temporară a certificatului de înmatriculare, cu întocmirea actului procesual corespunzător, în condițiile legii.</w:t>
            </w:r>
          </w:p>
          <w:p w14:paraId="320555D9" w14:textId="77777777" w:rsidR="00623759"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(2) Ridicarea temporară a certificatului de înmatriculare se aplică pe perioada necesară verificării autenticității acestuia și a elementelor de identificare ale vehiculului. În cazul în care certificatul de înmatriculare sau vehiculul este ridicat, reținut ori recunoscut în calitate de corp delict în cadrul unei cauze penale, regimul juridic al acestora se stabilește potrivit legislației procesual-penale.  </w:t>
            </w:r>
          </w:p>
          <w:p w14:paraId="18654ED1" w14:textId="73E82DDE" w:rsidR="008603A1" w:rsidRPr="00BB3899" w:rsidRDefault="00623759" w:rsidP="00623759">
            <w:pPr>
              <w:shd w:val="clear" w:color="auto" w:fill="FFFFFF"/>
              <w:ind w:firstLine="0"/>
              <w:rPr>
                <w:rFonts w:ascii="Times New Roman" w:hAnsi="Times New Roman"/>
                <w:sz w:val="24"/>
                <w:szCs w:val="24"/>
                <w:lang w:val="ro-MD"/>
              </w:rPr>
            </w:pPr>
            <w:r w:rsidRPr="00BB3899">
              <w:rPr>
                <w:rFonts w:ascii="Times New Roman" w:hAnsi="Times New Roman"/>
                <w:sz w:val="24"/>
                <w:szCs w:val="24"/>
                <w:lang w:val="ro-MD"/>
              </w:rPr>
              <w:t xml:space="preserve">(3) Certificatul de înmatriculare a vehiculului se restituie proprietarului sau mandatarului acestuia dacă, în urma verificărilor efectuate, nu s-au confirmat </w:t>
            </w:r>
            <w:r w:rsidR="00B411A0" w:rsidRPr="00BB3899">
              <w:rPr>
                <w:rFonts w:ascii="Times New Roman" w:hAnsi="Times New Roman"/>
                <w:sz w:val="24"/>
                <w:szCs w:val="24"/>
                <w:lang w:val="ro-MD"/>
              </w:rPr>
              <w:t>bănuielile</w:t>
            </w:r>
            <w:r w:rsidRPr="00BB3899">
              <w:rPr>
                <w:rFonts w:ascii="Times New Roman" w:hAnsi="Times New Roman"/>
                <w:sz w:val="24"/>
                <w:szCs w:val="24"/>
                <w:lang w:val="ro-MD"/>
              </w:rPr>
              <w:t xml:space="preserve"> de falsificare și nu există alte temeiuri legale pentru menținerea ridicării.</w:t>
            </w:r>
          </w:p>
        </w:tc>
      </w:tr>
    </w:tbl>
    <w:p w14:paraId="06F2DD7C" w14:textId="77777777" w:rsidR="00642519" w:rsidRPr="00BB3899" w:rsidRDefault="00642519" w:rsidP="00177035">
      <w:pPr>
        <w:pBdr>
          <w:top w:val="none" w:sz="4" w:space="0" w:color="000000"/>
          <w:left w:val="none" w:sz="4" w:space="0" w:color="000000"/>
          <w:bottom w:val="none" w:sz="4" w:space="0" w:color="000000"/>
          <w:right w:val="none" w:sz="4" w:space="0" w:color="000000"/>
        </w:pBdr>
        <w:rPr>
          <w:sz w:val="24"/>
          <w:szCs w:val="24"/>
          <w:lang w:val="ro-MD"/>
        </w:rPr>
      </w:pPr>
    </w:p>
    <w:p w14:paraId="3C8E2FCE" w14:textId="77777777" w:rsidR="00642519" w:rsidRPr="00BB3899" w:rsidRDefault="00642519" w:rsidP="00177035">
      <w:pPr>
        <w:pBdr>
          <w:top w:val="none" w:sz="4" w:space="0" w:color="000000"/>
          <w:left w:val="none" w:sz="4" w:space="0" w:color="000000"/>
          <w:bottom w:val="none" w:sz="4" w:space="0" w:color="000000"/>
          <w:right w:val="none" w:sz="4" w:space="0" w:color="000000"/>
        </w:pBdr>
        <w:rPr>
          <w:sz w:val="24"/>
          <w:szCs w:val="24"/>
          <w:lang w:val="ro-MD"/>
        </w:rPr>
      </w:pPr>
    </w:p>
    <w:sectPr w:rsidR="00642519" w:rsidRPr="00BB3899" w:rsidSect="00F276AA">
      <w:headerReference w:type="default" r:id="rId11"/>
      <w:headerReference w:type="first" r:id="rId12"/>
      <w:pgSz w:w="16840" w:h="11907" w:orient="landscape"/>
      <w:pgMar w:top="1134"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F391" w14:textId="77777777" w:rsidR="00823EB1" w:rsidRDefault="00823EB1">
      <w:r>
        <w:separator/>
      </w:r>
    </w:p>
  </w:endnote>
  <w:endnote w:type="continuationSeparator" w:id="0">
    <w:p w14:paraId="17FFD076" w14:textId="77777777" w:rsidR="00823EB1" w:rsidRDefault="0082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FED4" w14:textId="77777777" w:rsidR="00823EB1" w:rsidRDefault="00823EB1">
      <w:r>
        <w:separator/>
      </w:r>
    </w:p>
  </w:footnote>
  <w:footnote w:type="continuationSeparator" w:id="0">
    <w:p w14:paraId="5EB59C88" w14:textId="77777777" w:rsidR="00823EB1" w:rsidRDefault="0082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32"/>
  </w:num>
  <w:num w:numId="2" w16cid:durableId="587739740">
    <w:abstractNumId w:val="34"/>
  </w:num>
  <w:num w:numId="3" w16cid:durableId="1295058372">
    <w:abstractNumId w:val="14"/>
  </w:num>
  <w:num w:numId="4" w16cid:durableId="1589391119">
    <w:abstractNumId w:val="27"/>
  </w:num>
  <w:num w:numId="5" w16cid:durableId="813643821">
    <w:abstractNumId w:val="16"/>
  </w:num>
  <w:num w:numId="6" w16cid:durableId="724185697">
    <w:abstractNumId w:val="11"/>
  </w:num>
  <w:num w:numId="7" w16cid:durableId="391120410">
    <w:abstractNumId w:val="5"/>
  </w:num>
  <w:num w:numId="8" w16cid:durableId="1353650711">
    <w:abstractNumId w:val="6"/>
  </w:num>
  <w:num w:numId="9" w16cid:durableId="529756386">
    <w:abstractNumId w:val="24"/>
  </w:num>
  <w:num w:numId="10" w16cid:durableId="1817068414">
    <w:abstractNumId w:val="3"/>
  </w:num>
  <w:num w:numId="11" w16cid:durableId="929969679">
    <w:abstractNumId w:val="23"/>
  </w:num>
  <w:num w:numId="12" w16cid:durableId="463743524">
    <w:abstractNumId w:val="2"/>
  </w:num>
  <w:num w:numId="13" w16cid:durableId="1509369432">
    <w:abstractNumId w:val="36"/>
  </w:num>
  <w:num w:numId="14" w16cid:durableId="144976479">
    <w:abstractNumId w:val="17"/>
  </w:num>
  <w:num w:numId="15" w16cid:durableId="863251399">
    <w:abstractNumId w:val="18"/>
  </w:num>
  <w:num w:numId="16" w16cid:durableId="1336415565">
    <w:abstractNumId w:val="31"/>
  </w:num>
  <w:num w:numId="17" w16cid:durableId="2039770970">
    <w:abstractNumId w:val="28"/>
  </w:num>
  <w:num w:numId="18" w16cid:durableId="1053385257">
    <w:abstractNumId w:val="22"/>
  </w:num>
  <w:num w:numId="19" w16cid:durableId="292299398">
    <w:abstractNumId w:val="19"/>
  </w:num>
  <w:num w:numId="20" w16cid:durableId="2106922115">
    <w:abstractNumId w:val="8"/>
  </w:num>
  <w:num w:numId="21" w16cid:durableId="623384998">
    <w:abstractNumId w:val="30"/>
  </w:num>
  <w:num w:numId="22" w16cid:durableId="1476755032">
    <w:abstractNumId w:val="4"/>
  </w:num>
  <w:num w:numId="23" w16cid:durableId="1389647913">
    <w:abstractNumId w:val="13"/>
  </w:num>
  <w:num w:numId="24" w16cid:durableId="2089496045">
    <w:abstractNumId w:val="10"/>
  </w:num>
  <w:num w:numId="25" w16cid:durableId="1339577544">
    <w:abstractNumId w:val="20"/>
  </w:num>
  <w:num w:numId="26" w16cid:durableId="481776770">
    <w:abstractNumId w:val="33"/>
  </w:num>
  <w:num w:numId="27" w16cid:durableId="59987386">
    <w:abstractNumId w:val="25"/>
  </w:num>
  <w:num w:numId="28" w16cid:durableId="1160584080">
    <w:abstractNumId w:val="38"/>
    <w:lvlOverride w:ilvl="0">
      <w:startOverride w:val="1"/>
    </w:lvlOverride>
  </w:num>
  <w:num w:numId="29" w16cid:durableId="233321069">
    <w:abstractNumId w:val="21"/>
  </w:num>
  <w:num w:numId="30" w16cid:durableId="1228221163">
    <w:abstractNumId w:val="7"/>
  </w:num>
  <w:num w:numId="31" w16cid:durableId="1201281458">
    <w:abstractNumId w:val="37"/>
  </w:num>
  <w:num w:numId="32" w16cid:durableId="517045413">
    <w:abstractNumId w:val="38"/>
  </w:num>
  <w:num w:numId="33" w16cid:durableId="142164304">
    <w:abstractNumId w:val="12"/>
  </w:num>
  <w:num w:numId="34" w16cid:durableId="1121845272">
    <w:abstractNumId w:val="40"/>
  </w:num>
  <w:num w:numId="35" w16cid:durableId="1159076889">
    <w:abstractNumId w:val="39"/>
  </w:num>
  <w:num w:numId="36" w16cid:durableId="41516025">
    <w:abstractNumId w:val="0"/>
  </w:num>
  <w:num w:numId="37" w16cid:durableId="2027753770">
    <w:abstractNumId w:val="9"/>
  </w:num>
  <w:num w:numId="38" w16cid:durableId="2090420006">
    <w:abstractNumId w:val="29"/>
  </w:num>
  <w:num w:numId="39" w16cid:durableId="1843232521">
    <w:abstractNumId w:val="15"/>
  </w:num>
  <w:num w:numId="40" w16cid:durableId="342779046">
    <w:abstractNumId w:val="35"/>
  </w:num>
  <w:num w:numId="41" w16cid:durableId="979921015">
    <w:abstractNumId w:val="26"/>
  </w:num>
  <w:num w:numId="42" w16cid:durableId="1571965743">
    <w:abstractNumId w:val="1"/>
  </w:num>
  <w:num w:numId="43" w16cid:durableId="13674151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295"/>
    <w:rsid w:val="00044D19"/>
    <w:rsid w:val="00052045"/>
    <w:rsid w:val="00054810"/>
    <w:rsid w:val="000713DA"/>
    <w:rsid w:val="00071EAA"/>
    <w:rsid w:val="00071FB5"/>
    <w:rsid w:val="0007236F"/>
    <w:rsid w:val="00075A5F"/>
    <w:rsid w:val="00081267"/>
    <w:rsid w:val="00085029"/>
    <w:rsid w:val="000A6BA5"/>
    <w:rsid w:val="000B3D87"/>
    <w:rsid w:val="000B50EE"/>
    <w:rsid w:val="000C041B"/>
    <w:rsid w:val="000C2AB4"/>
    <w:rsid w:val="000D38D1"/>
    <w:rsid w:val="000D5C74"/>
    <w:rsid w:val="000E1D40"/>
    <w:rsid w:val="000E2800"/>
    <w:rsid w:val="000F497A"/>
    <w:rsid w:val="00102AD8"/>
    <w:rsid w:val="00104DBB"/>
    <w:rsid w:val="00113956"/>
    <w:rsid w:val="00116035"/>
    <w:rsid w:val="001211EA"/>
    <w:rsid w:val="00134289"/>
    <w:rsid w:val="00143389"/>
    <w:rsid w:val="00143CC4"/>
    <w:rsid w:val="001459F3"/>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D2FA2"/>
    <w:rsid w:val="001D3213"/>
    <w:rsid w:val="001D6B65"/>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03A2"/>
    <w:rsid w:val="002E4217"/>
    <w:rsid w:val="002E432A"/>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0469"/>
    <w:rsid w:val="0036135C"/>
    <w:rsid w:val="00362D0C"/>
    <w:rsid w:val="0036518F"/>
    <w:rsid w:val="0036768D"/>
    <w:rsid w:val="00371AD3"/>
    <w:rsid w:val="00374362"/>
    <w:rsid w:val="00374DD1"/>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3F5B55"/>
    <w:rsid w:val="00405019"/>
    <w:rsid w:val="00406BA9"/>
    <w:rsid w:val="00410C9A"/>
    <w:rsid w:val="00421AB5"/>
    <w:rsid w:val="00424212"/>
    <w:rsid w:val="00424CF9"/>
    <w:rsid w:val="0043208D"/>
    <w:rsid w:val="004333B4"/>
    <w:rsid w:val="00434203"/>
    <w:rsid w:val="00452C3E"/>
    <w:rsid w:val="00452C6C"/>
    <w:rsid w:val="0045451B"/>
    <w:rsid w:val="0045605C"/>
    <w:rsid w:val="00464294"/>
    <w:rsid w:val="004735CE"/>
    <w:rsid w:val="00474658"/>
    <w:rsid w:val="0047797E"/>
    <w:rsid w:val="004927A0"/>
    <w:rsid w:val="00497F06"/>
    <w:rsid w:val="004A3757"/>
    <w:rsid w:val="004B1283"/>
    <w:rsid w:val="004B50CF"/>
    <w:rsid w:val="004C6034"/>
    <w:rsid w:val="004D3941"/>
    <w:rsid w:val="004E2421"/>
    <w:rsid w:val="004E6489"/>
    <w:rsid w:val="004E6662"/>
    <w:rsid w:val="004F568A"/>
    <w:rsid w:val="005020EC"/>
    <w:rsid w:val="00516555"/>
    <w:rsid w:val="00523CB7"/>
    <w:rsid w:val="005256CF"/>
    <w:rsid w:val="00542C43"/>
    <w:rsid w:val="00551299"/>
    <w:rsid w:val="00555DF5"/>
    <w:rsid w:val="00572006"/>
    <w:rsid w:val="00573E74"/>
    <w:rsid w:val="005778AE"/>
    <w:rsid w:val="0057790F"/>
    <w:rsid w:val="00582470"/>
    <w:rsid w:val="00594DE5"/>
    <w:rsid w:val="005A12D7"/>
    <w:rsid w:val="005A29D6"/>
    <w:rsid w:val="005A2F32"/>
    <w:rsid w:val="005B0C92"/>
    <w:rsid w:val="005B7E20"/>
    <w:rsid w:val="005C1D42"/>
    <w:rsid w:val="005C412B"/>
    <w:rsid w:val="005C4835"/>
    <w:rsid w:val="005C5A53"/>
    <w:rsid w:val="005C7769"/>
    <w:rsid w:val="005D1105"/>
    <w:rsid w:val="005D5F1D"/>
    <w:rsid w:val="005E37E8"/>
    <w:rsid w:val="005F0F53"/>
    <w:rsid w:val="005F584A"/>
    <w:rsid w:val="00604AD8"/>
    <w:rsid w:val="0060625D"/>
    <w:rsid w:val="00611BAA"/>
    <w:rsid w:val="00612D18"/>
    <w:rsid w:val="00615BB7"/>
    <w:rsid w:val="00616A16"/>
    <w:rsid w:val="00621954"/>
    <w:rsid w:val="00623361"/>
    <w:rsid w:val="00623759"/>
    <w:rsid w:val="00624BA9"/>
    <w:rsid w:val="0062575C"/>
    <w:rsid w:val="006339EB"/>
    <w:rsid w:val="00642519"/>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39FA"/>
    <w:rsid w:val="006E7D38"/>
    <w:rsid w:val="006F0870"/>
    <w:rsid w:val="006F43CA"/>
    <w:rsid w:val="006F7EF4"/>
    <w:rsid w:val="007026DD"/>
    <w:rsid w:val="00702770"/>
    <w:rsid w:val="00703FCE"/>
    <w:rsid w:val="00707B68"/>
    <w:rsid w:val="007126C4"/>
    <w:rsid w:val="007258CF"/>
    <w:rsid w:val="00726104"/>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D1C49"/>
    <w:rsid w:val="007E3F69"/>
    <w:rsid w:val="007E7735"/>
    <w:rsid w:val="007F1254"/>
    <w:rsid w:val="007F1374"/>
    <w:rsid w:val="007F2F63"/>
    <w:rsid w:val="00800EE1"/>
    <w:rsid w:val="00811CAE"/>
    <w:rsid w:val="00823EB1"/>
    <w:rsid w:val="00825DC9"/>
    <w:rsid w:val="00831DF3"/>
    <w:rsid w:val="008326E7"/>
    <w:rsid w:val="0084241F"/>
    <w:rsid w:val="0084434E"/>
    <w:rsid w:val="008506B1"/>
    <w:rsid w:val="008510CC"/>
    <w:rsid w:val="008603A1"/>
    <w:rsid w:val="00860C47"/>
    <w:rsid w:val="00863417"/>
    <w:rsid w:val="0086343C"/>
    <w:rsid w:val="00863D76"/>
    <w:rsid w:val="0086509B"/>
    <w:rsid w:val="0087296A"/>
    <w:rsid w:val="00876262"/>
    <w:rsid w:val="00891049"/>
    <w:rsid w:val="00897403"/>
    <w:rsid w:val="008A40C0"/>
    <w:rsid w:val="008A5923"/>
    <w:rsid w:val="008B1120"/>
    <w:rsid w:val="008B14C7"/>
    <w:rsid w:val="008B1AA1"/>
    <w:rsid w:val="008B1BFF"/>
    <w:rsid w:val="008B4BE6"/>
    <w:rsid w:val="008B4E4E"/>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6577"/>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5E9"/>
    <w:rsid w:val="00A71E51"/>
    <w:rsid w:val="00A764E4"/>
    <w:rsid w:val="00A77F56"/>
    <w:rsid w:val="00A954D1"/>
    <w:rsid w:val="00A95A2D"/>
    <w:rsid w:val="00AA34B1"/>
    <w:rsid w:val="00AA3A3E"/>
    <w:rsid w:val="00AA719D"/>
    <w:rsid w:val="00AB06B2"/>
    <w:rsid w:val="00AB1140"/>
    <w:rsid w:val="00AB1C3D"/>
    <w:rsid w:val="00AB29A8"/>
    <w:rsid w:val="00AB7D22"/>
    <w:rsid w:val="00AC22A5"/>
    <w:rsid w:val="00AC2670"/>
    <w:rsid w:val="00AE1C50"/>
    <w:rsid w:val="00AE1F78"/>
    <w:rsid w:val="00AF23AF"/>
    <w:rsid w:val="00AF4BA5"/>
    <w:rsid w:val="00AF4E3A"/>
    <w:rsid w:val="00AF6A53"/>
    <w:rsid w:val="00B00257"/>
    <w:rsid w:val="00B039D7"/>
    <w:rsid w:val="00B07F61"/>
    <w:rsid w:val="00B11EFC"/>
    <w:rsid w:val="00B15210"/>
    <w:rsid w:val="00B1623B"/>
    <w:rsid w:val="00B24403"/>
    <w:rsid w:val="00B25206"/>
    <w:rsid w:val="00B32239"/>
    <w:rsid w:val="00B411A0"/>
    <w:rsid w:val="00B42DDB"/>
    <w:rsid w:val="00B472D0"/>
    <w:rsid w:val="00B553C7"/>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899"/>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054"/>
    <w:rsid w:val="00C424F1"/>
    <w:rsid w:val="00C4424F"/>
    <w:rsid w:val="00C445CC"/>
    <w:rsid w:val="00C4599F"/>
    <w:rsid w:val="00C45F82"/>
    <w:rsid w:val="00C475F7"/>
    <w:rsid w:val="00C53E01"/>
    <w:rsid w:val="00C765A6"/>
    <w:rsid w:val="00C81CDA"/>
    <w:rsid w:val="00C83148"/>
    <w:rsid w:val="00C846A9"/>
    <w:rsid w:val="00C87B56"/>
    <w:rsid w:val="00C97610"/>
    <w:rsid w:val="00CA2822"/>
    <w:rsid w:val="00CB128D"/>
    <w:rsid w:val="00CB6841"/>
    <w:rsid w:val="00CC3DCC"/>
    <w:rsid w:val="00CC7AC8"/>
    <w:rsid w:val="00CD0459"/>
    <w:rsid w:val="00CD1F68"/>
    <w:rsid w:val="00CD3E6A"/>
    <w:rsid w:val="00CE1C4A"/>
    <w:rsid w:val="00CE224F"/>
    <w:rsid w:val="00CF1BF6"/>
    <w:rsid w:val="00CF6CCE"/>
    <w:rsid w:val="00D00C36"/>
    <w:rsid w:val="00D0145D"/>
    <w:rsid w:val="00D02424"/>
    <w:rsid w:val="00D07A16"/>
    <w:rsid w:val="00D124CA"/>
    <w:rsid w:val="00D12DE0"/>
    <w:rsid w:val="00D14E81"/>
    <w:rsid w:val="00D1647F"/>
    <w:rsid w:val="00D16C96"/>
    <w:rsid w:val="00D20F95"/>
    <w:rsid w:val="00D3779C"/>
    <w:rsid w:val="00D37DCA"/>
    <w:rsid w:val="00D54373"/>
    <w:rsid w:val="00D62225"/>
    <w:rsid w:val="00D65D20"/>
    <w:rsid w:val="00D745DA"/>
    <w:rsid w:val="00D77DA5"/>
    <w:rsid w:val="00D8018F"/>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6E68"/>
    <w:rsid w:val="00E07BB2"/>
    <w:rsid w:val="00E11E1A"/>
    <w:rsid w:val="00E12C95"/>
    <w:rsid w:val="00E14566"/>
    <w:rsid w:val="00E14911"/>
    <w:rsid w:val="00E22660"/>
    <w:rsid w:val="00E232E0"/>
    <w:rsid w:val="00E23A5B"/>
    <w:rsid w:val="00E2442C"/>
    <w:rsid w:val="00E24AD3"/>
    <w:rsid w:val="00E3030C"/>
    <w:rsid w:val="00E32EAF"/>
    <w:rsid w:val="00E34BF8"/>
    <w:rsid w:val="00E44F7F"/>
    <w:rsid w:val="00E45C59"/>
    <w:rsid w:val="00E50CC8"/>
    <w:rsid w:val="00E51FE8"/>
    <w:rsid w:val="00E5244F"/>
    <w:rsid w:val="00E55E57"/>
    <w:rsid w:val="00E56249"/>
    <w:rsid w:val="00E66F91"/>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276AA"/>
    <w:rsid w:val="00F31636"/>
    <w:rsid w:val="00F326C0"/>
    <w:rsid w:val="00F376E3"/>
    <w:rsid w:val="00F37ED4"/>
    <w:rsid w:val="00F40A46"/>
    <w:rsid w:val="00F41D12"/>
    <w:rsid w:val="00F45235"/>
    <w:rsid w:val="00F50B3C"/>
    <w:rsid w:val="00F54079"/>
    <w:rsid w:val="00F5592A"/>
    <w:rsid w:val="00F57E9D"/>
    <w:rsid w:val="00F66E1A"/>
    <w:rsid w:val="00F71EBB"/>
    <w:rsid w:val="00F728DA"/>
    <w:rsid w:val="00F81060"/>
    <w:rsid w:val="00F8554D"/>
    <w:rsid w:val="00F92879"/>
    <w:rsid w:val="00F954C6"/>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2311</Words>
  <Characters>13177</Characters>
  <Application>Microsoft Office Word</Application>
  <DocSecurity>0</DocSecurity>
  <Lines>109</Lines>
  <Paragraphs>30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Vergiliu Lotca</cp:lastModifiedBy>
  <cp:revision>23</cp:revision>
  <cp:lastPrinted>2024-03-11T11:21:00Z</cp:lastPrinted>
  <dcterms:created xsi:type="dcterms:W3CDTF">2026-03-03T05:51:00Z</dcterms:created>
  <dcterms:modified xsi:type="dcterms:W3CDTF">2026-05-04T13:21:00Z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