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EA56" w14:textId="77777777" w:rsidR="00D97D99" w:rsidRPr="005A7720" w:rsidRDefault="00D97D99" w:rsidP="001A04C4">
      <w:pPr>
        <w:spacing w:after="0"/>
        <w:ind w:firstLine="709"/>
        <w:jc w:val="center"/>
        <w:rPr>
          <w:b/>
          <w:sz w:val="20"/>
          <w:szCs w:val="20"/>
          <w:lang w:val="ro-MD"/>
        </w:rPr>
      </w:pPr>
      <w:r w:rsidRPr="005A7720">
        <w:rPr>
          <w:b/>
          <w:sz w:val="20"/>
          <w:szCs w:val="20"/>
          <w:lang w:val="ro-MD"/>
        </w:rPr>
        <w:t>TABEL DE CONCORDANȚĂ</w:t>
      </w:r>
    </w:p>
    <w:p w14:paraId="2BFAADA9" w14:textId="0704BF06" w:rsidR="00D97D99" w:rsidRPr="005A7720" w:rsidRDefault="00D97D99" w:rsidP="001A04C4">
      <w:pPr>
        <w:spacing w:after="0"/>
        <w:ind w:firstLine="709"/>
        <w:jc w:val="both"/>
        <w:rPr>
          <w:b/>
          <w:sz w:val="20"/>
          <w:szCs w:val="20"/>
          <w:lang w:val="ro-MD"/>
        </w:rPr>
      </w:pPr>
    </w:p>
    <w:p w14:paraId="5C210E56" w14:textId="0670AC2B" w:rsidR="001903D5" w:rsidRPr="005A7720" w:rsidRDefault="001903D5" w:rsidP="001A04C4">
      <w:pPr>
        <w:spacing w:after="0"/>
        <w:ind w:firstLine="709"/>
        <w:jc w:val="center"/>
        <w:rPr>
          <w:b/>
          <w:sz w:val="20"/>
          <w:szCs w:val="20"/>
          <w:lang w:val="ro-MD"/>
        </w:rPr>
      </w:pPr>
      <w:r w:rsidRPr="005A7720">
        <w:rPr>
          <w:b/>
          <w:sz w:val="20"/>
          <w:szCs w:val="20"/>
          <w:lang w:val="ro-MD"/>
        </w:rPr>
        <w:t xml:space="preserve">a proiectului de lege </w:t>
      </w:r>
      <w:r w:rsidR="005A7720" w:rsidRPr="005A7720">
        <w:rPr>
          <w:b/>
          <w:sz w:val="20"/>
          <w:szCs w:val="20"/>
          <w:lang w:val="ro-MD"/>
        </w:rPr>
        <w:t>Legii nr. 131/2007 privind siguranța traficului rutier (Monitorul Oficial al Republicii Moldova, 2007, nr. 103-106 art. 443)</w:t>
      </w:r>
      <w:r w:rsidRPr="005A7720">
        <w:rPr>
          <w:b/>
          <w:sz w:val="20"/>
          <w:szCs w:val="20"/>
          <w:lang w:val="ro-MD"/>
        </w:rPr>
        <w:t xml:space="preserve"> cu Decizia 2004/919/CE a Consiliului Europei din 22 decembrie 2004 privind combaterea criminalității referitoare la vehicule și având implicații transfrontaliere</w:t>
      </w:r>
    </w:p>
    <w:p w14:paraId="788492F9" w14:textId="77777777" w:rsidR="001903D5" w:rsidRPr="005A7720" w:rsidRDefault="001903D5" w:rsidP="001A04C4">
      <w:pPr>
        <w:spacing w:after="0"/>
        <w:ind w:firstLine="709"/>
        <w:jc w:val="both"/>
        <w:rPr>
          <w:b/>
          <w:sz w:val="20"/>
          <w:szCs w:val="20"/>
          <w:lang w:val="ro-MD"/>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4254"/>
        <w:gridCol w:w="1505"/>
        <w:gridCol w:w="6002"/>
      </w:tblGrid>
      <w:tr w:rsidR="005A7720" w:rsidRPr="005A7720" w14:paraId="52DB87E7" w14:textId="77777777" w:rsidTr="003D7925">
        <w:tc>
          <w:tcPr>
            <w:tcW w:w="1085" w:type="pct"/>
            <w:hideMark/>
          </w:tcPr>
          <w:p w14:paraId="4AE5085E" w14:textId="77777777" w:rsidR="00D97D99" w:rsidRPr="005A7720" w:rsidRDefault="00D97D99" w:rsidP="001A04C4">
            <w:pPr>
              <w:spacing w:after="0"/>
              <w:ind w:firstLine="22"/>
              <w:jc w:val="both"/>
              <w:rPr>
                <w:b/>
                <w:color w:val="153D63" w:themeColor="text2" w:themeTint="E6"/>
                <w:sz w:val="20"/>
                <w:szCs w:val="20"/>
                <w:lang w:val="ro-MD"/>
              </w:rPr>
            </w:pPr>
            <w:r w:rsidRPr="005A7720">
              <w:rPr>
                <w:b/>
                <w:color w:val="153D63" w:themeColor="text2" w:themeTint="E6"/>
                <w:sz w:val="20"/>
                <w:szCs w:val="20"/>
                <w:lang w:val="ro-MD"/>
              </w:rPr>
              <w:t>1</w:t>
            </w:r>
          </w:p>
        </w:tc>
        <w:tc>
          <w:tcPr>
            <w:tcW w:w="3915" w:type="pct"/>
            <w:gridSpan w:val="3"/>
            <w:hideMark/>
          </w:tcPr>
          <w:p w14:paraId="1FDA7D2C" w14:textId="695AF4D2" w:rsidR="00D97D99" w:rsidRPr="005A7720" w:rsidRDefault="00D97D99" w:rsidP="001A04C4">
            <w:pPr>
              <w:spacing w:after="0"/>
              <w:ind w:firstLine="22"/>
              <w:jc w:val="both"/>
              <w:rPr>
                <w:b/>
                <w:sz w:val="20"/>
                <w:szCs w:val="20"/>
                <w:lang w:val="ro-MD"/>
              </w:rPr>
            </w:pPr>
            <w:r w:rsidRPr="005A7720">
              <w:rPr>
                <w:b/>
                <w:sz w:val="20"/>
                <w:szCs w:val="20"/>
                <w:lang w:val="ro-MD"/>
              </w:rPr>
              <w:t>Titlul actului UE, inclusiv cea mai recentă modificare, nr. CELEX</w:t>
            </w:r>
            <w:r w:rsidR="001903D5" w:rsidRPr="005A7720">
              <w:rPr>
                <w:b/>
                <w:sz w:val="20"/>
                <w:szCs w:val="20"/>
                <w:lang w:val="ro-MD"/>
              </w:rPr>
              <w:t>:</w:t>
            </w:r>
          </w:p>
          <w:p w14:paraId="4F7EE9C8" w14:textId="624FF315" w:rsidR="001903D5" w:rsidRPr="005A7720" w:rsidRDefault="001903D5" w:rsidP="001A04C4">
            <w:pPr>
              <w:spacing w:after="0"/>
              <w:ind w:firstLine="22"/>
              <w:jc w:val="both"/>
              <w:rPr>
                <w:bCs/>
                <w:sz w:val="20"/>
                <w:szCs w:val="20"/>
                <w:lang w:val="ro-MD"/>
              </w:rPr>
            </w:pPr>
            <w:r w:rsidRPr="005A7720">
              <w:rPr>
                <w:bCs/>
                <w:sz w:val="20"/>
                <w:szCs w:val="20"/>
                <w:lang w:val="ro-MD"/>
              </w:rPr>
              <w:t>Decizia Consiliului din 22 decembrie 2004 privind combaterea criminalității referitoare la vehicule și având implicații transfrontaliere (2004/919/CE)</w:t>
            </w:r>
            <w:r w:rsidR="002A3589" w:rsidRPr="005A7720">
              <w:rPr>
                <w:bCs/>
                <w:sz w:val="20"/>
                <w:szCs w:val="20"/>
                <w:lang w:val="ro-MD"/>
              </w:rPr>
              <w:t xml:space="preserve"> CELEX</w:t>
            </w:r>
            <w:r w:rsidR="00FF0A84" w:rsidRPr="005A7720">
              <w:rPr>
                <w:b/>
                <w:sz w:val="20"/>
                <w:szCs w:val="20"/>
                <w:lang w:val="ro-MD"/>
              </w:rPr>
              <w:t xml:space="preserve"> </w:t>
            </w:r>
            <w:r w:rsidR="00FF0A84" w:rsidRPr="005A7720">
              <w:rPr>
                <w:sz w:val="20"/>
                <w:szCs w:val="20"/>
                <w:lang w:val="ro-MD"/>
              </w:rPr>
              <w:t>32004D0919</w:t>
            </w:r>
          </w:p>
        </w:tc>
      </w:tr>
      <w:tr w:rsidR="005A7720" w:rsidRPr="005A7720" w14:paraId="2DC7657D" w14:textId="77777777" w:rsidTr="003D7925">
        <w:tc>
          <w:tcPr>
            <w:tcW w:w="1085" w:type="pct"/>
            <w:hideMark/>
          </w:tcPr>
          <w:p w14:paraId="4AF9987C" w14:textId="77777777" w:rsidR="00D97D99" w:rsidRPr="005A7720" w:rsidRDefault="00D97D99" w:rsidP="001A04C4">
            <w:pPr>
              <w:spacing w:after="0"/>
              <w:ind w:firstLine="22"/>
              <w:jc w:val="both"/>
              <w:rPr>
                <w:b/>
                <w:color w:val="153D63" w:themeColor="text2" w:themeTint="E6"/>
                <w:sz w:val="20"/>
                <w:szCs w:val="20"/>
                <w:lang w:val="ro-MD"/>
              </w:rPr>
            </w:pPr>
            <w:r w:rsidRPr="005A7720">
              <w:rPr>
                <w:b/>
                <w:color w:val="153D63" w:themeColor="text2" w:themeTint="E6"/>
                <w:sz w:val="20"/>
                <w:szCs w:val="20"/>
                <w:lang w:val="ro-MD"/>
              </w:rPr>
              <w:t>2</w:t>
            </w:r>
          </w:p>
        </w:tc>
        <w:tc>
          <w:tcPr>
            <w:tcW w:w="3915" w:type="pct"/>
            <w:gridSpan w:val="3"/>
            <w:hideMark/>
          </w:tcPr>
          <w:p w14:paraId="2A909DFF" w14:textId="616F1320" w:rsidR="00D97D99" w:rsidRPr="0033236A" w:rsidRDefault="00D97D99" w:rsidP="001A04C4">
            <w:pPr>
              <w:spacing w:after="0"/>
              <w:ind w:firstLine="22"/>
              <w:jc w:val="both"/>
              <w:rPr>
                <w:b/>
                <w:sz w:val="20"/>
                <w:szCs w:val="20"/>
                <w:lang w:val="ro-MD"/>
              </w:rPr>
            </w:pPr>
            <w:r w:rsidRPr="0033236A">
              <w:rPr>
                <w:b/>
                <w:sz w:val="20"/>
                <w:szCs w:val="20"/>
                <w:lang w:val="ro-MD"/>
              </w:rPr>
              <w:t>Titlul proiectului de act normativ național</w:t>
            </w:r>
            <w:r w:rsidR="001903D5" w:rsidRPr="0033236A">
              <w:rPr>
                <w:b/>
                <w:sz w:val="20"/>
                <w:szCs w:val="20"/>
                <w:lang w:val="ro-MD"/>
              </w:rPr>
              <w:t xml:space="preserve">: </w:t>
            </w:r>
          </w:p>
          <w:p w14:paraId="645BB8A4" w14:textId="5760C846" w:rsidR="00835D46" w:rsidRPr="0033236A" w:rsidRDefault="00F94E74" w:rsidP="0033236A">
            <w:pPr>
              <w:tabs>
                <w:tab w:val="left" w:pos="383"/>
              </w:tabs>
              <w:spacing w:after="0"/>
              <w:jc w:val="both"/>
              <w:rPr>
                <w:bCs/>
                <w:sz w:val="20"/>
                <w:szCs w:val="20"/>
                <w:lang w:val="ro-MD"/>
              </w:rPr>
            </w:pPr>
            <w:r w:rsidRPr="0033236A">
              <w:rPr>
                <w:bCs/>
                <w:sz w:val="20"/>
                <w:szCs w:val="20"/>
                <w:lang w:val="ro-MD"/>
              </w:rPr>
              <w:t xml:space="preserve">Proiect de lege </w:t>
            </w:r>
            <w:r w:rsidR="0033236A" w:rsidRPr="0033236A">
              <w:rPr>
                <w:bCs/>
                <w:sz w:val="20"/>
                <w:szCs w:val="20"/>
                <w:lang w:val="ro-MD"/>
              </w:rPr>
              <w:t xml:space="preserve">pentru modificarea Legii nr. 131/2007 privind siguranța traficului rutier </w:t>
            </w:r>
          </w:p>
        </w:tc>
      </w:tr>
      <w:tr w:rsidR="005A7720" w:rsidRPr="005A7720" w14:paraId="2814457A" w14:textId="77777777" w:rsidTr="003D7925">
        <w:tc>
          <w:tcPr>
            <w:tcW w:w="1085" w:type="pct"/>
            <w:hideMark/>
          </w:tcPr>
          <w:p w14:paraId="558D3431" w14:textId="77777777" w:rsidR="00D97D99" w:rsidRPr="005A7720" w:rsidRDefault="00D97D99" w:rsidP="001A04C4">
            <w:pPr>
              <w:spacing w:after="0"/>
              <w:ind w:firstLine="22"/>
              <w:jc w:val="both"/>
              <w:rPr>
                <w:b/>
                <w:color w:val="153D63" w:themeColor="text2" w:themeTint="E6"/>
                <w:sz w:val="20"/>
                <w:szCs w:val="20"/>
                <w:lang w:val="ro-MD"/>
              </w:rPr>
            </w:pPr>
            <w:r w:rsidRPr="005A7720">
              <w:rPr>
                <w:b/>
                <w:color w:val="153D63" w:themeColor="text2" w:themeTint="E6"/>
                <w:sz w:val="20"/>
                <w:szCs w:val="20"/>
                <w:lang w:val="ro-MD"/>
              </w:rPr>
              <w:t>3</w:t>
            </w:r>
          </w:p>
        </w:tc>
        <w:tc>
          <w:tcPr>
            <w:tcW w:w="3915" w:type="pct"/>
            <w:gridSpan w:val="3"/>
            <w:hideMark/>
          </w:tcPr>
          <w:p w14:paraId="42B81A71" w14:textId="45CAE711" w:rsidR="00D97D99" w:rsidRPr="0033236A" w:rsidRDefault="00D97D99" w:rsidP="001A04C4">
            <w:pPr>
              <w:spacing w:after="0"/>
              <w:ind w:firstLine="22"/>
              <w:jc w:val="both"/>
              <w:rPr>
                <w:b/>
                <w:sz w:val="20"/>
                <w:szCs w:val="20"/>
                <w:lang w:val="ro-MD"/>
              </w:rPr>
            </w:pPr>
            <w:r w:rsidRPr="0033236A">
              <w:rPr>
                <w:b/>
                <w:sz w:val="20"/>
                <w:szCs w:val="20"/>
                <w:lang w:val="ro-MD"/>
              </w:rPr>
              <w:t>Gradul general de compatibilitate</w:t>
            </w:r>
          </w:p>
          <w:p w14:paraId="25181617" w14:textId="32EDBE32" w:rsidR="001903D5" w:rsidRPr="0033236A" w:rsidRDefault="00835D46" w:rsidP="001A04C4">
            <w:pPr>
              <w:spacing w:after="0"/>
              <w:ind w:firstLine="22"/>
              <w:jc w:val="both"/>
              <w:rPr>
                <w:bCs/>
                <w:sz w:val="20"/>
                <w:szCs w:val="20"/>
                <w:highlight w:val="yellow"/>
                <w:lang w:val="ro-MD"/>
              </w:rPr>
            </w:pPr>
            <w:r w:rsidRPr="0033236A">
              <w:rPr>
                <w:bCs/>
                <w:sz w:val="20"/>
                <w:szCs w:val="20"/>
                <w:lang w:val="ro-MD"/>
              </w:rPr>
              <w:t>P</w:t>
            </w:r>
            <w:r w:rsidR="00734442" w:rsidRPr="0033236A">
              <w:rPr>
                <w:bCs/>
                <w:sz w:val="20"/>
                <w:szCs w:val="20"/>
                <w:lang w:val="ro-MD"/>
              </w:rPr>
              <w:t>arțial</w:t>
            </w:r>
            <w:r w:rsidRPr="0033236A">
              <w:rPr>
                <w:bCs/>
                <w:sz w:val="20"/>
                <w:szCs w:val="20"/>
                <w:lang w:val="ro-MD"/>
              </w:rPr>
              <w:t xml:space="preserve"> </w:t>
            </w:r>
            <w:r w:rsidR="00734442" w:rsidRPr="0033236A">
              <w:rPr>
                <w:bCs/>
                <w:sz w:val="20"/>
                <w:szCs w:val="20"/>
                <w:lang w:val="ro-MD"/>
              </w:rPr>
              <w:t>compatibil</w:t>
            </w:r>
          </w:p>
        </w:tc>
      </w:tr>
      <w:tr w:rsidR="005A7720" w:rsidRPr="005A7720" w14:paraId="27F801CE" w14:textId="77777777" w:rsidTr="003D7925">
        <w:tc>
          <w:tcPr>
            <w:tcW w:w="1085" w:type="pct"/>
          </w:tcPr>
          <w:p w14:paraId="2CBA19FC" w14:textId="77777777" w:rsidR="00D97D99" w:rsidRPr="005A7720" w:rsidRDefault="00D97D99" w:rsidP="001A04C4">
            <w:pPr>
              <w:spacing w:after="0"/>
              <w:ind w:firstLine="22"/>
              <w:jc w:val="both"/>
              <w:rPr>
                <w:b/>
                <w:color w:val="153D63" w:themeColor="text2" w:themeTint="E6"/>
                <w:sz w:val="20"/>
                <w:szCs w:val="20"/>
                <w:lang w:val="ro-MD"/>
              </w:rPr>
            </w:pPr>
            <w:r w:rsidRPr="005A7720">
              <w:rPr>
                <w:b/>
                <w:color w:val="153D63" w:themeColor="text2" w:themeTint="E6"/>
                <w:sz w:val="20"/>
                <w:szCs w:val="20"/>
                <w:lang w:val="ro-MD"/>
              </w:rPr>
              <w:t>4</w:t>
            </w:r>
          </w:p>
        </w:tc>
        <w:tc>
          <w:tcPr>
            <w:tcW w:w="3915" w:type="pct"/>
            <w:gridSpan w:val="3"/>
          </w:tcPr>
          <w:p w14:paraId="420C67CF" w14:textId="77777777" w:rsidR="00D97D99" w:rsidRPr="0033236A" w:rsidRDefault="00D97D99" w:rsidP="001A04C4">
            <w:pPr>
              <w:spacing w:after="0"/>
              <w:ind w:firstLine="22"/>
              <w:jc w:val="both"/>
              <w:rPr>
                <w:b/>
                <w:sz w:val="20"/>
                <w:szCs w:val="20"/>
                <w:lang w:val="ro-MD"/>
              </w:rPr>
            </w:pPr>
            <w:r w:rsidRPr="0033236A">
              <w:rPr>
                <w:b/>
                <w:sz w:val="20"/>
                <w:szCs w:val="20"/>
                <w:lang w:val="ro-MD"/>
              </w:rPr>
              <w:t xml:space="preserve">Autoritatea/persoana responsabilă </w:t>
            </w:r>
          </w:p>
          <w:p w14:paraId="7A83A904" w14:textId="39982431" w:rsidR="00E023FE" w:rsidRPr="0033236A" w:rsidRDefault="00E023FE" w:rsidP="001A04C4">
            <w:pPr>
              <w:spacing w:after="0"/>
              <w:ind w:firstLine="22"/>
              <w:jc w:val="both"/>
              <w:rPr>
                <w:b/>
                <w:sz w:val="20"/>
                <w:szCs w:val="20"/>
                <w:lang w:val="ro-MD"/>
              </w:rPr>
            </w:pPr>
            <w:r w:rsidRPr="0033236A">
              <w:rPr>
                <w:bCs/>
                <w:sz w:val="20"/>
                <w:szCs w:val="20"/>
                <w:lang w:val="ro-MD"/>
              </w:rPr>
              <w:t>Ministerul Afacerilor Interne, ofițer principal Vergiliu Lotca</w:t>
            </w:r>
          </w:p>
        </w:tc>
      </w:tr>
      <w:tr w:rsidR="005A7720" w:rsidRPr="005A7720" w14:paraId="1A3C074A" w14:textId="77777777" w:rsidTr="003D7925">
        <w:tc>
          <w:tcPr>
            <w:tcW w:w="1085" w:type="pct"/>
          </w:tcPr>
          <w:p w14:paraId="7069FF58" w14:textId="77777777" w:rsidR="00D97D99" w:rsidRPr="00D76BCF" w:rsidRDefault="00D97D99" w:rsidP="001A04C4">
            <w:pPr>
              <w:spacing w:after="0"/>
              <w:ind w:firstLine="22"/>
              <w:jc w:val="both"/>
              <w:rPr>
                <w:b/>
                <w:color w:val="153D63" w:themeColor="text2" w:themeTint="E6"/>
                <w:sz w:val="20"/>
                <w:szCs w:val="20"/>
                <w:lang w:val="ro-MD"/>
              </w:rPr>
            </w:pPr>
            <w:r w:rsidRPr="00D76BCF">
              <w:rPr>
                <w:b/>
                <w:color w:val="153D63" w:themeColor="text2" w:themeTint="E6"/>
                <w:sz w:val="20"/>
                <w:szCs w:val="20"/>
                <w:lang w:val="ro-MD"/>
              </w:rPr>
              <w:t>5</w:t>
            </w:r>
          </w:p>
        </w:tc>
        <w:tc>
          <w:tcPr>
            <w:tcW w:w="3915" w:type="pct"/>
            <w:gridSpan w:val="3"/>
          </w:tcPr>
          <w:p w14:paraId="370103EF" w14:textId="77777777" w:rsidR="00D97D99" w:rsidRPr="00D76BCF" w:rsidRDefault="00D97D99" w:rsidP="001A04C4">
            <w:pPr>
              <w:spacing w:after="0"/>
              <w:ind w:firstLine="22"/>
              <w:jc w:val="both"/>
              <w:rPr>
                <w:b/>
                <w:sz w:val="20"/>
                <w:szCs w:val="20"/>
                <w:lang w:val="ro-MD"/>
              </w:rPr>
            </w:pPr>
            <w:r w:rsidRPr="00D76BCF">
              <w:rPr>
                <w:b/>
                <w:sz w:val="20"/>
                <w:szCs w:val="20"/>
                <w:lang w:val="ro-MD"/>
              </w:rPr>
              <w:t>Data întocmirii/actualizării</w:t>
            </w:r>
          </w:p>
          <w:p w14:paraId="2D75C60F" w14:textId="6D25E59D" w:rsidR="00E023FE" w:rsidRPr="00D76BCF" w:rsidRDefault="00D76BCF" w:rsidP="001A04C4">
            <w:pPr>
              <w:spacing w:after="0"/>
              <w:ind w:firstLine="22"/>
              <w:jc w:val="both"/>
              <w:rPr>
                <w:b/>
                <w:color w:val="153D63" w:themeColor="text2" w:themeTint="E6"/>
                <w:sz w:val="20"/>
                <w:szCs w:val="20"/>
                <w:lang w:val="ro-MD"/>
              </w:rPr>
            </w:pPr>
            <w:r w:rsidRPr="00D76BCF">
              <w:rPr>
                <w:b/>
                <w:sz w:val="20"/>
                <w:szCs w:val="20"/>
                <w:lang w:val="ro-MD"/>
              </w:rPr>
              <w:t>04</w:t>
            </w:r>
            <w:r w:rsidR="00092CEE" w:rsidRPr="00D76BCF">
              <w:rPr>
                <w:b/>
                <w:sz w:val="20"/>
                <w:szCs w:val="20"/>
                <w:lang w:val="ro-MD"/>
              </w:rPr>
              <w:t>.0</w:t>
            </w:r>
            <w:r w:rsidRPr="00D76BCF">
              <w:rPr>
                <w:b/>
                <w:sz w:val="20"/>
                <w:szCs w:val="20"/>
                <w:lang w:val="ro-MD"/>
              </w:rPr>
              <w:t>5</w:t>
            </w:r>
            <w:r w:rsidR="00092CEE" w:rsidRPr="00D76BCF">
              <w:rPr>
                <w:b/>
                <w:sz w:val="20"/>
                <w:szCs w:val="20"/>
                <w:lang w:val="ro-MD"/>
              </w:rPr>
              <w:t>.2026</w:t>
            </w:r>
          </w:p>
        </w:tc>
      </w:tr>
      <w:tr w:rsidR="0033236A" w:rsidRPr="0033236A" w14:paraId="3BEE1E8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hideMark/>
          </w:tcPr>
          <w:p w14:paraId="0BF0738F" w14:textId="77777777" w:rsidR="00D97D99" w:rsidRPr="0033236A" w:rsidRDefault="00D97D99" w:rsidP="001A04C4">
            <w:pPr>
              <w:spacing w:after="0"/>
              <w:ind w:firstLine="22"/>
              <w:rPr>
                <w:b/>
                <w:sz w:val="20"/>
                <w:szCs w:val="20"/>
                <w:lang w:val="ro-MD"/>
              </w:rPr>
            </w:pPr>
            <w:r w:rsidRPr="0033236A">
              <w:rPr>
                <w:b/>
                <w:sz w:val="20"/>
                <w:szCs w:val="20"/>
                <w:lang w:val="ro-MD"/>
              </w:rPr>
              <w:t>Actul Uniunii Europene</w:t>
            </w:r>
          </w:p>
          <w:p w14:paraId="35CB048E" w14:textId="77777777" w:rsidR="002A7401" w:rsidRPr="0033236A" w:rsidRDefault="002A7401" w:rsidP="001A04C4">
            <w:pPr>
              <w:spacing w:after="0"/>
              <w:ind w:firstLine="22"/>
              <w:rPr>
                <w:b/>
                <w:sz w:val="20"/>
                <w:szCs w:val="20"/>
                <w:lang w:val="ro-MD"/>
              </w:rPr>
            </w:pPr>
          </w:p>
          <w:p w14:paraId="228DE7FA" w14:textId="45C87205" w:rsidR="00D97D99" w:rsidRPr="0033236A" w:rsidRDefault="00D97D99" w:rsidP="001A04C4">
            <w:pPr>
              <w:spacing w:after="0"/>
              <w:ind w:firstLine="22"/>
              <w:rPr>
                <w:b/>
                <w:sz w:val="20"/>
                <w:szCs w:val="20"/>
                <w:lang w:val="ro-MD"/>
              </w:rPr>
            </w:pPr>
            <w:r w:rsidRPr="0033236A">
              <w:rPr>
                <w:b/>
                <w:sz w:val="20"/>
                <w:szCs w:val="20"/>
                <w:lang w:val="ro-MD"/>
              </w:rPr>
              <w:t>6</w:t>
            </w:r>
          </w:p>
        </w:tc>
        <w:tc>
          <w:tcPr>
            <w:tcW w:w="1416" w:type="pct"/>
            <w:tcBorders>
              <w:top w:val="single" w:sz="4" w:space="0" w:color="auto"/>
              <w:left w:val="single" w:sz="4" w:space="0" w:color="auto"/>
              <w:bottom w:val="single" w:sz="4" w:space="0" w:color="auto"/>
              <w:right w:val="single" w:sz="4" w:space="0" w:color="auto"/>
            </w:tcBorders>
            <w:hideMark/>
          </w:tcPr>
          <w:p w14:paraId="6B122605" w14:textId="77777777" w:rsidR="00474981" w:rsidRPr="0033236A" w:rsidRDefault="00D97D99" w:rsidP="001A04C4">
            <w:pPr>
              <w:spacing w:after="0"/>
              <w:ind w:firstLine="22"/>
              <w:rPr>
                <w:b/>
                <w:sz w:val="20"/>
                <w:szCs w:val="20"/>
                <w:lang w:val="ro-MD"/>
              </w:rPr>
            </w:pPr>
            <w:r w:rsidRPr="0033236A">
              <w:rPr>
                <w:b/>
                <w:sz w:val="20"/>
                <w:szCs w:val="20"/>
                <w:lang w:val="ro-MD"/>
              </w:rPr>
              <w:t>Proiectul de act normativ național</w:t>
            </w:r>
            <w:r w:rsidR="00474981" w:rsidRPr="0033236A">
              <w:rPr>
                <w:b/>
                <w:sz w:val="20"/>
                <w:szCs w:val="20"/>
                <w:lang w:val="ro-MD"/>
              </w:rPr>
              <w:t xml:space="preserve"> </w:t>
            </w:r>
          </w:p>
          <w:p w14:paraId="7DFF4A0B" w14:textId="77777777" w:rsidR="002A7401" w:rsidRPr="0033236A" w:rsidRDefault="002A7401" w:rsidP="001A04C4">
            <w:pPr>
              <w:spacing w:after="0"/>
              <w:ind w:firstLine="22"/>
              <w:rPr>
                <w:b/>
                <w:sz w:val="20"/>
                <w:szCs w:val="20"/>
                <w:lang w:val="ro-MD"/>
              </w:rPr>
            </w:pPr>
          </w:p>
          <w:p w14:paraId="7A950C82" w14:textId="77AB3438" w:rsidR="00D97D99" w:rsidRPr="0033236A" w:rsidRDefault="00D97D99" w:rsidP="001A04C4">
            <w:pPr>
              <w:spacing w:after="0"/>
              <w:ind w:firstLine="22"/>
              <w:rPr>
                <w:b/>
                <w:sz w:val="20"/>
                <w:szCs w:val="20"/>
                <w:lang w:val="ro-MD"/>
              </w:rPr>
            </w:pPr>
            <w:r w:rsidRPr="0033236A">
              <w:rPr>
                <w:b/>
                <w:sz w:val="20"/>
                <w:szCs w:val="20"/>
                <w:lang w:val="ro-MD"/>
              </w:rPr>
              <w:t>7</w:t>
            </w:r>
          </w:p>
        </w:tc>
        <w:tc>
          <w:tcPr>
            <w:tcW w:w="501" w:type="pct"/>
            <w:tcBorders>
              <w:top w:val="single" w:sz="4" w:space="0" w:color="auto"/>
              <w:left w:val="single" w:sz="4" w:space="0" w:color="auto"/>
              <w:bottom w:val="single" w:sz="4" w:space="0" w:color="auto"/>
              <w:right w:val="single" w:sz="4" w:space="0" w:color="auto"/>
            </w:tcBorders>
            <w:hideMark/>
          </w:tcPr>
          <w:p w14:paraId="430DDE79" w14:textId="77777777" w:rsidR="00D97D99" w:rsidRPr="0033236A" w:rsidRDefault="00D97D99" w:rsidP="001A04C4">
            <w:pPr>
              <w:spacing w:after="0"/>
              <w:ind w:firstLine="22"/>
              <w:rPr>
                <w:b/>
                <w:sz w:val="20"/>
                <w:szCs w:val="20"/>
                <w:lang w:val="ro-MD"/>
              </w:rPr>
            </w:pPr>
            <w:r w:rsidRPr="0033236A">
              <w:rPr>
                <w:b/>
                <w:sz w:val="20"/>
                <w:szCs w:val="20"/>
                <w:lang w:val="ro-MD"/>
              </w:rPr>
              <w:t>Gradul de compatibilitate</w:t>
            </w:r>
          </w:p>
          <w:p w14:paraId="12AEA9D6" w14:textId="77777777" w:rsidR="00D97D99" w:rsidRPr="0033236A" w:rsidRDefault="00D97D99" w:rsidP="001A04C4">
            <w:pPr>
              <w:spacing w:after="0"/>
              <w:ind w:firstLine="22"/>
              <w:rPr>
                <w:b/>
                <w:sz w:val="20"/>
                <w:szCs w:val="20"/>
                <w:lang w:val="ro-MD"/>
              </w:rPr>
            </w:pPr>
            <w:r w:rsidRPr="0033236A">
              <w:rPr>
                <w:b/>
                <w:sz w:val="20"/>
                <w:szCs w:val="20"/>
                <w:lang w:val="ro-MD"/>
              </w:rPr>
              <w:t>8</w:t>
            </w:r>
          </w:p>
        </w:tc>
        <w:tc>
          <w:tcPr>
            <w:tcW w:w="1998" w:type="pct"/>
            <w:tcBorders>
              <w:top w:val="single" w:sz="4" w:space="0" w:color="auto"/>
              <w:left w:val="single" w:sz="4" w:space="0" w:color="auto"/>
              <w:bottom w:val="single" w:sz="4" w:space="0" w:color="auto"/>
              <w:right w:val="single" w:sz="4" w:space="0" w:color="auto"/>
            </w:tcBorders>
            <w:hideMark/>
          </w:tcPr>
          <w:p w14:paraId="51B63DB3" w14:textId="77777777" w:rsidR="00D97D99" w:rsidRPr="0033236A" w:rsidRDefault="00D97D99" w:rsidP="00817B7F">
            <w:pPr>
              <w:spacing w:after="0"/>
              <w:ind w:firstLine="22"/>
              <w:rPr>
                <w:b/>
                <w:sz w:val="20"/>
                <w:szCs w:val="20"/>
                <w:lang w:val="ro-MD"/>
              </w:rPr>
            </w:pPr>
            <w:r w:rsidRPr="0033236A">
              <w:rPr>
                <w:b/>
                <w:sz w:val="20"/>
                <w:szCs w:val="20"/>
                <w:lang w:val="ro-MD"/>
              </w:rPr>
              <w:t>Observații</w:t>
            </w:r>
          </w:p>
          <w:p w14:paraId="5769D664" w14:textId="77777777" w:rsidR="00D97D99" w:rsidRPr="0033236A" w:rsidRDefault="00D97D99" w:rsidP="00817B7F">
            <w:pPr>
              <w:spacing w:after="0"/>
              <w:ind w:firstLine="22"/>
              <w:rPr>
                <w:b/>
                <w:sz w:val="20"/>
                <w:szCs w:val="20"/>
                <w:lang w:val="ro-MD"/>
              </w:rPr>
            </w:pPr>
          </w:p>
          <w:p w14:paraId="0561436B" w14:textId="77777777" w:rsidR="00D97D99" w:rsidRPr="0033236A" w:rsidRDefault="00D97D99" w:rsidP="00817B7F">
            <w:pPr>
              <w:spacing w:after="0"/>
              <w:ind w:firstLine="22"/>
              <w:rPr>
                <w:b/>
                <w:sz w:val="20"/>
                <w:szCs w:val="20"/>
                <w:lang w:val="ro-MD"/>
              </w:rPr>
            </w:pPr>
            <w:r w:rsidRPr="0033236A">
              <w:rPr>
                <w:b/>
                <w:sz w:val="20"/>
                <w:szCs w:val="20"/>
                <w:lang w:val="ro-MD"/>
              </w:rPr>
              <w:t>9</w:t>
            </w:r>
          </w:p>
          <w:p w14:paraId="7F640A5A" w14:textId="77777777" w:rsidR="00D97D99" w:rsidRPr="0033236A" w:rsidRDefault="00D97D99" w:rsidP="00817B7F">
            <w:pPr>
              <w:spacing w:after="0"/>
              <w:ind w:firstLine="22"/>
              <w:rPr>
                <w:b/>
                <w:sz w:val="20"/>
                <w:szCs w:val="20"/>
                <w:lang w:val="ro-MD"/>
              </w:rPr>
            </w:pPr>
          </w:p>
        </w:tc>
      </w:tr>
      <w:tr w:rsidR="0033236A" w:rsidRPr="0033236A" w14:paraId="49FF4643"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201EA41" w14:textId="524D5268" w:rsidR="00E023FE" w:rsidRPr="0033236A" w:rsidRDefault="00E023FE" w:rsidP="001A04C4">
            <w:pPr>
              <w:spacing w:after="0"/>
              <w:ind w:firstLine="22"/>
              <w:rPr>
                <w:bCs/>
                <w:sz w:val="20"/>
                <w:szCs w:val="20"/>
                <w:lang w:val="ro-MD"/>
              </w:rPr>
            </w:pPr>
            <w:r w:rsidRPr="0033236A">
              <w:rPr>
                <w:bCs/>
                <w:sz w:val="20"/>
                <w:szCs w:val="20"/>
                <w:lang w:val="ro-MD"/>
              </w:rPr>
              <w:t>Articolul 1 Definiții</w:t>
            </w:r>
          </w:p>
          <w:p w14:paraId="6E847C4D" w14:textId="77777777" w:rsidR="00E023FE" w:rsidRPr="0033236A" w:rsidRDefault="00E023FE" w:rsidP="001A04C4">
            <w:pPr>
              <w:spacing w:after="0"/>
              <w:ind w:firstLine="22"/>
              <w:rPr>
                <w:bCs/>
                <w:sz w:val="20"/>
                <w:szCs w:val="20"/>
                <w:lang w:val="ro-MD"/>
              </w:rPr>
            </w:pPr>
          </w:p>
          <w:p w14:paraId="6BA19B1E" w14:textId="77777777" w:rsidR="00E023FE" w:rsidRPr="0033236A" w:rsidRDefault="00E023FE" w:rsidP="001A04C4">
            <w:pPr>
              <w:spacing w:after="0"/>
              <w:ind w:firstLine="22"/>
              <w:rPr>
                <w:bCs/>
                <w:sz w:val="20"/>
                <w:szCs w:val="20"/>
                <w:lang w:val="ro-MD"/>
              </w:rPr>
            </w:pPr>
            <w:r w:rsidRPr="0033236A">
              <w:rPr>
                <w:bCs/>
                <w:sz w:val="20"/>
                <w:szCs w:val="20"/>
                <w:lang w:val="ro-MD"/>
              </w:rPr>
              <w:t>În sensul prezentei decizii, se aplică următoarele definiții:</w:t>
            </w:r>
          </w:p>
          <w:p w14:paraId="31C8C58F" w14:textId="77777777" w:rsidR="00E023FE" w:rsidRPr="0033236A" w:rsidRDefault="00E023FE" w:rsidP="001A04C4">
            <w:pPr>
              <w:spacing w:after="0"/>
              <w:ind w:firstLine="22"/>
              <w:rPr>
                <w:bCs/>
                <w:sz w:val="20"/>
                <w:szCs w:val="20"/>
                <w:lang w:val="ro-MD"/>
              </w:rPr>
            </w:pPr>
          </w:p>
          <w:p w14:paraId="1BA2E03E" w14:textId="0E1C9B1F" w:rsidR="00E023FE" w:rsidRPr="0033236A" w:rsidRDefault="00E023FE" w:rsidP="001A04C4">
            <w:pPr>
              <w:pStyle w:val="a7"/>
              <w:numPr>
                <w:ilvl w:val="0"/>
                <w:numId w:val="1"/>
              </w:numPr>
              <w:spacing w:after="0"/>
              <w:contextualSpacing w:val="0"/>
              <w:rPr>
                <w:rFonts w:cs="Times New Roman"/>
                <w:bCs/>
                <w:sz w:val="20"/>
                <w:szCs w:val="20"/>
                <w:lang w:val="ro-MD"/>
              </w:rPr>
            </w:pPr>
            <w:r w:rsidRPr="0033236A">
              <w:rPr>
                <w:rFonts w:cs="Times New Roman"/>
                <w:bCs/>
                <w:sz w:val="20"/>
                <w:szCs w:val="20"/>
                <w:lang w:val="ro-MD"/>
              </w:rPr>
              <w:t>„Vehicul” înseamnă orice autovehicul, remorcă sau rulotă, în conformitate cu definiția din dispozițiile referitoare la Sistemul de informații Schengen (SIS).</w:t>
            </w:r>
          </w:p>
        </w:tc>
        <w:tc>
          <w:tcPr>
            <w:tcW w:w="1416" w:type="pct"/>
            <w:tcBorders>
              <w:top w:val="single" w:sz="4" w:space="0" w:color="auto"/>
              <w:left w:val="single" w:sz="4" w:space="0" w:color="auto"/>
              <w:bottom w:val="single" w:sz="4" w:space="0" w:color="auto"/>
              <w:right w:val="single" w:sz="4" w:space="0" w:color="auto"/>
            </w:tcBorders>
          </w:tcPr>
          <w:p w14:paraId="52815FB9" w14:textId="77777777" w:rsidR="00E023FE" w:rsidRPr="0033236A" w:rsidRDefault="00E023FE"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484214B2" w14:textId="2C489316" w:rsidR="00E023FE" w:rsidRPr="0033236A" w:rsidRDefault="000A0655" w:rsidP="001A04C4">
            <w:pPr>
              <w:spacing w:after="0"/>
              <w:ind w:firstLine="22"/>
              <w:rPr>
                <w:b/>
                <w:sz w:val="20"/>
                <w:szCs w:val="20"/>
                <w:lang w:val="ro-MD"/>
              </w:rPr>
            </w:pPr>
            <w:r w:rsidRPr="0033236A">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1F05214B" w14:textId="77777777" w:rsidR="00672894" w:rsidRPr="0033236A" w:rsidRDefault="00672894" w:rsidP="00817B7F">
            <w:pPr>
              <w:spacing w:after="0"/>
              <w:ind w:firstLine="22"/>
              <w:rPr>
                <w:bCs/>
                <w:sz w:val="20"/>
                <w:szCs w:val="20"/>
                <w:lang w:val="ro-MD"/>
              </w:rPr>
            </w:pPr>
            <w:r w:rsidRPr="0033236A">
              <w:rPr>
                <w:bCs/>
                <w:sz w:val="20"/>
                <w:szCs w:val="20"/>
                <w:lang w:val="ro-MD"/>
              </w:rPr>
              <w:t xml:space="preserve">Noțiunea de „vehicul” este definită în legislația națională prin: </w:t>
            </w:r>
          </w:p>
          <w:p w14:paraId="5DA0FAE3" w14:textId="77777777" w:rsidR="00672894" w:rsidRPr="0033236A" w:rsidRDefault="00672894" w:rsidP="00817B7F">
            <w:pPr>
              <w:spacing w:after="0"/>
              <w:ind w:firstLine="22"/>
              <w:rPr>
                <w:bCs/>
                <w:sz w:val="20"/>
                <w:szCs w:val="20"/>
                <w:lang w:val="ro-MD"/>
              </w:rPr>
            </w:pPr>
            <w:r w:rsidRPr="0033236A">
              <w:rPr>
                <w:bCs/>
                <w:sz w:val="20"/>
                <w:szCs w:val="20"/>
                <w:lang w:val="ro-MD"/>
              </w:rPr>
              <w:t xml:space="preserve">Legea nr. 131/2007 privind siguranța traficului rutier, art. 2; </w:t>
            </w:r>
          </w:p>
          <w:p w14:paraId="698696A2" w14:textId="77777777" w:rsidR="00672894" w:rsidRPr="0033236A" w:rsidRDefault="00672894" w:rsidP="00817B7F">
            <w:pPr>
              <w:spacing w:after="0"/>
              <w:ind w:firstLine="22"/>
              <w:rPr>
                <w:bCs/>
                <w:sz w:val="20"/>
                <w:szCs w:val="20"/>
                <w:lang w:val="ro-MD"/>
              </w:rPr>
            </w:pPr>
            <w:r w:rsidRPr="0033236A">
              <w:rPr>
                <w:bCs/>
                <w:sz w:val="20"/>
                <w:szCs w:val="20"/>
                <w:lang w:val="ro-MD"/>
              </w:rPr>
              <w:t xml:space="preserve">Legea nr. 106/2022 privind asigurarea obligatorie de răspundere civilă auto, art. 3; </w:t>
            </w:r>
          </w:p>
          <w:p w14:paraId="2730C352" w14:textId="77777777" w:rsidR="00474981" w:rsidRPr="0033236A" w:rsidRDefault="00672894" w:rsidP="00817B7F">
            <w:pPr>
              <w:spacing w:after="0"/>
              <w:ind w:firstLine="22"/>
              <w:rPr>
                <w:bCs/>
                <w:sz w:val="20"/>
                <w:szCs w:val="20"/>
                <w:lang w:val="ro-MD"/>
              </w:rPr>
            </w:pPr>
            <w:r w:rsidRPr="0033236A">
              <w:rPr>
                <w:bCs/>
                <w:sz w:val="20"/>
                <w:szCs w:val="20"/>
                <w:lang w:val="ro-MD"/>
              </w:rPr>
              <w:t>Regulamentul circulației rutiere aprobat prin Hotărârea Guvernului nr. 357/2009, pct. 7.</w:t>
            </w:r>
          </w:p>
          <w:p w14:paraId="2A20DE5C" w14:textId="7722AC31" w:rsidR="00DB22AD" w:rsidRPr="0033236A" w:rsidRDefault="00DB22AD" w:rsidP="00817B7F">
            <w:pPr>
              <w:spacing w:after="0"/>
              <w:ind w:firstLine="22"/>
              <w:rPr>
                <w:bCs/>
                <w:sz w:val="20"/>
                <w:szCs w:val="20"/>
                <w:lang w:val="ro-MD"/>
              </w:rPr>
            </w:pPr>
            <w:r w:rsidRPr="0033236A">
              <w:rPr>
                <w:bCs/>
                <w:sz w:val="20"/>
                <w:szCs w:val="20"/>
                <w:lang w:val="ro-MD"/>
              </w:rPr>
              <w:t>Definițiile prevăzute în aceste acte normative sunt echivalente din punct de vedere juridic cu definiția utilizată în actul Uniunii Europene.</w:t>
            </w:r>
          </w:p>
        </w:tc>
      </w:tr>
      <w:tr w:rsidR="0033236A" w:rsidRPr="0033236A" w14:paraId="320AA30C"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B871B69" w14:textId="74CB6FCC" w:rsidR="00E023FE" w:rsidRPr="0033236A" w:rsidRDefault="000A0655" w:rsidP="001A04C4">
            <w:pPr>
              <w:pStyle w:val="a7"/>
              <w:numPr>
                <w:ilvl w:val="0"/>
                <w:numId w:val="1"/>
              </w:numPr>
              <w:spacing w:after="0"/>
              <w:contextualSpacing w:val="0"/>
              <w:rPr>
                <w:rFonts w:cs="Times New Roman"/>
                <w:bCs/>
                <w:sz w:val="20"/>
                <w:szCs w:val="20"/>
                <w:lang w:val="ro-MD"/>
              </w:rPr>
            </w:pPr>
            <w:r w:rsidRPr="0033236A">
              <w:rPr>
                <w:rFonts w:cs="Times New Roman"/>
                <w:bCs/>
                <w:sz w:val="20"/>
                <w:szCs w:val="20"/>
                <w:lang w:val="ro-MD"/>
              </w:rPr>
              <w:t>„Autorități naționale competente” înseamnă orice autorități naționale desemnate de statele membre în sensul prezentei decizii și pot include, după caz, poliția, administrația vamală, polițiștii de frontieră și autoritățile judiciare.</w:t>
            </w:r>
          </w:p>
        </w:tc>
        <w:tc>
          <w:tcPr>
            <w:tcW w:w="1416" w:type="pct"/>
            <w:tcBorders>
              <w:top w:val="single" w:sz="4" w:space="0" w:color="auto"/>
              <w:left w:val="single" w:sz="4" w:space="0" w:color="auto"/>
              <w:bottom w:val="single" w:sz="4" w:space="0" w:color="auto"/>
              <w:right w:val="single" w:sz="4" w:space="0" w:color="auto"/>
            </w:tcBorders>
          </w:tcPr>
          <w:p w14:paraId="293352B4" w14:textId="77777777" w:rsidR="00E023FE" w:rsidRPr="0033236A" w:rsidRDefault="00E023FE"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30F888C7" w14:textId="05CC0668" w:rsidR="00E023FE" w:rsidRPr="0033236A" w:rsidRDefault="007B3F3A" w:rsidP="001A04C4">
            <w:pPr>
              <w:spacing w:after="0"/>
              <w:ind w:firstLine="22"/>
              <w:rPr>
                <w:b/>
                <w:sz w:val="20"/>
                <w:szCs w:val="20"/>
                <w:lang w:val="ro-MD"/>
              </w:rPr>
            </w:pPr>
            <w:r w:rsidRPr="0033236A">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403D99A0" w14:textId="77777777" w:rsidR="00672894" w:rsidRPr="0033236A" w:rsidRDefault="00672894" w:rsidP="00672894">
            <w:pPr>
              <w:spacing w:after="0"/>
              <w:ind w:firstLine="22"/>
              <w:rPr>
                <w:bCs/>
                <w:sz w:val="20"/>
                <w:szCs w:val="20"/>
                <w:lang w:val="ro-MD"/>
              </w:rPr>
            </w:pPr>
            <w:r w:rsidRPr="0033236A">
              <w:rPr>
                <w:bCs/>
                <w:sz w:val="20"/>
                <w:szCs w:val="20"/>
                <w:lang w:val="ro-MD"/>
              </w:rPr>
              <w:t>Autoritățile naționale competente sunt stabilite în legislația națională, după cum urmează:</w:t>
            </w:r>
          </w:p>
          <w:p w14:paraId="163B52DD" w14:textId="77777777" w:rsidR="00672894" w:rsidRPr="0033236A" w:rsidRDefault="00672894" w:rsidP="00672894">
            <w:pPr>
              <w:spacing w:after="0"/>
              <w:ind w:firstLine="22"/>
              <w:rPr>
                <w:bCs/>
                <w:sz w:val="20"/>
                <w:szCs w:val="20"/>
                <w:lang w:val="ro-MD"/>
              </w:rPr>
            </w:pPr>
            <w:r w:rsidRPr="0033236A">
              <w:rPr>
                <w:bCs/>
                <w:sz w:val="20"/>
                <w:szCs w:val="20"/>
                <w:lang w:val="ro-MD"/>
              </w:rPr>
              <w:t>– Poliția, potrivit Legii nr. 320/2012 cu privire la activitatea Poliției și statutul polițistului;</w:t>
            </w:r>
          </w:p>
          <w:p w14:paraId="7CE6A38D" w14:textId="77777777" w:rsidR="00672894" w:rsidRPr="0033236A" w:rsidRDefault="00672894" w:rsidP="00672894">
            <w:pPr>
              <w:spacing w:after="0"/>
              <w:ind w:firstLine="22"/>
              <w:rPr>
                <w:bCs/>
                <w:sz w:val="20"/>
                <w:szCs w:val="20"/>
                <w:lang w:val="ro-MD"/>
              </w:rPr>
            </w:pPr>
            <w:r w:rsidRPr="0033236A">
              <w:rPr>
                <w:bCs/>
                <w:sz w:val="20"/>
                <w:szCs w:val="20"/>
                <w:lang w:val="ro-MD"/>
              </w:rPr>
              <w:t>– Poliția de Frontieră, potrivit Legii nr. 283/2011 cu privire la Poliția de Frontieră;</w:t>
            </w:r>
          </w:p>
          <w:p w14:paraId="371D4C10" w14:textId="77777777" w:rsidR="00672894" w:rsidRPr="0033236A" w:rsidRDefault="00672894" w:rsidP="00672894">
            <w:pPr>
              <w:spacing w:after="0"/>
              <w:ind w:firstLine="22"/>
              <w:rPr>
                <w:bCs/>
                <w:sz w:val="20"/>
                <w:szCs w:val="20"/>
                <w:lang w:val="ro-MD"/>
              </w:rPr>
            </w:pPr>
            <w:r w:rsidRPr="0033236A">
              <w:rPr>
                <w:bCs/>
                <w:sz w:val="20"/>
                <w:szCs w:val="20"/>
                <w:lang w:val="ro-MD"/>
              </w:rPr>
              <w:t>– Serviciul Vamal, potrivit Legii nr. 302/2017 cu privire la Serviciul Vamal;</w:t>
            </w:r>
          </w:p>
          <w:p w14:paraId="6C8269DF" w14:textId="77777777" w:rsidR="001766E4" w:rsidRPr="0033236A" w:rsidRDefault="00672894" w:rsidP="00672894">
            <w:pPr>
              <w:spacing w:after="0"/>
              <w:ind w:firstLine="22"/>
              <w:rPr>
                <w:bCs/>
                <w:sz w:val="20"/>
                <w:szCs w:val="20"/>
                <w:lang w:val="ro-MD"/>
              </w:rPr>
            </w:pPr>
            <w:r w:rsidRPr="0033236A">
              <w:rPr>
                <w:bCs/>
                <w:sz w:val="20"/>
                <w:szCs w:val="20"/>
                <w:lang w:val="ro-MD"/>
              </w:rPr>
              <w:t>– autoritățile judiciare, potrivit Codului de procedură penală al Republicii Moldova și Legii nr. 371/2006 privind asistența juridică internațională în materie penală.</w:t>
            </w:r>
          </w:p>
          <w:p w14:paraId="49A3F569" w14:textId="46E44E08" w:rsidR="00DB22AD" w:rsidRPr="0033236A" w:rsidRDefault="00DB22AD" w:rsidP="00672894">
            <w:pPr>
              <w:spacing w:after="0"/>
              <w:ind w:firstLine="22"/>
              <w:rPr>
                <w:bCs/>
                <w:sz w:val="20"/>
                <w:szCs w:val="20"/>
                <w:lang w:val="ro-MD"/>
              </w:rPr>
            </w:pPr>
            <w:r w:rsidRPr="0033236A">
              <w:rPr>
                <w:bCs/>
                <w:sz w:val="20"/>
                <w:szCs w:val="20"/>
                <w:lang w:val="ro-MD"/>
              </w:rPr>
              <w:t>Aceste autorități corespund categoriilor enumerate de Decizie.</w:t>
            </w:r>
          </w:p>
        </w:tc>
      </w:tr>
      <w:tr w:rsidR="00423F5C" w:rsidRPr="00423F5C" w14:paraId="738B4C8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BF51FF5" w14:textId="776A625D" w:rsidR="00474981" w:rsidRPr="00423F5C" w:rsidRDefault="00474981" w:rsidP="001A04C4">
            <w:pPr>
              <w:spacing w:after="0"/>
              <w:ind w:firstLine="22"/>
              <w:rPr>
                <w:b/>
                <w:sz w:val="20"/>
                <w:szCs w:val="20"/>
                <w:lang w:val="ro-MD"/>
              </w:rPr>
            </w:pPr>
            <w:r w:rsidRPr="00423F5C">
              <w:rPr>
                <w:b/>
                <w:sz w:val="20"/>
                <w:szCs w:val="20"/>
                <w:lang w:val="ro-MD"/>
              </w:rPr>
              <w:lastRenderedPageBreak/>
              <w:t>Articolul 2 Obiectiv</w:t>
            </w:r>
          </w:p>
          <w:p w14:paraId="4CF87067" w14:textId="7BDCF4D2" w:rsidR="00E023FE" w:rsidRPr="00423F5C" w:rsidRDefault="00474981" w:rsidP="001A04C4">
            <w:pPr>
              <w:spacing w:after="0"/>
              <w:ind w:left="447" w:hanging="425"/>
              <w:rPr>
                <w:b/>
                <w:sz w:val="20"/>
                <w:szCs w:val="20"/>
                <w:lang w:val="ro-MD"/>
              </w:rPr>
            </w:pPr>
            <w:r w:rsidRPr="00423F5C">
              <w:rPr>
                <w:bCs/>
                <w:sz w:val="20"/>
                <w:szCs w:val="20"/>
                <w:lang w:val="ro-MD"/>
              </w:rPr>
              <w:t>(1)   Prezenta decizie are ca obiectiv realizarea unei mai bune cooperări în cadrul Uniunii Europene, în scopul prevenirii și combaterii criminalității transfrontaliere referitoare la vehicule</w:t>
            </w:r>
            <w:r w:rsidRPr="00423F5C">
              <w:rPr>
                <w:b/>
                <w:sz w:val="20"/>
                <w:szCs w:val="20"/>
                <w:lang w:val="ro-MD"/>
              </w:rPr>
              <w:t>.</w:t>
            </w:r>
          </w:p>
        </w:tc>
        <w:tc>
          <w:tcPr>
            <w:tcW w:w="1416" w:type="pct"/>
            <w:tcBorders>
              <w:top w:val="single" w:sz="4" w:space="0" w:color="auto"/>
              <w:left w:val="single" w:sz="4" w:space="0" w:color="auto"/>
              <w:bottom w:val="single" w:sz="4" w:space="0" w:color="auto"/>
              <w:right w:val="single" w:sz="4" w:space="0" w:color="auto"/>
            </w:tcBorders>
          </w:tcPr>
          <w:p w14:paraId="71FD0624" w14:textId="77777777" w:rsidR="00E023FE" w:rsidRPr="00423F5C" w:rsidRDefault="00E023FE"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12E19468" w14:textId="73D8DC22" w:rsidR="00E023FE" w:rsidRPr="00423F5C" w:rsidRDefault="003F33D0" w:rsidP="001A04C4">
            <w:pPr>
              <w:spacing w:after="0"/>
              <w:ind w:firstLine="22"/>
              <w:rPr>
                <w:b/>
                <w:sz w:val="20"/>
                <w:szCs w:val="20"/>
                <w:lang w:val="ro-MD"/>
              </w:rPr>
            </w:pPr>
            <w:r w:rsidRPr="00423F5C">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0C73AD3E" w14:textId="756576E9" w:rsidR="000E3376" w:rsidRPr="00423F5C" w:rsidRDefault="000E3376" w:rsidP="000E3376">
            <w:pPr>
              <w:spacing w:after="0"/>
              <w:ind w:firstLine="22"/>
              <w:rPr>
                <w:bCs/>
                <w:sz w:val="20"/>
                <w:szCs w:val="20"/>
                <w:lang w:val="ro-MD"/>
              </w:rPr>
            </w:pPr>
            <w:r w:rsidRPr="00423F5C">
              <w:rPr>
                <w:bCs/>
                <w:sz w:val="20"/>
                <w:szCs w:val="20"/>
                <w:lang w:val="ro-MD"/>
              </w:rPr>
              <w:t>Legea nr. 320/2012 cu privire la activitatea Poliției și statutul polițistului, art. 6 alin. (4), prevede cooperarea Poliției cu autoritățile similare din alte state și cu organizațiile polițienești internaționale, inclusiv Interpol.</w:t>
            </w:r>
          </w:p>
          <w:p w14:paraId="4CC9D31A" w14:textId="508FC2A1" w:rsidR="000E3376" w:rsidRPr="00423F5C" w:rsidRDefault="000E3376" w:rsidP="000E3376">
            <w:pPr>
              <w:spacing w:after="0"/>
              <w:ind w:firstLine="22"/>
              <w:rPr>
                <w:bCs/>
                <w:sz w:val="20"/>
                <w:szCs w:val="20"/>
                <w:lang w:val="ro-MD"/>
              </w:rPr>
            </w:pPr>
            <w:r w:rsidRPr="00423F5C">
              <w:rPr>
                <w:bCs/>
                <w:sz w:val="20"/>
                <w:szCs w:val="20"/>
                <w:lang w:val="ro-MD"/>
              </w:rPr>
              <w:t>Legea nr. 283/2011 cu privire la Poliția de Frontieră, art. 6 alin. (3) lit. g), reglementează cooperarea internațională în domeniul supravegherii și controlului trecerii frontierei de stat;</w:t>
            </w:r>
          </w:p>
          <w:p w14:paraId="75B47365" w14:textId="6302AF02" w:rsidR="000E3376" w:rsidRPr="00423F5C" w:rsidRDefault="000E3376" w:rsidP="000E3376">
            <w:pPr>
              <w:spacing w:after="0"/>
              <w:ind w:firstLine="22"/>
              <w:rPr>
                <w:bCs/>
                <w:sz w:val="20"/>
                <w:szCs w:val="20"/>
                <w:lang w:val="ro-MD"/>
              </w:rPr>
            </w:pPr>
            <w:r w:rsidRPr="00423F5C">
              <w:rPr>
                <w:bCs/>
                <w:sz w:val="20"/>
                <w:szCs w:val="20"/>
                <w:lang w:val="ro-MD"/>
              </w:rPr>
              <w:t>Legea nr. 371/2006 cu privire la asistența juridică internațională în materie penală, art. 1 alin. (1), instituie mecanismele juridice de cooperare între autoritățile judiciare.</w:t>
            </w:r>
          </w:p>
          <w:p w14:paraId="73072109" w14:textId="7900C33A" w:rsidR="00CF101C" w:rsidRPr="00423F5C" w:rsidRDefault="000E3376" w:rsidP="000E3376">
            <w:pPr>
              <w:spacing w:after="0"/>
              <w:ind w:firstLine="22"/>
              <w:rPr>
                <w:bCs/>
                <w:sz w:val="20"/>
                <w:szCs w:val="20"/>
                <w:lang w:val="ro-MD"/>
              </w:rPr>
            </w:pPr>
            <w:r w:rsidRPr="00423F5C">
              <w:rPr>
                <w:bCs/>
                <w:sz w:val="20"/>
                <w:szCs w:val="20"/>
                <w:lang w:val="ro-MD"/>
              </w:rPr>
              <w:t>Hotărârea Guvernului nr. 1145/2018 privind organizarea și funcționarea Inspectoratului General al Poliției de Frontieră, anexa nr. 2, stabilește structura pe domenii precum prevenirea și combaterea criminalității transfrontaliere, inclusiv a traficului ilegal de mijloace de transport.</w:t>
            </w:r>
          </w:p>
        </w:tc>
      </w:tr>
      <w:tr w:rsidR="00423F5C" w:rsidRPr="00423F5C" w14:paraId="6DB30F70"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0B828A60" w14:textId="6E317EDE" w:rsidR="00E023FE" w:rsidRPr="00423F5C" w:rsidRDefault="00474981" w:rsidP="001A04C4">
            <w:pPr>
              <w:spacing w:after="0"/>
              <w:ind w:left="447" w:hanging="425"/>
              <w:rPr>
                <w:bCs/>
                <w:sz w:val="20"/>
                <w:szCs w:val="20"/>
                <w:lang w:val="ro-MD"/>
              </w:rPr>
            </w:pPr>
            <w:r w:rsidRPr="00423F5C">
              <w:rPr>
                <w:bCs/>
                <w:sz w:val="20"/>
                <w:szCs w:val="20"/>
                <w:lang w:val="ro-MD"/>
              </w:rPr>
              <w:t>(2)   O atenție deosebită se acordă relației între furtul de vehicule și comerțul ilegal cu vehicule și alte forme de criminalitate organizată, precum traficul de droguri, de arme de foc și de persoane.</w:t>
            </w:r>
          </w:p>
        </w:tc>
        <w:tc>
          <w:tcPr>
            <w:tcW w:w="1416" w:type="pct"/>
            <w:tcBorders>
              <w:top w:val="single" w:sz="4" w:space="0" w:color="auto"/>
              <w:left w:val="single" w:sz="4" w:space="0" w:color="auto"/>
              <w:bottom w:val="single" w:sz="4" w:space="0" w:color="auto"/>
              <w:right w:val="single" w:sz="4" w:space="0" w:color="auto"/>
            </w:tcBorders>
          </w:tcPr>
          <w:p w14:paraId="2A032A57" w14:textId="77777777" w:rsidR="00E023FE" w:rsidRPr="00423F5C" w:rsidRDefault="00E023FE"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567C1E8D" w14:textId="30894FAA" w:rsidR="00E023FE" w:rsidRPr="00423F5C" w:rsidRDefault="00AB4DF3" w:rsidP="001A04C4">
            <w:pPr>
              <w:spacing w:after="0"/>
              <w:ind w:firstLine="22"/>
              <w:rPr>
                <w:b/>
                <w:sz w:val="20"/>
                <w:szCs w:val="20"/>
                <w:lang w:val="ro-MD"/>
              </w:rPr>
            </w:pPr>
            <w:r w:rsidRPr="00423F5C">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638FAC1C" w14:textId="52C1252E" w:rsidR="000E3376" w:rsidRPr="00423F5C" w:rsidRDefault="000E3376" w:rsidP="000E3376">
            <w:pPr>
              <w:spacing w:after="0"/>
              <w:ind w:firstLine="22"/>
              <w:rPr>
                <w:bCs/>
                <w:sz w:val="20"/>
                <w:szCs w:val="20"/>
                <w:lang w:val="ro-MD"/>
              </w:rPr>
            </w:pPr>
            <w:r w:rsidRPr="00423F5C">
              <w:rPr>
                <w:bCs/>
                <w:sz w:val="20"/>
                <w:szCs w:val="20"/>
                <w:lang w:val="ro-MD"/>
              </w:rPr>
              <w:t>Legea nr. 50/2012 privind prevenirea și combaterea criminalității organizate, art. 18 alin. (1), stabilește mecanismele de cooperare națională și internațională pentru prevenirea și combaterea criminalității organizate, inclusiv prin schimb de informații și asistență juridică internațională.</w:t>
            </w:r>
          </w:p>
          <w:p w14:paraId="72ACE3FB" w14:textId="74C4E5CB" w:rsidR="00C85B77" w:rsidRPr="00423F5C" w:rsidRDefault="000E3376" w:rsidP="000E3376">
            <w:pPr>
              <w:spacing w:after="0"/>
              <w:ind w:firstLine="22"/>
              <w:rPr>
                <w:bCs/>
                <w:sz w:val="20"/>
                <w:szCs w:val="20"/>
                <w:lang w:val="ro-MD"/>
              </w:rPr>
            </w:pPr>
            <w:r w:rsidRPr="00423F5C">
              <w:rPr>
                <w:bCs/>
                <w:sz w:val="20"/>
                <w:szCs w:val="20"/>
                <w:lang w:val="ro-MD"/>
              </w:rPr>
              <w:t>Hotărârea Guvernului nr. 1145/2018 privind organizarea și funcționarea Inspectoratului General al Poliției de Frontieră, anexa nr. 2, instituie structuri specializate pentru combaterea criminalității transfrontaliere, inclusiv a traficului ilegal de mijloace de transport, a traficului de droguri, a migrației ilegale și a traficului de ființe umane.</w:t>
            </w:r>
          </w:p>
        </w:tc>
      </w:tr>
      <w:tr w:rsidR="00423F5C" w:rsidRPr="00423F5C" w14:paraId="4910F618"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7FCCE99" w14:textId="6D692B4B" w:rsidR="00474981" w:rsidRPr="00423F5C" w:rsidRDefault="00474981" w:rsidP="001A04C4">
            <w:pPr>
              <w:spacing w:after="0"/>
              <w:ind w:left="447" w:hanging="425"/>
              <w:rPr>
                <w:bCs/>
                <w:sz w:val="20"/>
                <w:szCs w:val="20"/>
                <w:lang w:val="ro-MD"/>
              </w:rPr>
            </w:pPr>
            <w:r w:rsidRPr="00423F5C">
              <w:rPr>
                <w:bCs/>
                <w:sz w:val="20"/>
                <w:szCs w:val="20"/>
                <w:lang w:val="ro-MD"/>
              </w:rPr>
              <w:t>Articolul 3. Cooperarea între autoritățile naționale competente</w:t>
            </w:r>
          </w:p>
          <w:p w14:paraId="488E96AD" w14:textId="77777777" w:rsidR="00474981" w:rsidRPr="00423F5C" w:rsidRDefault="00474981" w:rsidP="001A04C4">
            <w:pPr>
              <w:spacing w:after="0"/>
              <w:ind w:left="447" w:hanging="425"/>
              <w:rPr>
                <w:bCs/>
                <w:sz w:val="20"/>
                <w:szCs w:val="20"/>
                <w:lang w:val="ro-MD"/>
              </w:rPr>
            </w:pPr>
          </w:p>
          <w:p w14:paraId="243B0BBC" w14:textId="6993A2BB" w:rsidR="00E023FE" w:rsidRPr="00423F5C" w:rsidRDefault="00474981" w:rsidP="001A04C4">
            <w:pPr>
              <w:spacing w:after="0"/>
              <w:ind w:left="447" w:hanging="425"/>
              <w:rPr>
                <w:bCs/>
                <w:sz w:val="20"/>
                <w:szCs w:val="20"/>
                <w:lang w:val="ro-MD"/>
              </w:rPr>
            </w:pPr>
            <w:r w:rsidRPr="00423F5C">
              <w:rPr>
                <w:bCs/>
                <w:sz w:val="20"/>
                <w:szCs w:val="20"/>
                <w:lang w:val="ro-MD"/>
              </w:rPr>
              <w:t>(1)   Statele membre iau măsurile necesare, în conformitate cu legislația internă, pentru a îmbunătăți cooperarea dintre autoritățile naționale competente, în scopul combaterii criminalității transfrontaliere referitoare la vehicule, în special prin intermediul acordurilor de cooperare.</w:t>
            </w:r>
          </w:p>
        </w:tc>
        <w:tc>
          <w:tcPr>
            <w:tcW w:w="1416" w:type="pct"/>
            <w:tcBorders>
              <w:top w:val="single" w:sz="4" w:space="0" w:color="auto"/>
              <w:left w:val="single" w:sz="4" w:space="0" w:color="auto"/>
              <w:bottom w:val="single" w:sz="4" w:space="0" w:color="auto"/>
              <w:right w:val="single" w:sz="4" w:space="0" w:color="auto"/>
            </w:tcBorders>
          </w:tcPr>
          <w:p w14:paraId="083DE4EC" w14:textId="77777777" w:rsidR="00E023FE" w:rsidRPr="00423F5C" w:rsidRDefault="00E023FE" w:rsidP="001A04C4">
            <w:pPr>
              <w:spacing w:after="0"/>
              <w:ind w:firstLine="22"/>
              <w:rPr>
                <w:b/>
                <w:sz w:val="20"/>
                <w:szCs w:val="20"/>
                <w:highlight w:val="yellow"/>
                <w:lang w:val="ro-MD"/>
              </w:rPr>
            </w:pPr>
          </w:p>
        </w:tc>
        <w:tc>
          <w:tcPr>
            <w:tcW w:w="501" w:type="pct"/>
            <w:tcBorders>
              <w:top w:val="single" w:sz="4" w:space="0" w:color="auto"/>
              <w:left w:val="single" w:sz="4" w:space="0" w:color="auto"/>
              <w:bottom w:val="single" w:sz="4" w:space="0" w:color="auto"/>
              <w:right w:val="single" w:sz="4" w:space="0" w:color="auto"/>
            </w:tcBorders>
          </w:tcPr>
          <w:p w14:paraId="4983D8FF" w14:textId="1A73FB5B" w:rsidR="00E023FE" w:rsidRPr="00423F5C" w:rsidRDefault="00AB4DF3" w:rsidP="001A04C4">
            <w:pPr>
              <w:spacing w:after="0"/>
              <w:ind w:firstLine="22"/>
              <w:rPr>
                <w:b/>
                <w:sz w:val="20"/>
                <w:szCs w:val="20"/>
                <w:lang w:val="ro-MD"/>
              </w:rPr>
            </w:pPr>
            <w:r w:rsidRPr="00423F5C">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62288F5E" w14:textId="42E36FDD" w:rsidR="004953FC" w:rsidRPr="00423F5C" w:rsidRDefault="000E3376" w:rsidP="00817B7F">
            <w:pPr>
              <w:spacing w:after="0"/>
              <w:ind w:firstLine="22"/>
              <w:rPr>
                <w:bCs/>
                <w:sz w:val="20"/>
                <w:szCs w:val="20"/>
                <w:lang w:val="ro-MD"/>
              </w:rPr>
            </w:pPr>
            <w:r w:rsidRPr="00423F5C">
              <w:rPr>
                <w:bCs/>
                <w:sz w:val="20"/>
                <w:szCs w:val="20"/>
                <w:lang w:val="ro-MD"/>
              </w:rPr>
              <w:t>Regulamentul cu privire la Sistemul de coordonare a securității frontaliere, aprobat prin Hotărârea Guvernului nr. 429/2015, pct. 1 și pct. 18, stabilește cadrul de cooperare interinstituțională și internațională între autoritățile responsabile de securitatea frontierei și combaterea criminalității transfrontaliere. În acest context, autoritățile partenere participă la schimbul de informații, operațiuni comune și activități de analiză a riscurilor, inclusiv în baza acordurilor bilaterale sau multilaterale încheiate între autoritățile competente.</w:t>
            </w:r>
          </w:p>
        </w:tc>
      </w:tr>
      <w:tr w:rsidR="00423F5C" w:rsidRPr="00423F5C" w14:paraId="7631C62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7C01C81" w14:textId="77777777" w:rsidR="00474981" w:rsidRPr="00423F5C" w:rsidRDefault="00474981" w:rsidP="001A04C4">
            <w:pPr>
              <w:spacing w:after="0"/>
              <w:ind w:left="447" w:hanging="425"/>
              <w:rPr>
                <w:bCs/>
                <w:sz w:val="20"/>
                <w:szCs w:val="20"/>
                <w:lang w:val="ro-MD"/>
              </w:rPr>
            </w:pPr>
            <w:r w:rsidRPr="00423F5C">
              <w:rPr>
                <w:bCs/>
                <w:sz w:val="20"/>
                <w:szCs w:val="20"/>
                <w:lang w:val="ro-MD"/>
              </w:rPr>
              <w:t xml:space="preserve">(2)   O atenție specială se acordă cooperării referitoare la controlul exporturilor, luând în </w:t>
            </w:r>
            <w:r w:rsidRPr="00423F5C">
              <w:rPr>
                <w:bCs/>
                <w:sz w:val="20"/>
                <w:szCs w:val="20"/>
                <w:lang w:val="ro-MD"/>
              </w:rPr>
              <w:lastRenderedPageBreak/>
              <w:t>considerare diferitele competențe din statele membre.</w:t>
            </w:r>
          </w:p>
          <w:p w14:paraId="6CB2AC88" w14:textId="77777777" w:rsidR="00E023FE" w:rsidRPr="00423F5C" w:rsidRDefault="00E023FE" w:rsidP="001A04C4">
            <w:pPr>
              <w:spacing w:after="0"/>
              <w:ind w:firstLine="22"/>
              <w:rPr>
                <w:b/>
                <w:sz w:val="20"/>
                <w:szCs w:val="20"/>
                <w:lang w:val="ro-MD"/>
              </w:rPr>
            </w:pPr>
          </w:p>
        </w:tc>
        <w:tc>
          <w:tcPr>
            <w:tcW w:w="1416" w:type="pct"/>
            <w:tcBorders>
              <w:top w:val="single" w:sz="4" w:space="0" w:color="auto"/>
              <w:left w:val="single" w:sz="4" w:space="0" w:color="auto"/>
              <w:bottom w:val="single" w:sz="4" w:space="0" w:color="auto"/>
              <w:right w:val="single" w:sz="4" w:space="0" w:color="auto"/>
            </w:tcBorders>
          </w:tcPr>
          <w:p w14:paraId="1D91BEBE" w14:textId="77777777" w:rsidR="00E023FE" w:rsidRPr="00423F5C" w:rsidRDefault="00E023FE"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7B4F30B3" w14:textId="77BDEF41" w:rsidR="00E023FE" w:rsidRPr="00423F5C" w:rsidRDefault="00AB4DF3" w:rsidP="001A04C4">
            <w:pPr>
              <w:spacing w:after="0"/>
              <w:ind w:firstLine="22"/>
              <w:rPr>
                <w:b/>
                <w:sz w:val="20"/>
                <w:szCs w:val="20"/>
                <w:lang w:val="ro-MD"/>
              </w:rPr>
            </w:pPr>
            <w:r w:rsidRPr="00423F5C">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1479ABA8" w14:textId="47E10FE9" w:rsidR="000E3376" w:rsidRPr="00423F5C" w:rsidRDefault="000E3376" w:rsidP="00C8401F">
            <w:pPr>
              <w:spacing w:after="0"/>
              <w:rPr>
                <w:bCs/>
                <w:sz w:val="20"/>
                <w:szCs w:val="20"/>
                <w:lang w:val="ro-MD"/>
              </w:rPr>
            </w:pPr>
            <w:r w:rsidRPr="00423F5C">
              <w:rPr>
                <w:bCs/>
                <w:sz w:val="20"/>
                <w:szCs w:val="20"/>
                <w:lang w:val="ro-MD"/>
              </w:rPr>
              <w:t>Legea nr. 283/2011 cu privire la Poliția de Frontieră, art. 6 alin. (1), stabilește atribuțiile Poliției de Frontieră în domeniul supravegherii și controlului trecerii frontierei de stat, inclusiv evidența persoanelor și mijloacelor de transport care traversează frontiera;</w:t>
            </w:r>
          </w:p>
          <w:p w14:paraId="280C2D47" w14:textId="5BBB1D52" w:rsidR="00034965" w:rsidRPr="00423F5C" w:rsidRDefault="000E3376" w:rsidP="000E3376">
            <w:pPr>
              <w:spacing w:after="0"/>
              <w:ind w:firstLine="22"/>
              <w:rPr>
                <w:bCs/>
                <w:sz w:val="20"/>
                <w:szCs w:val="20"/>
                <w:lang w:val="ro-MD"/>
              </w:rPr>
            </w:pPr>
            <w:r w:rsidRPr="00423F5C">
              <w:rPr>
                <w:bCs/>
                <w:sz w:val="20"/>
                <w:szCs w:val="20"/>
                <w:lang w:val="ro-MD"/>
              </w:rPr>
              <w:lastRenderedPageBreak/>
              <w:t>Legea nr. 302/2017 cu privire la Serviciul Vamal, art. 7 lit. f), reglementează controlul și supravegherea vamală a bunurilor și mijloacelor de transport, inclusiv prevenirea și combaterea contrabandei și a altor încălcări ale regimului vamal.</w:t>
            </w:r>
          </w:p>
        </w:tc>
      </w:tr>
      <w:tr w:rsidR="00E04D55" w:rsidRPr="00E04D55" w14:paraId="0334D9D3"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FD3EA1E" w14:textId="552CE659" w:rsidR="00474981" w:rsidRPr="00E04D55" w:rsidRDefault="00474981" w:rsidP="001A04C4">
            <w:pPr>
              <w:spacing w:after="0"/>
              <w:ind w:firstLine="22"/>
              <w:rPr>
                <w:b/>
                <w:sz w:val="20"/>
                <w:szCs w:val="20"/>
                <w:lang w:val="ro-MD"/>
              </w:rPr>
            </w:pPr>
            <w:r w:rsidRPr="00E04D55">
              <w:rPr>
                <w:b/>
                <w:sz w:val="20"/>
                <w:szCs w:val="20"/>
                <w:lang w:val="ro-MD"/>
              </w:rPr>
              <w:lastRenderedPageBreak/>
              <w:t>Articolul 4. Cooperarea între autoritățile competente și sectorul privat</w:t>
            </w:r>
          </w:p>
          <w:p w14:paraId="1FC9355A" w14:textId="77777777" w:rsidR="00474981" w:rsidRPr="00E04D55" w:rsidRDefault="00474981" w:rsidP="001A04C4">
            <w:pPr>
              <w:spacing w:after="0"/>
              <w:ind w:firstLine="22"/>
              <w:rPr>
                <w:b/>
                <w:sz w:val="20"/>
                <w:szCs w:val="20"/>
                <w:lang w:val="ro-MD"/>
              </w:rPr>
            </w:pPr>
          </w:p>
          <w:p w14:paraId="2918B54E" w14:textId="16E24F07" w:rsidR="00E023FE" w:rsidRPr="00E04D55" w:rsidRDefault="00474981" w:rsidP="00423F5C">
            <w:pPr>
              <w:spacing w:after="0"/>
              <w:ind w:left="306" w:hanging="306"/>
              <w:rPr>
                <w:bCs/>
                <w:sz w:val="20"/>
                <w:szCs w:val="20"/>
                <w:lang w:val="ro-MD"/>
              </w:rPr>
            </w:pPr>
            <w:r w:rsidRPr="00E04D55">
              <w:rPr>
                <w:bCs/>
                <w:sz w:val="20"/>
                <w:szCs w:val="20"/>
                <w:lang w:val="ro-MD"/>
              </w:rPr>
              <w:t>(1)   Statele membre iau măsurile necesare pentru a organiza consultări periodice, după caz, între autoritățile naționale competente, în conformitate cu legislația internă, putând implica și reprezentanți ai sectorului privat (precum responsabilii cu registrele private ale vehiculelor dispărute, asigurători și reprezentanți ai sectorului de comerț cu autovehicule) în astfel de consultări, în vederea coordonării informațiilor și alinierii reciproce a activităților în acest domeniu.</w:t>
            </w:r>
          </w:p>
        </w:tc>
        <w:tc>
          <w:tcPr>
            <w:tcW w:w="1416" w:type="pct"/>
            <w:tcBorders>
              <w:top w:val="single" w:sz="4" w:space="0" w:color="auto"/>
              <w:left w:val="single" w:sz="4" w:space="0" w:color="auto"/>
              <w:bottom w:val="single" w:sz="4" w:space="0" w:color="auto"/>
              <w:right w:val="single" w:sz="4" w:space="0" w:color="auto"/>
            </w:tcBorders>
          </w:tcPr>
          <w:p w14:paraId="33F03EBD" w14:textId="3A8C0067" w:rsidR="00E023FE" w:rsidRPr="00E04D55" w:rsidRDefault="00E023FE"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22A3A47D" w14:textId="02673BF7" w:rsidR="00E023FE" w:rsidRPr="00E04D55" w:rsidRDefault="00D801D5" w:rsidP="001A04C4">
            <w:pPr>
              <w:spacing w:after="0"/>
              <w:ind w:firstLine="22"/>
              <w:rPr>
                <w:b/>
                <w:sz w:val="20"/>
                <w:szCs w:val="20"/>
                <w:lang w:val="ro-MD"/>
              </w:rPr>
            </w:pPr>
            <w:r w:rsidRPr="00E04D55">
              <w:rPr>
                <w:b/>
                <w:sz w:val="20"/>
                <w:szCs w:val="20"/>
                <w:lang w:val="ro-MD"/>
              </w:rPr>
              <w:t>C</w:t>
            </w:r>
            <w:r w:rsidR="00A75B16" w:rsidRPr="00E04D55">
              <w:rPr>
                <w:b/>
                <w:sz w:val="20"/>
                <w:szCs w:val="20"/>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62F00D58" w14:textId="73E43E02" w:rsidR="00C8401F" w:rsidRPr="00E04D55" w:rsidRDefault="00C8401F" w:rsidP="00C8401F">
            <w:pPr>
              <w:spacing w:after="0"/>
              <w:ind w:firstLine="22"/>
              <w:rPr>
                <w:bCs/>
                <w:sz w:val="20"/>
                <w:szCs w:val="20"/>
                <w:lang w:val="ro-MD"/>
              </w:rPr>
            </w:pPr>
            <w:r w:rsidRPr="00E04D55">
              <w:rPr>
                <w:bCs/>
                <w:sz w:val="20"/>
                <w:szCs w:val="20"/>
                <w:lang w:val="ro-MD"/>
              </w:rPr>
              <w:t>Legea nr. 106/2022 privind asigurarea obligatorie de răspundere civilă auto, art. 23 alin. (1)–(2), stabilește obligația instituțiilor publice și a persoanelor juridice de drept public și privat de a furniza informațiile necesare pentru instrumentarea dosarelor de daune și pentru funcționarea sistemului informațional RCA, inclusiv prin intermediul platformei de interoperabilitate MConnect.</w:t>
            </w:r>
          </w:p>
          <w:p w14:paraId="2E3CCCD9" w14:textId="56DED56D" w:rsidR="00C8401F" w:rsidRPr="00E04D55" w:rsidRDefault="00C8401F" w:rsidP="00C8401F">
            <w:pPr>
              <w:spacing w:after="0"/>
              <w:ind w:firstLine="22"/>
              <w:rPr>
                <w:bCs/>
                <w:sz w:val="20"/>
                <w:szCs w:val="20"/>
                <w:lang w:val="ro-MD"/>
              </w:rPr>
            </w:pPr>
            <w:r w:rsidRPr="00E04D55">
              <w:rPr>
                <w:bCs/>
                <w:sz w:val="20"/>
                <w:szCs w:val="20"/>
                <w:lang w:val="ro-MD"/>
              </w:rPr>
              <w:t>Legea nr. 320/2012 cu privire la activitatea Poliției și statutul polițistului, art. 6 alin. (2)–(3), prevede cooperarea Poliției cu autoritățile publice, societatea civilă și persoanele juridice în vederea prevenirii și combaterii criminalității.</w:t>
            </w:r>
          </w:p>
          <w:p w14:paraId="7AEA225A" w14:textId="7AF2C9DA" w:rsidR="002E176D" w:rsidRPr="00E04D55" w:rsidRDefault="00C8401F" w:rsidP="00C8401F">
            <w:pPr>
              <w:spacing w:after="0"/>
              <w:ind w:firstLine="22"/>
              <w:rPr>
                <w:bCs/>
                <w:sz w:val="20"/>
                <w:szCs w:val="20"/>
                <w:lang w:val="ro-MD"/>
              </w:rPr>
            </w:pPr>
            <w:r w:rsidRPr="00E04D55">
              <w:rPr>
                <w:bCs/>
                <w:sz w:val="20"/>
                <w:szCs w:val="20"/>
                <w:lang w:val="ro-MD"/>
              </w:rPr>
              <w:t>Legea nr. 302/2017 cu privire la Serviciul Vamal, art. 5 alin. (5), instituie mecanisme de consultare și dialog cu comunitatea de afaceri prin intermediul comitetului consultativ al Serviciului Vamal.</w:t>
            </w:r>
          </w:p>
        </w:tc>
      </w:tr>
      <w:tr w:rsidR="00E04D55" w:rsidRPr="00E04D55" w14:paraId="46C5DC2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87A1A8" w14:textId="2F398928" w:rsidR="003A331C" w:rsidRPr="00E04D55" w:rsidRDefault="003A331C" w:rsidP="00423F5C">
            <w:pPr>
              <w:spacing w:after="0"/>
              <w:ind w:left="306" w:hanging="426"/>
              <w:rPr>
                <w:b/>
                <w:sz w:val="20"/>
                <w:szCs w:val="20"/>
                <w:lang w:val="ro-MD"/>
              </w:rPr>
            </w:pPr>
            <w:r w:rsidRPr="00E04D55">
              <w:rPr>
                <w:bCs/>
                <w:sz w:val="20"/>
                <w:szCs w:val="20"/>
                <w:lang w:val="ro-MD"/>
              </w:rPr>
              <w:t>(2)   Statele membre simplifică procedurile, în conformitate cu legislația internă, în vederea unei repatrieri rapide a vehiculelor restituite de autoritățile naționale competente după sechestrarea acestora.</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A519FBE" w14:textId="05B74864" w:rsidR="003A331C" w:rsidRPr="00E04D55" w:rsidRDefault="003A331C"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tcPr>
          <w:p w14:paraId="286A23A7" w14:textId="24866F36" w:rsidR="003A331C" w:rsidRPr="00E04D55" w:rsidRDefault="00E62B3A" w:rsidP="001A04C4">
            <w:pPr>
              <w:spacing w:after="0"/>
              <w:ind w:firstLine="22"/>
              <w:rPr>
                <w:b/>
                <w:sz w:val="20"/>
                <w:szCs w:val="20"/>
                <w:lang w:val="ro-MD"/>
              </w:rPr>
            </w:pPr>
            <w:r w:rsidRPr="00E04D55">
              <w:rPr>
                <w:b/>
                <w:sz w:val="20"/>
                <w:szCs w:val="20"/>
                <w:lang w:val="ro-MD"/>
              </w:rPr>
              <w:t>C</w:t>
            </w:r>
            <w:r w:rsidR="006E47CD" w:rsidRPr="00E04D55">
              <w:rPr>
                <w:b/>
                <w:sz w:val="20"/>
                <w:szCs w:val="20"/>
                <w:lang w:val="ro-MD"/>
              </w:rPr>
              <w:t>ompatibil</w:t>
            </w:r>
          </w:p>
        </w:tc>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tcPr>
          <w:p w14:paraId="222DC4E8" w14:textId="1006CEEB" w:rsidR="00C8401F" w:rsidRPr="00E04D55" w:rsidRDefault="00C8401F" w:rsidP="00C8401F">
            <w:pPr>
              <w:spacing w:after="0"/>
              <w:ind w:firstLine="22"/>
              <w:rPr>
                <w:bCs/>
                <w:sz w:val="20"/>
                <w:szCs w:val="20"/>
                <w:lang w:val="ro-MD"/>
              </w:rPr>
            </w:pPr>
            <w:r w:rsidRPr="00E04D55">
              <w:rPr>
                <w:bCs/>
                <w:sz w:val="20"/>
                <w:szCs w:val="20"/>
                <w:lang w:val="ro-MD"/>
              </w:rPr>
              <w:t>Codul de procedură penală al Republicii Moldova, art. 161 alin. (1) pct. 4), stabilește că automobilul sau alt mijloc de transport poate fi restituit proprietarului sau posesorului legal până la soluționarea cauzei penale, în cazul în care acesta nu este sechestrat pentru asigurarea acțiunii civile sau a confiscării speciale.</w:t>
            </w:r>
          </w:p>
          <w:p w14:paraId="0AE6793D" w14:textId="66A7EC07" w:rsidR="006E47CD" w:rsidRPr="00E04D55" w:rsidRDefault="00C8401F" w:rsidP="00C8401F">
            <w:pPr>
              <w:spacing w:after="0"/>
              <w:ind w:firstLine="22"/>
              <w:rPr>
                <w:bCs/>
                <w:sz w:val="20"/>
                <w:szCs w:val="20"/>
                <w:lang w:val="ro-MD"/>
              </w:rPr>
            </w:pPr>
            <w:r w:rsidRPr="00E04D55">
              <w:rPr>
                <w:bCs/>
                <w:sz w:val="20"/>
                <w:szCs w:val="20"/>
                <w:lang w:val="ro-MD"/>
              </w:rPr>
              <w:t>Legea nr. 371/2006 cu privire la asistența juridică internațională în materie penală, art. 12 alin. (1) și (5), reglementează transmiterea și predarea obiectelor sau bunurilor către autoritățile competente ale altor state în cadrul cooperării judiciare internaționale.</w:t>
            </w:r>
          </w:p>
        </w:tc>
      </w:tr>
      <w:tr w:rsidR="00E04D55" w:rsidRPr="00E04D55" w14:paraId="1AC42C1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5D8D2A32" w14:textId="1F25F09B" w:rsidR="00474981" w:rsidRPr="00E04D55" w:rsidRDefault="00474981" w:rsidP="001A04C4">
            <w:pPr>
              <w:spacing w:after="0"/>
              <w:ind w:firstLine="22"/>
              <w:rPr>
                <w:b/>
                <w:sz w:val="20"/>
                <w:szCs w:val="20"/>
                <w:lang w:val="ro-MD"/>
              </w:rPr>
            </w:pPr>
            <w:r w:rsidRPr="00E04D55">
              <w:rPr>
                <w:b/>
                <w:sz w:val="20"/>
                <w:szCs w:val="20"/>
                <w:lang w:val="ro-MD"/>
              </w:rPr>
              <w:t>Articolul 5. Puncte de contact pentru combaterea criminalității referitoare la vehicule</w:t>
            </w:r>
          </w:p>
          <w:p w14:paraId="0B98B68E" w14:textId="77777777" w:rsidR="00474981" w:rsidRPr="00E04D55" w:rsidRDefault="00474981" w:rsidP="001A04C4">
            <w:pPr>
              <w:spacing w:after="0"/>
              <w:ind w:firstLine="22"/>
              <w:rPr>
                <w:b/>
                <w:sz w:val="20"/>
                <w:szCs w:val="20"/>
                <w:lang w:val="ro-MD"/>
              </w:rPr>
            </w:pPr>
          </w:p>
          <w:p w14:paraId="46044FE2" w14:textId="03A60643" w:rsidR="00E023FE" w:rsidRPr="00E04D55" w:rsidRDefault="00474981" w:rsidP="00C8401F">
            <w:pPr>
              <w:spacing w:after="0"/>
              <w:ind w:left="306" w:hanging="306"/>
              <w:rPr>
                <w:bCs/>
                <w:sz w:val="20"/>
                <w:szCs w:val="20"/>
                <w:lang w:val="ro-MD"/>
              </w:rPr>
            </w:pPr>
            <w:r w:rsidRPr="00E04D55">
              <w:rPr>
                <w:bCs/>
                <w:sz w:val="20"/>
                <w:szCs w:val="20"/>
                <w:lang w:val="ro-MD"/>
              </w:rPr>
              <w:t>(1)   Până la 30 martie 2005, statele membre desemnează, în cadrul autorităților lor de aplicare a legii, un punct de contact pentru combaterea criminalității transfrontaliere referitoare la vehicule.</w:t>
            </w:r>
          </w:p>
        </w:tc>
        <w:tc>
          <w:tcPr>
            <w:tcW w:w="1416" w:type="pct"/>
            <w:tcBorders>
              <w:top w:val="single" w:sz="4" w:space="0" w:color="auto"/>
              <w:left w:val="single" w:sz="4" w:space="0" w:color="auto"/>
              <w:bottom w:val="single" w:sz="4" w:space="0" w:color="auto"/>
              <w:right w:val="single" w:sz="4" w:space="0" w:color="auto"/>
            </w:tcBorders>
          </w:tcPr>
          <w:p w14:paraId="2E7959DC" w14:textId="624B34F8" w:rsidR="00835D46" w:rsidRPr="00E04D55" w:rsidRDefault="00DD3434" w:rsidP="001A04C4">
            <w:pPr>
              <w:spacing w:after="0"/>
              <w:rPr>
                <w:bCs/>
                <w:sz w:val="20"/>
                <w:szCs w:val="20"/>
                <w:lang w:val="ro-MD"/>
              </w:rPr>
            </w:pPr>
            <w:r w:rsidRPr="00E04D55">
              <w:rPr>
                <w:bCs/>
                <w:sz w:val="20"/>
                <w:szCs w:val="20"/>
                <w:lang w:val="ro-MD"/>
              </w:rPr>
              <w:t xml:space="preserve"> </w:t>
            </w:r>
          </w:p>
        </w:tc>
        <w:tc>
          <w:tcPr>
            <w:tcW w:w="501" w:type="pct"/>
            <w:tcBorders>
              <w:top w:val="single" w:sz="4" w:space="0" w:color="auto"/>
              <w:left w:val="single" w:sz="4" w:space="0" w:color="auto"/>
              <w:bottom w:val="single" w:sz="4" w:space="0" w:color="auto"/>
              <w:right w:val="single" w:sz="4" w:space="0" w:color="auto"/>
            </w:tcBorders>
          </w:tcPr>
          <w:p w14:paraId="00790EB7" w14:textId="7205B444" w:rsidR="00E023FE" w:rsidRPr="00E04D55" w:rsidRDefault="00D66447" w:rsidP="001A04C4">
            <w:pPr>
              <w:spacing w:after="0"/>
              <w:rPr>
                <w:b/>
                <w:sz w:val="20"/>
                <w:szCs w:val="20"/>
                <w:lang w:val="ro-MD"/>
              </w:rPr>
            </w:pPr>
            <w:r w:rsidRPr="00E04D55">
              <w:rPr>
                <w:b/>
                <w:sz w:val="20"/>
                <w:szCs w:val="20"/>
                <w:lang w:val="ro-MD"/>
              </w:rPr>
              <w:t>Parțial compatibil</w:t>
            </w:r>
          </w:p>
        </w:tc>
        <w:tc>
          <w:tcPr>
            <w:tcW w:w="1998" w:type="pct"/>
            <w:tcBorders>
              <w:top w:val="single" w:sz="4" w:space="0" w:color="auto"/>
              <w:left w:val="single" w:sz="4" w:space="0" w:color="auto"/>
              <w:bottom w:val="single" w:sz="4" w:space="0" w:color="auto"/>
              <w:right w:val="single" w:sz="4" w:space="0" w:color="auto"/>
            </w:tcBorders>
          </w:tcPr>
          <w:p w14:paraId="026FC035" w14:textId="423C0132" w:rsidR="00C8401F" w:rsidRPr="00E04D55" w:rsidRDefault="00C8401F" w:rsidP="00C8401F">
            <w:pPr>
              <w:spacing w:after="0"/>
              <w:ind w:firstLine="22"/>
              <w:rPr>
                <w:bCs/>
                <w:sz w:val="20"/>
                <w:szCs w:val="20"/>
                <w:lang w:val="ro-MD"/>
              </w:rPr>
            </w:pPr>
            <w:r w:rsidRPr="00E04D55">
              <w:rPr>
                <w:bCs/>
                <w:sz w:val="20"/>
                <w:szCs w:val="20"/>
                <w:lang w:val="ro-MD"/>
              </w:rPr>
              <w:t>Cooperarea polițienească internațională și schimbul de informații operative sunt realizate prin</w:t>
            </w:r>
            <w:r w:rsidR="00E04D55" w:rsidRPr="00E04D55">
              <w:rPr>
                <w:bCs/>
                <w:sz w:val="20"/>
                <w:szCs w:val="20"/>
                <w:lang w:val="ro-MD"/>
              </w:rPr>
              <w:t xml:space="preserve"> subdiviziunea specializată în domeniul </w:t>
            </w:r>
            <w:r w:rsidRPr="00E04D55">
              <w:rPr>
                <w:bCs/>
                <w:sz w:val="20"/>
                <w:szCs w:val="20"/>
                <w:lang w:val="ro-MD"/>
              </w:rPr>
              <w:t>cooper</w:t>
            </w:r>
            <w:r w:rsidR="00E04D55" w:rsidRPr="00E04D55">
              <w:rPr>
                <w:bCs/>
                <w:sz w:val="20"/>
                <w:szCs w:val="20"/>
                <w:lang w:val="ro-MD"/>
              </w:rPr>
              <w:t>ării</w:t>
            </w:r>
            <w:r w:rsidRPr="00E04D55">
              <w:rPr>
                <w:bCs/>
                <w:sz w:val="20"/>
                <w:szCs w:val="20"/>
                <w:lang w:val="ro-MD"/>
              </w:rPr>
              <w:t xml:space="preserve"> polițiene</w:t>
            </w:r>
            <w:r w:rsidR="00E04D55" w:rsidRPr="00E04D55">
              <w:rPr>
                <w:bCs/>
                <w:sz w:val="20"/>
                <w:szCs w:val="20"/>
                <w:lang w:val="ro-MD"/>
              </w:rPr>
              <w:t>ști</w:t>
            </w:r>
            <w:r w:rsidRPr="00E04D55">
              <w:rPr>
                <w:bCs/>
                <w:sz w:val="20"/>
                <w:szCs w:val="20"/>
                <w:lang w:val="ro-MD"/>
              </w:rPr>
              <w:t xml:space="preserve"> internațional</w:t>
            </w:r>
            <w:r w:rsidR="00E04D55" w:rsidRPr="00E04D55">
              <w:rPr>
                <w:bCs/>
                <w:sz w:val="20"/>
                <w:szCs w:val="20"/>
                <w:lang w:val="ro-MD"/>
              </w:rPr>
              <w:t>e</w:t>
            </w:r>
            <w:r w:rsidRPr="00E04D55">
              <w:rPr>
                <w:bCs/>
                <w:sz w:val="20"/>
                <w:szCs w:val="20"/>
                <w:lang w:val="ro-MD"/>
              </w:rPr>
              <w:t xml:space="preserve"> a Inspectoratului General al Poliției, care funcționează ca platformă națională de cooperare operațională</w:t>
            </w:r>
            <w:r w:rsidR="00E04D55" w:rsidRPr="00E04D55">
              <w:rPr>
                <w:bCs/>
                <w:sz w:val="20"/>
                <w:szCs w:val="20"/>
                <w:lang w:val="ro-MD"/>
              </w:rPr>
              <w:t>, inclusiv în cadrul canalelor INTERPOL, EUROPOL și alte mecanisme internaționale.</w:t>
            </w:r>
          </w:p>
          <w:p w14:paraId="3F362207" w14:textId="74B603BD" w:rsidR="002A3589" w:rsidRPr="00E04D55" w:rsidRDefault="00E04D55" w:rsidP="00C8401F">
            <w:pPr>
              <w:spacing w:after="0"/>
              <w:ind w:firstLine="22"/>
              <w:rPr>
                <w:bCs/>
                <w:sz w:val="20"/>
                <w:szCs w:val="20"/>
                <w:lang w:val="ro-MD"/>
              </w:rPr>
            </w:pPr>
            <w:r w:rsidRPr="00E04D55">
              <w:rPr>
                <w:bCs/>
                <w:sz w:val="20"/>
                <w:szCs w:val="20"/>
                <w:lang w:val="ro-MD"/>
              </w:rPr>
              <w:t xml:space="preserve">Compatibilitatea deplină va fi asigurată prin adoptarea proiectului de lege privind căutarea și schimbul de date în scopul cooperării polițienești transfrontaliere (cadrul Prüm II), precum și a proiectului hotărârii Guvernului privind instituirea și funcționarea Punctului unic </w:t>
            </w:r>
            <w:r w:rsidRPr="00E04D55">
              <w:rPr>
                <w:bCs/>
                <w:sz w:val="20"/>
                <w:szCs w:val="20"/>
                <w:lang w:val="ro-MD"/>
              </w:rPr>
              <w:lastRenderedPageBreak/>
              <w:t>de contact (DCPI) și a Punctelor naționale de contact pe domenii, care vor asigura desemnarea formală și funcțională a acestor structuri.</w:t>
            </w:r>
          </w:p>
        </w:tc>
      </w:tr>
      <w:tr w:rsidR="00C70643" w:rsidRPr="00C70643" w14:paraId="52825FD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926EE08" w14:textId="49F2A44F" w:rsidR="00BB4D7C" w:rsidRPr="00C70643" w:rsidRDefault="00BB4D7C" w:rsidP="001A04C4">
            <w:pPr>
              <w:spacing w:after="0"/>
              <w:ind w:left="306" w:hanging="306"/>
              <w:rPr>
                <w:bCs/>
                <w:sz w:val="20"/>
                <w:szCs w:val="20"/>
                <w:lang w:val="ro-MD"/>
              </w:rPr>
            </w:pPr>
            <w:r w:rsidRPr="00C70643">
              <w:rPr>
                <w:bCs/>
                <w:sz w:val="20"/>
                <w:szCs w:val="20"/>
                <w:lang w:val="ro-MD"/>
              </w:rPr>
              <w:lastRenderedPageBreak/>
              <w:t>(2)   Statele membre autorizează punctele de contact să facă schimb de experiență, de cunoștințe de specialitate, precum și de informații generale și tehnice privind criminalitatea referitoare la vehicule, în baza legislației aplicabile existente. Schimbul de informații se extinde asupra metodelor și asupra celor mai bune practici de prevenire a criminalității referitoare la vehicule. Astfel de schimburi nu includ schimburile de date cu caracter personal.</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5867674" w14:textId="14C3D607" w:rsidR="00BB4D7C" w:rsidRPr="00C70643"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427B4045" w14:textId="5E420E7C" w:rsidR="00BB4D7C" w:rsidRPr="00C70643" w:rsidRDefault="00EA1DFD" w:rsidP="001A04C4">
            <w:pPr>
              <w:spacing w:after="0"/>
              <w:ind w:firstLine="22"/>
              <w:rPr>
                <w:b/>
                <w:sz w:val="20"/>
                <w:szCs w:val="20"/>
                <w:lang w:val="ro-MD"/>
              </w:rPr>
            </w:pPr>
            <w:r w:rsidRPr="00C70643">
              <w:rPr>
                <w:b/>
                <w:sz w:val="20"/>
                <w:szCs w:val="20"/>
                <w:lang w:val="ro-MD"/>
              </w:rPr>
              <w:t>Parțial compatibil</w:t>
            </w:r>
          </w:p>
        </w:tc>
        <w:tc>
          <w:tcPr>
            <w:tcW w:w="1998" w:type="pct"/>
            <w:tcBorders>
              <w:top w:val="single" w:sz="4" w:space="0" w:color="auto"/>
              <w:left w:val="single" w:sz="4" w:space="0" w:color="auto"/>
              <w:bottom w:val="single" w:sz="4" w:space="0" w:color="auto"/>
              <w:right w:val="single" w:sz="4" w:space="0" w:color="auto"/>
            </w:tcBorders>
          </w:tcPr>
          <w:p w14:paraId="60915A35" w14:textId="36BAA532" w:rsidR="00C8401F" w:rsidRPr="00C70643" w:rsidRDefault="00C8401F" w:rsidP="00C8401F">
            <w:pPr>
              <w:spacing w:after="0"/>
              <w:ind w:firstLine="22"/>
              <w:rPr>
                <w:bCs/>
                <w:sz w:val="20"/>
                <w:szCs w:val="20"/>
                <w:lang w:val="ro-MD"/>
              </w:rPr>
            </w:pPr>
            <w:r w:rsidRPr="00C70643">
              <w:rPr>
                <w:bCs/>
                <w:sz w:val="20"/>
                <w:szCs w:val="20"/>
                <w:lang w:val="ro-MD"/>
              </w:rPr>
              <w:t xml:space="preserve">Schimbul de informații și de bune practici în domeniul combaterii criminalității este realizat prin </w:t>
            </w:r>
            <w:r w:rsidR="00C70643" w:rsidRPr="00C70643">
              <w:rPr>
                <w:bCs/>
                <w:sz w:val="20"/>
                <w:szCs w:val="20"/>
                <w:lang w:val="ro-MD"/>
              </w:rPr>
              <w:t>subdiviziunea specializată în domeniul cooperării polițienești internaționale a Inspectoratului General al Poliției</w:t>
            </w:r>
            <w:r w:rsidRPr="00C70643">
              <w:rPr>
                <w:bCs/>
                <w:sz w:val="20"/>
                <w:szCs w:val="20"/>
                <w:lang w:val="ro-MD"/>
              </w:rPr>
              <w:t>, prin intermediul canalelor de cooperare polițienească internațională (INTERPOL, EUROPOL, SELEC/GUAM).</w:t>
            </w:r>
            <w:r w:rsidR="00C70643" w:rsidRPr="00C70643">
              <w:rPr>
                <w:bCs/>
                <w:sz w:val="20"/>
                <w:szCs w:val="20"/>
                <w:lang w:val="ro-MD"/>
              </w:rPr>
              <w:t xml:space="preserve"> </w:t>
            </w:r>
          </w:p>
          <w:p w14:paraId="0D5D61EC" w14:textId="1A880024" w:rsidR="002A3589" w:rsidRPr="00C70643" w:rsidRDefault="00C70643" w:rsidP="00C8401F">
            <w:pPr>
              <w:spacing w:after="0"/>
              <w:ind w:firstLine="22"/>
              <w:rPr>
                <w:bCs/>
                <w:sz w:val="20"/>
                <w:szCs w:val="20"/>
                <w:lang w:val="ro-MD"/>
              </w:rPr>
            </w:pPr>
            <w:r w:rsidRPr="00C70643">
              <w:rPr>
                <w:bCs/>
                <w:sz w:val="20"/>
                <w:szCs w:val="20"/>
                <w:lang w:val="ro-MD"/>
              </w:rPr>
              <w:t>Compatibilitatea deplină va fi asigurată prin adoptarea proiectului de lege privind căutarea și schimbul de date în scopul cooperării polițienești transfrontaliere (cadrul Prüm II), precum și a proiectului hotărârii Guvernului privind instituirea și funcționarea Punctului unic de contact (DCPI) și a Punctelor naționale de contact pe domenii, care vor reglementa explicit aceste tipuri de schimburi de informații.</w:t>
            </w:r>
          </w:p>
        </w:tc>
      </w:tr>
      <w:tr w:rsidR="00C70643" w:rsidRPr="00C70643" w14:paraId="3B9098CF"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9046396" w14:textId="5C408077" w:rsidR="00DD3434" w:rsidRPr="00C70643" w:rsidRDefault="00DD3434" w:rsidP="001A04C4">
            <w:pPr>
              <w:spacing w:after="0"/>
              <w:ind w:left="306" w:hanging="306"/>
              <w:rPr>
                <w:bCs/>
                <w:sz w:val="20"/>
                <w:szCs w:val="20"/>
                <w:lang w:val="ro-MD"/>
              </w:rPr>
            </w:pPr>
            <w:r w:rsidRPr="00C70643">
              <w:rPr>
                <w:bCs/>
                <w:sz w:val="20"/>
                <w:szCs w:val="20"/>
                <w:lang w:val="ro-MD"/>
              </w:rPr>
              <w:t>(3)   Informațiile privind punctele naționale de contact desemnate, inclusiv modificările ulterioare, se comunică Secretariatului General al Consiliului pentru publicarea în Jurnalul Oficial al Uniunii Europene.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586D3F7E" w14:textId="7BB16F5E" w:rsidR="00DD3434" w:rsidRPr="00C70643" w:rsidRDefault="00DD3434"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7229B8FC" w14:textId="77418E49" w:rsidR="00DD3434" w:rsidRPr="00C70643" w:rsidRDefault="00C70643" w:rsidP="001A04C4">
            <w:pPr>
              <w:spacing w:after="0"/>
              <w:ind w:firstLine="22"/>
              <w:rPr>
                <w:b/>
                <w:sz w:val="20"/>
                <w:szCs w:val="20"/>
                <w:lang w:val="ro-MD"/>
              </w:rPr>
            </w:pPr>
            <w:r w:rsidRPr="00C70643">
              <w:rPr>
                <w:b/>
                <w:sz w:val="20"/>
                <w:szCs w:val="20"/>
                <w:lang w:val="ro-MD"/>
              </w:rPr>
              <w:t>Neaplicabil  (până la aderare)</w:t>
            </w:r>
          </w:p>
        </w:tc>
        <w:tc>
          <w:tcPr>
            <w:tcW w:w="1998" w:type="pct"/>
            <w:tcBorders>
              <w:top w:val="single" w:sz="4" w:space="0" w:color="auto"/>
              <w:left w:val="single" w:sz="4" w:space="0" w:color="auto"/>
              <w:bottom w:val="single" w:sz="4" w:space="0" w:color="auto"/>
              <w:right w:val="single" w:sz="4" w:space="0" w:color="auto"/>
            </w:tcBorders>
          </w:tcPr>
          <w:p w14:paraId="7DE45D1F" w14:textId="77777777" w:rsidR="00C70643" w:rsidRPr="00C70643" w:rsidRDefault="003A7264" w:rsidP="00817B7F">
            <w:pPr>
              <w:spacing w:after="0"/>
              <w:ind w:firstLine="22"/>
              <w:rPr>
                <w:bCs/>
                <w:sz w:val="20"/>
                <w:szCs w:val="20"/>
                <w:lang w:val="ro-MD"/>
              </w:rPr>
            </w:pPr>
            <w:r w:rsidRPr="00C70643">
              <w:rPr>
                <w:bCs/>
                <w:sz w:val="20"/>
                <w:szCs w:val="20"/>
                <w:lang w:val="ro-MD"/>
              </w:rPr>
              <w:t xml:space="preserve">Prevederea va deveni aplicabilă Republicii Moldova după aderarea la Uniunea Europeană. </w:t>
            </w:r>
          </w:p>
          <w:p w14:paraId="45AA912F" w14:textId="7EC59B51" w:rsidR="00DD3434" w:rsidRPr="00C70643" w:rsidRDefault="00C70643" w:rsidP="00817B7F">
            <w:pPr>
              <w:spacing w:after="0"/>
              <w:ind w:firstLine="22"/>
              <w:rPr>
                <w:bCs/>
                <w:sz w:val="20"/>
                <w:szCs w:val="20"/>
                <w:lang w:val="ro-MD"/>
              </w:rPr>
            </w:pPr>
            <w:r w:rsidRPr="00C70643">
              <w:rPr>
                <w:bCs/>
                <w:sz w:val="20"/>
                <w:szCs w:val="20"/>
                <w:lang w:val="ro-MD"/>
              </w:rPr>
              <w:t>Desemnarea punctului unic de contact (DCPI) și a punctelor naționale de contact pe domenii este în curs de reglementare prin proiectul de lege privind căutarea și schimbul de date în scopul cooperării polițienești transfrontaliere și actele normative subsecvente.</w:t>
            </w:r>
          </w:p>
        </w:tc>
      </w:tr>
      <w:tr w:rsidR="00C70643" w:rsidRPr="00C70643" w14:paraId="649CA1EE"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3F70883" w14:textId="7A448C32" w:rsidR="00DD3434" w:rsidRPr="00C70643" w:rsidRDefault="00DD3434" w:rsidP="001A04C4">
            <w:pPr>
              <w:spacing w:after="0"/>
              <w:ind w:firstLine="22"/>
              <w:rPr>
                <w:b/>
                <w:sz w:val="20"/>
                <w:szCs w:val="20"/>
                <w:lang w:val="ro-MD"/>
              </w:rPr>
            </w:pPr>
            <w:r w:rsidRPr="00C70643">
              <w:rPr>
                <w:b/>
                <w:sz w:val="20"/>
                <w:szCs w:val="20"/>
                <w:lang w:val="ro-MD"/>
              </w:rPr>
              <w:t>Articolul 6. Semnalarea furturilor de vehicule și a certificatelor de înmatriculare</w:t>
            </w:r>
          </w:p>
          <w:p w14:paraId="270E65D4" w14:textId="77777777" w:rsidR="00DD3434" w:rsidRPr="00C70643" w:rsidRDefault="00DD3434" w:rsidP="001A04C4">
            <w:pPr>
              <w:spacing w:after="0"/>
              <w:ind w:firstLine="22"/>
              <w:rPr>
                <w:b/>
                <w:sz w:val="20"/>
                <w:szCs w:val="20"/>
                <w:lang w:val="ro-MD"/>
              </w:rPr>
            </w:pPr>
          </w:p>
          <w:p w14:paraId="38B0DF43" w14:textId="421F903C" w:rsidR="00DD3434" w:rsidRPr="00C70643" w:rsidRDefault="00DD3434" w:rsidP="001A04C4">
            <w:pPr>
              <w:spacing w:after="0"/>
              <w:ind w:left="306" w:hanging="306"/>
              <w:rPr>
                <w:bCs/>
                <w:sz w:val="20"/>
                <w:szCs w:val="20"/>
                <w:lang w:val="ro-MD"/>
              </w:rPr>
            </w:pPr>
            <w:r w:rsidRPr="00C70643">
              <w:rPr>
                <w:bCs/>
                <w:sz w:val="20"/>
                <w:szCs w:val="20"/>
                <w:lang w:val="ro-MD"/>
              </w:rPr>
              <w:t>(1)   Ori de câte ori se raportează furtul unui vehicul, autoritățile competente ale statelor membre introduc imediat o alertă de vehicul furat în SIS, în conformitate cu legislația internă și, atunci când este posibil, în baza de date a Interpol referitoare la autovehiculele furate.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471D079" w14:textId="376BEAE8" w:rsidR="00DD3434" w:rsidRPr="00C70643" w:rsidRDefault="00DD3434" w:rsidP="001A04C4">
            <w:pPr>
              <w:spacing w:after="0"/>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4D57A891" w14:textId="4DDA8CD6" w:rsidR="00DD3434" w:rsidRPr="00C70643" w:rsidRDefault="003A7264" w:rsidP="001A04C4">
            <w:pPr>
              <w:spacing w:after="0"/>
              <w:ind w:firstLine="22"/>
              <w:rPr>
                <w:b/>
                <w:sz w:val="20"/>
                <w:szCs w:val="20"/>
                <w:lang w:val="ro-MD"/>
              </w:rPr>
            </w:pPr>
            <w:r w:rsidRPr="00C70643">
              <w:rPr>
                <w:b/>
                <w:sz w:val="20"/>
                <w:szCs w:val="20"/>
                <w:lang w:val="ro-MD"/>
              </w:rPr>
              <w:t>Parțial compatibil</w:t>
            </w:r>
          </w:p>
        </w:tc>
        <w:tc>
          <w:tcPr>
            <w:tcW w:w="1998" w:type="pct"/>
            <w:tcBorders>
              <w:top w:val="single" w:sz="4" w:space="0" w:color="auto"/>
              <w:left w:val="single" w:sz="4" w:space="0" w:color="auto"/>
              <w:bottom w:val="single" w:sz="4" w:space="0" w:color="auto"/>
              <w:right w:val="single" w:sz="4" w:space="0" w:color="auto"/>
            </w:tcBorders>
          </w:tcPr>
          <w:p w14:paraId="5782E7CE" w14:textId="77777777" w:rsidR="006116C5" w:rsidRPr="00C70643" w:rsidRDefault="00C70643" w:rsidP="00817B7F">
            <w:pPr>
              <w:spacing w:after="0"/>
              <w:ind w:firstLine="22"/>
              <w:rPr>
                <w:bCs/>
                <w:sz w:val="20"/>
                <w:szCs w:val="20"/>
                <w:lang w:val="ro-MD"/>
              </w:rPr>
            </w:pPr>
            <w:r w:rsidRPr="00C70643">
              <w:rPr>
                <w:bCs/>
                <w:sz w:val="20"/>
                <w:szCs w:val="20"/>
                <w:lang w:val="ro-MD"/>
              </w:rPr>
              <w:t>Autoritățile competente ale Republicii Moldova (Poliția, Poliția de Frontieră și Serviciul Vamal), în calitate de organe de constatare potrivit art. 273 alin. (1) din Codul de procedură penală, asigură introducerea și gestionarea semnalărilor privind vehiculele furate în cadrul sistemelor informaționale naționale și prin intermediul bazelor de date ale INTERPOL, în conformitate cu cadrul normativ aplicabil.</w:t>
            </w:r>
          </w:p>
          <w:p w14:paraId="51FC2407" w14:textId="77777777" w:rsidR="00C70643" w:rsidRPr="00C70643" w:rsidRDefault="00C70643" w:rsidP="00817B7F">
            <w:pPr>
              <w:spacing w:after="0"/>
              <w:ind w:firstLine="22"/>
              <w:rPr>
                <w:bCs/>
                <w:sz w:val="20"/>
                <w:szCs w:val="20"/>
                <w:lang w:val="ro-MD"/>
              </w:rPr>
            </w:pPr>
            <w:r w:rsidRPr="00C70643">
              <w:rPr>
                <w:bCs/>
                <w:sz w:val="20"/>
                <w:szCs w:val="20"/>
                <w:lang w:val="ro-MD"/>
              </w:rPr>
              <w:t xml:space="preserve">Totodată, cadrul normativ național nu reglementează în mod expres obligația introducerii imediate a alertelor privind vehiculele furate și nici utilizarea Sistemului de Informații Schengen (SIS). </w:t>
            </w:r>
          </w:p>
          <w:p w14:paraId="7DD4B94B" w14:textId="77777777" w:rsidR="00C70643" w:rsidRPr="00C70643" w:rsidRDefault="00C70643" w:rsidP="00C70643">
            <w:pPr>
              <w:spacing w:after="0"/>
              <w:ind w:firstLine="22"/>
              <w:rPr>
                <w:bCs/>
                <w:sz w:val="20"/>
                <w:szCs w:val="20"/>
                <w:lang w:val="ro-MD"/>
              </w:rPr>
            </w:pPr>
            <w:r w:rsidRPr="00C70643">
              <w:rPr>
                <w:bCs/>
                <w:sz w:val="20"/>
                <w:szCs w:val="20"/>
                <w:lang w:val="ro-MD"/>
              </w:rPr>
              <w:t>Compatibilitatea deplină va fi asigurată prin adoptarea proiectului de lege privind căutarea și schimbul de date în scopul cooperării polițienești transfrontaliere (cadrul Prüm II), care reglementează schimbul de informații privind vehiculele furate și cooperarea între punctele naționale de contact.</w:t>
            </w:r>
          </w:p>
          <w:p w14:paraId="36EAB132" w14:textId="6AFC1E73" w:rsidR="00C70643" w:rsidRPr="00C70643" w:rsidRDefault="00C70643" w:rsidP="00C70643">
            <w:pPr>
              <w:spacing w:after="0"/>
              <w:ind w:firstLine="22"/>
              <w:rPr>
                <w:bCs/>
                <w:sz w:val="20"/>
                <w:szCs w:val="20"/>
                <w:lang w:val="ro-MD"/>
              </w:rPr>
            </w:pPr>
            <w:r w:rsidRPr="00C70643">
              <w:rPr>
                <w:bCs/>
                <w:sz w:val="20"/>
                <w:szCs w:val="20"/>
                <w:lang w:val="ro-MD"/>
              </w:rPr>
              <w:t>Utilizarea Sistemului de Informații Schengen (SIS) va deveni aplicabilă Republicii Moldova după aderarea la Uniunea Europeană.</w:t>
            </w:r>
          </w:p>
        </w:tc>
      </w:tr>
      <w:tr w:rsidR="00C70643" w:rsidRPr="00C70643" w14:paraId="63D488EB"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0E3F0C74" w14:textId="7C9652B2" w:rsidR="00BB4D7C" w:rsidRPr="00C70643" w:rsidRDefault="00BB4D7C" w:rsidP="001A04C4">
            <w:pPr>
              <w:spacing w:after="0"/>
              <w:ind w:left="306" w:hanging="284"/>
              <w:rPr>
                <w:bCs/>
                <w:sz w:val="20"/>
                <w:szCs w:val="20"/>
                <w:lang w:val="ro-MD"/>
              </w:rPr>
            </w:pPr>
            <w:r w:rsidRPr="00C70643">
              <w:rPr>
                <w:bCs/>
                <w:sz w:val="20"/>
                <w:szCs w:val="20"/>
                <w:lang w:val="ro-MD"/>
              </w:rPr>
              <w:t xml:space="preserve">(2)   Statul membru care a introdus alerta o retrage din registrul de căutare, în conformitate cu legislația internă, de îndată ce </w:t>
            </w:r>
            <w:r w:rsidRPr="00C70643">
              <w:rPr>
                <w:bCs/>
                <w:sz w:val="20"/>
                <w:szCs w:val="20"/>
                <w:lang w:val="ro-MD"/>
              </w:rPr>
              <w:lastRenderedPageBreak/>
              <w:t>motivul de introducere a alertei asupra vehiculului încetează să mai existe.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23CD67BA" w14:textId="50836D6E" w:rsidR="0013061E" w:rsidRPr="00C70643" w:rsidRDefault="0013061E"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1A111D25" w14:textId="06A0769F" w:rsidR="00BB4D7C" w:rsidRPr="00C70643" w:rsidRDefault="00DB22AD" w:rsidP="001A04C4">
            <w:pPr>
              <w:spacing w:after="0"/>
              <w:ind w:firstLine="22"/>
              <w:rPr>
                <w:b/>
                <w:sz w:val="20"/>
                <w:szCs w:val="20"/>
                <w:lang w:val="ro-MD"/>
              </w:rPr>
            </w:pPr>
            <w:r w:rsidRPr="00C70643">
              <w:rPr>
                <w:b/>
                <w:sz w:val="20"/>
                <w:szCs w:val="20"/>
                <w:lang w:val="ro-MD"/>
              </w:rPr>
              <w:t>Parțial compatibil</w:t>
            </w:r>
          </w:p>
        </w:tc>
        <w:tc>
          <w:tcPr>
            <w:tcW w:w="1998" w:type="pct"/>
            <w:tcBorders>
              <w:top w:val="single" w:sz="4" w:space="0" w:color="auto"/>
              <w:left w:val="single" w:sz="4" w:space="0" w:color="auto"/>
              <w:bottom w:val="single" w:sz="4" w:space="0" w:color="auto"/>
              <w:right w:val="single" w:sz="4" w:space="0" w:color="auto"/>
            </w:tcBorders>
          </w:tcPr>
          <w:p w14:paraId="13B4AAE2" w14:textId="77777777" w:rsidR="00BB4D7C" w:rsidRPr="00C70643" w:rsidRDefault="00C70643" w:rsidP="00817B7F">
            <w:pPr>
              <w:spacing w:after="0"/>
              <w:ind w:firstLine="22"/>
              <w:rPr>
                <w:bCs/>
                <w:sz w:val="20"/>
                <w:szCs w:val="20"/>
                <w:lang w:val="ro-MD"/>
              </w:rPr>
            </w:pPr>
            <w:r w:rsidRPr="00C70643">
              <w:rPr>
                <w:bCs/>
                <w:sz w:val="20"/>
                <w:szCs w:val="20"/>
                <w:lang w:val="ro-MD"/>
              </w:rPr>
              <w:t xml:space="preserve">Autoritățile competente ale Republicii Moldova asigură actualizarea, rectificarea și, după caz, retragerea semnalărilor privind vehiculele furate din bazele de date naționale și din sistemele de cooperare </w:t>
            </w:r>
            <w:r w:rsidRPr="00C70643">
              <w:rPr>
                <w:bCs/>
                <w:sz w:val="20"/>
                <w:szCs w:val="20"/>
                <w:lang w:val="ro-MD"/>
              </w:rPr>
              <w:lastRenderedPageBreak/>
              <w:t>polițienească internațională (INTERPOL), în conformitate cu cadrul normativ și procedurile aplicabile.</w:t>
            </w:r>
          </w:p>
          <w:p w14:paraId="1D97CE5D" w14:textId="45ABB1B4" w:rsidR="00C70643" w:rsidRPr="00C70643" w:rsidRDefault="00C70643" w:rsidP="00817B7F">
            <w:pPr>
              <w:spacing w:after="0"/>
              <w:ind w:firstLine="22"/>
              <w:rPr>
                <w:bCs/>
                <w:sz w:val="20"/>
                <w:szCs w:val="20"/>
                <w:lang w:val="ro-MD"/>
              </w:rPr>
            </w:pPr>
            <w:r w:rsidRPr="00C70643">
              <w:rPr>
                <w:bCs/>
                <w:sz w:val="20"/>
                <w:szCs w:val="20"/>
                <w:lang w:val="ro-MD"/>
              </w:rPr>
              <w:t>Compatibilitatea deplină va fi asigurată prin adoptarea proiectului de lege privind căutarea și schimbul de date în scopul cooperării polițienești transfrontaliere (cadrul Prüm II), care stabilește obligația actualizării, rectificării și retragerii datelor atunci când acestea nu mai sunt exacte sau temeiul legal al prelucrării a încetat.</w:t>
            </w:r>
          </w:p>
        </w:tc>
      </w:tr>
      <w:tr w:rsidR="00DC3300" w:rsidRPr="00DC3300" w14:paraId="441652B2"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ABDF861" w14:textId="4654D32A" w:rsidR="00BB4D7C" w:rsidRPr="00DC3300" w:rsidRDefault="00BB4D7C" w:rsidP="001A04C4">
            <w:pPr>
              <w:spacing w:after="0"/>
              <w:ind w:left="306" w:hanging="284"/>
              <w:rPr>
                <w:bCs/>
                <w:sz w:val="20"/>
                <w:szCs w:val="20"/>
                <w:lang w:val="ro-MD"/>
              </w:rPr>
            </w:pPr>
            <w:r w:rsidRPr="00DC3300">
              <w:rPr>
                <w:bCs/>
                <w:sz w:val="20"/>
                <w:szCs w:val="20"/>
                <w:lang w:val="ro-MD"/>
              </w:rPr>
              <w:lastRenderedPageBreak/>
              <w:t>(3)   Ori de câte ori se raportează furtul certificatelor de înmatriculare, autoritățile competente ale statelor membre introduc imediat o alertă în SIS, în conformitate cu legislația internă.</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4EE6F29" w14:textId="10E1EA3B" w:rsidR="00BB4D7C" w:rsidRPr="00DC3300"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7A2B747F" w14:textId="17EC1DAF" w:rsidR="00BB4D7C" w:rsidRPr="00DC3300" w:rsidRDefault="00C70643" w:rsidP="001A04C4">
            <w:pPr>
              <w:spacing w:after="0"/>
              <w:ind w:firstLine="22"/>
              <w:rPr>
                <w:b/>
                <w:sz w:val="20"/>
                <w:szCs w:val="20"/>
                <w:lang w:val="ro-MD"/>
              </w:rPr>
            </w:pPr>
            <w:r w:rsidRPr="00DC3300">
              <w:rPr>
                <w:b/>
                <w:sz w:val="20"/>
                <w:szCs w:val="20"/>
                <w:lang w:val="ro-MD"/>
              </w:rPr>
              <w:t>Neaplicabil  (până la aderare)</w:t>
            </w:r>
          </w:p>
        </w:tc>
        <w:tc>
          <w:tcPr>
            <w:tcW w:w="1998" w:type="pct"/>
            <w:tcBorders>
              <w:top w:val="single" w:sz="4" w:space="0" w:color="auto"/>
              <w:left w:val="single" w:sz="4" w:space="0" w:color="auto"/>
              <w:bottom w:val="single" w:sz="4" w:space="0" w:color="auto"/>
              <w:right w:val="single" w:sz="4" w:space="0" w:color="auto"/>
            </w:tcBorders>
          </w:tcPr>
          <w:p w14:paraId="252C6C3C" w14:textId="77777777" w:rsidR="00BB4D7C" w:rsidRPr="00DC3300" w:rsidRDefault="00DC3300" w:rsidP="00817B7F">
            <w:pPr>
              <w:spacing w:after="0"/>
              <w:ind w:firstLine="22"/>
              <w:rPr>
                <w:bCs/>
                <w:sz w:val="20"/>
                <w:szCs w:val="20"/>
                <w:lang w:val="ro-MD"/>
              </w:rPr>
            </w:pPr>
            <w:r w:rsidRPr="00DC3300">
              <w:rPr>
                <w:bCs/>
                <w:sz w:val="20"/>
                <w:szCs w:val="20"/>
                <w:lang w:val="ro-MD"/>
              </w:rPr>
              <w:t>Autoritățile competente ale Republicii Moldova pot introduce și gestiona semnalări privind documentele furate, inclusiv certificatele de înmatriculare, în cadrul sistemelor informaționale naționale și prin intermediul canalelor de cooperare polițienească internațională (INTERPOL), în conformitate cu legislația aplicabilă.</w:t>
            </w:r>
          </w:p>
          <w:p w14:paraId="70212F09" w14:textId="00C9828C" w:rsidR="00DC3300" w:rsidRPr="00DC3300" w:rsidRDefault="00DC3300" w:rsidP="00817B7F">
            <w:pPr>
              <w:spacing w:after="0"/>
              <w:ind w:firstLine="22"/>
              <w:rPr>
                <w:bCs/>
                <w:sz w:val="20"/>
                <w:szCs w:val="20"/>
                <w:lang w:val="ro-MD"/>
              </w:rPr>
            </w:pPr>
            <w:r w:rsidRPr="00DC3300">
              <w:rPr>
                <w:bCs/>
                <w:sz w:val="20"/>
                <w:szCs w:val="20"/>
                <w:lang w:val="ro-MD"/>
              </w:rPr>
              <w:t>Compatibilitatea deplină va fi asigurată prin adoptarea proiectului de lege privind căutarea și schimbul de date în scopul cooperării polițienești transfrontaliere, precum și ulterior conectării Republicii Moldova la Sistemul de Informații Schengen (SIS).</w:t>
            </w:r>
          </w:p>
        </w:tc>
      </w:tr>
      <w:tr w:rsidR="00DC3300" w:rsidRPr="00DC3300" w14:paraId="31BDCDB7"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613BAA0" w14:textId="77777777" w:rsidR="00BB4D7C" w:rsidRPr="00DC3300" w:rsidRDefault="00BB4D7C" w:rsidP="001A04C4">
            <w:pPr>
              <w:spacing w:after="0"/>
              <w:ind w:firstLine="22"/>
              <w:rPr>
                <w:b/>
                <w:sz w:val="20"/>
                <w:szCs w:val="20"/>
                <w:lang w:val="ro-MD"/>
              </w:rPr>
            </w:pPr>
            <w:r w:rsidRPr="00DC3300">
              <w:rPr>
                <w:b/>
                <w:sz w:val="20"/>
                <w:szCs w:val="20"/>
                <w:lang w:val="ro-MD"/>
              </w:rPr>
              <w:t xml:space="preserve">Articolul 7. </w:t>
            </w:r>
          </w:p>
          <w:p w14:paraId="5672F52C" w14:textId="1D00784C" w:rsidR="00BB4D7C" w:rsidRPr="00DC3300" w:rsidRDefault="00BB4D7C" w:rsidP="001A04C4">
            <w:pPr>
              <w:spacing w:after="0"/>
              <w:ind w:firstLine="22"/>
              <w:rPr>
                <w:b/>
                <w:sz w:val="20"/>
                <w:szCs w:val="20"/>
                <w:lang w:val="ro-MD"/>
              </w:rPr>
            </w:pPr>
            <w:r w:rsidRPr="00DC3300">
              <w:rPr>
                <w:b/>
                <w:sz w:val="20"/>
                <w:szCs w:val="20"/>
                <w:lang w:val="ro-MD"/>
              </w:rPr>
              <w:t>Înmatriculare</w:t>
            </w:r>
          </w:p>
          <w:p w14:paraId="13347FB7" w14:textId="77777777" w:rsidR="00BB4D7C" w:rsidRPr="00DC3300" w:rsidRDefault="00BB4D7C" w:rsidP="001A04C4">
            <w:pPr>
              <w:spacing w:after="0"/>
              <w:ind w:firstLine="22"/>
              <w:rPr>
                <w:b/>
                <w:sz w:val="20"/>
                <w:szCs w:val="20"/>
                <w:lang w:val="ro-MD"/>
              </w:rPr>
            </w:pPr>
          </w:p>
          <w:p w14:paraId="6B733EBC" w14:textId="2DEF7B5D" w:rsidR="00BB4D7C" w:rsidRPr="00DC3300" w:rsidRDefault="00BB4D7C" w:rsidP="001A04C4">
            <w:pPr>
              <w:spacing w:after="0"/>
              <w:ind w:left="306" w:hanging="284"/>
              <w:rPr>
                <w:b/>
                <w:sz w:val="20"/>
                <w:szCs w:val="20"/>
                <w:lang w:val="ro-MD"/>
              </w:rPr>
            </w:pPr>
            <w:r w:rsidRPr="00DC3300">
              <w:rPr>
                <w:bCs/>
                <w:sz w:val="20"/>
                <w:szCs w:val="20"/>
                <w:lang w:val="ro-MD"/>
              </w:rPr>
              <w:t xml:space="preserve">(1)   Fiecare stat membru se asigură că autoritățile sale competente iau măsurile necesare </w:t>
            </w:r>
            <w:r w:rsidRPr="00DC3300">
              <w:rPr>
                <w:b/>
                <w:sz w:val="20"/>
                <w:szCs w:val="20"/>
                <w:lang w:val="ro-MD"/>
              </w:rPr>
              <w:t>pentru a preveni utilizarea frauduloasă și furtul de documente de înmatriculare a vehiculelor.</w:t>
            </w:r>
          </w:p>
        </w:tc>
        <w:tc>
          <w:tcPr>
            <w:tcW w:w="1416" w:type="pct"/>
            <w:tcBorders>
              <w:top w:val="single" w:sz="4" w:space="0" w:color="auto"/>
              <w:left w:val="single" w:sz="4" w:space="0" w:color="auto"/>
              <w:bottom w:val="single" w:sz="4" w:space="0" w:color="auto"/>
              <w:right w:val="single" w:sz="4" w:space="0" w:color="auto"/>
            </w:tcBorders>
          </w:tcPr>
          <w:p w14:paraId="3F3AAB02" w14:textId="77777777" w:rsidR="00BB4D7C" w:rsidRPr="00DC3300" w:rsidRDefault="00BB4D7C" w:rsidP="001A04C4">
            <w:pPr>
              <w:spacing w:after="0"/>
              <w:ind w:firstLine="22"/>
              <w:rPr>
                <w:b/>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48BF372E" w14:textId="3EE0A617" w:rsidR="00BB4D7C" w:rsidRPr="00DC3300" w:rsidRDefault="00DC3300" w:rsidP="001A04C4">
            <w:pPr>
              <w:spacing w:after="0"/>
              <w:rPr>
                <w:b/>
                <w:sz w:val="20"/>
                <w:szCs w:val="20"/>
                <w:lang w:val="ro-MD"/>
              </w:rPr>
            </w:pPr>
            <w:r w:rsidRPr="00DC3300">
              <w:rPr>
                <w:b/>
                <w:sz w:val="20"/>
                <w:szCs w:val="20"/>
                <w:lang w:val="ro-MD"/>
              </w:rPr>
              <w:t>Parțial c</w:t>
            </w:r>
            <w:r w:rsidR="00BB4D7C" w:rsidRPr="00DC3300">
              <w:rPr>
                <w:b/>
                <w:sz w:val="20"/>
                <w:szCs w:val="20"/>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70436A4C" w14:textId="05F567C5" w:rsidR="00DC3300" w:rsidRPr="00DC3300" w:rsidRDefault="00DC3300" w:rsidP="00C8401F">
            <w:pPr>
              <w:spacing w:after="0"/>
              <w:ind w:firstLine="22"/>
              <w:rPr>
                <w:bCs/>
                <w:sz w:val="20"/>
                <w:szCs w:val="20"/>
                <w:lang w:val="ro-MD"/>
              </w:rPr>
            </w:pPr>
            <w:r w:rsidRPr="00DC3300">
              <w:rPr>
                <w:bCs/>
                <w:sz w:val="20"/>
                <w:szCs w:val="20"/>
                <w:lang w:val="ro-MD"/>
              </w:rPr>
              <w:t xml:space="preserve">Potrivit cadrului normativ național, evidența vehiculelor și gestionarea certificatelor de înmatriculare sunt realizate prin Registrul de stat al vehiculelor, instituit prin Hotărârea Guvernului nr. 1047/1999, care asigură identificarea vehiculelor prin numărul de identificare (VIN) și înregistrarea datelor privind dreptul de proprietate și restricțiile aplicabile. </w:t>
            </w:r>
          </w:p>
          <w:p w14:paraId="0EAE538F" w14:textId="2CA0FB6B" w:rsidR="00DC3300" w:rsidRPr="00DC3300" w:rsidRDefault="00DC3300" w:rsidP="00C8401F">
            <w:pPr>
              <w:spacing w:after="0"/>
              <w:ind w:firstLine="22"/>
              <w:rPr>
                <w:bCs/>
                <w:sz w:val="20"/>
                <w:szCs w:val="20"/>
                <w:lang w:val="ro-MD"/>
              </w:rPr>
            </w:pPr>
            <w:r w:rsidRPr="00DC3300">
              <w:rPr>
                <w:bCs/>
                <w:sz w:val="20"/>
                <w:szCs w:val="20"/>
                <w:lang w:val="ro-MD"/>
              </w:rPr>
              <w:t>Totodată, cadrul normativ stabilește măsuri de prevenire a utilizării frauduloase a documentelor de înmatriculare, inclusiv prin verificarea autenticității documentelor, identificarea vehiculelor de către experți autorizați, interdicția înmatriculării vehiculelor cu elemente de identificare falsificate și efectuarea verificărilor prin sistemele EUCARIS și INTERPOL</w:t>
            </w:r>
          </w:p>
          <w:p w14:paraId="6AB4B62D" w14:textId="66F56901" w:rsidR="00092CEE" w:rsidRPr="00DC3300" w:rsidRDefault="00DC3300" w:rsidP="00C8401F">
            <w:pPr>
              <w:spacing w:after="0"/>
              <w:ind w:firstLine="22"/>
              <w:rPr>
                <w:bCs/>
                <w:sz w:val="20"/>
                <w:szCs w:val="20"/>
                <w:lang w:val="ro-MD"/>
              </w:rPr>
            </w:pPr>
            <w:r w:rsidRPr="00DC3300">
              <w:rPr>
                <w:bCs/>
                <w:sz w:val="20"/>
                <w:szCs w:val="20"/>
                <w:lang w:val="ro-MD"/>
              </w:rPr>
              <w:t>Compatibilitatea deplină va fi asigurată prin adoptarea proiectului hotărârii Guvernului privind Registrul de stat al vehiculelor, care prevede digitalizarea proceselor, interoperabilitatea sistemelor informaționale și consolidarea mecanismelor de prevenire a fraudelor în domeniul înmatriculării vehiculelor</w:t>
            </w:r>
          </w:p>
        </w:tc>
      </w:tr>
      <w:tr w:rsidR="00AC49BE" w:rsidRPr="00AC49BE" w14:paraId="2D8CBFD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F37BA56" w14:textId="708E6ECB" w:rsidR="00BB4D7C" w:rsidRPr="00AC49BE" w:rsidRDefault="00BB4D7C" w:rsidP="001A04C4">
            <w:pPr>
              <w:spacing w:after="0"/>
              <w:ind w:left="306" w:hanging="306"/>
              <w:rPr>
                <w:bCs/>
                <w:sz w:val="20"/>
                <w:szCs w:val="20"/>
                <w:lang w:val="ro-MD"/>
              </w:rPr>
            </w:pPr>
            <w:r w:rsidRPr="00AC49BE">
              <w:rPr>
                <w:bCs/>
                <w:sz w:val="20"/>
                <w:szCs w:val="20"/>
                <w:lang w:val="ro-MD"/>
              </w:rPr>
              <w:t>(2</w:t>
            </w:r>
            <w:r w:rsidRPr="00AC49BE">
              <w:rPr>
                <w:b/>
                <w:sz w:val="20"/>
                <w:szCs w:val="20"/>
                <w:lang w:val="ro-MD"/>
              </w:rPr>
              <w:t>)   Autoritățile de aplicare a legii informează autoritățile naționale de înmatriculare a vehiculelor în cazul se cunoaște că un vehicul, aflat în curs de înmatriculare, a fost furat</w:t>
            </w:r>
            <w:r w:rsidRPr="00AC49BE">
              <w:rPr>
                <w:bCs/>
                <w:sz w:val="20"/>
                <w:szCs w:val="20"/>
                <w:lang w:val="ro-MD"/>
              </w:rPr>
              <w:t>. Accesul, în acest scop, la bazele de date se face în conformitate cu dispozițiile dreptului comunitar.</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47F45D78" w14:textId="4D86665E" w:rsidR="00BB4D7C" w:rsidRPr="00AC49BE"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04B2918D" w14:textId="0AC2C372" w:rsidR="00BB4D7C" w:rsidRPr="00AC49BE" w:rsidRDefault="00AC49BE" w:rsidP="001A04C4">
            <w:pPr>
              <w:spacing w:after="0"/>
              <w:ind w:firstLine="22"/>
              <w:rPr>
                <w:b/>
                <w:sz w:val="20"/>
                <w:szCs w:val="20"/>
                <w:lang w:val="en-US"/>
              </w:rPr>
            </w:pPr>
            <w:r w:rsidRPr="00AC49BE">
              <w:rPr>
                <w:b/>
                <w:sz w:val="20"/>
                <w:szCs w:val="20"/>
                <w:lang w:val="ro-MD"/>
              </w:rPr>
              <w:t>Parțial c</w:t>
            </w:r>
            <w:r w:rsidR="00BB4D7C" w:rsidRPr="00AC49BE">
              <w:rPr>
                <w:b/>
                <w:sz w:val="20"/>
                <w:szCs w:val="20"/>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59AC544B" w14:textId="55DE0C0A" w:rsidR="000E0962" w:rsidRPr="00AC49BE" w:rsidRDefault="000E0962" w:rsidP="00817B7F">
            <w:pPr>
              <w:spacing w:after="0"/>
              <w:ind w:firstLine="22"/>
              <w:rPr>
                <w:bCs/>
                <w:sz w:val="20"/>
                <w:szCs w:val="20"/>
                <w:lang w:val="ro-MD"/>
              </w:rPr>
            </w:pPr>
            <w:r w:rsidRPr="00AC49BE">
              <w:rPr>
                <w:bCs/>
                <w:sz w:val="20"/>
                <w:szCs w:val="20"/>
                <w:lang w:val="ro-MD"/>
              </w:rPr>
              <w:t>Informațiile privind vehiculele aflate în căutare sunt introduse în Registrul de stat al vehiculelor, reglementat prin Hotărârea Guvernului nr. 1047/1999, pe baza datelor furnizate de organele de drept privind vehiculele aflate în căutare locală și internațională (anexa nr. 2, pct. 29), ceea ce permite autorităților competente în domeniul evidenței și înmatriculării vehiculelor să verifice statutul juridic al acestora.</w:t>
            </w:r>
          </w:p>
          <w:p w14:paraId="5186703D" w14:textId="6A33A8A4" w:rsidR="00092CEE" w:rsidRPr="00AC49BE" w:rsidRDefault="00AC49BE" w:rsidP="00817B7F">
            <w:pPr>
              <w:spacing w:after="0"/>
              <w:ind w:firstLine="22"/>
              <w:rPr>
                <w:bCs/>
                <w:sz w:val="20"/>
                <w:szCs w:val="20"/>
                <w:lang w:val="ro-MD"/>
              </w:rPr>
            </w:pPr>
            <w:r w:rsidRPr="00AC49BE">
              <w:rPr>
                <w:bCs/>
                <w:sz w:val="20"/>
                <w:szCs w:val="20"/>
                <w:lang w:val="ro-MD"/>
              </w:rPr>
              <w:t>Compatibilitatea deplină va fi asigurată prin instituirea Punctului unic de contact (DCPI) și a mecanismelor de schimb automatizat de date prevăzute de proiectul de lege privind căutarea și schimbul de date în scopul cooperării polițienești transfrontaliere.</w:t>
            </w:r>
          </w:p>
        </w:tc>
      </w:tr>
      <w:tr w:rsidR="008F56D3" w:rsidRPr="008F56D3" w14:paraId="07B4CA3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BAD70FB" w14:textId="77777777" w:rsidR="00BB4D7C" w:rsidRPr="008F56D3" w:rsidRDefault="00BB4D7C" w:rsidP="001A04C4">
            <w:pPr>
              <w:spacing w:after="0"/>
              <w:ind w:firstLine="22"/>
              <w:rPr>
                <w:b/>
                <w:sz w:val="20"/>
                <w:szCs w:val="20"/>
                <w:lang w:val="ro-MD"/>
              </w:rPr>
            </w:pPr>
            <w:r w:rsidRPr="008F56D3">
              <w:rPr>
                <w:b/>
                <w:sz w:val="20"/>
                <w:szCs w:val="20"/>
                <w:lang w:val="ro-MD"/>
              </w:rPr>
              <w:lastRenderedPageBreak/>
              <w:t>Articolul 8</w:t>
            </w:r>
          </w:p>
          <w:p w14:paraId="71B8D98A" w14:textId="77777777" w:rsidR="00BB4D7C" w:rsidRPr="008F56D3" w:rsidRDefault="00BB4D7C" w:rsidP="001A04C4">
            <w:pPr>
              <w:spacing w:after="0"/>
              <w:ind w:firstLine="22"/>
              <w:rPr>
                <w:b/>
                <w:sz w:val="20"/>
                <w:szCs w:val="20"/>
                <w:lang w:val="ro-MD"/>
              </w:rPr>
            </w:pPr>
            <w:r w:rsidRPr="008F56D3">
              <w:rPr>
                <w:b/>
                <w:sz w:val="20"/>
                <w:szCs w:val="20"/>
                <w:lang w:val="ro-MD"/>
              </w:rPr>
              <w:t>Prevenirea utilizării frauduloase a certificatelor de înmatriculare a vehiculelor</w:t>
            </w:r>
          </w:p>
          <w:p w14:paraId="5B7E66B6" w14:textId="77777777" w:rsidR="00BB4D7C" w:rsidRPr="008F56D3" w:rsidRDefault="00BB4D7C" w:rsidP="001A04C4">
            <w:pPr>
              <w:spacing w:after="0"/>
              <w:ind w:firstLine="22"/>
              <w:rPr>
                <w:bCs/>
                <w:sz w:val="20"/>
                <w:szCs w:val="20"/>
                <w:lang w:val="ro-MD"/>
              </w:rPr>
            </w:pPr>
          </w:p>
          <w:p w14:paraId="080CB54D" w14:textId="575C6CA2" w:rsidR="00BB4D7C" w:rsidRPr="008F56D3" w:rsidRDefault="00BB4D7C" w:rsidP="001A04C4">
            <w:pPr>
              <w:spacing w:after="0"/>
              <w:ind w:left="306" w:hanging="306"/>
              <w:rPr>
                <w:bCs/>
                <w:sz w:val="20"/>
                <w:szCs w:val="20"/>
                <w:lang w:val="ro-MD"/>
              </w:rPr>
            </w:pPr>
            <w:r w:rsidRPr="008F56D3">
              <w:rPr>
                <w:bCs/>
                <w:sz w:val="20"/>
                <w:szCs w:val="20"/>
                <w:lang w:val="ro-MD"/>
              </w:rPr>
              <w:t xml:space="preserve">(1)   Pentru a preveni utilizarea frauduloasă a certificatelor de înmatriculare a vehiculelor, fiecare stat membru se asigură, în conformitate cu legislația internă, că </w:t>
            </w:r>
            <w:r w:rsidRPr="008F56D3">
              <w:rPr>
                <w:b/>
                <w:sz w:val="20"/>
                <w:szCs w:val="20"/>
                <w:lang w:val="ro-MD"/>
              </w:rPr>
              <w:t>autoritățile sale competente iau măsurile necesare pentru a li se preda certificatul de înmatriculare al proprietarului vehiculului sau al deținătorului vehiculului, în cazul în care vehiculul a fost avariat grav într-un accident (pierdere totală).</w:t>
            </w:r>
          </w:p>
        </w:tc>
        <w:tc>
          <w:tcPr>
            <w:tcW w:w="1416" w:type="pct"/>
            <w:tcBorders>
              <w:top w:val="single" w:sz="4" w:space="0" w:color="auto"/>
              <w:left w:val="single" w:sz="4" w:space="0" w:color="auto"/>
              <w:bottom w:val="single" w:sz="4" w:space="0" w:color="auto"/>
              <w:right w:val="single" w:sz="4" w:space="0" w:color="auto"/>
            </w:tcBorders>
          </w:tcPr>
          <w:p w14:paraId="13A7D3CA" w14:textId="53944EC4" w:rsidR="00D160E2" w:rsidRPr="00EE72B7" w:rsidRDefault="00784283" w:rsidP="00C66FA5">
            <w:pPr>
              <w:tabs>
                <w:tab w:val="left" w:pos="406"/>
                <w:tab w:val="left" w:pos="454"/>
              </w:tabs>
              <w:spacing w:after="0" w:line="259" w:lineRule="auto"/>
              <w:jc w:val="both"/>
              <w:rPr>
                <w:rFonts w:eastAsia="Calibri"/>
                <w:b/>
                <w:bCs/>
                <w:sz w:val="20"/>
                <w:szCs w:val="20"/>
                <w:lang w:val="ro-MD"/>
              </w:rPr>
            </w:pPr>
            <w:r w:rsidRPr="00EE72B7">
              <w:rPr>
                <w:rFonts w:eastAsia="Calibri"/>
                <w:b/>
                <w:bCs/>
                <w:sz w:val="20"/>
                <w:szCs w:val="20"/>
                <w:lang w:val="ro-MD"/>
              </w:rPr>
              <w:t xml:space="preserve">Proiectul de lege </w:t>
            </w:r>
            <w:r w:rsidR="00D160E2" w:rsidRPr="00EE72B7">
              <w:rPr>
                <w:rFonts w:eastAsia="Calibri"/>
                <w:b/>
                <w:bCs/>
                <w:sz w:val="20"/>
                <w:szCs w:val="20"/>
                <w:lang w:val="ro-MD"/>
              </w:rPr>
              <w:t>pentru modificarea Legii nr. 131/2007 privind siguranța traficului rutier</w:t>
            </w:r>
            <w:r w:rsidR="00D76BCF">
              <w:rPr>
                <w:rFonts w:eastAsia="Calibri"/>
                <w:b/>
                <w:bCs/>
                <w:sz w:val="20"/>
                <w:szCs w:val="20"/>
                <w:lang w:val="ro-MD"/>
              </w:rPr>
              <w:t xml:space="preserve"> </w:t>
            </w:r>
            <w:r w:rsidR="00D160E2" w:rsidRPr="00EE72B7">
              <w:rPr>
                <w:rFonts w:eastAsia="Calibri"/>
                <w:b/>
                <w:bCs/>
                <w:sz w:val="20"/>
                <w:szCs w:val="20"/>
                <w:lang w:val="ro-MD"/>
              </w:rPr>
              <w:t xml:space="preserve"> </w:t>
            </w:r>
          </w:p>
          <w:p w14:paraId="25E4F326" w14:textId="77777777" w:rsidR="00BB4D7C" w:rsidRDefault="00BB4D7C" w:rsidP="00EC1F76">
            <w:pPr>
              <w:tabs>
                <w:tab w:val="left" w:pos="406"/>
                <w:tab w:val="left" w:pos="454"/>
              </w:tabs>
              <w:spacing w:after="0" w:line="276" w:lineRule="auto"/>
              <w:jc w:val="both"/>
              <w:rPr>
                <w:rFonts w:eastAsia="Calibri"/>
                <w:sz w:val="20"/>
                <w:szCs w:val="20"/>
                <w:lang w:val="ro-MD"/>
              </w:rPr>
            </w:pPr>
          </w:p>
          <w:p w14:paraId="2DBBEF9E"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Parlamentul adoptă prezenta lege organică.</w:t>
            </w:r>
          </w:p>
          <w:p w14:paraId="488EF35D" w14:textId="77777777" w:rsid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Art. I. – Legea nr. 131/2007 privind siguranța traficului rutier (republicată în Monitorul Oficial al Republicii Moldova, 2015, nr. 11–21, art. 6), cu modificările ulterioare, se modifică după cum urmează:</w:t>
            </w:r>
          </w:p>
          <w:p w14:paraId="1172C319"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2.</w:t>
            </w:r>
            <w:r w:rsidRPr="00D76BCF">
              <w:rPr>
                <w:rFonts w:eastAsia="Calibri"/>
                <w:sz w:val="20"/>
                <w:szCs w:val="20"/>
                <w:lang w:val="ro-MD"/>
              </w:rPr>
              <w:tab/>
              <w:t>Articolul 2, după noțiunea „conducere preventivă” se completează cu o noțiune nouă, cu următorul cuprins:</w:t>
            </w:r>
          </w:p>
          <w:p w14:paraId="3A31B4A1" w14:textId="7AB354B8" w:rsid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„daună totală a vehiculului - situația în care vehiculul a suferit avarii, constatate în condițiile legislației din domeniul asigurării obligatorii de răspundere civilă auto, în urma cărora acesta nu mai poate fi recondiționat din punct de vedere tehnic sau economic.”.</w:t>
            </w:r>
          </w:p>
          <w:p w14:paraId="1E186CE2"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3.</w:t>
            </w:r>
            <w:r w:rsidRPr="00D76BCF">
              <w:rPr>
                <w:rFonts w:eastAsia="Calibri"/>
                <w:sz w:val="20"/>
                <w:szCs w:val="20"/>
                <w:lang w:val="ro-MD"/>
              </w:rPr>
              <w:tab/>
              <w:t>La articolul 55:</w:t>
            </w:r>
          </w:p>
          <w:p w14:paraId="2A15D24D"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Articolul 55 va avea următorul cuprins: </w:t>
            </w:r>
          </w:p>
          <w:p w14:paraId="2231A74C"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„Articolul 55. Radierea din Registrul de stat al vehiculelor</w:t>
            </w:r>
          </w:p>
          <w:p w14:paraId="65EBC17C"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(1) Radierea vehiculelor din Registrul de stat al vehiculelor se face de către autoritatea care a efectuat înmatricularea sau înregistrarea, în următoarele cazuri:</w:t>
            </w:r>
          </w:p>
          <w:p w14:paraId="206A98B3"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a) proprietarul sau mandatarul dorește retragerea din circulație a vehiculului și face dovada depozitării acestuia în afara domeniului public;</w:t>
            </w:r>
          </w:p>
          <w:p w14:paraId="3470DF06"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b) proprietarul sau mandatarul face dovada dezmembrării, casării sau predării vehiculului la unități specializate; </w:t>
            </w:r>
          </w:p>
          <w:p w14:paraId="6928B468"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c) vehiculul urmează să fie scos definitiv din Republica Moldova, </w:t>
            </w:r>
          </w:p>
          <w:p w14:paraId="599DE1B5"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d) în baza notificării actului de constatare a daunei totale transmis de autoritatea sau entitatea competentă potrivit alin. (2).</w:t>
            </w:r>
          </w:p>
          <w:p w14:paraId="18E8B41F"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lastRenderedPageBreak/>
              <w:t xml:space="preserve">(2) În cazul constatării daunei totale a vehiculului, actul de constatare se întocmește de către asigurătorul care practică asigurarea obligatorie de răspundere civilă auto, în condițiile legislației din domeniul asigurărilor, sau, după caz, de către autoritatea ori entitatea competentă potrivit legii, în baza evaluărilor tehnice efectuate în condițiile legii. </w:t>
            </w:r>
          </w:p>
          <w:p w14:paraId="3252DB29"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(3) În cazurile în care dauna totală a vehiculului rezultă din documentarea accidentelor rutiere, Poliția transmite, în limitele competenței, actele și informațiile relevante către autoritatea ori entitatea competentă pentru întocmirea actului de constatare a daunei totale a vehiculului, sau, după caz, către Agenția Servicii Publice, potrivit procedurii stabilite de Guvern. </w:t>
            </w:r>
          </w:p>
          <w:p w14:paraId="2FAE7BD4"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(4) Proprietarul sau mandatarul vehiculului este notificat printr-un act de constatare de către autoritatea ori entitatea competentă despre constatarea daunei totale a vehiculului, consecințele juridice ale acesteia, inclusiv inițierea procedurii de radiere, precum și despre dreptul de contestare în instanța de judecată. </w:t>
            </w:r>
          </w:p>
          <w:p w14:paraId="53D135E0"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(5) Proprietarul sau mandatarul vehiculului este în drept să conteste, în instanța de judecată, actul de constatare a daunei totale a vehiculului, în termen de 30 de zile de la data notificării. În cazul contestării actului de constatare, procedura de radiere se suspendă până la rămânerea definitivă a hotărârii judecătorești.  </w:t>
            </w:r>
          </w:p>
          <w:p w14:paraId="1C0CC59E"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(6) Radierea vehiculului în temeiul alin. (1) lit. d) se efectuează după expirarea termenului de 30 de zile de la data notificării proprietarului sau mandatarului acestuia, dacă actul de constatare nu a fost contestat, sau după rămânerea definitivă a hotărârii judecătorești prin care contestația a fost respinsă. </w:t>
            </w:r>
          </w:p>
          <w:p w14:paraId="3105FFD0"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lastRenderedPageBreak/>
              <w:t xml:space="preserve">(7) În cazul în care vehiculul care a suportat daună totală face obiectul unei cauze sau este supus unor măsuri asigurătorii ori altor măsuri de indisponibilizare, dispuse în condițiile legii, radierea din Registrul de stat al vehiculelor se suspendă până la soluționarea definitivă a cauzei sau până la dispunerea de către organul competent asupra bunului. </w:t>
            </w:r>
          </w:p>
          <w:p w14:paraId="4E3397FE"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(8) Prin derogare de la alin. (7), radierea vehiculului supus măsurilor de indisponibilizare poate fi dispusă, în cazuri justificate, prin hotărâre judecătorească definitivă, potrivit legii. </w:t>
            </w:r>
          </w:p>
          <w:p w14:paraId="2C5AC56A"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(9) După rămânerea definitivă a actului de constatare a daunei totale, proprietarul sau mandatarul acestuia asigură predarea certificatului de înmatriculare Agenției Servicii Publice, potrivit procedurii stabilite de Guvern.</w:t>
            </w:r>
          </w:p>
          <w:p w14:paraId="31543AB1"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(10) Asigurătorul care practică asigurarea de răspundere civilă auto sau, după caz, autoritatea ori entitatea competentă potrivit legii notifică Agenția Servicii Publice despre constatarea daunei totale a vehiculului, în baza actului de constatare prevăzut la alin. (2), în vederea inițierii procedurii de radiere din Registrul de stat al vehiculelor, după expirarea termenului de 30 de zile de la data notificării proprietarului, dacă actul de constatare nu a fost contestat, sau după soluționarea definitivă a contestației. </w:t>
            </w:r>
          </w:p>
          <w:p w14:paraId="075C6136"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(11) Agenția Servicii Publice, prin intermediul platformei de interoperabilitate (MConnect) sau prin alte căi de comunicare prevăzute de lege, notifică autoritatea competentă desemnată ca punct unic de contact în domeniul cooperării polițienești internaționale despre radierea vehiculului din Registrul de stat al vehiculelor, în vederea introducerii sau actualizării datelor în sistemele de cooperare polițienească internațională.  </w:t>
            </w:r>
          </w:p>
          <w:p w14:paraId="7E09FDF9"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lastRenderedPageBreak/>
              <w:t>(12) Procedura de constatare, notificare și radiere a vehiculelor constatate cu daună totală se stabilește de Guvern.</w:t>
            </w:r>
          </w:p>
          <w:p w14:paraId="606143D9"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(13) Aspectele tehnice privind schimbul de date, interoperabilitatea sistemelor informaționale și cooperarea operațională între autoritățile publice competente se reglementează prin acte administrative ale autorităților implicate, în limitele competențelor stabilite de lege.</w:t>
            </w:r>
          </w:p>
          <w:p w14:paraId="0E74C88E" w14:textId="77777777"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 xml:space="preserve">(14) Este interzisă circulația pe drumurile publice a vehiculelor radiate din Registrul de stat al vehiculelor. </w:t>
            </w:r>
          </w:p>
          <w:p w14:paraId="313EB891" w14:textId="0CBB831A" w:rsidR="00D76BCF" w:rsidRPr="00D76BCF"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(15) Prin derogare de la alin. (1</w:t>
            </w:r>
            <w:r w:rsidR="005C7D50">
              <w:rPr>
                <w:rFonts w:eastAsia="Calibri"/>
                <w:sz w:val="20"/>
                <w:szCs w:val="20"/>
                <w:lang w:val="ro-MD"/>
              </w:rPr>
              <w:t>4</w:t>
            </w:r>
            <w:r w:rsidRPr="00D76BCF">
              <w:rPr>
                <w:rFonts w:eastAsia="Calibri"/>
                <w:sz w:val="20"/>
                <w:szCs w:val="20"/>
                <w:lang w:val="ro-MD"/>
              </w:rPr>
              <w:t xml:space="preserve">), circulația pe drumurile publice este permisă în cazul prevăzut la alin. (1) lit. c), în condițiile stabilite de lege. </w:t>
            </w:r>
          </w:p>
          <w:p w14:paraId="6A93F7ED" w14:textId="0817987E" w:rsidR="00D76BCF" w:rsidRPr="00EE72B7" w:rsidRDefault="00D76BCF" w:rsidP="00D76BCF">
            <w:pPr>
              <w:tabs>
                <w:tab w:val="left" w:pos="406"/>
                <w:tab w:val="left" w:pos="454"/>
              </w:tabs>
              <w:spacing w:after="0" w:line="276" w:lineRule="auto"/>
              <w:jc w:val="both"/>
              <w:rPr>
                <w:rFonts w:eastAsia="Calibri"/>
                <w:sz w:val="20"/>
                <w:szCs w:val="20"/>
                <w:lang w:val="ro-MD"/>
              </w:rPr>
            </w:pPr>
            <w:r w:rsidRPr="00D76BCF">
              <w:rPr>
                <w:rFonts w:eastAsia="Calibri"/>
                <w:sz w:val="20"/>
                <w:szCs w:val="20"/>
                <w:lang w:val="ro-MD"/>
              </w:rPr>
              <w:t>(16) Vehiculul declarat prin hotărâre judecătorească fără stăpân sau abandonat se radiază din oficiu în termen de 30 de zile de la adoptarea hotărârii.</w:t>
            </w:r>
            <w:r w:rsidR="00AE499C">
              <w:rPr>
                <w:rFonts w:eastAsia="Calibri"/>
                <w:sz w:val="20"/>
                <w:szCs w:val="20"/>
                <w:lang w:val="ro-MD"/>
              </w:rPr>
              <w:t>”.</w:t>
            </w:r>
          </w:p>
        </w:tc>
        <w:tc>
          <w:tcPr>
            <w:tcW w:w="501" w:type="pct"/>
            <w:tcBorders>
              <w:top w:val="single" w:sz="4" w:space="0" w:color="auto"/>
              <w:left w:val="single" w:sz="4" w:space="0" w:color="auto"/>
              <w:bottom w:val="single" w:sz="4" w:space="0" w:color="auto"/>
              <w:right w:val="single" w:sz="4" w:space="0" w:color="auto"/>
            </w:tcBorders>
          </w:tcPr>
          <w:p w14:paraId="499B3EB3" w14:textId="21ABF4F8" w:rsidR="00BB4D7C" w:rsidRPr="008F56D3" w:rsidRDefault="00E4535D" w:rsidP="001A04C4">
            <w:pPr>
              <w:spacing w:after="0"/>
              <w:ind w:firstLine="22"/>
              <w:rPr>
                <w:b/>
                <w:sz w:val="20"/>
                <w:szCs w:val="20"/>
                <w:lang w:val="ro-MD"/>
              </w:rPr>
            </w:pPr>
            <w:r w:rsidRPr="008F56D3">
              <w:rPr>
                <w:b/>
                <w:sz w:val="20"/>
                <w:szCs w:val="20"/>
                <w:lang w:val="ro-MD"/>
              </w:rPr>
              <w:lastRenderedPageBreak/>
              <w:t>Parțial c</w:t>
            </w:r>
            <w:r w:rsidR="00BB4D7C" w:rsidRPr="008F56D3">
              <w:rPr>
                <w:b/>
                <w:sz w:val="20"/>
                <w:szCs w:val="20"/>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4B88987A" w14:textId="32FA5D09" w:rsidR="006D366B" w:rsidRPr="008F56D3" w:rsidRDefault="00BB4D7C" w:rsidP="00817B7F">
            <w:pPr>
              <w:spacing w:after="0"/>
              <w:ind w:firstLine="22"/>
              <w:rPr>
                <w:bCs/>
                <w:sz w:val="20"/>
                <w:szCs w:val="20"/>
                <w:lang w:val="ro-MD"/>
              </w:rPr>
            </w:pPr>
            <w:r w:rsidRPr="008F56D3">
              <w:rPr>
                <w:bCs/>
                <w:sz w:val="20"/>
                <w:szCs w:val="20"/>
                <w:lang w:val="ro-MD"/>
              </w:rPr>
              <w:t>Regulamentul cu privire la registrul de stat al vehiculelor, aprobat prin Hotărârea Guvernului nr. 1047/1999</w:t>
            </w:r>
            <w:r w:rsidR="000E0962" w:rsidRPr="008F56D3">
              <w:rPr>
                <w:bCs/>
                <w:sz w:val="20"/>
                <w:szCs w:val="20"/>
                <w:lang w:val="ro-MD"/>
              </w:rPr>
              <w:t>,</w:t>
            </w:r>
            <w:r w:rsidRPr="008F56D3">
              <w:rPr>
                <w:bCs/>
                <w:sz w:val="20"/>
                <w:szCs w:val="20"/>
                <w:lang w:val="ro-MD"/>
              </w:rPr>
              <w:t xml:space="preserve"> </w:t>
            </w:r>
            <w:r w:rsidR="006D366B" w:rsidRPr="008F56D3">
              <w:rPr>
                <w:bCs/>
                <w:sz w:val="20"/>
                <w:szCs w:val="20"/>
                <w:lang w:val="ro-MD"/>
              </w:rPr>
              <w:t>reglementează procedurile privind evidența și radierea vehiculelor</w:t>
            </w:r>
            <w:r w:rsidR="00007A21" w:rsidRPr="008F56D3">
              <w:rPr>
                <w:bCs/>
                <w:sz w:val="20"/>
                <w:szCs w:val="20"/>
                <w:lang w:val="ro-MD"/>
              </w:rPr>
              <w:t xml:space="preserve">. </w:t>
            </w:r>
          </w:p>
          <w:p w14:paraId="3083D1FC" w14:textId="6AC4045B" w:rsidR="005A7720" w:rsidRPr="008F56D3" w:rsidRDefault="007D1551" w:rsidP="00817B7F">
            <w:pPr>
              <w:spacing w:after="0"/>
              <w:ind w:firstLine="22"/>
              <w:rPr>
                <w:bCs/>
                <w:sz w:val="20"/>
                <w:szCs w:val="20"/>
                <w:lang w:val="ro-MD"/>
              </w:rPr>
            </w:pPr>
            <w:r w:rsidRPr="008F56D3">
              <w:rPr>
                <w:bCs/>
                <w:sz w:val="20"/>
                <w:szCs w:val="20"/>
                <w:lang w:val="ro-MD"/>
              </w:rPr>
              <w:t>Proiectul de lege pentru modificarea Legii nr. 131/2007 privind siguranța traficului rutier instituie cadrul juridic necesar pentru prevenirea utilizării frauduloase a certificatelor de înmatriculare, prin reglementarea procedurii de constatare a daunei totale a vehiculului, notificarea proprietarului și radierea acestuia din evidența de stat, în condițiile legii.</w:t>
            </w:r>
          </w:p>
          <w:p w14:paraId="6A3C6BC6" w14:textId="04AFE962" w:rsidR="007D1551" w:rsidRPr="008F56D3" w:rsidRDefault="008915A3" w:rsidP="00817B7F">
            <w:pPr>
              <w:spacing w:after="0"/>
              <w:ind w:firstLine="22"/>
              <w:rPr>
                <w:bCs/>
                <w:sz w:val="20"/>
                <w:szCs w:val="20"/>
                <w:lang w:val="ro-MD"/>
              </w:rPr>
            </w:pPr>
            <w:r w:rsidRPr="008F56D3">
              <w:rPr>
                <w:bCs/>
                <w:sz w:val="20"/>
                <w:szCs w:val="20"/>
                <w:lang w:val="ro-MD"/>
              </w:rPr>
              <w:t xml:space="preserve">Compatibilitatea deplină </w:t>
            </w:r>
            <w:r w:rsidR="005C18B5" w:rsidRPr="008F56D3">
              <w:rPr>
                <w:bCs/>
                <w:sz w:val="20"/>
                <w:szCs w:val="20"/>
                <w:lang w:val="ro-MD"/>
              </w:rPr>
              <w:t>va fi</w:t>
            </w:r>
            <w:r w:rsidRPr="008F56D3">
              <w:rPr>
                <w:bCs/>
                <w:sz w:val="20"/>
                <w:szCs w:val="20"/>
                <w:lang w:val="ro-MD"/>
              </w:rPr>
              <w:t xml:space="preserve"> asigurată </w:t>
            </w:r>
            <w:r w:rsidR="005C18B5" w:rsidRPr="008F56D3">
              <w:rPr>
                <w:bCs/>
                <w:sz w:val="20"/>
                <w:szCs w:val="20"/>
                <w:lang w:val="ro-MD"/>
              </w:rPr>
              <w:t>prin instituirea unui</w:t>
            </w:r>
            <w:r w:rsidRPr="008F56D3">
              <w:rPr>
                <w:bCs/>
                <w:sz w:val="20"/>
                <w:szCs w:val="20"/>
                <w:lang w:val="ro-MD"/>
              </w:rPr>
              <w:t xml:space="preserve"> mecanism normativ integrat, care</w:t>
            </w:r>
            <w:r w:rsidR="005C18B5" w:rsidRPr="008F56D3">
              <w:rPr>
                <w:bCs/>
                <w:sz w:val="20"/>
                <w:szCs w:val="20"/>
                <w:lang w:val="ro-MD"/>
              </w:rPr>
              <w:t xml:space="preserve"> va</w:t>
            </w:r>
            <w:r w:rsidRPr="008F56D3">
              <w:rPr>
                <w:bCs/>
                <w:sz w:val="20"/>
                <w:szCs w:val="20"/>
                <w:lang w:val="ro-MD"/>
              </w:rPr>
              <w:t xml:space="preserve"> include constatarea daunei totale, notificarea autorităților competente, radierea vehiculului din evidență și schimbul de date între autorități, prevăzut în cadrul actelor normative în curs de promovare, inclusiv</w:t>
            </w:r>
            <w:r w:rsidR="007D1551" w:rsidRPr="008F56D3">
              <w:rPr>
                <w:bCs/>
                <w:sz w:val="20"/>
                <w:szCs w:val="20"/>
                <w:lang w:val="ro-MD"/>
              </w:rPr>
              <w:t xml:space="preserve">: </w:t>
            </w:r>
          </w:p>
          <w:p w14:paraId="694BC7DC" w14:textId="57A502DF" w:rsidR="007D1551" w:rsidRPr="008F56D3" w:rsidRDefault="007D1551" w:rsidP="007D1551">
            <w:pPr>
              <w:pStyle w:val="a7"/>
              <w:numPr>
                <w:ilvl w:val="0"/>
                <w:numId w:val="7"/>
              </w:numPr>
              <w:spacing w:after="0"/>
              <w:rPr>
                <w:bCs/>
                <w:sz w:val="20"/>
                <w:szCs w:val="20"/>
                <w:lang w:val="ro-MD"/>
              </w:rPr>
            </w:pPr>
            <w:r w:rsidRPr="008F56D3">
              <w:rPr>
                <w:bCs/>
                <w:sz w:val="20"/>
                <w:szCs w:val="20"/>
                <w:lang w:val="ro-MD"/>
              </w:rPr>
              <w:t xml:space="preserve">proiectul de lege privind asigurarea obligatorie de răspundere civilă auto (număr unic 318/MF/BNM/2026), care reglementează constatarea daunei totale și notificarea autorităților competente; </w:t>
            </w:r>
          </w:p>
          <w:p w14:paraId="259A4838" w14:textId="31719A27" w:rsidR="007D1551" w:rsidRPr="008F56D3" w:rsidRDefault="007D1551" w:rsidP="007D1551">
            <w:pPr>
              <w:pStyle w:val="a7"/>
              <w:numPr>
                <w:ilvl w:val="0"/>
                <w:numId w:val="7"/>
              </w:numPr>
              <w:spacing w:after="0"/>
              <w:rPr>
                <w:bCs/>
                <w:sz w:val="20"/>
                <w:szCs w:val="20"/>
                <w:lang w:val="ro-MD"/>
              </w:rPr>
            </w:pPr>
            <w:r w:rsidRPr="008F56D3">
              <w:rPr>
                <w:bCs/>
                <w:sz w:val="20"/>
                <w:szCs w:val="20"/>
                <w:lang w:val="ro-MD"/>
              </w:rPr>
              <w:t xml:space="preserve">proiectul de lege privind activitatea de asigurare și de reasigurare (număr unic 319/MF/BNM/2026), care instituie mecanisme de acces la date și interoperabilitate prin platforma MConnect; </w:t>
            </w:r>
          </w:p>
          <w:p w14:paraId="4B61B257" w14:textId="0C1DD8A4" w:rsidR="007D1551" w:rsidRPr="008F56D3" w:rsidRDefault="007D1551" w:rsidP="007D1551">
            <w:pPr>
              <w:pStyle w:val="a7"/>
              <w:numPr>
                <w:ilvl w:val="0"/>
                <w:numId w:val="7"/>
              </w:numPr>
              <w:spacing w:after="0"/>
              <w:rPr>
                <w:bCs/>
                <w:sz w:val="20"/>
                <w:szCs w:val="20"/>
                <w:lang w:val="ro-MD"/>
              </w:rPr>
            </w:pPr>
            <w:r w:rsidRPr="008F56D3">
              <w:rPr>
                <w:bCs/>
                <w:sz w:val="20"/>
                <w:szCs w:val="20"/>
                <w:lang w:val="ro-MD"/>
              </w:rPr>
              <w:t>proiectul hotărârii Guvernului cu privire la Sistemul informațional „Registrul de stat al vehiculelor”, care asigură schimbul automatizat de date, inclusiv prin intermediul sistemului EUCARIS, precum și actualizarea și trasabilitatea informațiilor privind statutul juridic al vehiculelor</w:t>
            </w:r>
          </w:p>
          <w:p w14:paraId="53405BAF" w14:textId="780CBCCF" w:rsidR="005A7720" w:rsidRPr="008F56D3" w:rsidRDefault="008915A3" w:rsidP="00817B7F">
            <w:pPr>
              <w:spacing w:after="0"/>
              <w:ind w:firstLine="22"/>
              <w:rPr>
                <w:bCs/>
                <w:sz w:val="20"/>
                <w:szCs w:val="20"/>
                <w:lang w:val="ro-MD"/>
              </w:rPr>
            </w:pPr>
            <w:r w:rsidRPr="008F56D3">
              <w:rPr>
                <w:bCs/>
                <w:sz w:val="20"/>
                <w:szCs w:val="20"/>
                <w:lang w:val="ro-MD"/>
              </w:rPr>
              <w:t xml:space="preserve">Totodată, mecanismul </w:t>
            </w:r>
            <w:r w:rsidR="005C18B5" w:rsidRPr="008F56D3">
              <w:rPr>
                <w:bCs/>
                <w:sz w:val="20"/>
                <w:szCs w:val="20"/>
                <w:lang w:val="ro-MD"/>
              </w:rPr>
              <w:t>normativ</w:t>
            </w:r>
            <w:r w:rsidRPr="008F56D3">
              <w:rPr>
                <w:bCs/>
                <w:sz w:val="20"/>
                <w:szCs w:val="20"/>
                <w:lang w:val="ro-MD"/>
              </w:rPr>
              <w:t xml:space="preserve"> va fi </w:t>
            </w:r>
            <w:r w:rsidR="008F56D3" w:rsidRPr="008F56D3">
              <w:rPr>
                <w:bCs/>
                <w:sz w:val="20"/>
                <w:szCs w:val="20"/>
                <w:lang w:val="ro-MD"/>
              </w:rPr>
              <w:t>completat</w:t>
            </w:r>
            <w:r w:rsidRPr="008F56D3">
              <w:rPr>
                <w:bCs/>
                <w:sz w:val="20"/>
                <w:szCs w:val="20"/>
                <w:lang w:val="ro-MD"/>
              </w:rPr>
              <w:t xml:space="preserve"> prin implementarea cadrului normativ privind schimbul automatizat de date în scopul cooperării polițienești transfrontaliere (cadrul Prüm II), precum și prin instituirea Punctului unic de contact, care vor asigura interoperabilitatea și schimbul operativ de informații între autoritățile competente.</w:t>
            </w:r>
          </w:p>
          <w:p w14:paraId="1E779D13" w14:textId="77777777" w:rsidR="00E2641A" w:rsidRPr="008F56D3" w:rsidRDefault="00E2641A" w:rsidP="00817B7F">
            <w:pPr>
              <w:spacing w:after="0"/>
              <w:ind w:firstLine="22"/>
              <w:rPr>
                <w:bCs/>
                <w:sz w:val="20"/>
                <w:szCs w:val="20"/>
                <w:lang w:val="ro-MD"/>
              </w:rPr>
            </w:pPr>
          </w:p>
          <w:p w14:paraId="1F2D4716" w14:textId="77777777" w:rsidR="005A7720" w:rsidRPr="008F56D3" w:rsidRDefault="005A7720" w:rsidP="00817B7F">
            <w:pPr>
              <w:spacing w:after="0"/>
              <w:ind w:firstLine="22"/>
              <w:rPr>
                <w:bCs/>
                <w:sz w:val="20"/>
                <w:szCs w:val="20"/>
                <w:lang w:val="ro-MD"/>
              </w:rPr>
            </w:pPr>
          </w:p>
          <w:p w14:paraId="63C13FAD" w14:textId="58610E8A" w:rsidR="00BB4D7C" w:rsidRPr="008F56D3" w:rsidRDefault="006D366B" w:rsidP="00817B7F">
            <w:pPr>
              <w:spacing w:after="0"/>
              <w:ind w:firstLine="22"/>
              <w:rPr>
                <w:bCs/>
                <w:sz w:val="20"/>
                <w:szCs w:val="20"/>
                <w:lang w:val="ro-MD"/>
              </w:rPr>
            </w:pPr>
            <w:r w:rsidRPr="008F56D3">
              <w:rPr>
                <w:bCs/>
                <w:sz w:val="20"/>
                <w:szCs w:val="20"/>
                <w:lang w:val="ro-MD"/>
              </w:rPr>
              <w:t xml:space="preserve"> </w:t>
            </w:r>
          </w:p>
        </w:tc>
      </w:tr>
      <w:tr w:rsidR="008F56D3" w:rsidRPr="008F56D3" w14:paraId="0B52F647"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D8447BD" w14:textId="0FC0787E" w:rsidR="00BB4D7C" w:rsidRPr="008F56D3" w:rsidRDefault="00BB4D7C" w:rsidP="001A04C4">
            <w:pPr>
              <w:spacing w:after="0"/>
              <w:ind w:left="306" w:hanging="284"/>
              <w:rPr>
                <w:bCs/>
                <w:sz w:val="20"/>
                <w:szCs w:val="20"/>
                <w:lang w:val="ro-MD"/>
              </w:rPr>
            </w:pPr>
            <w:r w:rsidRPr="008F56D3">
              <w:rPr>
                <w:bCs/>
                <w:sz w:val="20"/>
                <w:szCs w:val="20"/>
                <w:lang w:val="ro-MD"/>
              </w:rPr>
              <w:lastRenderedPageBreak/>
              <w:t>(2)   De asemenea</w:t>
            </w:r>
            <w:r w:rsidRPr="008F56D3">
              <w:rPr>
                <w:b/>
                <w:sz w:val="20"/>
                <w:szCs w:val="20"/>
                <w:lang w:val="ro-MD"/>
              </w:rPr>
              <w:t>, un certificat de înmatriculare se predă</w:t>
            </w:r>
            <w:r w:rsidRPr="008F56D3">
              <w:rPr>
                <w:bCs/>
                <w:sz w:val="20"/>
                <w:szCs w:val="20"/>
                <w:lang w:val="ro-MD"/>
              </w:rPr>
              <w:t xml:space="preserve">, în conformitate cu legislația internă, </w:t>
            </w:r>
            <w:r w:rsidRPr="008F56D3">
              <w:rPr>
                <w:b/>
                <w:sz w:val="20"/>
                <w:szCs w:val="20"/>
                <w:lang w:val="ro-MD"/>
              </w:rPr>
              <w:t>în cazul în care, în timpul unui control efectuat de serviciul de aplicare a legii, se suspectează că a avut loc o fraudă cu privire la elementele de identificare a vehiculului, precum numărul de identificare al vehiculului</w:t>
            </w:r>
            <w:r w:rsidRPr="008F56D3">
              <w:rPr>
                <w:bCs/>
                <w:sz w:val="20"/>
                <w:szCs w:val="20"/>
                <w:lang w:val="ro-MD"/>
              </w:rPr>
              <w:t>.</w:t>
            </w:r>
          </w:p>
        </w:tc>
        <w:tc>
          <w:tcPr>
            <w:tcW w:w="1416" w:type="pct"/>
            <w:tcBorders>
              <w:top w:val="single" w:sz="4" w:space="0" w:color="auto"/>
              <w:left w:val="single" w:sz="4" w:space="0" w:color="auto"/>
              <w:bottom w:val="single" w:sz="4" w:space="0" w:color="auto"/>
              <w:right w:val="single" w:sz="4" w:space="0" w:color="auto"/>
            </w:tcBorders>
          </w:tcPr>
          <w:p w14:paraId="6ECC7B74" w14:textId="77777777" w:rsidR="009A0DC2" w:rsidRPr="00C66FA5" w:rsidRDefault="009A0DC2" w:rsidP="00D76BCF">
            <w:pPr>
              <w:spacing w:after="0"/>
              <w:ind w:firstLine="22"/>
              <w:jc w:val="both"/>
              <w:rPr>
                <w:bCs/>
                <w:sz w:val="20"/>
                <w:szCs w:val="20"/>
                <w:lang w:val="ro-MD"/>
              </w:rPr>
            </w:pPr>
            <w:r w:rsidRPr="00C66FA5">
              <w:rPr>
                <w:bCs/>
                <w:sz w:val="20"/>
                <w:szCs w:val="20"/>
                <w:lang w:val="ro-MD"/>
              </w:rPr>
              <w:t>(4) Se completează cu articolul 55</w:t>
            </w:r>
            <w:r w:rsidRPr="00C66FA5">
              <w:rPr>
                <w:bCs/>
                <w:sz w:val="20"/>
                <w:szCs w:val="20"/>
                <w:vertAlign w:val="superscript"/>
                <w:lang w:val="ro-MD"/>
              </w:rPr>
              <w:t>1</w:t>
            </w:r>
            <w:r w:rsidRPr="00C66FA5">
              <w:rPr>
                <w:bCs/>
                <w:sz w:val="20"/>
                <w:szCs w:val="20"/>
                <w:lang w:val="ro-MD"/>
              </w:rPr>
              <w:t>, cu următorul cuprins:</w:t>
            </w:r>
          </w:p>
          <w:p w14:paraId="2D871A65" w14:textId="77777777" w:rsidR="00D76BCF" w:rsidRPr="00D76BCF" w:rsidRDefault="00D76BCF" w:rsidP="00D76BCF">
            <w:pPr>
              <w:spacing w:after="0"/>
              <w:ind w:firstLine="22"/>
              <w:jc w:val="both"/>
              <w:rPr>
                <w:bCs/>
                <w:sz w:val="20"/>
                <w:szCs w:val="20"/>
                <w:lang w:val="ro-MD"/>
              </w:rPr>
            </w:pPr>
            <w:r w:rsidRPr="00D76BCF">
              <w:rPr>
                <w:bCs/>
                <w:sz w:val="20"/>
                <w:szCs w:val="20"/>
                <w:lang w:val="ro-MD"/>
              </w:rPr>
              <w:t>„Articolul 55</w:t>
            </w:r>
            <w:r w:rsidRPr="00D76BCF">
              <w:rPr>
                <w:bCs/>
                <w:sz w:val="20"/>
                <w:szCs w:val="20"/>
                <w:vertAlign w:val="superscript"/>
                <w:lang w:val="ro-MD"/>
              </w:rPr>
              <w:t>1</w:t>
            </w:r>
            <w:r w:rsidRPr="00D76BCF">
              <w:rPr>
                <w:bCs/>
                <w:sz w:val="20"/>
                <w:szCs w:val="20"/>
                <w:lang w:val="ro-MD"/>
              </w:rPr>
              <w:t xml:space="preserve">. Măsuri aplicabile în cazul existenței bănuielilor  rezonabile de falsificare a certificatului de înmatriculare sau a elementelor de identificare ale vehiculului </w:t>
            </w:r>
          </w:p>
          <w:p w14:paraId="330C6D42" w14:textId="77777777" w:rsidR="00D76BCF" w:rsidRPr="00D76BCF" w:rsidRDefault="00D76BCF" w:rsidP="00D76BCF">
            <w:pPr>
              <w:spacing w:after="0"/>
              <w:ind w:firstLine="22"/>
              <w:jc w:val="both"/>
              <w:rPr>
                <w:bCs/>
                <w:sz w:val="20"/>
                <w:szCs w:val="20"/>
                <w:lang w:val="ro-MD"/>
              </w:rPr>
            </w:pPr>
            <w:r w:rsidRPr="00D76BCF">
              <w:rPr>
                <w:bCs/>
                <w:sz w:val="20"/>
                <w:szCs w:val="20"/>
                <w:lang w:val="ro-MD"/>
              </w:rPr>
              <w:t>(1) În cazul existenței unor bănuieli rezonabile privind falsificarea certificatului de înmatriculare sau a elementelor de identificare ale vehiculului, autoritățile competente potrivit legii dispun ridicarea temporară a certificatului de înmatriculare, cu întocmirea actului procesual corespunzător, în condițiile legii.</w:t>
            </w:r>
          </w:p>
          <w:p w14:paraId="56C1250E" w14:textId="7EC84B46" w:rsidR="00C11407" w:rsidRPr="008F56D3" w:rsidRDefault="00D76BCF" w:rsidP="00D76BCF">
            <w:pPr>
              <w:spacing w:after="0"/>
              <w:ind w:firstLine="22"/>
              <w:jc w:val="both"/>
              <w:rPr>
                <w:bCs/>
                <w:sz w:val="20"/>
                <w:szCs w:val="20"/>
                <w:lang w:val="ro-MD"/>
              </w:rPr>
            </w:pPr>
            <w:r w:rsidRPr="00D76BCF">
              <w:rPr>
                <w:bCs/>
                <w:sz w:val="20"/>
                <w:szCs w:val="20"/>
                <w:lang w:val="ro-MD"/>
              </w:rPr>
              <w:t xml:space="preserve">(2) Ridicarea temporară a certificatului de înmatriculare se aplică pe perioada necesară verificării autenticității acestuia și a elementelor de identificare ale vehiculului. În cazul în care certificatul de înmatriculare sau vehiculul este ridicat, reținut ori recunoscut în calitate de corp delict în cadrul unei cauze penale, regimul juridic al acestora se stabilește potrivit legislației procesual-penale.  </w:t>
            </w:r>
          </w:p>
        </w:tc>
        <w:tc>
          <w:tcPr>
            <w:tcW w:w="501" w:type="pct"/>
            <w:tcBorders>
              <w:top w:val="single" w:sz="4" w:space="0" w:color="auto"/>
              <w:left w:val="single" w:sz="4" w:space="0" w:color="auto"/>
              <w:bottom w:val="single" w:sz="4" w:space="0" w:color="auto"/>
              <w:right w:val="single" w:sz="4" w:space="0" w:color="auto"/>
            </w:tcBorders>
          </w:tcPr>
          <w:p w14:paraId="4AB76C9E" w14:textId="4FA5C0B3" w:rsidR="00BB4D7C" w:rsidRPr="008F56D3" w:rsidRDefault="00BB4D7C" w:rsidP="001A04C4">
            <w:pPr>
              <w:spacing w:after="0"/>
              <w:ind w:firstLine="22"/>
              <w:rPr>
                <w:b/>
                <w:sz w:val="20"/>
                <w:szCs w:val="20"/>
                <w:lang w:val="ro-MD"/>
              </w:rPr>
            </w:pPr>
            <w:r w:rsidRPr="008F56D3">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476C5812" w14:textId="77777777" w:rsidR="000E0962" w:rsidRPr="008F56D3" w:rsidRDefault="000E0962" w:rsidP="000E0962">
            <w:pPr>
              <w:spacing w:after="0"/>
              <w:ind w:firstLine="22"/>
              <w:rPr>
                <w:bCs/>
                <w:sz w:val="20"/>
                <w:szCs w:val="20"/>
                <w:lang w:val="ro-MD"/>
              </w:rPr>
            </w:pPr>
            <w:r w:rsidRPr="008F56D3">
              <w:rPr>
                <w:bCs/>
                <w:sz w:val="20"/>
                <w:szCs w:val="20"/>
                <w:lang w:val="ro-MD"/>
              </w:rPr>
              <w:t>Potrivit Regulamentului cu privire la Registrul de stat al vehiculelor, aprobat prin Hotărârea Guvernului nr. 1047/1999, în cazul existenței unor indicii privind falsificarea documentelor de înmatriculare se efectuează verificări prin structurile specializate ale Ministerului Afacerilor Interne, iar înmatricularea vehiculului este interzisă în cazul constatării falsificărilor (anexa nr. 2, pct. 28).</w:t>
            </w:r>
          </w:p>
          <w:p w14:paraId="79CEBDC4" w14:textId="15B6B930" w:rsidR="00FF0A84" w:rsidRPr="008F56D3" w:rsidRDefault="000E0962" w:rsidP="000E0962">
            <w:pPr>
              <w:spacing w:after="0"/>
              <w:ind w:firstLine="22"/>
              <w:rPr>
                <w:bCs/>
                <w:sz w:val="20"/>
                <w:szCs w:val="20"/>
                <w:lang w:val="ro-MD"/>
              </w:rPr>
            </w:pPr>
            <w:r w:rsidRPr="008F56D3">
              <w:rPr>
                <w:bCs/>
                <w:sz w:val="20"/>
                <w:szCs w:val="20"/>
                <w:lang w:val="ro-MD"/>
              </w:rPr>
              <w:t>Potrivit Codului de procedură penală al Republicii Moldova, art. 158 alin. (1)–(2), documentele sau obiectele care pot servi la constatarea circumstanțelor unei infracțiuni pot fi recunoscute drept corpuri delicte și reținute de organele de urmărire penală.</w:t>
            </w:r>
          </w:p>
        </w:tc>
      </w:tr>
      <w:tr w:rsidR="00C66FA5" w:rsidRPr="00C66FA5" w14:paraId="31E75812"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143FEAC" w14:textId="3488FD90" w:rsidR="00BB4D7C" w:rsidRPr="00C66FA5" w:rsidRDefault="00BB4D7C" w:rsidP="001A04C4">
            <w:pPr>
              <w:spacing w:after="0"/>
              <w:ind w:left="306" w:hanging="284"/>
              <w:rPr>
                <w:bCs/>
                <w:sz w:val="20"/>
                <w:szCs w:val="20"/>
                <w:lang w:val="ro-MD"/>
              </w:rPr>
            </w:pPr>
            <w:r w:rsidRPr="00C66FA5">
              <w:rPr>
                <w:bCs/>
                <w:sz w:val="20"/>
                <w:szCs w:val="20"/>
                <w:lang w:val="ro-MD"/>
              </w:rPr>
              <w:lastRenderedPageBreak/>
              <w:t>(3)   Certificatele de înmatriculare se restituie doar în urma examinării și verificării pozitive a identității vehiculului și în conformitate cu legislația internă.</w:t>
            </w:r>
          </w:p>
        </w:tc>
        <w:tc>
          <w:tcPr>
            <w:tcW w:w="1416" w:type="pct"/>
            <w:tcBorders>
              <w:top w:val="single" w:sz="4" w:space="0" w:color="auto"/>
              <w:left w:val="single" w:sz="4" w:space="0" w:color="auto"/>
              <w:bottom w:val="single" w:sz="4" w:space="0" w:color="auto"/>
              <w:right w:val="single" w:sz="4" w:space="0" w:color="auto"/>
            </w:tcBorders>
          </w:tcPr>
          <w:p w14:paraId="188DE234" w14:textId="5F2BC623" w:rsidR="00C66FA5" w:rsidRPr="00C66FA5" w:rsidRDefault="00D76BCF" w:rsidP="00D76BCF">
            <w:pPr>
              <w:spacing w:after="0"/>
              <w:ind w:firstLine="22"/>
              <w:jc w:val="both"/>
              <w:rPr>
                <w:b/>
                <w:sz w:val="20"/>
                <w:szCs w:val="20"/>
                <w:lang w:val="ro-MD"/>
              </w:rPr>
            </w:pPr>
            <w:r w:rsidRPr="00D76BCF">
              <w:rPr>
                <w:bCs/>
                <w:sz w:val="20"/>
                <w:szCs w:val="20"/>
                <w:lang w:val="ro-MD"/>
              </w:rPr>
              <w:t>(3) Certificatul de înmatriculare a vehiculului se restituie proprietarului sau mandatarului acestuia dacă, în urma verificărilor efectuate, nu s-au confirmat suspiciunile de falsificare și nu există alte temeiuri legale pentru menținerea ridicării.”.</w:t>
            </w:r>
          </w:p>
        </w:tc>
        <w:tc>
          <w:tcPr>
            <w:tcW w:w="501" w:type="pct"/>
            <w:tcBorders>
              <w:top w:val="single" w:sz="4" w:space="0" w:color="auto"/>
              <w:left w:val="single" w:sz="4" w:space="0" w:color="auto"/>
              <w:bottom w:val="single" w:sz="4" w:space="0" w:color="auto"/>
              <w:right w:val="single" w:sz="4" w:space="0" w:color="auto"/>
            </w:tcBorders>
          </w:tcPr>
          <w:p w14:paraId="162BB6F1" w14:textId="5910C018" w:rsidR="00BB4D7C" w:rsidRPr="00C66FA5" w:rsidRDefault="00BB4D7C" w:rsidP="001A04C4">
            <w:pPr>
              <w:spacing w:after="0"/>
              <w:ind w:firstLine="22"/>
              <w:rPr>
                <w:b/>
                <w:sz w:val="20"/>
                <w:szCs w:val="20"/>
                <w:lang w:val="ro-MD"/>
              </w:rPr>
            </w:pPr>
            <w:r w:rsidRPr="00C66FA5">
              <w:rPr>
                <w:b/>
                <w:sz w:val="20"/>
                <w:szCs w:val="20"/>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61E91F2C" w14:textId="77777777" w:rsidR="00BB4D7C" w:rsidRPr="00C66FA5" w:rsidRDefault="000E0962" w:rsidP="00817B7F">
            <w:pPr>
              <w:spacing w:after="0"/>
              <w:ind w:firstLine="22"/>
              <w:rPr>
                <w:bCs/>
                <w:sz w:val="20"/>
                <w:szCs w:val="20"/>
                <w:lang w:val="ro-MD"/>
              </w:rPr>
            </w:pPr>
            <w:r w:rsidRPr="00C66FA5">
              <w:rPr>
                <w:bCs/>
                <w:sz w:val="20"/>
                <w:szCs w:val="20"/>
                <w:lang w:val="ro-MD"/>
              </w:rPr>
              <w:t>Potrivit Regulamentului cu privire la Registrul de stat al vehiculelor, aprobat prin Hotărârea Guvernului nr. 1047/1999, înmatricularea vehiculelor și eliberarea certificatului de înmatriculare se efectuează numai după identificarea și verificarea vehiculului de către un expert în identificarea vehiculelor, care confirmă autenticitatea elementelor de identificare ale acestuia și concordanța acestora cu datele din documentele prezentate (anexa nr. 2, pct. 18).</w:t>
            </w:r>
          </w:p>
          <w:p w14:paraId="2615EB0F" w14:textId="733DDD14" w:rsidR="00C66FA5" w:rsidRPr="00C66FA5" w:rsidRDefault="00C66FA5" w:rsidP="00817B7F">
            <w:pPr>
              <w:spacing w:after="0"/>
              <w:ind w:firstLine="22"/>
              <w:rPr>
                <w:bCs/>
                <w:sz w:val="20"/>
                <w:szCs w:val="20"/>
                <w:lang w:val="ro-MD"/>
              </w:rPr>
            </w:pPr>
            <w:r w:rsidRPr="00C66FA5">
              <w:rPr>
                <w:bCs/>
                <w:sz w:val="20"/>
                <w:szCs w:val="20"/>
                <w:lang w:val="ro-MD"/>
              </w:rPr>
              <w:t>Totodată, prin introducerea articolului 55¹ se instituie expres posibilitatea reținerii temporare a certificatului de înmatriculare în cadrul controalelor efectuate de autoritățile de aplicare a legii, în cazul suspiciunilor de fraudă, precum și condițiile de restituire a acestuia.</w:t>
            </w:r>
          </w:p>
        </w:tc>
      </w:tr>
      <w:tr w:rsidR="00CD507A" w:rsidRPr="00CD507A" w14:paraId="2725CE48"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4F1BA3D" w14:textId="59B0F73A" w:rsidR="00BB4D7C" w:rsidRPr="00CD507A" w:rsidRDefault="00BB4D7C" w:rsidP="001A04C4">
            <w:pPr>
              <w:spacing w:after="0"/>
              <w:ind w:firstLine="22"/>
              <w:rPr>
                <w:b/>
                <w:sz w:val="20"/>
                <w:szCs w:val="20"/>
                <w:lang w:val="ro-MD"/>
              </w:rPr>
            </w:pPr>
            <w:r w:rsidRPr="00CD507A">
              <w:rPr>
                <w:b/>
                <w:sz w:val="20"/>
                <w:szCs w:val="20"/>
                <w:lang w:val="ro-MD"/>
              </w:rPr>
              <w:t>Articolul 9. Europol</w:t>
            </w:r>
          </w:p>
          <w:p w14:paraId="7882ADF8" w14:textId="77777777" w:rsidR="00BB4D7C" w:rsidRPr="00CD507A" w:rsidRDefault="00BB4D7C" w:rsidP="001A04C4">
            <w:pPr>
              <w:spacing w:after="0"/>
              <w:ind w:firstLine="22"/>
              <w:rPr>
                <w:bCs/>
                <w:sz w:val="20"/>
                <w:szCs w:val="20"/>
                <w:lang w:val="ro-MD"/>
              </w:rPr>
            </w:pPr>
          </w:p>
          <w:p w14:paraId="5FBF2CB7" w14:textId="4858EE04" w:rsidR="00BB4D7C" w:rsidRPr="00CD507A" w:rsidRDefault="00BB4D7C" w:rsidP="001A04C4">
            <w:pPr>
              <w:spacing w:after="0"/>
              <w:ind w:firstLine="22"/>
              <w:rPr>
                <w:bCs/>
                <w:sz w:val="20"/>
                <w:szCs w:val="20"/>
                <w:lang w:val="ro-MD"/>
              </w:rPr>
            </w:pPr>
            <w:r w:rsidRPr="00CD507A">
              <w:rPr>
                <w:bCs/>
                <w:sz w:val="20"/>
                <w:szCs w:val="20"/>
                <w:lang w:val="ro-MD"/>
              </w:rPr>
              <w:t>Fiecare stat membru se asigură că autoritățile sale de aplicare a legii informează Europol, după caz, în cadrul mandatului și misiunilor sale respective, cu privire la autorii infracțiunilor referitoare la vehicule.</w:t>
            </w:r>
          </w:p>
        </w:tc>
        <w:tc>
          <w:tcPr>
            <w:tcW w:w="1416" w:type="pct"/>
            <w:tcBorders>
              <w:top w:val="single" w:sz="4" w:space="0" w:color="auto"/>
              <w:left w:val="single" w:sz="4" w:space="0" w:color="auto"/>
              <w:bottom w:val="single" w:sz="4" w:space="0" w:color="auto"/>
              <w:right w:val="single" w:sz="4" w:space="0" w:color="auto"/>
            </w:tcBorders>
          </w:tcPr>
          <w:p w14:paraId="44233F06" w14:textId="6B9A4F3A" w:rsidR="00BB4D7C" w:rsidRPr="00CD507A"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17359B27" w14:textId="18549ECD" w:rsidR="00BB4D7C" w:rsidRPr="00CD507A" w:rsidRDefault="00BB4D7C" w:rsidP="001A04C4">
            <w:pPr>
              <w:spacing w:after="0"/>
              <w:ind w:firstLine="22"/>
              <w:rPr>
                <w:b/>
                <w:sz w:val="20"/>
                <w:szCs w:val="20"/>
                <w:lang w:val="ro-MD"/>
              </w:rPr>
            </w:pPr>
            <w:r w:rsidRPr="00CD507A">
              <w:rPr>
                <w:b/>
                <w:sz w:val="20"/>
                <w:szCs w:val="20"/>
                <w:lang w:val="ro-MD"/>
              </w:rPr>
              <w:t xml:space="preserve">Parțial compatibil </w:t>
            </w:r>
          </w:p>
        </w:tc>
        <w:tc>
          <w:tcPr>
            <w:tcW w:w="1998" w:type="pct"/>
            <w:tcBorders>
              <w:top w:val="single" w:sz="4" w:space="0" w:color="auto"/>
              <w:left w:val="single" w:sz="4" w:space="0" w:color="auto"/>
              <w:bottom w:val="single" w:sz="4" w:space="0" w:color="auto"/>
              <w:right w:val="single" w:sz="4" w:space="0" w:color="auto"/>
            </w:tcBorders>
          </w:tcPr>
          <w:p w14:paraId="03E464AC" w14:textId="77777777" w:rsidR="00007A21" w:rsidRPr="00CD507A" w:rsidRDefault="00007A21" w:rsidP="00817B7F">
            <w:pPr>
              <w:spacing w:after="0"/>
              <w:ind w:firstLine="22"/>
              <w:rPr>
                <w:bCs/>
                <w:sz w:val="20"/>
                <w:szCs w:val="20"/>
                <w:lang w:val="ro-MD"/>
              </w:rPr>
            </w:pPr>
            <w:r w:rsidRPr="00CD507A">
              <w:rPr>
                <w:bCs/>
                <w:sz w:val="20"/>
                <w:szCs w:val="20"/>
                <w:lang w:val="ro-MD"/>
              </w:rPr>
              <w:t>Republica Moldova cooperează cu Oficiul European de Poliție (Europol) în baza Acordului Strategic de Cooperare din 2007 și a Acordului Operațional de Cooperare semnat la 18 decembrie 2014, care permit schimbul de informații și cooperarea operațională între autoritățile de aplicare a legii și Europol.</w:t>
            </w:r>
          </w:p>
          <w:p w14:paraId="6BF6D347" w14:textId="77777777" w:rsidR="00007A21" w:rsidRPr="00CD507A" w:rsidRDefault="00007A21" w:rsidP="00817B7F">
            <w:pPr>
              <w:spacing w:after="0"/>
              <w:ind w:firstLine="22"/>
              <w:rPr>
                <w:bCs/>
                <w:sz w:val="20"/>
                <w:szCs w:val="20"/>
                <w:lang w:val="ro-MD"/>
              </w:rPr>
            </w:pPr>
            <w:r w:rsidRPr="00CD507A">
              <w:rPr>
                <w:bCs/>
                <w:sz w:val="20"/>
                <w:szCs w:val="20"/>
                <w:lang w:val="ro-MD"/>
              </w:rPr>
              <w:t>Totodată, cooperarea operațională este realizată prin intermediul ofițerului de legătură al Republicii Moldova la Europol și al canalelor securizate de comunicare stabilite prin Memorandumul de înțelegere privind linia securizată de comunicare din 16 ianuarie 2014.</w:t>
            </w:r>
          </w:p>
          <w:p w14:paraId="7E8DF610" w14:textId="600EF241" w:rsidR="00FF0A84" w:rsidRPr="00CD507A" w:rsidRDefault="00007A21" w:rsidP="00817B7F">
            <w:pPr>
              <w:spacing w:after="0"/>
              <w:ind w:firstLine="22"/>
              <w:rPr>
                <w:bCs/>
                <w:sz w:val="20"/>
                <w:szCs w:val="20"/>
                <w:lang w:val="ro-MD"/>
              </w:rPr>
            </w:pPr>
            <w:r w:rsidRPr="00CD507A">
              <w:rPr>
                <w:bCs/>
                <w:sz w:val="20"/>
                <w:szCs w:val="20"/>
                <w:lang w:val="ro-MD"/>
              </w:rPr>
              <w:t>Compatibilitatea deplină urmează a fi consolidată prin instituirea Punctului unic de contact și a punctelor naționale de contact, care vor asigura schimbul operativ de informații cu Europol în conformitate cu legislația națională.</w:t>
            </w:r>
          </w:p>
        </w:tc>
      </w:tr>
      <w:tr w:rsidR="00EE72B7" w:rsidRPr="00EE72B7" w14:paraId="0729C21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85FA9DD" w14:textId="77777777" w:rsidR="00BB4D7C" w:rsidRPr="00EE72B7" w:rsidRDefault="00BB4D7C" w:rsidP="001A04C4">
            <w:pPr>
              <w:spacing w:after="0"/>
              <w:ind w:firstLine="22"/>
              <w:rPr>
                <w:b/>
                <w:sz w:val="20"/>
                <w:szCs w:val="20"/>
                <w:lang w:val="ro-MD"/>
              </w:rPr>
            </w:pPr>
            <w:r w:rsidRPr="00EE72B7">
              <w:rPr>
                <w:b/>
                <w:sz w:val="20"/>
                <w:szCs w:val="20"/>
                <w:lang w:val="ro-MD"/>
              </w:rPr>
              <w:t xml:space="preserve">Articolul 10. </w:t>
            </w:r>
          </w:p>
          <w:p w14:paraId="1A52A600" w14:textId="7B6EE54D" w:rsidR="00BB4D7C" w:rsidRPr="00EE72B7" w:rsidRDefault="00BB4D7C" w:rsidP="001A04C4">
            <w:pPr>
              <w:spacing w:after="0"/>
              <w:ind w:firstLine="22"/>
              <w:rPr>
                <w:b/>
                <w:sz w:val="20"/>
                <w:szCs w:val="20"/>
                <w:lang w:val="ro-MD"/>
              </w:rPr>
            </w:pPr>
            <w:r w:rsidRPr="00EE72B7">
              <w:rPr>
                <w:b/>
                <w:sz w:val="20"/>
                <w:szCs w:val="20"/>
                <w:lang w:val="ro-MD"/>
              </w:rPr>
              <w:t>Promovarea cunoștințelor de specialitate și a formării profesionale</w:t>
            </w:r>
          </w:p>
          <w:p w14:paraId="6FB70BF7" w14:textId="77777777" w:rsidR="00BB4D7C" w:rsidRPr="00EE72B7" w:rsidRDefault="00BB4D7C" w:rsidP="001A04C4">
            <w:pPr>
              <w:spacing w:after="0"/>
              <w:ind w:firstLine="22"/>
              <w:rPr>
                <w:bCs/>
                <w:sz w:val="20"/>
                <w:szCs w:val="20"/>
                <w:lang w:val="ro-MD"/>
              </w:rPr>
            </w:pPr>
          </w:p>
          <w:p w14:paraId="596C6DE5" w14:textId="5C52E4E3" w:rsidR="00BB4D7C" w:rsidRPr="00EE72B7" w:rsidRDefault="00BB4D7C" w:rsidP="001A04C4">
            <w:pPr>
              <w:spacing w:after="0"/>
              <w:ind w:firstLine="22"/>
              <w:rPr>
                <w:bCs/>
                <w:sz w:val="20"/>
                <w:szCs w:val="20"/>
                <w:lang w:val="ro-MD"/>
              </w:rPr>
            </w:pPr>
            <w:r w:rsidRPr="00EE72B7">
              <w:rPr>
                <w:bCs/>
                <w:sz w:val="20"/>
                <w:szCs w:val="20"/>
                <w:lang w:val="ro-MD"/>
              </w:rPr>
              <w:t>Statele membre iau măsurile necesare pentru a se asigura că instituțiile naționale responsabile cu formarea profesională a respectivelor autorități de aplicare a legii promovează în programele lor de învățământ, atunci când este necesar în cooperare cu Colegiul European de Poliție, formarea profesională specializată în domeniul prevenirii și descoperirii criminalității referitoare la vehicule. O astfel de formare profesională poate cuprinde o contribuție din partea Europol, în conformitate cu domeniul său de competență.</w:t>
            </w:r>
          </w:p>
        </w:tc>
        <w:tc>
          <w:tcPr>
            <w:tcW w:w="1416" w:type="pct"/>
            <w:tcBorders>
              <w:top w:val="single" w:sz="4" w:space="0" w:color="auto"/>
              <w:left w:val="single" w:sz="4" w:space="0" w:color="auto"/>
              <w:bottom w:val="single" w:sz="4" w:space="0" w:color="auto"/>
              <w:right w:val="single" w:sz="4" w:space="0" w:color="auto"/>
            </w:tcBorders>
          </w:tcPr>
          <w:p w14:paraId="2FC0DC89" w14:textId="5D36E5D6" w:rsidR="00BB4D7C" w:rsidRPr="00EE72B7"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14D92E4B" w14:textId="5C8C5BC0" w:rsidR="00BB4D7C" w:rsidRPr="00EE72B7" w:rsidRDefault="00C11407" w:rsidP="001A04C4">
            <w:pPr>
              <w:spacing w:after="0"/>
              <w:ind w:firstLine="22"/>
              <w:rPr>
                <w:b/>
                <w:sz w:val="20"/>
                <w:szCs w:val="20"/>
                <w:lang w:val="ro-MD"/>
              </w:rPr>
            </w:pPr>
            <w:r w:rsidRPr="00EE72B7">
              <w:rPr>
                <w:b/>
                <w:sz w:val="20"/>
                <w:szCs w:val="20"/>
                <w:lang w:val="ro-MD"/>
              </w:rPr>
              <w:t>C</w:t>
            </w:r>
            <w:r w:rsidR="00BB4D7C" w:rsidRPr="00EE72B7">
              <w:rPr>
                <w:b/>
                <w:sz w:val="20"/>
                <w:szCs w:val="20"/>
                <w:lang w:val="ro-MD"/>
              </w:rPr>
              <w:t>ompatibil</w:t>
            </w:r>
            <w:r w:rsidRPr="00EE72B7">
              <w:rPr>
                <w:b/>
                <w:sz w:val="20"/>
                <w:szCs w:val="20"/>
                <w:lang w:val="ro-MD"/>
              </w:rPr>
              <w:t xml:space="preserve"> </w:t>
            </w:r>
          </w:p>
        </w:tc>
        <w:tc>
          <w:tcPr>
            <w:tcW w:w="1998" w:type="pct"/>
            <w:tcBorders>
              <w:top w:val="single" w:sz="4" w:space="0" w:color="auto"/>
              <w:left w:val="single" w:sz="4" w:space="0" w:color="auto"/>
              <w:bottom w:val="single" w:sz="4" w:space="0" w:color="auto"/>
              <w:right w:val="single" w:sz="4" w:space="0" w:color="auto"/>
            </w:tcBorders>
          </w:tcPr>
          <w:p w14:paraId="67819A5B" w14:textId="13CF98E2" w:rsidR="00007A21" w:rsidRPr="00EE72B7" w:rsidRDefault="00007A21" w:rsidP="00817B7F">
            <w:pPr>
              <w:spacing w:after="0"/>
              <w:ind w:firstLine="22"/>
              <w:rPr>
                <w:bCs/>
                <w:sz w:val="20"/>
                <w:szCs w:val="20"/>
                <w:lang w:val="ro-MD"/>
              </w:rPr>
            </w:pPr>
            <w:r w:rsidRPr="00EE72B7">
              <w:rPr>
                <w:bCs/>
                <w:sz w:val="20"/>
                <w:szCs w:val="20"/>
                <w:lang w:val="ro-MD"/>
              </w:rPr>
              <w:t>Academia „Ștefan cel Mare” a Ministerului Afacerilor Interne și alte instituții de formare profesională din cadrul sistemului afacerilor interne desfășoară programe de instruire care cuprind tematici privind infracțiunile din domeniul transporturilor, falsificarea elementelor de identificare ale vehiculelor și criminalitatea transfrontalieră.</w:t>
            </w:r>
          </w:p>
          <w:p w14:paraId="1DFC0B91" w14:textId="77777777" w:rsidR="00BB4D7C" w:rsidRPr="00EE72B7" w:rsidRDefault="00007A21" w:rsidP="00817B7F">
            <w:pPr>
              <w:spacing w:after="0"/>
              <w:ind w:firstLine="22"/>
              <w:rPr>
                <w:bCs/>
                <w:sz w:val="20"/>
                <w:szCs w:val="20"/>
                <w:lang w:val="ro-MD"/>
              </w:rPr>
            </w:pPr>
            <w:r w:rsidRPr="00EE72B7">
              <w:rPr>
                <w:bCs/>
                <w:sz w:val="20"/>
                <w:szCs w:val="20"/>
                <w:lang w:val="ro-MD"/>
              </w:rPr>
              <w:t>Totodată, în cadrul programelor de formare specializată, inclusiv al programului de studii „Securitatea frontierei”, sunt abordate aspecte privind identificarea falsurilor în documente, verificarea elementelor de identificare ale vehiculelor și prevenirea traficului ilegal de mijloace de transport.</w:t>
            </w:r>
          </w:p>
          <w:p w14:paraId="6AD1A166" w14:textId="25765708" w:rsidR="00EE72B7" w:rsidRPr="00EE72B7" w:rsidRDefault="00EE72B7" w:rsidP="00817B7F">
            <w:pPr>
              <w:spacing w:after="0"/>
              <w:ind w:firstLine="22"/>
              <w:rPr>
                <w:sz w:val="20"/>
                <w:szCs w:val="20"/>
              </w:rPr>
            </w:pPr>
            <w:r w:rsidRPr="00EE72B7">
              <w:rPr>
                <w:sz w:val="20"/>
                <w:szCs w:val="20"/>
              </w:rPr>
              <w:t>Formarea profesională este realizată, după caz, și în cooperare cu parteneri internaționali, inclusiv prin participarea la programe și activități organizate în cadrul rețelelor europene de formare profesională în domeniul aplicării legii.</w:t>
            </w:r>
          </w:p>
        </w:tc>
      </w:tr>
      <w:tr w:rsidR="00EE72B7" w:rsidRPr="00EE72B7" w14:paraId="2BCD456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57FD485" w14:textId="00FCA080" w:rsidR="00BB4D7C" w:rsidRPr="00EE72B7" w:rsidRDefault="00BB4D7C" w:rsidP="001A04C4">
            <w:pPr>
              <w:spacing w:after="0"/>
              <w:ind w:firstLine="22"/>
              <w:rPr>
                <w:b/>
                <w:sz w:val="20"/>
                <w:szCs w:val="20"/>
                <w:lang w:val="ro-MD"/>
              </w:rPr>
            </w:pPr>
            <w:r w:rsidRPr="00EE72B7">
              <w:rPr>
                <w:b/>
                <w:sz w:val="20"/>
                <w:szCs w:val="20"/>
                <w:lang w:val="ro-MD"/>
              </w:rPr>
              <w:lastRenderedPageBreak/>
              <w:t xml:space="preserve">Articolul 11. </w:t>
            </w:r>
          </w:p>
          <w:p w14:paraId="25F0AE34" w14:textId="77777777" w:rsidR="00BB4D7C" w:rsidRPr="00EE72B7" w:rsidRDefault="00BB4D7C" w:rsidP="001A04C4">
            <w:pPr>
              <w:spacing w:after="0"/>
              <w:ind w:firstLine="22"/>
              <w:rPr>
                <w:b/>
                <w:sz w:val="20"/>
                <w:szCs w:val="20"/>
                <w:lang w:val="ro-MD"/>
              </w:rPr>
            </w:pPr>
            <w:r w:rsidRPr="00EE72B7">
              <w:rPr>
                <w:b/>
                <w:sz w:val="20"/>
                <w:szCs w:val="20"/>
                <w:lang w:val="ro-MD"/>
              </w:rPr>
              <w:t>Reuniunile punctelor de contact și raportul anual către Consiliu</w:t>
            </w:r>
          </w:p>
          <w:p w14:paraId="1D57CBAC" w14:textId="77777777" w:rsidR="00BB4D7C" w:rsidRPr="00EE72B7" w:rsidRDefault="00BB4D7C" w:rsidP="001A04C4">
            <w:pPr>
              <w:spacing w:after="0"/>
              <w:ind w:firstLine="22"/>
              <w:rPr>
                <w:bCs/>
                <w:sz w:val="20"/>
                <w:szCs w:val="20"/>
                <w:lang w:val="ro-MD"/>
              </w:rPr>
            </w:pPr>
          </w:p>
          <w:p w14:paraId="2F6F4569" w14:textId="4C2D4399" w:rsidR="00BB4D7C" w:rsidRPr="00EE72B7" w:rsidRDefault="00BB4D7C" w:rsidP="001A04C4">
            <w:pPr>
              <w:spacing w:after="0"/>
              <w:ind w:firstLine="22"/>
              <w:rPr>
                <w:bCs/>
                <w:sz w:val="20"/>
                <w:szCs w:val="20"/>
                <w:lang w:val="ro-MD"/>
              </w:rPr>
            </w:pPr>
            <w:r w:rsidRPr="00EE72B7">
              <w:rPr>
                <w:bCs/>
                <w:sz w:val="20"/>
                <w:szCs w:val="20"/>
                <w:lang w:val="ro-MD"/>
              </w:rPr>
              <w:t>Punctele de contact pentru combaterea criminalității referitoare la vehicule se reunesc cel puțin o dată pe an, fiind prezidate de statul membru care deține președinția Consiliului. Europol este invitat să participe la respectiva reuniune. Președinția raportează Consiliului cu privire la progresele înregistrate în cadrul cooperării practice relevante între autoritățile de aplicare a legii.</w:t>
            </w:r>
          </w:p>
        </w:tc>
        <w:tc>
          <w:tcPr>
            <w:tcW w:w="1416" w:type="pct"/>
            <w:tcBorders>
              <w:top w:val="single" w:sz="4" w:space="0" w:color="auto"/>
              <w:left w:val="single" w:sz="4" w:space="0" w:color="auto"/>
              <w:bottom w:val="single" w:sz="4" w:space="0" w:color="auto"/>
              <w:right w:val="single" w:sz="4" w:space="0" w:color="auto"/>
            </w:tcBorders>
          </w:tcPr>
          <w:p w14:paraId="5AC6A39C" w14:textId="09DE08B2" w:rsidR="00BB4D7C" w:rsidRPr="00EE72B7" w:rsidRDefault="00BB4D7C"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117F890B" w14:textId="4D82DD66" w:rsidR="00BB4D7C" w:rsidRPr="00EE72B7" w:rsidRDefault="00EE72B7" w:rsidP="001A04C4">
            <w:pPr>
              <w:spacing w:after="0"/>
              <w:ind w:firstLine="22"/>
              <w:rPr>
                <w:b/>
                <w:sz w:val="20"/>
                <w:szCs w:val="20"/>
                <w:lang w:val="ro-MD"/>
              </w:rPr>
            </w:pPr>
            <w:r w:rsidRPr="00EE72B7">
              <w:rPr>
                <w:b/>
                <w:sz w:val="20"/>
                <w:szCs w:val="20"/>
                <w:lang w:val="ro-MD"/>
              </w:rPr>
              <w:t>Neaplicabil  (până la aderare)</w:t>
            </w:r>
          </w:p>
        </w:tc>
        <w:tc>
          <w:tcPr>
            <w:tcW w:w="1998" w:type="pct"/>
            <w:tcBorders>
              <w:top w:val="single" w:sz="4" w:space="0" w:color="auto"/>
              <w:left w:val="single" w:sz="4" w:space="0" w:color="auto"/>
              <w:bottom w:val="single" w:sz="4" w:space="0" w:color="auto"/>
              <w:right w:val="single" w:sz="4" w:space="0" w:color="auto"/>
            </w:tcBorders>
          </w:tcPr>
          <w:p w14:paraId="1B85CE64" w14:textId="77777777" w:rsidR="00DB22AD" w:rsidRPr="00EE72B7" w:rsidRDefault="00DB22AD" w:rsidP="00817B7F">
            <w:pPr>
              <w:spacing w:after="0"/>
              <w:ind w:firstLine="22"/>
              <w:rPr>
                <w:bCs/>
                <w:sz w:val="20"/>
                <w:szCs w:val="20"/>
                <w:lang w:val="ro-MD"/>
              </w:rPr>
            </w:pPr>
            <w:r w:rsidRPr="00EE72B7">
              <w:rPr>
                <w:bCs/>
                <w:sz w:val="20"/>
                <w:szCs w:val="20"/>
                <w:lang w:val="ro-MD"/>
              </w:rPr>
              <w:t xml:space="preserve">Prevederea reglementează un mecanism aplicabil statelor membre ale Uniunii Europene. </w:t>
            </w:r>
          </w:p>
          <w:p w14:paraId="6756BF53" w14:textId="77777777" w:rsidR="00EE72B7" w:rsidRPr="00EE72B7" w:rsidRDefault="00EE72B7" w:rsidP="00EE72B7">
            <w:pPr>
              <w:spacing w:after="0"/>
              <w:ind w:firstLine="22"/>
              <w:rPr>
                <w:bCs/>
                <w:sz w:val="20"/>
                <w:szCs w:val="20"/>
                <w:lang w:val="ro-MD"/>
              </w:rPr>
            </w:pPr>
            <w:r w:rsidRPr="00EE72B7">
              <w:rPr>
                <w:bCs/>
                <w:sz w:val="20"/>
                <w:szCs w:val="20"/>
                <w:lang w:val="ro-MD"/>
              </w:rPr>
              <w:t>Pentru Republica Moldova, participarea la aceste mecanisme va deveni incidentă după aderarea la Uniunea Europeană.</w:t>
            </w:r>
          </w:p>
          <w:p w14:paraId="64B917A7" w14:textId="6656DB6A" w:rsidR="00BB4D7C" w:rsidRPr="00EE72B7" w:rsidRDefault="00EE72B7" w:rsidP="00EE72B7">
            <w:pPr>
              <w:spacing w:after="0"/>
              <w:ind w:firstLine="22"/>
              <w:rPr>
                <w:b/>
                <w:sz w:val="20"/>
                <w:szCs w:val="20"/>
                <w:lang w:val="ro-MD"/>
              </w:rPr>
            </w:pPr>
            <w:r w:rsidRPr="00EE72B7">
              <w:rPr>
                <w:bCs/>
                <w:sz w:val="20"/>
                <w:szCs w:val="20"/>
                <w:lang w:val="ro-MD"/>
              </w:rPr>
              <w:t>Instituirea punctului unic de contact și a punctelor naționale de contact este în curs de reglementare la nivel național și va permite integrarea ulterioară în mecanismele de cooperare prevăzute de actul Uniunii Europene.</w:t>
            </w:r>
          </w:p>
        </w:tc>
      </w:tr>
      <w:tr w:rsidR="00EE72B7" w:rsidRPr="00EE72B7" w14:paraId="4D193C0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A621349" w14:textId="77777777" w:rsidR="003006C5" w:rsidRPr="00EE72B7" w:rsidRDefault="003006C5" w:rsidP="001A04C4">
            <w:pPr>
              <w:spacing w:after="0"/>
              <w:ind w:firstLine="22"/>
              <w:rPr>
                <w:b/>
                <w:sz w:val="20"/>
                <w:szCs w:val="20"/>
                <w:lang w:val="ro-MD"/>
              </w:rPr>
            </w:pPr>
            <w:r w:rsidRPr="00EE72B7">
              <w:rPr>
                <w:b/>
                <w:sz w:val="20"/>
                <w:szCs w:val="20"/>
                <w:lang w:val="ro-MD"/>
              </w:rPr>
              <w:t>Articolul 12</w:t>
            </w:r>
          </w:p>
          <w:p w14:paraId="18B151DA" w14:textId="77777777" w:rsidR="003006C5" w:rsidRPr="00EE72B7" w:rsidRDefault="003006C5" w:rsidP="001A04C4">
            <w:pPr>
              <w:spacing w:after="0"/>
              <w:ind w:firstLine="22"/>
              <w:rPr>
                <w:b/>
                <w:sz w:val="20"/>
                <w:szCs w:val="20"/>
                <w:lang w:val="ro-MD"/>
              </w:rPr>
            </w:pPr>
            <w:r w:rsidRPr="00EE72B7">
              <w:rPr>
                <w:b/>
                <w:sz w:val="20"/>
                <w:szCs w:val="20"/>
                <w:lang w:val="ro-MD"/>
              </w:rPr>
              <w:t>Evaluare</w:t>
            </w:r>
          </w:p>
          <w:p w14:paraId="659DDF4D" w14:textId="77777777" w:rsidR="003006C5" w:rsidRPr="00EE72B7" w:rsidRDefault="003006C5" w:rsidP="001A04C4">
            <w:pPr>
              <w:spacing w:after="0"/>
              <w:ind w:firstLine="22"/>
              <w:rPr>
                <w:bCs/>
                <w:sz w:val="20"/>
                <w:szCs w:val="20"/>
                <w:lang w:val="ro-MD"/>
              </w:rPr>
            </w:pPr>
          </w:p>
          <w:p w14:paraId="784CF9F8" w14:textId="748C7545" w:rsidR="003006C5" w:rsidRPr="00EE72B7" w:rsidRDefault="003006C5" w:rsidP="001A04C4">
            <w:pPr>
              <w:spacing w:after="0"/>
              <w:ind w:firstLine="22"/>
              <w:rPr>
                <w:bCs/>
                <w:sz w:val="20"/>
                <w:szCs w:val="20"/>
                <w:lang w:val="ro-MD"/>
              </w:rPr>
            </w:pPr>
            <w:r w:rsidRPr="00EE72B7">
              <w:rPr>
                <w:bCs/>
                <w:sz w:val="20"/>
                <w:szCs w:val="20"/>
                <w:lang w:val="ro-MD"/>
              </w:rPr>
              <w:t>Consiliul evaluează punerea în aplicare a prezentei decizii până la 30 decembrie 2007.</w:t>
            </w:r>
          </w:p>
        </w:tc>
        <w:tc>
          <w:tcPr>
            <w:tcW w:w="1416" w:type="pct"/>
            <w:tcBorders>
              <w:top w:val="single" w:sz="4" w:space="0" w:color="auto"/>
              <w:left w:val="single" w:sz="4" w:space="0" w:color="auto"/>
              <w:bottom w:val="single" w:sz="4" w:space="0" w:color="auto"/>
              <w:right w:val="single" w:sz="4" w:space="0" w:color="auto"/>
            </w:tcBorders>
          </w:tcPr>
          <w:p w14:paraId="3C1E9136" w14:textId="02E73C32" w:rsidR="003006C5" w:rsidRPr="00EE72B7" w:rsidRDefault="003006C5" w:rsidP="001A04C4">
            <w:pPr>
              <w:spacing w:after="0"/>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7BB590AB" w14:textId="0939F37D" w:rsidR="003006C5" w:rsidRPr="00EE72B7" w:rsidRDefault="00EE72B7" w:rsidP="001A04C4">
            <w:pPr>
              <w:spacing w:after="0"/>
              <w:ind w:firstLine="22"/>
              <w:rPr>
                <w:b/>
                <w:sz w:val="20"/>
                <w:szCs w:val="20"/>
                <w:lang w:val="ro-MD"/>
              </w:rPr>
            </w:pPr>
            <w:r w:rsidRPr="00EE72B7">
              <w:rPr>
                <w:b/>
                <w:sz w:val="20"/>
                <w:szCs w:val="20"/>
                <w:lang w:val="ro-MD"/>
              </w:rPr>
              <w:t>Neaplicabil  (până la aderare)</w:t>
            </w:r>
          </w:p>
        </w:tc>
        <w:tc>
          <w:tcPr>
            <w:tcW w:w="1998" w:type="pct"/>
            <w:tcBorders>
              <w:top w:val="single" w:sz="4" w:space="0" w:color="auto"/>
              <w:left w:val="single" w:sz="4" w:space="0" w:color="auto"/>
              <w:bottom w:val="single" w:sz="4" w:space="0" w:color="auto"/>
              <w:right w:val="single" w:sz="4" w:space="0" w:color="auto"/>
            </w:tcBorders>
          </w:tcPr>
          <w:p w14:paraId="79C4F45E" w14:textId="62C76E42" w:rsidR="00007A21" w:rsidRPr="00EE72B7" w:rsidRDefault="00007A21" w:rsidP="00817B7F">
            <w:pPr>
              <w:spacing w:after="0"/>
              <w:ind w:firstLine="22"/>
              <w:rPr>
                <w:bCs/>
                <w:sz w:val="20"/>
                <w:szCs w:val="20"/>
                <w:lang w:val="ro-MD"/>
              </w:rPr>
            </w:pPr>
            <w:r w:rsidRPr="00EE72B7">
              <w:rPr>
                <w:bCs/>
                <w:sz w:val="20"/>
                <w:szCs w:val="20"/>
                <w:lang w:val="ro-MD"/>
              </w:rPr>
              <w:t>Mecanism aplicabil statelor membre ale Uniunii Europene.</w:t>
            </w:r>
          </w:p>
          <w:p w14:paraId="74E88AB8" w14:textId="77777777" w:rsidR="00EE72B7" w:rsidRPr="00EE72B7" w:rsidRDefault="00007A21" w:rsidP="00817B7F">
            <w:pPr>
              <w:spacing w:after="0"/>
              <w:ind w:firstLine="22"/>
              <w:rPr>
                <w:bCs/>
                <w:sz w:val="20"/>
                <w:szCs w:val="20"/>
                <w:lang w:val="ro-MD"/>
              </w:rPr>
            </w:pPr>
            <w:r w:rsidRPr="00EE72B7">
              <w:rPr>
                <w:bCs/>
                <w:sz w:val="20"/>
                <w:szCs w:val="20"/>
                <w:lang w:val="ro-MD"/>
              </w:rPr>
              <w:t xml:space="preserve">Compatibilitatea urmează a fi asigurată după aderarea Republicii Moldova la Uniunea Europeană. </w:t>
            </w:r>
          </w:p>
          <w:p w14:paraId="7F7BD7F8" w14:textId="0F3EBD15" w:rsidR="003006C5" w:rsidRPr="00EE72B7" w:rsidRDefault="00007A21" w:rsidP="00817B7F">
            <w:pPr>
              <w:spacing w:after="0"/>
              <w:ind w:firstLine="22"/>
              <w:rPr>
                <w:b/>
                <w:sz w:val="20"/>
                <w:szCs w:val="20"/>
                <w:lang w:val="ro-MD"/>
              </w:rPr>
            </w:pPr>
            <w:r w:rsidRPr="00EE72B7">
              <w:rPr>
                <w:bCs/>
                <w:sz w:val="20"/>
                <w:szCs w:val="20"/>
                <w:lang w:val="ro-MD"/>
              </w:rPr>
              <w:t>La nivel național, mecanismele de monitorizare și raportare privind cooperarea polițienească vor fi consolidate prin instituirea punctului unic de contact și a punctelor naționale de contact, inclusiv prin acte normative pe domenii de competență.</w:t>
            </w:r>
          </w:p>
        </w:tc>
      </w:tr>
      <w:tr w:rsidR="00EE72B7" w:rsidRPr="00EE72B7" w14:paraId="7494AF6A"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AC7024D" w14:textId="77777777" w:rsidR="003006C5" w:rsidRPr="00EE72B7" w:rsidRDefault="003006C5" w:rsidP="001A04C4">
            <w:pPr>
              <w:spacing w:after="0"/>
              <w:ind w:firstLine="22"/>
              <w:rPr>
                <w:b/>
                <w:sz w:val="20"/>
                <w:szCs w:val="20"/>
                <w:lang w:val="ro-MD"/>
              </w:rPr>
            </w:pPr>
            <w:r w:rsidRPr="00EE72B7">
              <w:rPr>
                <w:b/>
                <w:sz w:val="20"/>
                <w:szCs w:val="20"/>
                <w:lang w:val="ro-MD"/>
              </w:rPr>
              <w:t>Articolul 13</w:t>
            </w:r>
          </w:p>
          <w:p w14:paraId="243D91AC" w14:textId="77777777" w:rsidR="003006C5" w:rsidRPr="00EE72B7" w:rsidRDefault="003006C5" w:rsidP="001A04C4">
            <w:pPr>
              <w:spacing w:after="0"/>
              <w:ind w:firstLine="22"/>
              <w:rPr>
                <w:b/>
                <w:sz w:val="20"/>
                <w:szCs w:val="20"/>
                <w:lang w:val="ro-MD"/>
              </w:rPr>
            </w:pPr>
            <w:r w:rsidRPr="00EE72B7">
              <w:rPr>
                <w:b/>
                <w:sz w:val="20"/>
                <w:szCs w:val="20"/>
                <w:lang w:val="ro-MD"/>
              </w:rPr>
              <w:t>Intrarea în vigoare</w:t>
            </w:r>
          </w:p>
          <w:p w14:paraId="690A49E0" w14:textId="77777777" w:rsidR="003006C5" w:rsidRPr="00EE72B7" w:rsidRDefault="003006C5" w:rsidP="001A04C4">
            <w:pPr>
              <w:spacing w:after="0"/>
              <w:ind w:firstLine="22"/>
              <w:rPr>
                <w:bCs/>
                <w:sz w:val="20"/>
                <w:szCs w:val="20"/>
                <w:lang w:val="ro-MD"/>
              </w:rPr>
            </w:pPr>
          </w:p>
          <w:p w14:paraId="4AC100C6" w14:textId="77777777" w:rsidR="003006C5" w:rsidRPr="00EE72B7" w:rsidRDefault="003006C5" w:rsidP="001A04C4">
            <w:pPr>
              <w:spacing w:after="0"/>
              <w:ind w:firstLine="22"/>
              <w:rPr>
                <w:bCs/>
                <w:sz w:val="20"/>
                <w:szCs w:val="20"/>
                <w:lang w:val="ro-MD"/>
              </w:rPr>
            </w:pPr>
            <w:r w:rsidRPr="00EE72B7">
              <w:rPr>
                <w:bCs/>
                <w:sz w:val="20"/>
                <w:szCs w:val="20"/>
                <w:lang w:val="ro-MD"/>
              </w:rPr>
              <w:t>Prezenta decizie intră în vigoare la data publicării în Jurnalul Oficial al Uniunii Europene.</w:t>
            </w:r>
          </w:p>
          <w:p w14:paraId="531EDC63" w14:textId="777C2CE4" w:rsidR="003006C5" w:rsidRPr="00EE72B7" w:rsidRDefault="003006C5" w:rsidP="001A04C4">
            <w:pPr>
              <w:spacing w:after="0"/>
              <w:ind w:firstLine="22"/>
              <w:rPr>
                <w:bCs/>
                <w:sz w:val="20"/>
                <w:szCs w:val="20"/>
                <w:lang w:val="ro-MD"/>
              </w:rPr>
            </w:pPr>
            <w:r w:rsidRPr="00EE72B7">
              <w:rPr>
                <w:bCs/>
                <w:sz w:val="20"/>
                <w:szCs w:val="20"/>
                <w:lang w:val="ro-MD"/>
              </w:rPr>
              <w:t>Pentru acele state membre în care dispozițiile acquis-ului Schengen cu privire la SIS nu au intrat încă în vigoare, obligațiile prezentei decizii cu privire la SIS intră în vigoare la data la care începe aplicarea acestor dispoziții, după cum se menționează în decizia Consiliului adoptată în acest sens în conformitate cu procedurile aplicabile.</w:t>
            </w:r>
          </w:p>
        </w:tc>
        <w:tc>
          <w:tcPr>
            <w:tcW w:w="1416" w:type="pct"/>
            <w:tcBorders>
              <w:top w:val="single" w:sz="4" w:space="0" w:color="auto"/>
              <w:left w:val="single" w:sz="4" w:space="0" w:color="auto"/>
              <w:bottom w:val="single" w:sz="4" w:space="0" w:color="auto"/>
              <w:right w:val="single" w:sz="4" w:space="0" w:color="auto"/>
            </w:tcBorders>
          </w:tcPr>
          <w:p w14:paraId="61F9B6B4" w14:textId="5A4C6684" w:rsidR="003006C5" w:rsidRPr="00EE72B7" w:rsidRDefault="003006C5" w:rsidP="001A04C4">
            <w:pPr>
              <w:spacing w:after="0"/>
              <w:ind w:firstLine="22"/>
              <w:rPr>
                <w:bCs/>
                <w:sz w:val="20"/>
                <w:szCs w:val="20"/>
                <w:lang w:val="ro-MD"/>
              </w:rPr>
            </w:pPr>
          </w:p>
        </w:tc>
        <w:tc>
          <w:tcPr>
            <w:tcW w:w="501" w:type="pct"/>
            <w:tcBorders>
              <w:top w:val="single" w:sz="4" w:space="0" w:color="auto"/>
              <w:left w:val="single" w:sz="4" w:space="0" w:color="auto"/>
              <w:bottom w:val="single" w:sz="4" w:space="0" w:color="auto"/>
              <w:right w:val="single" w:sz="4" w:space="0" w:color="auto"/>
            </w:tcBorders>
          </w:tcPr>
          <w:p w14:paraId="43E2F114" w14:textId="0CB92D83" w:rsidR="003006C5" w:rsidRPr="00EE72B7" w:rsidRDefault="00EE72B7" w:rsidP="001A04C4">
            <w:pPr>
              <w:spacing w:after="0"/>
              <w:ind w:firstLine="22"/>
              <w:rPr>
                <w:b/>
                <w:sz w:val="20"/>
                <w:szCs w:val="20"/>
                <w:lang w:val="ro-MD"/>
              </w:rPr>
            </w:pPr>
            <w:r w:rsidRPr="00EE72B7">
              <w:rPr>
                <w:b/>
                <w:sz w:val="20"/>
                <w:szCs w:val="20"/>
                <w:lang w:val="ro-MD"/>
              </w:rPr>
              <w:t>Neaplicabil  (până la aderare)</w:t>
            </w:r>
          </w:p>
        </w:tc>
        <w:tc>
          <w:tcPr>
            <w:tcW w:w="1998" w:type="pct"/>
            <w:tcBorders>
              <w:top w:val="single" w:sz="4" w:space="0" w:color="auto"/>
              <w:left w:val="single" w:sz="4" w:space="0" w:color="auto"/>
              <w:bottom w:val="single" w:sz="4" w:space="0" w:color="auto"/>
              <w:right w:val="single" w:sz="4" w:space="0" w:color="auto"/>
            </w:tcBorders>
          </w:tcPr>
          <w:p w14:paraId="440EF087" w14:textId="77777777" w:rsidR="00EE72B7" w:rsidRPr="00EE72B7" w:rsidRDefault="00EE72B7" w:rsidP="00EE72B7">
            <w:pPr>
              <w:spacing w:after="0"/>
              <w:ind w:firstLine="22"/>
              <w:rPr>
                <w:bCs/>
                <w:sz w:val="20"/>
                <w:szCs w:val="20"/>
                <w:lang w:val="ro-MD"/>
              </w:rPr>
            </w:pPr>
            <w:r w:rsidRPr="00EE72B7">
              <w:rPr>
                <w:bCs/>
                <w:sz w:val="20"/>
                <w:szCs w:val="20"/>
                <w:lang w:val="ro-MD"/>
              </w:rPr>
              <w:t>Dispoziția reglementează intrarea în vigoare a deciziei și aplicarea acesteia în raport cu acquis-ul Schengen, inclusiv în ceea ce privește Sistemul de Informații Schengen (SIS), mecanisme aplicabile exclusiv statelor membre ale Uniunii Europene.</w:t>
            </w:r>
          </w:p>
          <w:p w14:paraId="7447765C" w14:textId="63860142" w:rsidR="003006C5" w:rsidRPr="00EE72B7" w:rsidRDefault="00EE72B7" w:rsidP="00EE72B7">
            <w:pPr>
              <w:spacing w:after="0"/>
              <w:ind w:firstLine="22"/>
              <w:rPr>
                <w:b/>
                <w:sz w:val="20"/>
                <w:szCs w:val="20"/>
                <w:lang w:val="ro-MD"/>
              </w:rPr>
            </w:pPr>
            <w:r w:rsidRPr="00EE72B7">
              <w:rPr>
                <w:bCs/>
                <w:sz w:val="20"/>
                <w:szCs w:val="20"/>
                <w:lang w:val="ro-MD"/>
              </w:rPr>
              <w:t>Pentru Republica Moldova, aplicarea acestor dispoziții va deveni incidentă după aderarea la Uniunea Europeană și integrarea în Sistemul de Informații Schengen, în conformitate cu deciziile Consiliului Uniunii Europene adoptate în acest sens.</w:t>
            </w:r>
          </w:p>
        </w:tc>
      </w:tr>
    </w:tbl>
    <w:p w14:paraId="07DCCFF8" w14:textId="77777777" w:rsidR="00D97D99" w:rsidRPr="005A7720" w:rsidRDefault="00D97D99" w:rsidP="001A04C4">
      <w:pPr>
        <w:spacing w:after="0"/>
        <w:jc w:val="both"/>
        <w:rPr>
          <w:b/>
          <w:color w:val="153D63" w:themeColor="text2" w:themeTint="E6"/>
          <w:sz w:val="20"/>
          <w:szCs w:val="20"/>
          <w:lang w:val="ro-MD"/>
        </w:rPr>
      </w:pPr>
    </w:p>
    <w:sectPr w:rsidR="00D97D99" w:rsidRPr="005A7720" w:rsidSect="00F75629">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701"/>
    <w:multiLevelType w:val="hybridMultilevel"/>
    <w:tmpl w:val="8B082142"/>
    <w:lvl w:ilvl="0" w:tplc="DAD0FBC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 w15:restartNumberingAfterBreak="0">
    <w:nsid w:val="030212FD"/>
    <w:multiLevelType w:val="hybridMultilevel"/>
    <w:tmpl w:val="11F658AE"/>
    <w:lvl w:ilvl="0" w:tplc="E6C8229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9F8332C"/>
    <w:multiLevelType w:val="hybridMultilevel"/>
    <w:tmpl w:val="709A26DE"/>
    <w:lvl w:ilvl="0" w:tplc="E10E941C">
      <w:start w:val="1"/>
      <w:numFmt w:val="decimal"/>
      <w:lvlText w:val="(%1)"/>
      <w:lvlJc w:val="left"/>
      <w:pPr>
        <w:ind w:left="1143" w:hanging="43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375D39BE"/>
    <w:multiLevelType w:val="hybridMultilevel"/>
    <w:tmpl w:val="F7041F9C"/>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4" w15:restartNumberingAfterBreak="0">
    <w:nsid w:val="398C6195"/>
    <w:multiLevelType w:val="hybridMultilevel"/>
    <w:tmpl w:val="4A423B56"/>
    <w:lvl w:ilvl="0" w:tplc="1164ADE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 w15:restartNumberingAfterBreak="0">
    <w:nsid w:val="5815579B"/>
    <w:multiLevelType w:val="hybridMultilevel"/>
    <w:tmpl w:val="D2BC36C4"/>
    <w:lvl w:ilvl="0" w:tplc="BE844198">
      <w:start w:val="1"/>
      <w:numFmt w:val="decimal"/>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5CAB656A"/>
    <w:multiLevelType w:val="hybridMultilevel"/>
    <w:tmpl w:val="CCCC3B94"/>
    <w:lvl w:ilvl="0" w:tplc="FC782AA8">
      <w:numFmt w:val="bullet"/>
      <w:lvlText w:val="-"/>
      <w:lvlJc w:val="left"/>
      <w:pPr>
        <w:ind w:left="382" w:hanging="360"/>
      </w:pPr>
      <w:rPr>
        <w:rFonts w:ascii="Times New Roman" w:eastAsia="Times New Roman" w:hAnsi="Times New Roman" w:cs="Times New Roman" w:hint="default"/>
      </w:rPr>
    </w:lvl>
    <w:lvl w:ilvl="1" w:tplc="04180003" w:tentative="1">
      <w:start w:val="1"/>
      <w:numFmt w:val="bullet"/>
      <w:lvlText w:val="o"/>
      <w:lvlJc w:val="left"/>
      <w:pPr>
        <w:ind w:left="1102" w:hanging="360"/>
      </w:pPr>
      <w:rPr>
        <w:rFonts w:ascii="Courier New" w:hAnsi="Courier New" w:cs="Courier New" w:hint="default"/>
      </w:rPr>
    </w:lvl>
    <w:lvl w:ilvl="2" w:tplc="04180005" w:tentative="1">
      <w:start w:val="1"/>
      <w:numFmt w:val="bullet"/>
      <w:lvlText w:val=""/>
      <w:lvlJc w:val="left"/>
      <w:pPr>
        <w:ind w:left="1822" w:hanging="360"/>
      </w:pPr>
      <w:rPr>
        <w:rFonts w:ascii="Wingdings" w:hAnsi="Wingdings" w:hint="default"/>
      </w:rPr>
    </w:lvl>
    <w:lvl w:ilvl="3" w:tplc="04180001" w:tentative="1">
      <w:start w:val="1"/>
      <w:numFmt w:val="bullet"/>
      <w:lvlText w:val=""/>
      <w:lvlJc w:val="left"/>
      <w:pPr>
        <w:ind w:left="2542" w:hanging="360"/>
      </w:pPr>
      <w:rPr>
        <w:rFonts w:ascii="Symbol" w:hAnsi="Symbol" w:hint="default"/>
      </w:rPr>
    </w:lvl>
    <w:lvl w:ilvl="4" w:tplc="04180003" w:tentative="1">
      <w:start w:val="1"/>
      <w:numFmt w:val="bullet"/>
      <w:lvlText w:val="o"/>
      <w:lvlJc w:val="left"/>
      <w:pPr>
        <w:ind w:left="3262" w:hanging="360"/>
      </w:pPr>
      <w:rPr>
        <w:rFonts w:ascii="Courier New" w:hAnsi="Courier New" w:cs="Courier New" w:hint="default"/>
      </w:rPr>
    </w:lvl>
    <w:lvl w:ilvl="5" w:tplc="04180005" w:tentative="1">
      <w:start w:val="1"/>
      <w:numFmt w:val="bullet"/>
      <w:lvlText w:val=""/>
      <w:lvlJc w:val="left"/>
      <w:pPr>
        <w:ind w:left="3982" w:hanging="360"/>
      </w:pPr>
      <w:rPr>
        <w:rFonts w:ascii="Wingdings" w:hAnsi="Wingdings" w:hint="default"/>
      </w:rPr>
    </w:lvl>
    <w:lvl w:ilvl="6" w:tplc="04180001" w:tentative="1">
      <w:start w:val="1"/>
      <w:numFmt w:val="bullet"/>
      <w:lvlText w:val=""/>
      <w:lvlJc w:val="left"/>
      <w:pPr>
        <w:ind w:left="4702" w:hanging="360"/>
      </w:pPr>
      <w:rPr>
        <w:rFonts w:ascii="Symbol" w:hAnsi="Symbol" w:hint="default"/>
      </w:rPr>
    </w:lvl>
    <w:lvl w:ilvl="7" w:tplc="04180003" w:tentative="1">
      <w:start w:val="1"/>
      <w:numFmt w:val="bullet"/>
      <w:lvlText w:val="o"/>
      <w:lvlJc w:val="left"/>
      <w:pPr>
        <w:ind w:left="5422" w:hanging="360"/>
      </w:pPr>
      <w:rPr>
        <w:rFonts w:ascii="Courier New" w:hAnsi="Courier New" w:cs="Courier New" w:hint="default"/>
      </w:rPr>
    </w:lvl>
    <w:lvl w:ilvl="8" w:tplc="04180005" w:tentative="1">
      <w:start w:val="1"/>
      <w:numFmt w:val="bullet"/>
      <w:lvlText w:val=""/>
      <w:lvlJc w:val="left"/>
      <w:pPr>
        <w:ind w:left="6142" w:hanging="360"/>
      </w:pPr>
      <w:rPr>
        <w:rFonts w:ascii="Wingdings" w:hAnsi="Wingdings" w:hint="default"/>
      </w:rPr>
    </w:lvl>
  </w:abstractNum>
  <w:num w:numId="1" w16cid:durableId="1714847455">
    <w:abstractNumId w:val="4"/>
  </w:num>
  <w:num w:numId="2" w16cid:durableId="1394429117">
    <w:abstractNumId w:val="0"/>
  </w:num>
  <w:num w:numId="3" w16cid:durableId="1637448879">
    <w:abstractNumId w:val="3"/>
  </w:num>
  <w:num w:numId="4" w16cid:durableId="1382826107">
    <w:abstractNumId w:val="1"/>
  </w:num>
  <w:num w:numId="5" w16cid:durableId="1128662461">
    <w:abstractNumId w:val="5"/>
  </w:num>
  <w:num w:numId="6" w16cid:durableId="1893422955">
    <w:abstractNumId w:val="2"/>
  </w:num>
  <w:num w:numId="7" w16cid:durableId="798760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90"/>
    <w:rsid w:val="00007A21"/>
    <w:rsid w:val="00010E10"/>
    <w:rsid w:val="00012F42"/>
    <w:rsid w:val="00014F17"/>
    <w:rsid w:val="000337B9"/>
    <w:rsid w:val="00034965"/>
    <w:rsid w:val="00036CCF"/>
    <w:rsid w:val="00044295"/>
    <w:rsid w:val="000515CA"/>
    <w:rsid w:val="00071758"/>
    <w:rsid w:val="00076983"/>
    <w:rsid w:val="000857CB"/>
    <w:rsid w:val="00087276"/>
    <w:rsid w:val="00092CEE"/>
    <w:rsid w:val="000A0655"/>
    <w:rsid w:val="000A17E4"/>
    <w:rsid w:val="000B304F"/>
    <w:rsid w:val="000D1499"/>
    <w:rsid w:val="000E0962"/>
    <w:rsid w:val="000E3376"/>
    <w:rsid w:val="000F1D42"/>
    <w:rsid w:val="000F5300"/>
    <w:rsid w:val="001112D0"/>
    <w:rsid w:val="0013061E"/>
    <w:rsid w:val="00134289"/>
    <w:rsid w:val="0014265C"/>
    <w:rsid w:val="001508F6"/>
    <w:rsid w:val="00150F5A"/>
    <w:rsid w:val="0015107F"/>
    <w:rsid w:val="00151CBB"/>
    <w:rsid w:val="00161F5B"/>
    <w:rsid w:val="001766E4"/>
    <w:rsid w:val="001769E3"/>
    <w:rsid w:val="00187D15"/>
    <w:rsid w:val="001903D5"/>
    <w:rsid w:val="001A0406"/>
    <w:rsid w:val="001A04C4"/>
    <w:rsid w:val="001A1955"/>
    <w:rsid w:val="001B0275"/>
    <w:rsid w:val="001C0EAD"/>
    <w:rsid w:val="001C7219"/>
    <w:rsid w:val="001E6327"/>
    <w:rsid w:val="00201125"/>
    <w:rsid w:val="00202CC2"/>
    <w:rsid w:val="002046D4"/>
    <w:rsid w:val="00224C47"/>
    <w:rsid w:val="0022532A"/>
    <w:rsid w:val="00237360"/>
    <w:rsid w:val="0026097F"/>
    <w:rsid w:val="002728F6"/>
    <w:rsid w:val="00275577"/>
    <w:rsid w:val="002975E5"/>
    <w:rsid w:val="002A0FD1"/>
    <w:rsid w:val="002A3589"/>
    <w:rsid w:val="002A7401"/>
    <w:rsid w:val="002B3E67"/>
    <w:rsid w:val="002C0312"/>
    <w:rsid w:val="002C4855"/>
    <w:rsid w:val="002D56E0"/>
    <w:rsid w:val="002D7EED"/>
    <w:rsid w:val="002E176D"/>
    <w:rsid w:val="002F4153"/>
    <w:rsid w:val="003006C5"/>
    <w:rsid w:val="003163EF"/>
    <w:rsid w:val="0033236A"/>
    <w:rsid w:val="0036254E"/>
    <w:rsid w:val="00362D2C"/>
    <w:rsid w:val="003640EA"/>
    <w:rsid w:val="00367F1F"/>
    <w:rsid w:val="0038214C"/>
    <w:rsid w:val="0039147C"/>
    <w:rsid w:val="003A1A4C"/>
    <w:rsid w:val="003A2BA5"/>
    <w:rsid w:val="003A331C"/>
    <w:rsid w:val="003A3825"/>
    <w:rsid w:val="003A5240"/>
    <w:rsid w:val="003A7264"/>
    <w:rsid w:val="003C3617"/>
    <w:rsid w:val="003D7925"/>
    <w:rsid w:val="003E7279"/>
    <w:rsid w:val="003F33D0"/>
    <w:rsid w:val="00423F5C"/>
    <w:rsid w:val="0045605C"/>
    <w:rsid w:val="00456CBB"/>
    <w:rsid w:val="0045709A"/>
    <w:rsid w:val="00462010"/>
    <w:rsid w:val="00467196"/>
    <w:rsid w:val="00472252"/>
    <w:rsid w:val="00474981"/>
    <w:rsid w:val="00482997"/>
    <w:rsid w:val="004953FC"/>
    <w:rsid w:val="0049692E"/>
    <w:rsid w:val="004A7542"/>
    <w:rsid w:val="004D18C9"/>
    <w:rsid w:val="004D4CB6"/>
    <w:rsid w:val="00523AFB"/>
    <w:rsid w:val="0054145C"/>
    <w:rsid w:val="00542E96"/>
    <w:rsid w:val="00583979"/>
    <w:rsid w:val="00587E80"/>
    <w:rsid w:val="0059468F"/>
    <w:rsid w:val="005948E5"/>
    <w:rsid w:val="005969C2"/>
    <w:rsid w:val="005A19AA"/>
    <w:rsid w:val="005A2F32"/>
    <w:rsid w:val="005A7720"/>
    <w:rsid w:val="005B5514"/>
    <w:rsid w:val="005C18B5"/>
    <w:rsid w:val="005C7D50"/>
    <w:rsid w:val="005E03B2"/>
    <w:rsid w:val="005E0FC2"/>
    <w:rsid w:val="005F7DCA"/>
    <w:rsid w:val="0061073A"/>
    <w:rsid w:val="006116C5"/>
    <w:rsid w:val="00631582"/>
    <w:rsid w:val="00631E7B"/>
    <w:rsid w:val="00633453"/>
    <w:rsid w:val="00653A78"/>
    <w:rsid w:val="00660C30"/>
    <w:rsid w:val="0066685A"/>
    <w:rsid w:val="0067002F"/>
    <w:rsid w:val="006707D9"/>
    <w:rsid w:val="00672894"/>
    <w:rsid w:val="00684F7D"/>
    <w:rsid w:val="006A0014"/>
    <w:rsid w:val="006C0B77"/>
    <w:rsid w:val="006D366B"/>
    <w:rsid w:val="006E47CD"/>
    <w:rsid w:val="006F3790"/>
    <w:rsid w:val="007144FB"/>
    <w:rsid w:val="00716595"/>
    <w:rsid w:val="00717957"/>
    <w:rsid w:val="007205A6"/>
    <w:rsid w:val="00734442"/>
    <w:rsid w:val="00744B27"/>
    <w:rsid w:val="00756C4F"/>
    <w:rsid w:val="007625E6"/>
    <w:rsid w:val="00771DAE"/>
    <w:rsid w:val="00774849"/>
    <w:rsid w:val="00776230"/>
    <w:rsid w:val="00784283"/>
    <w:rsid w:val="007944E1"/>
    <w:rsid w:val="007960A6"/>
    <w:rsid w:val="007965A8"/>
    <w:rsid w:val="007968BC"/>
    <w:rsid w:val="00797041"/>
    <w:rsid w:val="007B3F3A"/>
    <w:rsid w:val="007C7632"/>
    <w:rsid w:val="007D1551"/>
    <w:rsid w:val="007E68DC"/>
    <w:rsid w:val="00810456"/>
    <w:rsid w:val="008128C9"/>
    <w:rsid w:val="00814682"/>
    <w:rsid w:val="00817B7F"/>
    <w:rsid w:val="0082188C"/>
    <w:rsid w:val="008242FF"/>
    <w:rsid w:val="00827E55"/>
    <w:rsid w:val="00835D46"/>
    <w:rsid w:val="008366BB"/>
    <w:rsid w:val="0084059C"/>
    <w:rsid w:val="0086008F"/>
    <w:rsid w:val="00870751"/>
    <w:rsid w:val="00873743"/>
    <w:rsid w:val="00881168"/>
    <w:rsid w:val="00881C34"/>
    <w:rsid w:val="008842F8"/>
    <w:rsid w:val="008915A3"/>
    <w:rsid w:val="008A22C9"/>
    <w:rsid w:val="008F0791"/>
    <w:rsid w:val="008F3D79"/>
    <w:rsid w:val="008F56D3"/>
    <w:rsid w:val="009065C4"/>
    <w:rsid w:val="009066CD"/>
    <w:rsid w:val="009143D1"/>
    <w:rsid w:val="00922C48"/>
    <w:rsid w:val="00931E74"/>
    <w:rsid w:val="00960B9D"/>
    <w:rsid w:val="00976604"/>
    <w:rsid w:val="009869BC"/>
    <w:rsid w:val="00995AB7"/>
    <w:rsid w:val="009A0DC2"/>
    <w:rsid w:val="009A1486"/>
    <w:rsid w:val="009E5E38"/>
    <w:rsid w:val="00A10F3C"/>
    <w:rsid w:val="00A42DA1"/>
    <w:rsid w:val="00A506E3"/>
    <w:rsid w:val="00A72ACF"/>
    <w:rsid w:val="00A75B16"/>
    <w:rsid w:val="00A77A09"/>
    <w:rsid w:val="00A92CC4"/>
    <w:rsid w:val="00A9453A"/>
    <w:rsid w:val="00AA6F9D"/>
    <w:rsid w:val="00AB4DF3"/>
    <w:rsid w:val="00AC1038"/>
    <w:rsid w:val="00AC49BE"/>
    <w:rsid w:val="00AC4B80"/>
    <w:rsid w:val="00AD2531"/>
    <w:rsid w:val="00AE499C"/>
    <w:rsid w:val="00AF58A4"/>
    <w:rsid w:val="00B3773C"/>
    <w:rsid w:val="00B46975"/>
    <w:rsid w:val="00B654D1"/>
    <w:rsid w:val="00B701E1"/>
    <w:rsid w:val="00B90F7B"/>
    <w:rsid w:val="00B915B7"/>
    <w:rsid w:val="00B94189"/>
    <w:rsid w:val="00BA3669"/>
    <w:rsid w:val="00BB4D7C"/>
    <w:rsid w:val="00BF04DE"/>
    <w:rsid w:val="00BF07DA"/>
    <w:rsid w:val="00C11407"/>
    <w:rsid w:val="00C1536C"/>
    <w:rsid w:val="00C31985"/>
    <w:rsid w:val="00C33E0B"/>
    <w:rsid w:val="00C4065E"/>
    <w:rsid w:val="00C41C8D"/>
    <w:rsid w:val="00C63BC7"/>
    <w:rsid w:val="00C66FA5"/>
    <w:rsid w:val="00C67D34"/>
    <w:rsid w:val="00C70643"/>
    <w:rsid w:val="00C70CFA"/>
    <w:rsid w:val="00C7337F"/>
    <w:rsid w:val="00C75ED8"/>
    <w:rsid w:val="00C76EF2"/>
    <w:rsid w:val="00C82D3D"/>
    <w:rsid w:val="00C8401F"/>
    <w:rsid w:val="00C85B77"/>
    <w:rsid w:val="00C91982"/>
    <w:rsid w:val="00CA1F49"/>
    <w:rsid w:val="00CB196B"/>
    <w:rsid w:val="00CC0EB2"/>
    <w:rsid w:val="00CC5109"/>
    <w:rsid w:val="00CC59D5"/>
    <w:rsid w:val="00CD507A"/>
    <w:rsid w:val="00CE0EDB"/>
    <w:rsid w:val="00CE1C6E"/>
    <w:rsid w:val="00CE37A9"/>
    <w:rsid w:val="00CE585C"/>
    <w:rsid w:val="00CF101C"/>
    <w:rsid w:val="00D15830"/>
    <w:rsid w:val="00D15EE6"/>
    <w:rsid w:val="00D160E2"/>
    <w:rsid w:val="00D2185A"/>
    <w:rsid w:val="00D23D8B"/>
    <w:rsid w:val="00D25F29"/>
    <w:rsid w:val="00D41791"/>
    <w:rsid w:val="00D617B7"/>
    <w:rsid w:val="00D61936"/>
    <w:rsid w:val="00D64A40"/>
    <w:rsid w:val="00D66447"/>
    <w:rsid w:val="00D767F3"/>
    <w:rsid w:val="00D76BCF"/>
    <w:rsid w:val="00D801D5"/>
    <w:rsid w:val="00D9730B"/>
    <w:rsid w:val="00D97D99"/>
    <w:rsid w:val="00DB22AD"/>
    <w:rsid w:val="00DC11C1"/>
    <w:rsid w:val="00DC3300"/>
    <w:rsid w:val="00DD326A"/>
    <w:rsid w:val="00DD3434"/>
    <w:rsid w:val="00E0106D"/>
    <w:rsid w:val="00E023FE"/>
    <w:rsid w:val="00E04917"/>
    <w:rsid w:val="00E04D55"/>
    <w:rsid w:val="00E0668A"/>
    <w:rsid w:val="00E06E68"/>
    <w:rsid w:val="00E1054F"/>
    <w:rsid w:val="00E12436"/>
    <w:rsid w:val="00E23F62"/>
    <w:rsid w:val="00E2641A"/>
    <w:rsid w:val="00E32EAE"/>
    <w:rsid w:val="00E4535D"/>
    <w:rsid w:val="00E62B3A"/>
    <w:rsid w:val="00E64623"/>
    <w:rsid w:val="00E704C4"/>
    <w:rsid w:val="00EA1DFD"/>
    <w:rsid w:val="00EA37F1"/>
    <w:rsid w:val="00EA59DF"/>
    <w:rsid w:val="00EB02CE"/>
    <w:rsid w:val="00EC1F76"/>
    <w:rsid w:val="00EC3F98"/>
    <w:rsid w:val="00ED144E"/>
    <w:rsid w:val="00ED61A9"/>
    <w:rsid w:val="00EE4070"/>
    <w:rsid w:val="00EE47CF"/>
    <w:rsid w:val="00EE72B7"/>
    <w:rsid w:val="00EF0695"/>
    <w:rsid w:val="00F11865"/>
    <w:rsid w:val="00F12C76"/>
    <w:rsid w:val="00F14854"/>
    <w:rsid w:val="00F17652"/>
    <w:rsid w:val="00F17668"/>
    <w:rsid w:val="00F21950"/>
    <w:rsid w:val="00F221BF"/>
    <w:rsid w:val="00F34318"/>
    <w:rsid w:val="00F35684"/>
    <w:rsid w:val="00F42391"/>
    <w:rsid w:val="00F54609"/>
    <w:rsid w:val="00F66A61"/>
    <w:rsid w:val="00F73353"/>
    <w:rsid w:val="00F75629"/>
    <w:rsid w:val="00F90E4D"/>
    <w:rsid w:val="00F94E74"/>
    <w:rsid w:val="00F97B1D"/>
    <w:rsid w:val="00FA2DD0"/>
    <w:rsid w:val="00FA4B43"/>
    <w:rsid w:val="00FB7213"/>
    <w:rsid w:val="00FC1751"/>
    <w:rsid w:val="00FD7DA5"/>
    <w:rsid w:val="00FF0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DFD"/>
    <w:pPr>
      <w:spacing w:line="240" w:lineRule="auto"/>
    </w:pPr>
    <w:rPr>
      <w:rFonts w:ascii="Times New Roman" w:eastAsia="Times New Roman" w:hAnsi="Times New Roman" w:cs="Times New Roman"/>
      <w:kern w:val="0"/>
      <w:sz w:val="28"/>
      <w:lang w:val="ro-RO"/>
      <w14:ligatures w14:val="none"/>
    </w:rPr>
  </w:style>
  <w:style w:type="paragraph" w:styleId="1">
    <w:name w:val="heading 1"/>
    <w:basedOn w:val="a"/>
    <w:next w:val="a"/>
    <w:link w:val="10"/>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4">
    <w:name w:val="heading 4"/>
    <w:basedOn w:val="a"/>
    <w:next w:val="a"/>
    <w:link w:val="40"/>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5">
    <w:name w:val="heading 5"/>
    <w:basedOn w:val="a"/>
    <w:next w:val="a"/>
    <w:link w:val="50"/>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6">
    <w:name w:val="heading 6"/>
    <w:basedOn w:val="a"/>
    <w:next w:val="a"/>
    <w:link w:val="60"/>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7">
    <w:name w:val="heading 7"/>
    <w:basedOn w:val="a"/>
    <w:next w:val="a"/>
    <w:link w:val="70"/>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8">
    <w:name w:val="heading 8"/>
    <w:basedOn w:val="a"/>
    <w:next w:val="a"/>
    <w:link w:val="80"/>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9">
    <w:name w:val="heading 9"/>
    <w:basedOn w:val="a"/>
    <w:next w:val="a"/>
    <w:link w:val="90"/>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7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37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3790"/>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6F3790"/>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6F379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F379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F379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F3790"/>
    <w:rPr>
      <w:rFonts w:eastAsiaTheme="majorEastAsia" w:cstheme="majorBidi"/>
      <w:color w:val="272727" w:themeColor="text1" w:themeTint="D8"/>
      <w:sz w:val="28"/>
    </w:rPr>
  </w:style>
  <w:style w:type="paragraph" w:styleId="a3">
    <w:name w:val="Title"/>
    <w:basedOn w:val="a"/>
    <w:next w:val="a"/>
    <w:link w:val="a4"/>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6F3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a6">
    <w:name w:val="Подзаголовок Знак"/>
    <w:basedOn w:val="a0"/>
    <w:link w:val="a5"/>
    <w:uiPriority w:val="11"/>
    <w:rsid w:val="006F37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22">
    <w:name w:val="Цитата 2 Знак"/>
    <w:basedOn w:val="a0"/>
    <w:link w:val="21"/>
    <w:uiPriority w:val="29"/>
    <w:rsid w:val="006F3790"/>
    <w:rPr>
      <w:rFonts w:ascii="Times New Roman" w:hAnsi="Times New Roman"/>
      <w:i/>
      <w:iCs/>
      <w:color w:val="404040" w:themeColor="text1" w:themeTint="BF"/>
      <w:sz w:val="28"/>
    </w:rPr>
  </w:style>
  <w:style w:type="paragraph" w:styleId="a7">
    <w:name w:val="List Paragraph"/>
    <w:basedOn w:val="a"/>
    <w:uiPriority w:val="34"/>
    <w:qFormat/>
    <w:rsid w:val="006F3790"/>
    <w:pPr>
      <w:ind w:left="720"/>
      <w:contextualSpacing/>
    </w:pPr>
    <w:rPr>
      <w:rFonts w:eastAsiaTheme="minorHAnsi" w:cstheme="minorBidi"/>
      <w:kern w:val="2"/>
      <w:lang w:val="ru-RU"/>
      <w14:ligatures w14:val="standardContextual"/>
    </w:rPr>
  </w:style>
  <w:style w:type="character" w:styleId="a8">
    <w:name w:val="Intense Emphasis"/>
    <w:basedOn w:val="a0"/>
    <w:uiPriority w:val="21"/>
    <w:qFormat/>
    <w:rsid w:val="006F3790"/>
    <w:rPr>
      <w:i/>
      <w:iCs/>
      <w:color w:val="0F4761" w:themeColor="accent1" w:themeShade="BF"/>
    </w:rPr>
  </w:style>
  <w:style w:type="paragraph" w:styleId="a9">
    <w:name w:val="Intense Quote"/>
    <w:basedOn w:val="a"/>
    <w:next w:val="a"/>
    <w:link w:val="aa"/>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aa">
    <w:name w:val="Выделенная цитата Знак"/>
    <w:basedOn w:val="a0"/>
    <w:link w:val="a9"/>
    <w:uiPriority w:val="30"/>
    <w:rsid w:val="006F3790"/>
    <w:rPr>
      <w:rFonts w:ascii="Times New Roman" w:hAnsi="Times New Roman"/>
      <w:i/>
      <w:iCs/>
      <w:color w:val="0F4761" w:themeColor="accent1" w:themeShade="BF"/>
      <w:sz w:val="28"/>
    </w:rPr>
  </w:style>
  <w:style w:type="character" w:styleId="ab">
    <w:name w:val="Intense Reference"/>
    <w:basedOn w:val="a0"/>
    <w:uiPriority w:val="32"/>
    <w:qFormat/>
    <w:rsid w:val="006F3790"/>
    <w:rPr>
      <w:b/>
      <w:bCs/>
      <w:smallCaps/>
      <w:color w:val="0F4761" w:themeColor="accent1" w:themeShade="BF"/>
      <w:spacing w:val="5"/>
    </w:rPr>
  </w:style>
  <w:style w:type="character" w:styleId="ac">
    <w:name w:val="Strong"/>
    <w:basedOn w:val="a0"/>
    <w:uiPriority w:val="22"/>
    <w:qFormat/>
    <w:rsid w:val="00814682"/>
    <w:rPr>
      <w:b/>
      <w:bCs/>
    </w:rPr>
  </w:style>
  <w:style w:type="character" w:styleId="ad">
    <w:name w:val="Emphasis"/>
    <w:basedOn w:val="a0"/>
    <w:uiPriority w:val="20"/>
    <w:qFormat/>
    <w:rsid w:val="00814682"/>
    <w:rPr>
      <w:i/>
      <w:iCs/>
    </w:rPr>
  </w:style>
  <w:style w:type="character" w:styleId="ae">
    <w:name w:val="Hyperlink"/>
    <w:basedOn w:val="a0"/>
    <w:uiPriority w:val="99"/>
    <w:unhideWhenUsed/>
    <w:rsid w:val="0054145C"/>
    <w:rPr>
      <w:color w:val="467886" w:themeColor="hyperlink"/>
      <w:u w:val="single"/>
    </w:rPr>
  </w:style>
  <w:style w:type="character" w:styleId="af">
    <w:name w:val="Unresolved Mention"/>
    <w:basedOn w:val="a0"/>
    <w:uiPriority w:val="99"/>
    <w:semiHidden/>
    <w:unhideWhenUsed/>
    <w:rsid w:val="0054145C"/>
    <w:rPr>
      <w:color w:val="605E5C"/>
      <w:shd w:val="clear" w:color="auto" w:fill="E1DFDD"/>
    </w:rPr>
  </w:style>
  <w:style w:type="character" w:styleId="af0">
    <w:name w:val="FollowedHyperlink"/>
    <w:basedOn w:val="a0"/>
    <w:uiPriority w:val="99"/>
    <w:semiHidden/>
    <w:unhideWhenUsed/>
    <w:rsid w:val="00C1536C"/>
    <w:rPr>
      <w:color w:val="96607D" w:themeColor="followedHyperlink"/>
      <w:u w:val="single"/>
    </w:rPr>
  </w:style>
  <w:style w:type="character" w:styleId="af1">
    <w:name w:val="annotation reference"/>
    <w:basedOn w:val="a0"/>
    <w:uiPriority w:val="99"/>
    <w:semiHidden/>
    <w:unhideWhenUsed/>
    <w:rsid w:val="009066CD"/>
    <w:rPr>
      <w:sz w:val="16"/>
      <w:szCs w:val="16"/>
    </w:rPr>
  </w:style>
  <w:style w:type="paragraph" w:styleId="af2">
    <w:name w:val="annotation text"/>
    <w:basedOn w:val="a"/>
    <w:link w:val="af3"/>
    <w:uiPriority w:val="99"/>
    <w:semiHidden/>
    <w:unhideWhenUsed/>
    <w:rsid w:val="009066CD"/>
    <w:rPr>
      <w:sz w:val="20"/>
      <w:szCs w:val="20"/>
    </w:rPr>
  </w:style>
  <w:style w:type="character" w:customStyle="1" w:styleId="af3">
    <w:name w:val="Текст примечания Знак"/>
    <w:basedOn w:val="a0"/>
    <w:link w:val="af2"/>
    <w:uiPriority w:val="99"/>
    <w:semiHidden/>
    <w:rsid w:val="009066CD"/>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semiHidden/>
    <w:unhideWhenUsed/>
    <w:rsid w:val="009066CD"/>
    <w:rPr>
      <w:b/>
      <w:bCs/>
    </w:rPr>
  </w:style>
  <w:style w:type="character" w:customStyle="1" w:styleId="af5">
    <w:name w:val="Тема примечания Знак"/>
    <w:basedOn w:val="af3"/>
    <w:link w:val="af4"/>
    <w:uiPriority w:val="99"/>
    <w:semiHidden/>
    <w:rsid w:val="009066CD"/>
    <w:rPr>
      <w:rFonts w:ascii="Times New Roman" w:eastAsia="Times New Roman" w:hAnsi="Times New Roman" w:cs="Times New Roman"/>
      <w:b/>
      <w:bCs/>
      <w:kern w:val="0"/>
      <w:sz w:val="20"/>
      <w:szCs w:val="20"/>
      <w:lang w:val="ro-RO"/>
      <w14:ligatures w14:val="none"/>
    </w:rPr>
  </w:style>
  <w:style w:type="paragraph" w:styleId="af6">
    <w:name w:val="Normal (Web)"/>
    <w:basedOn w:val="a"/>
    <w:uiPriority w:val="99"/>
    <w:unhideWhenUsed/>
    <w:rsid w:val="00D23D8B"/>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7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723C-610E-4572-B577-30AA58F1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4922</Words>
  <Characters>28058</Characters>
  <Application>Microsoft Office Word</Application>
  <DocSecurity>0</DocSecurity>
  <Lines>233</Lines>
  <Paragraphs>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Vergiliu Lotca</cp:lastModifiedBy>
  <cp:revision>41</cp:revision>
  <dcterms:created xsi:type="dcterms:W3CDTF">2026-03-03T06:35:00Z</dcterms:created>
  <dcterms:modified xsi:type="dcterms:W3CDTF">2026-05-04T13:20:00Z</dcterms:modified>
</cp:coreProperties>
</file>