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DCA7B" w14:textId="6E304A52" w:rsidR="00A0609F" w:rsidRPr="006965AA" w:rsidRDefault="00A0609F" w:rsidP="006965AA">
      <w:pPr>
        <w:jc w:val="right"/>
        <w:rPr>
          <w:rFonts w:ascii="Times New Roman" w:hAnsi="Times New Roman" w:cs="Times New Roman"/>
          <w:sz w:val="28"/>
          <w:szCs w:val="36"/>
          <w:u w:val="single"/>
          <w:lang w:val="ro-RO"/>
        </w:rPr>
      </w:pPr>
      <w:r w:rsidRPr="00B745B4">
        <w:rPr>
          <w:rFonts w:ascii="Times New Roman" w:hAnsi="Times New Roman" w:cs="Times New Roman"/>
          <w:sz w:val="28"/>
          <w:szCs w:val="36"/>
          <w:u w:val="single"/>
          <w:lang w:val="ro-RO"/>
        </w:rPr>
        <w:t>Proiect</w:t>
      </w:r>
    </w:p>
    <w:p w14:paraId="1362C027" w14:textId="4DA01F8E" w:rsidR="00A0609F" w:rsidRPr="00B745B4" w:rsidRDefault="00A0609F" w:rsidP="006965AA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GUVERNUL REPUBLICII MOLDOVA</w:t>
      </w:r>
    </w:p>
    <w:p w14:paraId="4E724234" w14:textId="7F6A5591" w:rsidR="00A0609F" w:rsidRPr="00B745B4" w:rsidRDefault="003634A6" w:rsidP="00A0609F">
      <w:pPr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sz w:val="28"/>
          <w:szCs w:val="28"/>
          <w:lang w:val="ro-RO"/>
        </w:rPr>
        <w:t>HOTĂRÂRE</w:t>
      </w:r>
      <w:r w:rsidR="00A0609F" w:rsidRPr="00B745B4">
        <w:rPr>
          <w:rFonts w:ascii="Times New Roman" w:hAnsi="Times New Roman" w:cs="Times New Roman"/>
          <w:b/>
          <w:sz w:val="28"/>
          <w:szCs w:val="28"/>
          <w:lang w:val="ro-RO"/>
        </w:rPr>
        <w:t xml:space="preserve"> nr. ____</w:t>
      </w:r>
    </w:p>
    <w:p w14:paraId="1EF12447" w14:textId="4370B7CC" w:rsidR="00A0609F" w:rsidRPr="00357684" w:rsidRDefault="00A0609F" w:rsidP="00357684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357684">
        <w:rPr>
          <w:rFonts w:ascii="Times New Roman" w:hAnsi="Times New Roman" w:cs="Times New Roman"/>
          <w:b/>
          <w:bCs/>
          <w:sz w:val="28"/>
          <w:szCs w:val="28"/>
          <w:lang w:val="ro-RO"/>
        </w:rPr>
        <w:t>din  _____________</w:t>
      </w:r>
      <w:r w:rsidR="00B745B4" w:rsidRPr="0035768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Pr="00357684">
        <w:rPr>
          <w:rFonts w:ascii="Times New Roman" w:hAnsi="Times New Roman" w:cs="Times New Roman"/>
          <w:b/>
          <w:bCs/>
          <w:sz w:val="28"/>
          <w:szCs w:val="28"/>
          <w:lang w:val="ro-RO"/>
        </w:rPr>
        <w:t>202</w:t>
      </w:r>
      <w:r w:rsidR="00357684" w:rsidRPr="00357684">
        <w:rPr>
          <w:rFonts w:ascii="Times New Roman" w:hAnsi="Times New Roman" w:cs="Times New Roman"/>
          <w:b/>
          <w:bCs/>
          <w:sz w:val="28"/>
          <w:szCs w:val="28"/>
          <w:lang w:val="ro-RO"/>
        </w:rPr>
        <w:t>6</w:t>
      </w:r>
    </w:p>
    <w:p w14:paraId="240972EA" w14:textId="77777777" w:rsidR="00A0609F" w:rsidRPr="00B745B4" w:rsidRDefault="00A0609F" w:rsidP="00A0609F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>Chișinău</w:t>
      </w:r>
    </w:p>
    <w:p w14:paraId="352F6BF8" w14:textId="46A42544" w:rsidR="002C16A5" w:rsidRPr="00B745B4" w:rsidRDefault="002C16A5" w:rsidP="00FB0840">
      <w:pPr>
        <w:pStyle w:val="Frspaiere"/>
        <w:spacing w:line="276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20EA092A" w14:textId="74DF9766" w:rsidR="002C16A5" w:rsidRPr="00241732" w:rsidRDefault="00406308" w:rsidP="00AE30F1">
      <w:pPr>
        <w:pStyle w:val="Frspaiere"/>
        <w:spacing w:line="276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privind </w:t>
      </w:r>
      <w:r w:rsidR="00B1167D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acordul  de </w:t>
      </w:r>
      <w:r w:rsidRPr="00B745B4">
        <w:rPr>
          <w:rFonts w:ascii="Times New Roman" w:hAnsi="Times New Roman" w:cs="Times New Roman"/>
          <w:b/>
          <w:bCs/>
          <w:sz w:val="28"/>
          <w:szCs w:val="28"/>
          <w:lang w:val="ro-RO"/>
        </w:rPr>
        <w:t>transmiter</w:t>
      </w:r>
      <w:r w:rsidR="00B1167D">
        <w:rPr>
          <w:rFonts w:ascii="Times New Roman" w:hAnsi="Times New Roman" w:cs="Times New Roman"/>
          <w:b/>
          <w:bCs/>
          <w:sz w:val="28"/>
          <w:szCs w:val="28"/>
          <w:lang w:val="ro-RO"/>
        </w:rPr>
        <w:t>e</w:t>
      </w:r>
      <w:r w:rsidR="001133DB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cu titlu gratuit, </w:t>
      </w:r>
      <w:r w:rsidR="00957AB7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713956" w:rsidRPr="008F52F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din proprietatea unităților administrativ teritoriale, </w:t>
      </w:r>
      <w:r w:rsidR="001133DB" w:rsidRPr="008F52F6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proprietatea statului</w:t>
      </w:r>
      <w:r w:rsidR="00713956" w:rsidRPr="008F52F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, </w:t>
      </w:r>
      <w:r w:rsidR="00713956" w:rsidRPr="008F52F6">
        <w:rPr>
          <w:rFonts w:ascii="Times New Roman" w:hAnsi="Times New Roman" w:cs="Times New Roman"/>
          <w:b/>
          <w:bCs/>
          <w:sz w:val="28"/>
          <w:szCs w:val="28"/>
          <w:lang w:val="ro-MD"/>
        </w:rPr>
        <w:t>a</w:t>
      </w:r>
      <w:r w:rsidR="00713956" w:rsidRPr="006F235A">
        <w:rPr>
          <w:rFonts w:ascii="Times New Roman" w:hAnsi="Times New Roman" w:cs="Times New Roman"/>
          <w:b/>
          <w:bCs/>
          <w:sz w:val="28"/>
          <w:szCs w:val="28"/>
          <w:lang w:val="ro-MD"/>
        </w:rPr>
        <w:t xml:space="preserve"> unor terenuri</w:t>
      </w:r>
      <w:r w:rsidR="00942053" w:rsidRPr="00942053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AE30F1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(în scopul 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dezvolt</w:t>
      </w:r>
      <w:r w:rsid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ă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r</w:t>
      </w:r>
      <w:r w:rsid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ii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a infrastructurii regionale de gestionare a deșeurilor</w:t>
      </w:r>
      <w:r w:rsidR="004B00B6" w:rsidRPr="00FB0840">
        <w:rPr>
          <w:lang w:val="ro-RO"/>
        </w:rPr>
        <w:t xml:space="preserve"> </w:t>
      </w:r>
      <w:r w:rsidR="004B00B6">
        <w:rPr>
          <w:lang w:val="ro-RO"/>
        </w:rPr>
        <w:t xml:space="preserve"> </w:t>
      </w:r>
      <w:r w:rsidR="004B00B6" w:rsidRPr="00FB0840">
        <w:rPr>
          <w:rFonts w:ascii="Times New Roman" w:hAnsi="Times New Roman" w:cs="Times New Roman"/>
          <w:b/>
          <w:bCs/>
          <w:sz w:val="28"/>
          <w:szCs w:val="28"/>
          <w:lang w:val="ro-RO"/>
        </w:rPr>
        <w:t>în</w:t>
      </w:r>
      <w:r w:rsidR="004B00B6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cadrul Proiectului </w:t>
      </w:r>
      <w:r w:rsidR="00E83113">
        <w:rPr>
          <w:rFonts w:ascii="Times New Roman" w:hAnsi="Times New Roman" w:cs="Times New Roman"/>
          <w:b/>
          <w:bCs/>
          <w:sz w:val="28"/>
          <w:szCs w:val="28"/>
          <w:lang w:val="ro-RO"/>
        </w:rPr>
        <w:t>„</w:t>
      </w:r>
      <w:r w:rsidR="004D32C9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Deșeuri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solide</w:t>
      </w:r>
      <w:r w:rsid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în Republica Moldova</w:t>
      </w:r>
      <w:r w:rsidR="00E83113">
        <w:rPr>
          <w:rFonts w:ascii="Times New Roman" w:hAnsi="Times New Roman" w:cs="Times New Roman"/>
          <w:b/>
          <w:bCs/>
          <w:sz w:val="28"/>
          <w:szCs w:val="28"/>
          <w:lang w:val="ro-RO"/>
        </w:rPr>
        <w:t>”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, aferent regiuni</w:t>
      </w:r>
      <w:r w:rsid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lor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de</w:t>
      </w:r>
      <w:r w:rsidR="004D32C9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management al </w:t>
      </w:r>
      <w:r w:rsidR="004D32C9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deșeurilor</w:t>
      </w:r>
      <w:r w:rsidR="004B00B6" w:rsidRP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nr.</w:t>
      </w:r>
      <w:r w:rsidR="004B00B6">
        <w:rPr>
          <w:rFonts w:ascii="Times New Roman" w:hAnsi="Times New Roman" w:cs="Times New Roman"/>
          <w:b/>
          <w:bCs/>
          <w:sz w:val="28"/>
          <w:szCs w:val="28"/>
          <w:lang w:val="ro-RO"/>
        </w:rPr>
        <w:t>1, 2, 4 și 7 )</w:t>
      </w:r>
    </w:p>
    <w:p w14:paraId="62DBBBB5" w14:textId="193F01E0" w:rsidR="002C16A5" w:rsidRPr="002C16A5" w:rsidRDefault="002C16A5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C16A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În temeiul </w:t>
      </w:r>
      <w:r w:rsidR="00F04687" w:rsidRP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art.5 lit.</w:t>
      </w:r>
      <w:r w:rsid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F04687" w:rsidRP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j) </w:t>
      </w:r>
      <w:proofErr w:type="spellStart"/>
      <w:r w:rsidR="00F04687" w:rsidRP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şi</w:t>
      </w:r>
      <w:proofErr w:type="spellEnd"/>
      <w:r w:rsidR="00F04687" w:rsidRP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art.</w:t>
      </w:r>
      <w:r w:rsid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F04687" w:rsidRP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16 alin.</w:t>
      </w:r>
      <w:r w:rsid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F04687" w:rsidRPr="00F04687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(4) din Codul funciar nr.22/2024 (Monitorul Oficial al Republicii Moldova, 2024, nr.93-95, art.137), cu modificările ulterioare</w:t>
      </w:r>
      <w:r w:rsidR="004B00B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,</w:t>
      </w:r>
      <w:r w:rsidR="00F32BEE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F32BEE" w:rsidRPr="00F32BEE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și art. 14 alin. (1) lit. b) din Legea nr. 121/2007 privind administrarea și deetanizarea proprietății publice ( Monitorul Oficial al Republicii Moldova, 2007, nr. 90-93, art.401), cu modificările ulterioare, </w:t>
      </w:r>
      <w:r w:rsidRPr="002C16A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Guvernul HOTĂRĂȘTE:</w:t>
      </w:r>
    </w:p>
    <w:p w14:paraId="22BCEC0B" w14:textId="37F2048E" w:rsidR="002C16A5" w:rsidRPr="00AE30F1" w:rsidRDefault="005B76B2" w:rsidP="00AE30F1">
      <w:pPr>
        <w:pStyle w:val="Listparagraf"/>
        <w:numPr>
          <w:ilvl w:val="0"/>
          <w:numId w:val="2"/>
        </w:numPr>
        <w:spacing w:before="100" w:beforeAutospacing="1" w:after="0" w:line="240" w:lineRule="auto"/>
        <w:ind w:left="0" w:firstLine="426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Se acceptă </w:t>
      </w:r>
      <w:r w:rsidR="00713956"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transmiterea cu titlu gratuit a unor terenuri </w:t>
      </w:r>
      <w:r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din proprietatea publică a unităților administrativ-teritoriale</w:t>
      </w:r>
      <w:r w:rsidR="002202D5"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:</w:t>
      </w:r>
      <w:r w:rsidR="00AE30F1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municipiul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Cahul, orașul Taraclia, comun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a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Cania 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raionul Cantemir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)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, municipiul Comrat, satul Feștelița 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raionul Ștefan Vodă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)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, satul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Sălcuța 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raionul Căușeni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)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, orașul Leova, orașul Iargara 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raionul Leova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)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,  satul </w:t>
      </w:r>
      <w:proofErr w:type="spellStart"/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Bolohan</w:t>
      </w:r>
      <w:proofErr w:type="spellEnd"/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 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raionul Orhei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)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, municipiul </w:t>
      </w:r>
      <w:proofErr w:type="spellStart"/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Hîncești</w:t>
      </w:r>
      <w:proofErr w:type="spellEnd"/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, municipiu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l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Strășeni, satul Costești 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raionul Ialoveni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)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, orașul </w:t>
      </w:r>
      <w:proofErr w:type="spellStart"/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Rîșcani</w:t>
      </w:r>
      <w:proofErr w:type="spellEnd"/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, satului Parcani  </w:t>
      </w:r>
      <w:r w:rsidR="002202D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(</w:t>
      </w:r>
      <w:r w:rsidR="001750D9" w:rsidRPr="001750D9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raionul Șoldănești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), </w:t>
      </w:r>
      <w:r w:rsidRPr="005B76B2">
        <w:rPr>
          <w:lang w:val="ro-RO"/>
        </w:rPr>
        <w:t xml:space="preserve"> </w:t>
      </w:r>
      <w:r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în proprietatea statului, administrarea Agenției Proprietății Publice</w:t>
      </w:r>
      <w:r w:rsidR="00713956"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, </w:t>
      </w:r>
      <w:r w:rsidR="008F52F6"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în scopul dezvoltării a infrastructurii regionale de gestionare a deșeurilor  în cadrul Proiectului „Deșeuri solide în Republica Moldova”, aferent regiunilor de management al deșeurilor nr.1, 2, 4 și 7</w:t>
      </w:r>
      <w:r w:rsid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,</w:t>
      </w:r>
      <w:r w:rsidR="008F52F6"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 xml:space="preserve"> </w:t>
      </w:r>
      <w:r w:rsidR="00713956"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conform anexei</w:t>
      </w:r>
      <w:r w:rsidRPr="008F52F6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.</w:t>
      </w:r>
    </w:p>
    <w:p w14:paraId="44B81AF1" w14:textId="77777777" w:rsidR="002C16A5" w:rsidRPr="002C16A5" w:rsidRDefault="002C16A5" w:rsidP="002C16A5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C16A5">
        <w:rPr>
          <w:rFonts w:ascii="Times New Roman" w:eastAsia="Times New Roman" w:hAnsi="Times New Roman" w:cs="Times New Roman"/>
          <w:color w:val="333333"/>
          <w:sz w:val="24"/>
          <w:szCs w:val="24"/>
          <w:lang w:val="ro-RO" w:eastAsia="ru-RU"/>
        </w:rPr>
        <w:t>2. Prezenta hotărâre intră în vigoare la data publicării în Monitorul Oficial al Republicii Moldova.</w:t>
      </w:r>
    </w:p>
    <w:p w14:paraId="59D5FC2A" w14:textId="21AA0086" w:rsidR="00E06374" w:rsidRDefault="002C16A5" w:rsidP="008F52F6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2C16A5"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  <w:t> </w:t>
      </w:r>
    </w:p>
    <w:p w14:paraId="486CA6EE" w14:textId="77777777" w:rsidR="008F52F6" w:rsidRPr="002C16A5" w:rsidRDefault="008F52F6" w:rsidP="008F52F6">
      <w:pPr>
        <w:spacing w:before="100" w:beforeAutospacing="1" w:after="0" w:line="240" w:lineRule="auto"/>
        <w:ind w:firstLine="539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</w:p>
    <w:p w14:paraId="7BFDDB91" w14:textId="1087F61D" w:rsidR="00A90314" w:rsidRPr="00AE30F1" w:rsidRDefault="002C16A5" w:rsidP="00AE30F1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val="ro-RO" w:eastAsia="ru-RU"/>
        </w:rPr>
      </w:pPr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PRIM-MINISTRU                                                                  </w:t>
      </w:r>
      <w:r w:rsidR="00B22ED8" w:rsidRPr="00B22ED8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Alexandru MUNTEANU</w:t>
      </w:r>
    </w:p>
    <w:p w14:paraId="60199318" w14:textId="77777777" w:rsidR="00AE30F1" w:rsidRDefault="00AE30F1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71235565" w14:textId="4AF97C12" w:rsidR="002C16A5" w:rsidRPr="00B745B4" w:rsidRDefault="002C16A5" w:rsidP="002C16A5">
      <w:pPr>
        <w:spacing w:before="100" w:beforeAutospacing="1" w:after="0" w:line="240" w:lineRule="auto"/>
        <w:ind w:firstLine="851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</w:pPr>
      <w:r w:rsidRPr="009942C0">
        <w:rPr>
          <w:rFonts w:ascii="Times New Roman" w:eastAsia="Times New Roman" w:hAnsi="Times New Roman" w:cs="Times New Roman"/>
          <w:b/>
          <w:bCs/>
          <w:sz w:val="24"/>
          <w:szCs w:val="24"/>
          <w:lang w:val="ro-RO" w:eastAsia="ru-RU"/>
        </w:rPr>
        <w:t>Contrasemnează:</w:t>
      </w:r>
    </w:p>
    <w:p w14:paraId="61BB62CC" w14:textId="6F42C6F6" w:rsidR="002C16A5" w:rsidRPr="00B745B4" w:rsidRDefault="002C16A5" w:rsidP="007978E3">
      <w:pPr>
        <w:pStyle w:val="Frspaiere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09C2C90D" w14:textId="77777777" w:rsidR="00A90314" w:rsidRPr="00B745B4" w:rsidRDefault="00A90314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6CCA08F1" w14:textId="77777777" w:rsidR="002C16A5" w:rsidRPr="00B745B4" w:rsidRDefault="002C16A5" w:rsidP="002C16A5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</w:p>
    <w:p w14:paraId="075938FC" w14:textId="502CEC10" w:rsidR="00EF087E" w:rsidRDefault="002C16A5" w:rsidP="00AE30F1">
      <w:pPr>
        <w:pStyle w:val="Frspaiere"/>
        <w:ind w:firstLine="851"/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Ministrul </w:t>
      </w:r>
      <w:r w:rsidRPr="0035768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Mediului                                                            </w:t>
      </w:r>
      <w:r w:rsidR="0035768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          </w:t>
      </w:r>
      <w:r w:rsidRPr="0035768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  </w:t>
      </w:r>
      <w:r w:rsidR="00357684" w:rsidRPr="00357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Gheorghe </w:t>
      </w:r>
      <w:proofErr w:type="spellStart"/>
      <w:r w:rsidR="00357684" w:rsidRPr="00357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>HAJDER</w:t>
      </w:r>
      <w:proofErr w:type="spellEnd"/>
      <w:r w:rsidR="00357684" w:rsidRPr="0035768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val="ro-RO"/>
        </w:rPr>
        <w:t xml:space="preserve">    </w:t>
      </w:r>
      <w:r w:rsidR="00357684" w:rsidRPr="00357684">
        <w:rPr>
          <w:rFonts w:ascii="Times New Roman" w:eastAsia="Times New Roman" w:hAnsi="Times New Roman" w:cs="Times New Roman"/>
          <w:b/>
          <w:bCs/>
          <w:color w:val="000000"/>
          <w:lang w:val="ro-RO"/>
        </w:rPr>
        <w:t xml:space="preserve">                                                                </w:t>
      </w:r>
      <w:r w:rsidRPr="00357684">
        <w:rPr>
          <w:rFonts w:ascii="Times New Roman" w:hAnsi="Times New Roman" w:cs="Times New Roman"/>
          <w:b/>
          <w:bCs/>
          <w:sz w:val="24"/>
          <w:szCs w:val="24"/>
          <w:lang w:val="ro-RO" w:eastAsia="ru-RU"/>
        </w:rPr>
        <w:t xml:space="preserve">    </w:t>
      </w:r>
    </w:p>
    <w:p w14:paraId="67AB113E" w14:textId="77777777" w:rsidR="00EF087E" w:rsidRDefault="00EF087E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FEF484F" w14:textId="77777777" w:rsidR="007978E3" w:rsidRDefault="007978E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2DD413BE" w14:textId="77777777" w:rsidR="007978E3" w:rsidRDefault="007978E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2565307" w14:textId="77777777" w:rsidR="00632703" w:rsidRDefault="0063270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51409A7F" w14:textId="77777777" w:rsidR="007978E3" w:rsidRDefault="007978E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0FD1F18" w14:textId="3C061AD8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Anexă  </w:t>
      </w:r>
    </w:p>
    <w:p w14:paraId="399EC418" w14:textId="0D71BC4B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/>
        </w:rPr>
        <w:t>la Hotărârea Guvernului</w:t>
      </w:r>
      <w:r w:rsidR="00696FAC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nr. __/2026</w:t>
      </w:r>
    </w:p>
    <w:p w14:paraId="1AD5A79C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118BCBD0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3B16B09F" w14:textId="77777777" w:rsidR="00762953" w:rsidRPr="00B745B4" w:rsidRDefault="00762953" w:rsidP="00762953">
      <w:pPr>
        <w:pStyle w:val="Frspaiere"/>
        <w:jc w:val="right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</w:p>
    <w:p w14:paraId="7082973B" w14:textId="77777777" w:rsidR="00762953" w:rsidRPr="00B745B4" w:rsidRDefault="00762953" w:rsidP="00762953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B745B4">
        <w:rPr>
          <w:rFonts w:ascii="Times New Roman" w:hAnsi="Times New Roman" w:cs="Times New Roman"/>
          <w:b/>
          <w:bCs/>
          <w:sz w:val="24"/>
          <w:szCs w:val="24"/>
          <w:lang w:val="ro-RO"/>
        </w:rPr>
        <w:t>LISTA</w:t>
      </w:r>
    </w:p>
    <w:p w14:paraId="5CF0999C" w14:textId="77777777" w:rsidR="00762953" w:rsidRPr="00B745B4" w:rsidRDefault="00762953" w:rsidP="00762953">
      <w:pPr>
        <w:pStyle w:val="Frspaiere"/>
        <w:jc w:val="center"/>
        <w:rPr>
          <w:rFonts w:ascii="Times New Roman" w:hAnsi="Times New Roman" w:cs="Times New Roman"/>
          <w:b/>
          <w:bCs/>
          <w:lang w:val="ro-RO"/>
        </w:rPr>
      </w:pPr>
    </w:p>
    <w:p w14:paraId="00432F08" w14:textId="774A753B" w:rsidR="00696FAC" w:rsidRPr="00547A42" w:rsidRDefault="001133DB" w:rsidP="00696FAC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lang w:val="ro-RO"/>
        </w:rPr>
      </w:pPr>
      <w:r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terenurilor</w:t>
      </w:r>
      <w:r w:rsidR="00696FAC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propuse pentru transmitere din proprietatea </w:t>
      </w:r>
      <w:r w:rsidR="007966EF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publică a </w:t>
      </w:r>
      <w:r w:rsidR="00696FAC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unităților</w:t>
      </w:r>
    </w:p>
    <w:p w14:paraId="68B4142E" w14:textId="1B159C0A" w:rsidR="00696FAC" w:rsidRPr="00547A42" w:rsidRDefault="00696FAC" w:rsidP="00547A42">
      <w:pPr>
        <w:pStyle w:val="Frspaiere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val="ro-RO"/>
        </w:rPr>
      </w:pPr>
      <w:r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administrativ-teritoriale </w:t>
      </w:r>
      <w:r w:rsidR="0030468A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municipiului Cahul, orașului</w:t>
      </w:r>
      <w:r w:rsidR="007966EF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Taraclia, comunei Cania din raionul Cantemir, municipiului Comrat, satului Feștelița raionul Ștefan Vodă, satului Sălcuța raionul Căușeni, orașului Leova, </w:t>
      </w:r>
      <w:r w:rsidR="007966EF" w:rsidRPr="0008392A">
        <w:rPr>
          <w:rFonts w:ascii="Times New Roman" w:hAnsi="Times New Roman" w:cs="Times New Roman"/>
          <w:b/>
          <w:bCs/>
          <w:sz w:val="24"/>
          <w:szCs w:val="24"/>
          <w:lang w:val="ro-RO"/>
        </w:rPr>
        <w:t>orașului Iargara raionul Leova</w:t>
      </w:r>
      <w:r w:rsidR="00851DF7" w:rsidRPr="000839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30468A" w:rsidRPr="0008392A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satului </w:t>
      </w:r>
      <w:proofErr w:type="spellStart"/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Bolohan</w:t>
      </w:r>
      <w:proofErr w:type="spellEnd"/>
      <w:r w:rsid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raionul Orhei</w:t>
      </w:r>
      <w:r w:rsid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municipiului </w:t>
      </w:r>
      <w:proofErr w:type="spellStart"/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Hîncești</w:t>
      </w:r>
      <w:proofErr w:type="spellEnd"/>
      <w:r w:rsid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municipiu Strășeni</w:t>
      </w:r>
      <w:r w:rsid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,</w:t>
      </w:r>
      <w:r w:rsidR="00547A42" w:rsidRPr="00547A42">
        <w:rPr>
          <w:lang w:val="ro-RO"/>
        </w:rPr>
        <w:t xml:space="preserve">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satului Costești raionul Ialoveni</w:t>
      </w:r>
      <w:r w:rsid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orașul </w:t>
      </w:r>
      <w:proofErr w:type="spellStart"/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Rîșcani</w:t>
      </w:r>
      <w:proofErr w:type="spellEnd"/>
      <w:r w:rsid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,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>satului Parcani</w:t>
      </w:r>
      <w:r w:rsid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</w:t>
      </w:r>
      <w:r w:rsidR="00547A42" w:rsidRPr="00547A42">
        <w:rPr>
          <w:rFonts w:ascii="Times New Roman" w:hAnsi="Times New Roman" w:cs="Times New Roman"/>
          <w:b/>
          <w:bCs/>
          <w:sz w:val="24"/>
          <w:szCs w:val="24"/>
          <w:lang w:val="ro-RO"/>
        </w:rPr>
        <w:t xml:space="preserve"> raionul Șoldănești</w:t>
      </w:r>
    </w:p>
    <w:p w14:paraId="1974DE3F" w14:textId="426F10CF" w:rsidR="00762953" w:rsidRPr="00B745B4" w:rsidRDefault="00696FAC" w:rsidP="00696FAC">
      <w:pPr>
        <w:pStyle w:val="Frspaiere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  <w:r w:rsidRPr="00696FAC">
        <w:rPr>
          <w:rFonts w:ascii="Times New Roman" w:hAnsi="Times New Roman" w:cs="Times New Roman"/>
          <w:sz w:val="20"/>
          <w:szCs w:val="20"/>
          <w:lang w:val="ro-RO"/>
        </w:rPr>
        <w:br/>
      </w:r>
      <w:r>
        <w:rPr>
          <w:rFonts w:ascii="Times New Roman" w:hAnsi="Times New Roman" w:cs="Times New Roman"/>
          <w:sz w:val="20"/>
          <w:szCs w:val="20"/>
          <w:lang w:val="ro-RO"/>
        </w:rPr>
        <w:t xml:space="preserve"> </w:t>
      </w:r>
    </w:p>
    <w:p w14:paraId="337ED6F4" w14:textId="77777777" w:rsidR="00762953" w:rsidRPr="00B745B4" w:rsidRDefault="00762953" w:rsidP="00762953">
      <w:pPr>
        <w:pStyle w:val="Frspaiere"/>
        <w:jc w:val="center"/>
        <w:rPr>
          <w:rFonts w:ascii="Times New Roman" w:eastAsia="Times New Roman" w:hAnsi="Times New Roman" w:cs="Times New Roman"/>
          <w:sz w:val="20"/>
          <w:szCs w:val="20"/>
          <w:lang w:val="ro-RO" w:eastAsia="ru-RU"/>
        </w:rPr>
      </w:pPr>
    </w:p>
    <w:tbl>
      <w:tblPr>
        <w:tblStyle w:val="Tabelgril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6378"/>
        <w:gridCol w:w="1418"/>
        <w:gridCol w:w="1128"/>
      </w:tblGrid>
      <w:tr w:rsidR="00696FAC" w:rsidRPr="00B745B4" w14:paraId="39F0459E" w14:textId="72901B1F" w:rsidTr="00E45993">
        <w:tc>
          <w:tcPr>
            <w:tcW w:w="421" w:type="dxa"/>
            <w:shd w:val="clear" w:color="auto" w:fill="F2F2F2" w:themeFill="background1" w:themeFillShade="F2"/>
          </w:tcPr>
          <w:p w14:paraId="4364923C" w14:textId="77777777" w:rsidR="00E45993" w:rsidRDefault="00696FAC" w:rsidP="00696FAC">
            <w:pPr>
              <w:pStyle w:val="Frspaiere"/>
              <w:ind w:left="-120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Nr.</w:t>
            </w:r>
          </w:p>
          <w:p w14:paraId="24090DBB" w14:textId="314BC8D6" w:rsidR="00696FAC" w:rsidRPr="00B745B4" w:rsidRDefault="00696FAC" w:rsidP="00696FAC">
            <w:pPr>
              <w:pStyle w:val="Frspaiere"/>
              <w:ind w:left="-120" w:right="-111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B745B4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crt.</w:t>
            </w:r>
          </w:p>
        </w:tc>
        <w:tc>
          <w:tcPr>
            <w:tcW w:w="6378" w:type="dxa"/>
            <w:shd w:val="clear" w:color="auto" w:fill="F2F2F2" w:themeFill="background1" w:themeFillShade="F2"/>
            <w:vAlign w:val="center"/>
          </w:tcPr>
          <w:p w14:paraId="0A609687" w14:textId="07AE281D" w:rsidR="00696FAC" w:rsidRPr="00B745B4" w:rsidRDefault="00696FAC" w:rsidP="00E45993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96F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Denumirea terenului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14:paraId="16EE9613" w14:textId="77777777" w:rsidR="00696FAC" w:rsidRPr="00696FAC" w:rsidRDefault="00696FAC" w:rsidP="00D56E6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96F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Numărul</w:t>
            </w:r>
          </w:p>
          <w:p w14:paraId="367B797B" w14:textId="5A0014CB" w:rsidR="00696FAC" w:rsidRPr="00B745B4" w:rsidRDefault="00696FAC" w:rsidP="00D56E64">
            <w:pPr>
              <w:pStyle w:val="Frspaiere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r w:rsidRPr="00696F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cadastral</w:t>
            </w:r>
          </w:p>
        </w:tc>
        <w:tc>
          <w:tcPr>
            <w:tcW w:w="1128" w:type="dxa"/>
            <w:shd w:val="clear" w:color="auto" w:fill="F2F2F2" w:themeFill="background1" w:themeFillShade="F2"/>
          </w:tcPr>
          <w:p w14:paraId="1D6D6BC6" w14:textId="15B8CCDB" w:rsidR="00696FAC" w:rsidRPr="00696FAC" w:rsidRDefault="00696FAC" w:rsidP="00696FAC">
            <w:pPr>
              <w:pStyle w:val="Frspaiere"/>
              <w:ind w:left="-110" w:right="-115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</w:pPr>
            <w:proofErr w:type="spellStart"/>
            <w:r w:rsidRPr="00696F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Suprafaţa</w:t>
            </w:r>
            <w:proofErr w:type="spellEnd"/>
            <w:r w:rsidRPr="00696F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t>,</w:t>
            </w:r>
            <w:r w:rsidRPr="00696FAC">
              <w:rPr>
                <w:rFonts w:ascii="Times New Roman" w:hAnsi="Times New Roman" w:cs="Times New Roman"/>
                <w:b/>
                <w:bCs/>
                <w:sz w:val="20"/>
                <w:szCs w:val="20"/>
                <w:lang w:val="ro-RO"/>
              </w:rPr>
              <w:br/>
              <w:t>ha</w:t>
            </w:r>
          </w:p>
        </w:tc>
      </w:tr>
      <w:tr w:rsidR="00E67E09" w:rsidRPr="00FB0840" w14:paraId="6407FF55" w14:textId="77777777" w:rsidTr="00FB0840">
        <w:tc>
          <w:tcPr>
            <w:tcW w:w="421" w:type="dxa"/>
            <w:shd w:val="clear" w:color="auto" w:fill="FFFFFF" w:themeFill="background1"/>
          </w:tcPr>
          <w:p w14:paraId="32DB6BDD" w14:textId="4870932A" w:rsidR="00E67E09" w:rsidRPr="005C3858" w:rsidRDefault="005C3858" w:rsidP="00696FAC">
            <w:pPr>
              <w:pStyle w:val="Frspaiere"/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38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26C5B99B" w14:textId="0E0724EE" w:rsidR="00E67E09" w:rsidRPr="00FB0840" w:rsidRDefault="00607AA5" w:rsidP="00FB0840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FB0840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Terenul amplasat în </w:t>
            </w:r>
            <w:r w:rsidRPr="00607AA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extravilanul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mun. Cahul, raionul Cahul</w:t>
            </w:r>
          </w:p>
        </w:tc>
        <w:tc>
          <w:tcPr>
            <w:tcW w:w="1418" w:type="dxa"/>
            <w:shd w:val="clear" w:color="auto" w:fill="FFFFFF" w:themeFill="background1"/>
          </w:tcPr>
          <w:p w14:paraId="0A6E2B41" w14:textId="0C13A908" w:rsidR="00E67E09" w:rsidRPr="00FB0840" w:rsidRDefault="00607AA5" w:rsidP="00D56E6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1719214.077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F7E1C14" w14:textId="217A3F8A" w:rsidR="00E67E09" w:rsidRPr="00FB0840" w:rsidRDefault="00607AA5" w:rsidP="00FB0840">
            <w:pPr>
              <w:pStyle w:val="Frspaiere"/>
              <w:ind w:left="-110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23.5746 ha</w:t>
            </w:r>
          </w:p>
        </w:tc>
      </w:tr>
      <w:tr w:rsidR="00607AA5" w:rsidRPr="00FB0840" w14:paraId="428C4110" w14:textId="77777777" w:rsidTr="00FB0840">
        <w:tc>
          <w:tcPr>
            <w:tcW w:w="421" w:type="dxa"/>
            <w:shd w:val="clear" w:color="auto" w:fill="FFFFFF" w:themeFill="background1"/>
          </w:tcPr>
          <w:p w14:paraId="2B2F0284" w14:textId="006A5656" w:rsidR="00607AA5" w:rsidRPr="005C3858" w:rsidRDefault="005C3858" w:rsidP="00696FAC">
            <w:pPr>
              <w:pStyle w:val="Frspaiere"/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38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2.</w:t>
            </w:r>
          </w:p>
        </w:tc>
        <w:tc>
          <w:tcPr>
            <w:tcW w:w="6378" w:type="dxa"/>
            <w:shd w:val="clear" w:color="auto" w:fill="FFFFFF" w:themeFill="background1"/>
            <w:vAlign w:val="center"/>
          </w:tcPr>
          <w:p w14:paraId="4580581F" w14:textId="5B40FBB7" w:rsidR="00607AA5" w:rsidRPr="00607AA5" w:rsidRDefault="00607AA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51DA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Terenul amplasat în </w:t>
            </w:r>
            <w:r w:rsidRPr="00607AA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extravilanul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orașului Taraclia, raionul Taraclia</w:t>
            </w:r>
          </w:p>
        </w:tc>
        <w:tc>
          <w:tcPr>
            <w:tcW w:w="1418" w:type="dxa"/>
            <w:shd w:val="clear" w:color="auto" w:fill="FFFFFF" w:themeFill="background1"/>
          </w:tcPr>
          <w:p w14:paraId="67C189C1" w14:textId="2053AA5E" w:rsidR="00607AA5" w:rsidRPr="00607AA5" w:rsidRDefault="00607AA5" w:rsidP="00D56E6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8701104.862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06CEB1EB" w14:textId="2A43C5AD" w:rsidR="00607AA5" w:rsidRPr="00607AA5" w:rsidRDefault="00607AA5" w:rsidP="00FB0840">
            <w:pPr>
              <w:pStyle w:val="Frspaiere"/>
              <w:ind w:left="-110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1.7426 ha</w:t>
            </w:r>
          </w:p>
        </w:tc>
      </w:tr>
      <w:tr w:rsidR="00607AA5" w:rsidRPr="00607AA5" w14:paraId="6E7B459D" w14:textId="77777777" w:rsidTr="00FB0840">
        <w:tc>
          <w:tcPr>
            <w:tcW w:w="421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777E7D3" w14:textId="05D2E7BA" w:rsidR="00607AA5" w:rsidRPr="005C3858" w:rsidRDefault="005C3858" w:rsidP="00696FAC">
            <w:pPr>
              <w:pStyle w:val="Frspaiere"/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5C3858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E05727A" w14:textId="25AEE3D4" w:rsidR="00607AA5" w:rsidRPr="00E51DA2" w:rsidRDefault="00607AA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E51DA2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Terenul amplasat în </w:t>
            </w:r>
            <w:r w:rsidRPr="00607AA5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extravilanul</w:t>
            </w: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comunei Cania, raionul Cantemir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2059095" w14:textId="4C7B04A0" w:rsidR="00607AA5" w:rsidRDefault="00607AA5" w:rsidP="00D56E6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2114207.182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A886AF0" w14:textId="63D3820E" w:rsidR="00607AA5" w:rsidRDefault="00607AA5" w:rsidP="00FB0840">
            <w:pPr>
              <w:pStyle w:val="Frspaiere"/>
              <w:ind w:left="-110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1.7812 ha</w:t>
            </w:r>
          </w:p>
        </w:tc>
      </w:tr>
      <w:tr w:rsidR="00607AA5" w:rsidRPr="00FB0840" w14:paraId="0ACABAD8" w14:textId="77777777" w:rsidTr="00FB0840">
        <w:tc>
          <w:tcPr>
            <w:tcW w:w="421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29FDC9B5" w14:textId="52BEEE63" w:rsidR="00607AA5" w:rsidRPr="005C3858" w:rsidRDefault="005C3858" w:rsidP="00696FAC">
            <w:pPr>
              <w:pStyle w:val="Frspaiere"/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4.</w:t>
            </w:r>
          </w:p>
        </w:tc>
        <w:tc>
          <w:tcPr>
            <w:tcW w:w="637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82FEFD6" w14:textId="0C358349" w:rsidR="00607AA5" w:rsidRPr="00E51DA2" w:rsidRDefault="00607AA5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Terenul amplasat în </w:t>
            </w:r>
            <w:r w:rsidR="00A73578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</w:t>
            </w:r>
            <w:r w:rsidR="006A71E3" w:rsidRPr="0008392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travilan</w:t>
            </w:r>
            <w:r w:rsidR="00FB0840" w:rsidRPr="0008392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ul</w:t>
            </w:r>
            <w:r w:rsidR="0008392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="006A71E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mun. Comrat, raionul Comrat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</w:tcPr>
          <w:p w14:paraId="3210A3DF" w14:textId="7362CADE" w:rsidR="00607AA5" w:rsidRPr="00814ADA" w:rsidRDefault="006A71E3" w:rsidP="00D56E6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14AD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9601520.5</w:t>
            </w:r>
            <w:r w:rsidR="00814ADA" w:rsidRPr="00814AD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96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436B69E8" w14:textId="12D2F878" w:rsidR="00607AA5" w:rsidRPr="00814ADA" w:rsidRDefault="006A71E3" w:rsidP="00FB0840">
            <w:pPr>
              <w:pStyle w:val="Frspaiere"/>
              <w:ind w:left="-110" w:right="-115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14AD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1.00</w:t>
            </w:r>
            <w:r w:rsidR="00814ADA" w:rsidRPr="00814AD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</w:t>
            </w:r>
            <w:r w:rsidRPr="00814AD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ha</w:t>
            </w:r>
          </w:p>
        </w:tc>
      </w:tr>
      <w:tr w:rsidR="00BB7404" w:rsidRPr="006A71E3" w14:paraId="41FC7E37" w14:textId="77777777" w:rsidTr="00FB0840">
        <w:tc>
          <w:tcPr>
            <w:tcW w:w="421" w:type="dxa"/>
            <w:tcBorders>
              <w:top w:val="single" w:sz="12" w:space="0" w:color="auto"/>
            </w:tcBorders>
            <w:shd w:val="clear" w:color="auto" w:fill="FFFFFF" w:themeFill="background1"/>
          </w:tcPr>
          <w:p w14:paraId="4AA28BC9" w14:textId="43310090" w:rsidR="00BB7404" w:rsidRPr="005C3858" w:rsidRDefault="005C3858" w:rsidP="00BB7404">
            <w:pPr>
              <w:pStyle w:val="Frspaiere"/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5.</w:t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58D97037" w14:textId="01106766" w:rsidR="00BB7404" w:rsidRDefault="00BB7404" w:rsidP="00BB7404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Terenul amplasat în extravilanul satului Feștelița raionul Ștefan Vodă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28B2D1C9" w14:textId="6D5B5FBC" w:rsidR="00BB7404" w:rsidRPr="006A71E3" w:rsidRDefault="00BB7404" w:rsidP="00BB7404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8520223.350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14:paraId="6F26E3C2" w14:textId="6574AB87" w:rsidR="00BB7404" w:rsidRPr="006A71E3" w:rsidRDefault="00BB7404" w:rsidP="00FB0840">
            <w:pPr>
              <w:pStyle w:val="Frspaiere"/>
              <w:ind w:left="-110" w:right="-115"/>
              <w:jc w:val="center"/>
              <w:rPr>
                <w:rFonts w:ascii="Times New Roman" w:hAnsi="Times New Roman" w:cs="Times New Roman"/>
                <w:sz w:val="20"/>
                <w:szCs w:val="20"/>
                <w:highlight w:val="yellow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2,0857 ha</w:t>
            </w:r>
          </w:p>
        </w:tc>
      </w:tr>
      <w:tr w:rsidR="000D4AA8" w:rsidRPr="00D56E64" w14:paraId="0D14C1CA" w14:textId="77777777" w:rsidTr="00FB0840">
        <w:tc>
          <w:tcPr>
            <w:tcW w:w="421" w:type="dxa"/>
          </w:tcPr>
          <w:p w14:paraId="5E65E791" w14:textId="57BDDF04" w:rsidR="000D4AA8" w:rsidRPr="005C3858" w:rsidRDefault="005C3858" w:rsidP="00696FAC">
            <w:pPr>
              <w:pStyle w:val="Frspaiere"/>
              <w:numPr>
                <w:ilvl w:val="0"/>
                <w:numId w:val="1"/>
              </w:numPr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6.</w:t>
            </w:r>
          </w:p>
        </w:tc>
        <w:tc>
          <w:tcPr>
            <w:tcW w:w="6378" w:type="dxa"/>
            <w:vAlign w:val="center"/>
          </w:tcPr>
          <w:p w14:paraId="0671A043" w14:textId="53ED34C7" w:rsidR="000D4AA8" w:rsidRDefault="00E22F58" w:rsidP="00E67E0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Terenul amplasat în </w:t>
            </w:r>
            <w:r w:rsidR="002562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extravilanul </w:t>
            </w:r>
            <w:r w:rsidR="00D56E6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satului Sălcuța raionul</w:t>
            </w:r>
            <w:r w:rsidR="002562E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C</w:t>
            </w:r>
            <w:r w:rsidR="00D56E6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ăușeni</w:t>
            </w:r>
          </w:p>
        </w:tc>
        <w:tc>
          <w:tcPr>
            <w:tcW w:w="1418" w:type="dxa"/>
            <w:vAlign w:val="center"/>
          </w:tcPr>
          <w:p w14:paraId="501DE41C" w14:textId="429D05E3" w:rsidR="000D4AA8" w:rsidRDefault="00D56E64" w:rsidP="00D56E64">
            <w:pPr>
              <w:pStyle w:val="Frspaiere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D56E6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2721106.077</w:t>
            </w:r>
          </w:p>
        </w:tc>
        <w:tc>
          <w:tcPr>
            <w:tcW w:w="1128" w:type="dxa"/>
            <w:vAlign w:val="center"/>
          </w:tcPr>
          <w:p w14:paraId="25C4E1BC" w14:textId="4F996CE9" w:rsidR="000D4AA8" w:rsidRDefault="00D56E64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BB74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804 ha</w:t>
            </w:r>
          </w:p>
        </w:tc>
      </w:tr>
      <w:tr w:rsidR="00696FAC" w:rsidRPr="00E45993" w14:paraId="31A4FB04" w14:textId="09CC59FC" w:rsidTr="00FB0840">
        <w:tc>
          <w:tcPr>
            <w:tcW w:w="421" w:type="dxa"/>
            <w:tcBorders>
              <w:bottom w:val="single" w:sz="4" w:space="0" w:color="auto"/>
            </w:tcBorders>
          </w:tcPr>
          <w:p w14:paraId="0992F51F" w14:textId="7C99B8A7" w:rsidR="00696FAC" w:rsidRPr="005C3858" w:rsidRDefault="005C3858" w:rsidP="00696FAC">
            <w:pPr>
              <w:pStyle w:val="Frspaiere"/>
              <w:numPr>
                <w:ilvl w:val="0"/>
                <w:numId w:val="1"/>
              </w:numPr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65D24EF2" w14:textId="1BAC6077" w:rsidR="00696FAC" w:rsidRPr="00B745B4" w:rsidRDefault="00E45993" w:rsidP="00E67E0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Terenul amplasat în extravilanul orașului Leova</w:t>
            </w:r>
            <w:r w:rsid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raionul Leova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502B8BF4" w14:textId="2C7D8EF4" w:rsidR="00696FAC" w:rsidRPr="00B745B4" w:rsidRDefault="00E45993" w:rsidP="00D56E64">
            <w:pPr>
              <w:pStyle w:val="Frspaiere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5701204.143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vAlign w:val="center"/>
          </w:tcPr>
          <w:p w14:paraId="7FA4BDDC" w14:textId="756EA4D0" w:rsidR="00696FAC" w:rsidRPr="00B745B4" w:rsidRDefault="00E45993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BB7404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0829 ha</w:t>
            </w:r>
          </w:p>
        </w:tc>
      </w:tr>
      <w:tr w:rsidR="00BB7404" w:rsidRPr="00FB0840" w14:paraId="626541D5" w14:textId="77777777" w:rsidTr="00FB0840">
        <w:tc>
          <w:tcPr>
            <w:tcW w:w="421" w:type="dxa"/>
            <w:tcBorders>
              <w:bottom w:val="single" w:sz="12" w:space="0" w:color="auto"/>
            </w:tcBorders>
          </w:tcPr>
          <w:p w14:paraId="3351BE73" w14:textId="6DCF7790" w:rsidR="00BB7404" w:rsidRPr="005C3858" w:rsidRDefault="005C3858" w:rsidP="00696FAC">
            <w:pPr>
              <w:pStyle w:val="Frspaiere"/>
              <w:numPr>
                <w:ilvl w:val="0"/>
                <w:numId w:val="1"/>
              </w:numPr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8.</w:t>
            </w:r>
          </w:p>
        </w:tc>
        <w:tc>
          <w:tcPr>
            <w:tcW w:w="6378" w:type="dxa"/>
            <w:tcBorders>
              <w:bottom w:val="single" w:sz="12" w:space="0" w:color="auto"/>
            </w:tcBorders>
            <w:vAlign w:val="center"/>
          </w:tcPr>
          <w:p w14:paraId="62041A31" w14:textId="3EFD6F4D" w:rsidR="00BB7404" w:rsidRDefault="00BB7404" w:rsidP="00E67E0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Terenul amplasat în intravilanul orașului Iargara, raionul Leova 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526DB087" w14:textId="345D4954" w:rsidR="00BB7404" w:rsidRDefault="00EF04E8" w:rsidP="00D56E64">
            <w:pPr>
              <w:pStyle w:val="Frspaiere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5702212.110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vAlign w:val="center"/>
          </w:tcPr>
          <w:p w14:paraId="551A0601" w14:textId="2A1E8162" w:rsidR="00BB7404" w:rsidRDefault="00EF04E8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10.1095 ha</w:t>
            </w:r>
          </w:p>
        </w:tc>
      </w:tr>
      <w:tr w:rsidR="00CA6E1F" w:rsidRPr="00E22A53" w14:paraId="1E099561" w14:textId="77777777" w:rsidTr="005C3858">
        <w:tc>
          <w:tcPr>
            <w:tcW w:w="421" w:type="dxa"/>
            <w:tcBorders>
              <w:top w:val="single" w:sz="12" w:space="0" w:color="auto"/>
            </w:tcBorders>
            <w:vAlign w:val="center"/>
          </w:tcPr>
          <w:p w14:paraId="15E9F967" w14:textId="01131E26" w:rsidR="00CA6E1F" w:rsidRPr="005C3858" w:rsidRDefault="005C3858" w:rsidP="005C3858">
            <w:pPr>
              <w:pStyle w:val="Frspaiere"/>
              <w:numPr>
                <w:ilvl w:val="0"/>
                <w:numId w:val="1"/>
              </w:numPr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9.</w:t>
            </w:r>
          </w:p>
        </w:tc>
        <w:tc>
          <w:tcPr>
            <w:tcW w:w="6378" w:type="dxa"/>
            <w:tcBorders>
              <w:top w:val="single" w:sz="12" w:space="0" w:color="auto"/>
            </w:tcBorders>
            <w:vAlign w:val="center"/>
          </w:tcPr>
          <w:p w14:paraId="4C118FE0" w14:textId="39F6BA56" w:rsidR="00CA6E1F" w:rsidRDefault="0034229D" w:rsidP="00E67E09">
            <w:pPr>
              <w:pStyle w:val="Frspaiere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Terenu</w:t>
            </w:r>
            <w:r w:rsidR="003E4A8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amplasat</w:t>
            </w:r>
            <w:r w:rsidR="003E4A8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 </w:t>
            </w:r>
            <w:r w:rsidR="0003542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extravilanul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satului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Bolohan</w:t>
            </w:r>
            <w:proofErr w:type="spellEnd"/>
            <w:r w:rsid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raionul Orhei </w:t>
            </w:r>
          </w:p>
        </w:tc>
        <w:tc>
          <w:tcPr>
            <w:tcW w:w="1418" w:type="dxa"/>
            <w:tcBorders>
              <w:top w:val="single" w:sz="12" w:space="0" w:color="auto"/>
            </w:tcBorders>
            <w:vAlign w:val="center"/>
          </w:tcPr>
          <w:p w14:paraId="30A11FD7" w14:textId="40A4D6D2" w:rsidR="00CA6E1F" w:rsidRDefault="0034229D" w:rsidP="00D56E64">
            <w:pPr>
              <w:pStyle w:val="Frspaiere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22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6415108.47</w:t>
            </w:r>
            <w:r w:rsidR="008D17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</w:p>
          <w:p w14:paraId="58C96BB3" w14:textId="6283A187" w:rsidR="0003542E" w:rsidRDefault="0003542E" w:rsidP="00D56E64">
            <w:pPr>
              <w:pStyle w:val="Frspaiere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6415108</w:t>
            </w:r>
            <w:r w:rsidR="008D17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474</w:t>
            </w:r>
          </w:p>
        </w:tc>
        <w:tc>
          <w:tcPr>
            <w:tcW w:w="1128" w:type="dxa"/>
            <w:tcBorders>
              <w:top w:val="single" w:sz="12" w:space="0" w:color="auto"/>
            </w:tcBorders>
            <w:vAlign w:val="center"/>
          </w:tcPr>
          <w:p w14:paraId="2CD5873F" w14:textId="36AC9CDA" w:rsidR="00CA6E1F" w:rsidRPr="008D17DB" w:rsidRDefault="008D17DB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7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8D17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7761 ha</w:t>
            </w:r>
          </w:p>
          <w:p w14:paraId="42359E60" w14:textId="7BF9C418" w:rsidR="008D17DB" w:rsidRDefault="008D17DB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8D17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8D17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2417 ha</w:t>
            </w:r>
          </w:p>
        </w:tc>
      </w:tr>
      <w:tr w:rsidR="0034229D" w:rsidRPr="00E22A53" w14:paraId="35A959CF" w14:textId="77777777" w:rsidTr="00FB0840">
        <w:tc>
          <w:tcPr>
            <w:tcW w:w="421" w:type="dxa"/>
          </w:tcPr>
          <w:p w14:paraId="2EFFB926" w14:textId="18C3BD9D" w:rsidR="0034229D" w:rsidRPr="005C3858" w:rsidRDefault="005C3858" w:rsidP="00696FAC">
            <w:pPr>
              <w:pStyle w:val="Frspaiere"/>
              <w:numPr>
                <w:ilvl w:val="0"/>
                <w:numId w:val="1"/>
              </w:numPr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10.</w:t>
            </w:r>
          </w:p>
        </w:tc>
        <w:tc>
          <w:tcPr>
            <w:tcW w:w="6378" w:type="dxa"/>
            <w:vAlign w:val="center"/>
          </w:tcPr>
          <w:p w14:paraId="236EB003" w14:textId="0FE18D5D" w:rsidR="0034229D" w:rsidRPr="0034229D" w:rsidRDefault="0034229D" w:rsidP="00E67E09">
            <w:pPr>
              <w:rPr>
                <w:rFonts w:ascii="Times New Roman" w:hAnsi="Times New Roman" w:cs="Times New Roman"/>
                <w:lang w:val="ro-MD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Terenul amplasat în </w:t>
            </w:r>
            <w:r w:rsidR="00D0340F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ex</w:t>
            </w:r>
            <w:r w:rsidR="00FB0840" w:rsidRPr="0008392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travilanul</w:t>
            </w:r>
            <w:r w:rsidR="0008392A" w:rsidRPr="0008392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 xml:space="preserve"> </w:t>
            </w:r>
            <w:r w:rsidR="008D17DB" w:rsidRPr="0008392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municipiului</w:t>
            </w:r>
            <w:r w:rsidR="008D17DB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Hîncești</w:t>
            </w:r>
            <w:proofErr w:type="spellEnd"/>
            <w:r w:rsid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raionul </w:t>
            </w:r>
            <w:proofErr w:type="spellStart"/>
            <w:r w:rsid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Hîncești</w:t>
            </w:r>
            <w:proofErr w:type="spellEnd"/>
          </w:p>
        </w:tc>
        <w:tc>
          <w:tcPr>
            <w:tcW w:w="1418" w:type="dxa"/>
            <w:vAlign w:val="center"/>
          </w:tcPr>
          <w:p w14:paraId="68632852" w14:textId="7F02E09A" w:rsidR="0034229D" w:rsidRPr="0034229D" w:rsidRDefault="0034229D" w:rsidP="00D56E64">
            <w:pPr>
              <w:pStyle w:val="Frspaiere"/>
              <w:ind w:left="-111" w:right="-107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34229D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5301407.281</w:t>
            </w:r>
          </w:p>
        </w:tc>
        <w:tc>
          <w:tcPr>
            <w:tcW w:w="1128" w:type="dxa"/>
            <w:shd w:val="clear" w:color="auto" w:fill="FFFFFF" w:themeFill="background1"/>
            <w:vAlign w:val="center"/>
          </w:tcPr>
          <w:p w14:paraId="3F0ECBB3" w14:textId="0ED396CD" w:rsidR="0034229D" w:rsidRDefault="008D17DB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="00FB0840" w:rsidRP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</w:t>
            </w:r>
            <w:r w:rsidR="00FB0840" w:rsidRP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27</w:t>
            </w:r>
            <w:r w:rsidRPr="00FB0840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ha</w:t>
            </w:r>
          </w:p>
        </w:tc>
      </w:tr>
      <w:tr w:rsidR="0034229D" w:rsidRPr="00E22A53" w14:paraId="3808E01F" w14:textId="77777777" w:rsidTr="00EF087E">
        <w:tc>
          <w:tcPr>
            <w:tcW w:w="421" w:type="dxa"/>
            <w:tcBorders>
              <w:bottom w:val="single" w:sz="4" w:space="0" w:color="auto"/>
            </w:tcBorders>
          </w:tcPr>
          <w:p w14:paraId="2C6BC5AD" w14:textId="3656D56B" w:rsidR="0034229D" w:rsidRPr="005C3858" w:rsidRDefault="005C3858" w:rsidP="00696FAC">
            <w:pPr>
              <w:pStyle w:val="Frspaiere"/>
              <w:numPr>
                <w:ilvl w:val="0"/>
                <w:numId w:val="1"/>
              </w:numPr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11.</w:t>
            </w:r>
          </w:p>
        </w:tc>
        <w:tc>
          <w:tcPr>
            <w:tcW w:w="6378" w:type="dxa"/>
            <w:tcBorders>
              <w:bottom w:val="single" w:sz="4" w:space="0" w:color="auto"/>
            </w:tcBorders>
            <w:vAlign w:val="center"/>
          </w:tcPr>
          <w:p w14:paraId="3D8B396B" w14:textId="1ADECDA7" w:rsidR="0034229D" w:rsidRDefault="0034229D" w:rsidP="00E67E0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Terenul amplasat în </w:t>
            </w:r>
            <w:r w:rsidR="00145F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intravilanul </w:t>
            </w:r>
            <w:r w:rsidR="00050199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municipiu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Strășeni</w:t>
            </w:r>
            <w:r w:rsidR="00DD28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 raionul Str</w:t>
            </w:r>
            <w:r w:rsidR="00547A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 w:rsidR="00DD28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șeni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vAlign w:val="center"/>
          </w:tcPr>
          <w:p w14:paraId="212680DC" w14:textId="641CFEFE" w:rsidR="0034229D" w:rsidRPr="0034229D" w:rsidRDefault="0034229D" w:rsidP="0034229D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34229D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8001103.077</w:t>
            </w:r>
          </w:p>
        </w:tc>
        <w:tc>
          <w:tcPr>
            <w:tcW w:w="112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D2A3A3B" w14:textId="5D27B5A9" w:rsidR="0034229D" w:rsidRDefault="00145FFE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145F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</w:t>
            </w:r>
            <w:r w:rsidR="00DD28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145F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5132 ha</w:t>
            </w:r>
          </w:p>
        </w:tc>
      </w:tr>
      <w:tr w:rsidR="0034229D" w:rsidRPr="00E22A53" w14:paraId="71FB52B7" w14:textId="77777777" w:rsidTr="00EF087E">
        <w:tc>
          <w:tcPr>
            <w:tcW w:w="421" w:type="dxa"/>
            <w:tcBorders>
              <w:bottom w:val="single" w:sz="12" w:space="0" w:color="auto"/>
            </w:tcBorders>
          </w:tcPr>
          <w:p w14:paraId="0FDB2DAE" w14:textId="5CCC2AE0" w:rsidR="0034229D" w:rsidRPr="005C3858" w:rsidRDefault="005C3858" w:rsidP="00696FAC">
            <w:pPr>
              <w:pStyle w:val="Frspaiere"/>
              <w:numPr>
                <w:ilvl w:val="0"/>
                <w:numId w:val="1"/>
              </w:numPr>
              <w:ind w:left="-120" w:right="-111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12.</w:t>
            </w:r>
          </w:p>
        </w:tc>
        <w:tc>
          <w:tcPr>
            <w:tcW w:w="6378" w:type="dxa"/>
            <w:tcBorders>
              <w:bottom w:val="single" w:sz="12" w:space="0" w:color="auto"/>
            </w:tcBorders>
            <w:vAlign w:val="center"/>
          </w:tcPr>
          <w:p w14:paraId="66741711" w14:textId="57710EC0" w:rsidR="0034229D" w:rsidRDefault="0034229D" w:rsidP="00E67E0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Terenul amplasat în </w:t>
            </w:r>
            <w:r w:rsidR="00145FF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extravilanul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satului Costești</w:t>
            </w:r>
            <w:r w:rsidR="00DD280C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raionul Ialoveni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EA5E37C" w14:textId="3CE9EB93" w:rsidR="0034229D" w:rsidRPr="0034229D" w:rsidRDefault="0034229D" w:rsidP="0034229D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5515309.3</w:t>
            </w:r>
            <w:r w:rsidR="00145FFE" w:rsidRP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3</w:t>
            </w:r>
            <w:r w:rsidRP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0D14CCA3" w14:textId="23BBED7A" w:rsidR="0034229D" w:rsidRDefault="00145FFE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2,0 ha</w:t>
            </w:r>
          </w:p>
        </w:tc>
      </w:tr>
      <w:tr w:rsidR="0034229D" w:rsidRPr="00E22A53" w14:paraId="734A661F" w14:textId="77777777" w:rsidTr="00851DF7">
        <w:tc>
          <w:tcPr>
            <w:tcW w:w="421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2FB8BD28" w14:textId="1A6C0ABF" w:rsidR="0034229D" w:rsidRPr="005C3858" w:rsidRDefault="005C3858" w:rsidP="0034229D">
            <w:pPr>
              <w:pStyle w:val="Frspaiere"/>
              <w:ind w:right="-1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13.</w:t>
            </w:r>
          </w:p>
        </w:tc>
        <w:tc>
          <w:tcPr>
            <w:tcW w:w="6378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14:paraId="5D3D681E" w14:textId="38905599" w:rsidR="0034229D" w:rsidRDefault="0034229D" w:rsidP="00E67E0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Terenu</w:t>
            </w:r>
            <w:r w:rsidR="003E4A8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rile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amplasat</w:t>
            </w:r>
            <w:r w:rsidR="003E4A8F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e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în</w:t>
            </w:r>
            <w:r w:rsidR="007E3C46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extravilanul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orașul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Rîșcani</w:t>
            </w:r>
            <w:proofErr w:type="spellEnd"/>
            <w:r w:rsid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, raionul </w:t>
            </w:r>
            <w:proofErr w:type="spellStart"/>
            <w:r w:rsid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Rîșcani</w:t>
            </w:r>
            <w:proofErr w:type="spellEnd"/>
          </w:p>
        </w:tc>
        <w:tc>
          <w:tcPr>
            <w:tcW w:w="141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4FF1BED" w14:textId="77777777" w:rsidR="0034229D" w:rsidRPr="00660A93" w:rsidRDefault="0034229D" w:rsidP="0034229D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60A9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7101114.057</w:t>
            </w:r>
          </w:p>
          <w:p w14:paraId="17D036C5" w14:textId="09DF3628" w:rsidR="0034229D" w:rsidRPr="00660A93" w:rsidRDefault="0034229D" w:rsidP="0034229D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660A93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7101114.056</w:t>
            </w:r>
          </w:p>
        </w:tc>
        <w:tc>
          <w:tcPr>
            <w:tcW w:w="1128" w:type="dxa"/>
            <w:tcBorders>
              <w:top w:val="single" w:sz="12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6B378A" w14:textId="400D61CE" w:rsidR="0034229D" w:rsidRPr="00660A93" w:rsidRDefault="0034229D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0</w:t>
            </w:r>
            <w:r w:rsid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9</w:t>
            </w:r>
            <w:r w:rsidR="00660A93"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632</w:t>
            </w:r>
            <w:r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ha</w:t>
            </w:r>
          </w:p>
          <w:p w14:paraId="29D1DE50" w14:textId="5A704170" w:rsidR="0034229D" w:rsidRPr="00660A93" w:rsidRDefault="0034229D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</w:t>
            </w:r>
            <w:r w:rsid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.</w:t>
            </w:r>
            <w:r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42</w:t>
            </w:r>
            <w:r w:rsidR="00660A93"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62</w:t>
            </w:r>
            <w:r w:rsidRP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ha</w:t>
            </w:r>
          </w:p>
        </w:tc>
      </w:tr>
      <w:tr w:rsidR="00EA0390" w:rsidRPr="00E22A53" w14:paraId="04397B5D" w14:textId="77777777" w:rsidTr="00851DF7">
        <w:tc>
          <w:tcPr>
            <w:tcW w:w="421" w:type="dxa"/>
            <w:tcBorders>
              <w:bottom w:val="single" w:sz="12" w:space="0" w:color="auto"/>
            </w:tcBorders>
          </w:tcPr>
          <w:p w14:paraId="22E8F094" w14:textId="5DA246A6" w:rsidR="00EA0390" w:rsidRPr="005C3858" w:rsidRDefault="005C3858" w:rsidP="00EA0390">
            <w:pPr>
              <w:pStyle w:val="Frspaiere"/>
              <w:ind w:right="-111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14.</w:t>
            </w:r>
          </w:p>
        </w:tc>
        <w:tc>
          <w:tcPr>
            <w:tcW w:w="6378" w:type="dxa"/>
            <w:tcBorders>
              <w:bottom w:val="single" w:sz="12" w:space="0" w:color="auto"/>
            </w:tcBorders>
            <w:vAlign w:val="center"/>
          </w:tcPr>
          <w:p w14:paraId="5D621AAE" w14:textId="3ED530D3" w:rsidR="00EA0390" w:rsidRDefault="00EA0390" w:rsidP="00E67E09">
            <w:pPr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Terenul amplasat în</w:t>
            </w:r>
            <w:r w:rsidR="00660A93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extravilanul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satului Parcani</w:t>
            </w:r>
            <w:r w:rsidR="00EF087E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,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 xml:space="preserve"> raionul Șold</w:t>
            </w:r>
            <w:r w:rsidR="00547A42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ă</w:t>
            </w:r>
            <w:r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nești</w:t>
            </w:r>
          </w:p>
        </w:tc>
        <w:tc>
          <w:tcPr>
            <w:tcW w:w="1418" w:type="dxa"/>
            <w:tcBorders>
              <w:bottom w:val="single" w:sz="12" w:space="0" w:color="auto"/>
            </w:tcBorders>
            <w:vAlign w:val="center"/>
          </w:tcPr>
          <w:p w14:paraId="17A678E7" w14:textId="776E2B7D" w:rsidR="00EA0390" w:rsidRPr="0008392A" w:rsidRDefault="00EA0390" w:rsidP="00EA0390">
            <w:pPr>
              <w:rPr>
                <w:rFonts w:ascii="Times New Roman" w:hAnsi="Times New Roman" w:cs="Times New Roman"/>
                <w:sz w:val="20"/>
                <w:szCs w:val="20"/>
                <w:lang w:val="ro-MD"/>
              </w:rPr>
            </w:pPr>
            <w:r w:rsidRPr="0008392A">
              <w:rPr>
                <w:rFonts w:ascii="Times New Roman" w:hAnsi="Times New Roman" w:cs="Times New Roman"/>
                <w:sz w:val="20"/>
                <w:szCs w:val="20"/>
                <w:lang w:val="ro-MD"/>
              </w:rPr>
              <w:t>8325110.038</w:t>
            </w:r>
          </w:p>
        </w:tc>
        <w:tc>
          <w:tcPr>
            <w:tcW w:w="1128" w:type="dxa"/>
            <w:tcBorders>
              <w:bottom w:val="single" w:sz="12" w:space="0" w:color="auto"/>
            </w:tcBorders>
            <w:shd w:val="clear" w:color="auto" w:fill="FFFFFF" w:themeFill="background1"/>
            <w:vAlign w:val="center"/>
          </w:tcPr>
          <w:p w14:paraId="6878FAC6" w14:textId="08C52CF6" w:rsidR="00EA0390" w:rsidRPr="0008392A" w:rsidRDefault="00660A93" w:rsidP="00FB0840">
            <w:pPr>
              <w:pStyle w:val="Frspaiere"/>
              <w:jc w:val="center"/>
              <w:rPr>
                <w:rFonts w:ascii="Times New Roman" w:hAnsi="Times New Roman" w:cs="Times New Roman"/>
                <w:sz w:val="20"/>
                <w:szCs w:val="20"/>
                <w:lang w:val="ro-RO"/>
              </w:rPr>
            </w:pPr>
            <w:r w:rsidRPr="0008392A">
              <w:rPr>
                <w:rFonts w:ascii="Times New Roman" w:hAnsi="Times New Roman" w:cs="Times New Roman"/>
                <w:sz w:val="20"/>
                <w:szCs w:val="20"/>
                <w:lang w:val="ro-RO"/>
              </w:rPr>
              <w:t>14,8 ha</w:t>
            </w:r>
          </w:p>
        </w:tc>
      </w:tr>
    </w:tbl>
    <w:p w14:paraId="1D991AEF" w14:textId="77777777" w:rsidR="00762953" w:rsidRPr="00B745B4" w:rsidRDefault="00762953" w:rsidP="00762953">
      <w:pPr>
        <w:pStyle w:val="Frspaiere"/>
        <w:jc w:val="center"/>
        <w:rPr>
          <w:rFonts w:ascii="Times New Roman" w:hAnsi="Times New Roman" w:cs="Times New Roman"/>
          <w:sz w:val="20"/>
          <w:szCs w:val="20"/>
          <w:lang w:val="ro-RO"/>
        </w:rPr>
      </w:pPr>
    </w:p>
    <w:p w14:paraId="5E6096A8" w14:textId="0ADAFE56" w:rsidR="00762953" w:rsidRPr="00B745B4" w:rsidRDefault="00762953">
      <w:pPr>
        <w:rPr>
          <w:lang w:val="ro-RO"/>
        </w:rPr>
      </w:pPr>
    </w:p>
    <w:p w14:paraId="531D2474" w14:textId="200C6257" w:rsidR="00A0609F" w:rsidRPr="00B745B4" w:rsidRDefault="00A0609F">
      <w:pPr>
        <w:rPr>
          <w:lang w:val="ro-RO"/>
        </w:rPr>
      </w:pPr>
    </w:p>
    <w:p w14:paraId="1625622C" w14:textId="3333FF29" w:rsidR="00A0609F" w:rsidRPr="00B745B4" w:rsidRDefault="00A0609F">
      <w:pPr>
        <w:rPr>
          <w:lang w:val="ro-RO"/>
        </w:rPr>
      </w:pPr>
    </w:p>
    <w:p w14:paraId="6CD0A52E" w14:textId="1B5DB506" w:rsidR="00A0609F" w:rsidRPr="00B745B4" w:rsidRDefault="00A0609F">
      <w:pPr>
        <w:rPr>
          <w:lang w:val="ro-RO"/>
        </w:rPr>
      </w:pPr>
    </w:p>
    <w:p w14:paraId="74F65C73" w14:textId="2A45AD9A" w:rsidR="00A0609F" w:rsidRPr="00B745B4" w:rsidRDefault="00A0609F">
      <w:pPr>
        <w:rPr>
          <w:lang w:val="ro-RO"/>
        </w:rPr>
      </w:pPr>
    </w:p>
    <w:p w14:paraId="4E21B04E" w14:textId="7D75857C" w:rsidR="00A0609F" w:rsidRPr="00B745B4" w:rsidRDefault="00A0609F">
      <w:pPr>
        <w:rPr>
          <w:lang w:val="ro-RO"/>
        </w:rPr>
      </w:pPr>
    </w:p>
    <w:p w14:paraId="208EEE7E" w14:textId="266028C6" w:rsidR="00A0609F" w:rsidRPr="00B745B4" w:rsidRDefault="00A0609F">
      <w:pPr>
        <w:rPr>
          <w:lang w:val="ro-RO"/>
        </w:rPr>
      </w:pPr>
    </w:p>
    <w:p w14:paraId="5208F4F7" w14:textId="3CAA9B0C" w:rsidR="00A0609F" w:rsidRPr="00B745B4" w:rsidRDefault="00A0609F">
      <w:pPr>
        <w:rPr>
          <w:lang w:val="ro-RO"/>
        </w:rPr>
      </w:pPr>
    </w:p>
    <w:p w14:paraId="780AE3BD" w14:textId="54CFB555" w:rsidR="00A0609F" w:rsidRPr="00B745B4" w:rsidRDefault="00A0609F">
      <w:pPr>
        <w:rPr>
          <w:lang w:val="ro-RO"/>
        </w:rPr>
      </w:pPr>
    </w:p>
    <w:p w14:paraId="42A16E8A" w14:textId="35FF63F2" w:rsidR="00A0609F" w:rsidRPr="00B745B4" w:rsidRDefault="00A0609F">
      <w:pPr>
        <w:rPr>
          <w:lang w:val="ro-RO"/>
        </w:rPr>
      </w:pPr>
    </w:p>
    <w:sectPr w:rsidR="00A0609F" w:rsidRPr="00B745B4" w:rsidSect="00A0609F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25502D"/>
    <w:multiLevelType w:val="hybridMultilevel"/>
    <w:tmpl w:val="C16CCADC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BA77CA"/>
    <w:multiLevelType w:val="hybridMultilevel"/>
    <w:tmpl w:val="311A1C08"/>
    <w:lvl w:ilvl="0" w:tplc="7FD6D926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19" w:hanging="360"/>
      </w:pPr>
    </w:lvl>
    <w:lvl w:ilvl="2" w:tplc="0418001B" w:tentative="1">
      <w:start w:val="1"/>
      <w:numFmt w:val="lowerRoman"/>
      <w:lvlText w:val="%3."/>
      <w:lvlJc w:val="right"/>
      <w:pPr>
        <w:ind w:left="2339" w:hanging="180"/>
      </w:pPr>
    </w:lvl>
    <w:lvl w:ilvl="3" w:tplc="0418000F" w:tentative="1">
      <w:start w:val="1"/>
      <w:numFmt w:val="decimal"/>
      <w:lvlText w:val="%4."/>
      <w:lvlJc w:val="left"/>
      <w:pPr>
        <w:ind w:left="3059" w:hanging="360"/>
      </w:pPr>
    </w:lvl>
    <w:lvl w:ilvl="4" w:tplc="04180019" w:tentative="1">
      <w:start w:val="1"/>
      <w:numFmt w:val="lowerLetter"/>
      <w:lvlText w:val="%5."/>
      <w:lvlJc w:val="left"/>
      <w:pPr>
        <w:ind w:left="3779" w:hanging="360"/>
      </w:pPr>
    </w:lvl>
    <w:lvl w:ilvl="5" w:tplc="0418001B" w:tentative="1">
      <w:start w:val="1"/>
      <w:numFmt w:val="lowerRoman"/>
      <w:lvlText w:val="%6."/>
      <w:lvlJc w:val="right"/>
      <w:pPr>
        <w:ind w:left="4499" w:hanging="180"/>
      </w:pPr>
    </w:lvl>
    <w:lvl w:ilvl="6" w:tplc="0418000F" w:tentative="1">
      <w:start w:val="1"/>
      <w:numFmt w:val="decimal"/>
      <w:lvlText w:val="%7."/>
      <w:lvlJc w:val="left"/>
      <w:pPr>
        <w:ind w:left="5219" w:hanging="360"/>
      </w:pPr>
    </w:lvl>
    <w:lvl w:ilvl="7" w:tplc="04180019" w:tentative="1">
      <w:start w:val="1"/>
      <w:numFmt w:val="lowerLetter"/>
      <w:lvlText w:val="%8."/>
      <w:lvlJc w:val="left"/>
      <w:pPr>
        <w:ind w:left="5939" w:hanging="360"/>
      </w:pPr>
    </w:lvl>
    <w:lvl w:ilvl="8" w:tplc="0418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2" w15:restartNumberingAfterBreak="0">
    <w:nsid w:val="26DB4849"/>
    <w:multiLevelType w:val="hybridMultilevel"/>
    <w:tmpl w:val="AE4C0D46"/>
    <w:lvl w:ilvl="0" w:tplc="0419000F">
      <w:start w:val="1"/>
      <w:numFmt w:val="decimal"/>
      <w:lvlText w:val="%1."/>
      <w:lvlJc w:val="left"/>
      <w:pPr>
        <w:ind w:left="607" w:hanging="360"/>
      </w:pPr>
    </w:lvl>
    <w:lvl w:ilvl="1" w:tplc="04180019" w:tentative="1">
      <w:start w:val="1"/>
      <w:numFmt w:val="lowerLetter"/>
      <w:lvlText w:val="%2."/>
      <w:lvlJc w:val="left"/>
      <w:pPr>
        <w:ind w:left="1327" w:hanging="360"/>
      </w:pPr>
    </w:lvl>
    <w:lvl w:ilvl="2" w:tplc="0418001B" w:tentative="1">
      <w:start w:val="1"/>
      <w:numFmt w:val="lowerRoman"/>
      <w:lvlText w:val="%3."/>
      <w:lvlJc w:val="right"/>
      <w:pPr>
        <w:ind w:left="2047" w:hanging="180"/>
      </w:pPr>
    </w:lvl>
    <w:lvl w:ilvl="3" w:tplc="0418000F" w:tentative="1">
      <w:start w:val="1"/>
      <w:numFmt w:val="decimal"/>
      <w:lvlText w:val="%4."/>
      <w:lvlJc w:val="left"/>
      <w:pPr>
        <w:ind w:left="2767" w:hanging="360"/>
      </w:pPr>
    </w:lvl>
    <w:lvl w:ilvl="4" w:tplc="04180019" w:tentative="1">
      <w:start w:val="1"/>
      <w:numFmt w:val="lowerLetter"/>
      <w:lvlText w:val="%5."/>
      <w:lvlJc w:val="left"/>
      <w:pPr>
        <w:ind w:left="3487" w:hanging="360"/>
      </w:pPr>
    </w:lvl>
    <w:lvl w:ilvl="5" w:tplc="0418001B" w:tentative="1">
      <w:start w:val="1"/>
      <w:numFmt w:val="lowerRoman"/>
      <w:lvlText w:val="%6."/>
      <w:lvlJc w:val="right"/>
      <w:pPr>
        <w:ind w:left="4207" w:hanging="180"/>
      </w:pPr>
    </w:lvl>
    <w:lvl w:ilvl="6" w:tplc="0418000F" w:tentative="1">
      <w:start w:val="1"/>
      <w:numFmt w:val="decimal"/>
      <w:lvlText w:val="%7."/>
      <w:lvlJc w:val="left"/>
      <w:pPr>
        <w:ind w:left="4927" w:hanging="360"/>
      </w:pPr>
    </w:lvl>
    <w:lvl w:ilvl="7" w:tplc="04180019" w:tentative="1">
      <w:start w:val="1"/>
      <w:numFmt w:val="lowerLetter"/>
      <w:lvlText w:val="%8."/>
      <w:lvlJc w:val="left"/>
      <w:pPr>
        <w:ind w:left="5647" w:hanging="360"/>
      </w:pPr>
    </w:lvl>
    <w:lvl w:ilvl="8" w:tplc="0418001B" w:tentative="1">
      <w:start w:val="1"/>
      <w:numFmt w:val="lowerRoman"/>
      <w:lvlText w:val="%9."/>
      <w:lvlJc w:val="right"/>
      <w:pPr>
        <w:ind w:left="6367" w:hanging="180"/>
      </w:pPr>
    </w:lvl>
  </w:abstractNum>
  <w:num w:numId="1" w16cid:durableId="169830185">
    <w:abstractNumId w:val="0"/>
  </w:num>
  <w:num w:numId="2" w16cid:durableId="307050073">
    <w:abstractNumId w:val="1"/>
  </w:num>
  <w:num w:numId="3" w16cid:durableId="154798980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6A5"/>
    <w:rsid w:val="0003542E"/>
    <w:rsid w:val="0004564F"/>
    <w:rsid w:val="00050199"/>
    <w:rsid w:val="0008392A"/>
    <w:rsid w:val="00083FD2"/>
    <w:rsid w:val="00097BF9"/>
    <w:rsid w:val="000B6F6B"/>
    <w:rsid w:val="000D4AA8"/>
    <w:rsid w:val="001133DB"/>
    <w:rsid w:val="00145FFE"/>
    <w:rsid w:val="0015666B"/>
    <w:rsid w:val="001750D9"/>
    <w:rsid w:val="001867D4"/>
    <w:rsid w:val="001E7BDF"/>
    <w:rsid w:val="001F0D37"/>
    <w:rsid w:val="001F7468"/>
    <w:rsid w:val="0020499D"/>
    <w:rsid w:val="002202D5"/>
    <w:rsid w:val="00241732"/>
    <w:rsid w:val="002562EE"/>
    <w:rsid w:val="002B035B"/>
    <w:rsid w:val="002C16A5"/>
    <w:rsid w:val="0030468A"/>
    <w:rsid w:val="0034229D"/>
    <w:rsid w:val="00357684"/>
    <w:rsid w:val="003634A6"/>
    <w:rsid w:val="00364EC5"/>
    <w:rsid w:val="003E4A8F"/>
    <w:rsid w:val="00406308"/>
    <w:rsid w:val="00406652"/>
    <w:rsid w:val="004325B4"/>
    <w:rsid w:val="004352D3"/>
    <w:rsid w:val="00493307"/>
    <w:rsid w:val="004B00B6"/>
    <w:rsid w:val="004D32C9"/>
    <w:rsid w:val="00502F23"/>
    <w:rsid w:val="0050775C"/>
    <w:rsid w:val="00547A42"/>
    <w:rsid w:val="00575444"/>
    <w:rsid w:val="005B76B2"/>
    <w:rsid w:val="005C3858"/>
    <w:rsid w:val="005C6FE7"/>
    <w:rsid w:val="00607AA5"/>
    <w:rsid w:val="00632703"/>
    <w:rsid w:val="00642058"/>
    <w:rsid w:val="006563EC"/>
    <w:rsid w:val="00660A93"/>
    <w:rsid w:val="00671377"/>
    <w:rsid w:val="006814EE"/>
    <w:rsid w:val="006965AA"/>
    <w:rsid w:val="00696FAC"/>
    <w:rsid w:val="006A71E3"/>
    <w:rsid w:val="006B557A"/>
    <w:rsid w:val="006D15EE"/>
    <w:rsid w:val="00713956"/>
    <w:rsid w:val="00717179"/>
    <w:rsid w:val="00762953"/>
    <w:rsid w:val="007966EF"/>
    <w:rsid w:val="007978E3"/>
    <w:rsid w:val="007B2325"/>
    <w:rsid w:val="007D6855"/>
    <w:rsid w:val="007E3C46"/>
    <w:rsid w:val="00814ADA"/>
    <w:rsid w:val="00814F00"/>
    <w:rsid w:val="00851DF7"/>
    <w:rsid w:val="008D17DB"/>
    <w:rsid w:val="008F52F6"/>
    <w:rsid w:val="00942053"/>
    <w:rsid w:val="00947E5F"/>
    <w:rsid w:val="00953BD3"/>
    <w:rsid w:val="00957AB7"/>
    <w:rsid w:val="00980A1B"/>
    <w:rsid w:val="00995F44"/>
    <w:rsid w:val="00A0609F"/>
    <w:rsid w:val="00A23B24"/>
    <w:rsid w:val="00A73578"/>
    <w:rsid w:val="00A74857"/>
    <w:rsid w:val="00A90314"/>
    <w:rsid w:val="00A9410E"/>
    <w:rsid w:val="00AA5463"/>
    <w:rsid w:val="00AB5E27"/>
    <w:rsid w:val="00AE30B1"/>
    <w:rsid w:val="00AE30F1"/>
    <w:rsid w:val="00B1167D"/>
    <w:rsid w:val="00B22ED8"/>
    <w:rsid w:val="00B625A5"/>
    <w:rsid w:val="00B745B4"/>
    <w:rsid w:val="00B93EC4"/>
    <w:rsid w:val="00BB7404"/>
    <w:rsid w:val="00BD6FD1"/>
    <w:rsid w:val="00C20258"/>
    <w:rsid w:val="00C253A8"/>
    <w:rsid w:val="00C62A91"/>
    <w:rsid w:val="00C73EC4"/>
    <w:rsid w:val="00C86D60"/>
    <w:rsid w:val="00CA6E1F"/>
    <w:rsid w:val="00D0340F"/>
    <w:rsid w:val="00D109F8"/>
    <w:rsid w:val="00D200AB"/>
    <w:rsid w:val="00D2412C"/>
    <w:rsid w:val="00D56E64"/>
    <w:rsid w:val="00D81543"/>
    <w:rsid w:val="00DD280C"/>
    <w:rsid w:val="00DE0673"/>
    <w:rsid w:val="00DF4AE3"/>
    <w:rsid w:val="00DF63AB"/>
    <w:rsid w:val="00E06374"/>
    <w:rsid w:val="00E22A53"/>
    <w:rsid w:val="00E22F58"/>
    <w:rsid w:val="00E45993"/>
    <w:rsid w:val="00E67E09"/>
    <w:rsid w:val="00E83113"/>
    <w:rsid w:val="00E9318D"/>
    <w:rsid w:val="00EA0390"/>
    <w:rsid w:val="00EF04E8"/>
    <w:rsid w:val="00EF087E"/>
    <w:rsid w:val="00F04687"/>
    <w:rsid w:val="00F22541"/>
    <w:rsid w:val="00F32BEE"/>
    <w:rsid w:val="00F46CF7"/>
    <w:rsid w:val="00FB0840"/>
    <w:rsid w:val="00FB6016"/>
    <w:rsid w:val="00FD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EC9755"/>
  <w15:chartTrackingRefBased/>
  <w15:docId w15:val="{8BCC9F81-B530-4D73-862F-E98A6A79A6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0673"/>
  </w:style>
  <w:style w:type="paragraph" w:styleId="Titlu4">
    <w:name w:val="heading 4"/>
    <w:basedOn w:val="Normal"/>
    <w:link w:val="Titlu4Caracter"/>
    <w:uiPriority w:val="9"/>
    <w:qFormat/>
    <w:rsid w:val="002C16A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4Caracter">
    <w:name w:val="Titlu 4 Caracter"/>
    <w:basedOn w:val="Fontdeparagrafimplicit"/>
    <w:link w:val="Titlu4"/>
    <w:uiPriority w:val="9"/>
    <w:rsid w:val="002C16A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Robust">
    <w:name w:val="Strong"/>
    <w:basedOn w:val="Fontdeparagrafimplicit"/>
    <w:uiPriority w:val="22"/>
    <w:qFormat/>
    <w:rsid w:val="002C16A5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2C1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rspaiere">
    <w:name w:val="No Spacing"/>
    <w:uiPriority w:val="1"/>
    <w:qFormat/>
    <w:rsid w:val="002C16A5"/>
    <w:pPr>
      <w:spacing w:after="0" w:line="240" w:lineRule="auto"/>
    </w:pPr>
  </w:style>
  <w:style w:type="table" w:styleId="Tabelgril">
    <w:name w:val="Table Grid"/>
    <w:basedOn w:val="TabelNormal"/>
    <w:uiPriority w:val="39"/>
    <w:rsid w:val="0076295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04564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04564F"/>
    <w:rPr>
      <w:rFonts w:ascii="Segoe UI" w:hAnsi="Segoe UI" w:cs="Segoe UI"/>
      <w:sz w:val="18"/>
      <w:szCs w:val="18"/>
    </w:rPr>
  </w:style>
  <w:style w:type="paragraph" w:styleId="Listparagraf">
    <w:name w:val="List Paragraph"/>
    <w:basedOn w:val="Normal"/>
    <w:uiPriority w:val="34"/>
    <w:qFormat/>
    <w:rsid w:val="00BD6FD1"/>
    <w:pPr>
      <w:ind w:left="720"/>
      <w:contextualSpacing/>
    </w:pPr>
  </w:style>
  <w:style w:type="character" w:styleId="Hyperlink">
    <w:name w:val="Hyperlink"/>
    <w:basedOn w:val="Fontdeparagrafimplicit"/>
    <w:uiPriority w:val="99"/>
    <w:unhideWhenUsed/>
    <w:rsid w:val="00696FAC"/>
    <w:rPr>
      <w:color w:val="0563C1" w:themeColor="hyperlink"/>
      <w:u w:val="single"/>
    </w:rPr>
  </w:style>
  <w:style w:type="character" w:styleId="MeniuneNerezolvat">
    <w:name w:val="Unresolved Mention"/>
    <w:basedOn w:val="Fontdeparagrafimplicit"/>
    <w:uiPriority w:val="99"/>
    <w:semiHidden/>
    <w:unhideWhenUsed/>
    <w:rsid w:val="00696FAC"/>
    <w:rPr>
      <w:color w:val="605E5C"/>
      <w:shd w:val="clear" w:color="auto" w:fill="E1DFDD"/>
    </w:rPr>
  </w:style>
  <w:style w:type="character" w:styleId="Referincomentariu">
    <w:name w:val="annotation reference"/>
    <w:basedOn w:val="Fontdeparagrafimplicit"/>
    <w:uiPriority w:val="99"/>
    <w:semiHidden/>
    <w:unhideWhenUsed/>
    <w:rsid w:val="008D17DB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unhideWhenUsed/>
    <w:rsid w:val="008D17DB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rsid w:val="008D17DB"/>
    <w:rPr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8D17DB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8D17DB"/>
    <w:rPr>
      <w:b/>
      <w:bCs/>
      <w:sz w:val="20"/>
      <w:szCs w:val="20"/>
    </w:rPr>
  </w:style>
  <w:style w:type="paragraph" w:styleId="Revizuire">
    <w:name w:val="Revision"/>
    <w:hidden/>
    <w:uiPriority w:val="99"/>
    <w:semiHidden/>
    <w:rsid w:val="00980A1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965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884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9F788-171B-4200-96EE-C0D18735D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1112</TotalTime>
  <Pages>2</Pages>
  <Words>517</Words>
  <Characters>3476</Characters>
  <Application>Microsoft Office Word</Application>
  <DocSecurity>0</DocSecurity>
  <Lines>158</Lines>
  <Paragraphs>105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 Gilca</dc:creator>
  <cp:keywords/>
  <dc:description/>
  <cp:lastModifiedBy>Direcția politici de gestionare a deșeurilor și a siturilor</cp:lastModifiedBy>
  <cp:revision>29</cp:revision>
  <cp:lastPrinted>2026-04-16T11:47:00Z</cp:lastPrinted>
  <dcterms:created xsi:type="dcterms:W3CDTF">2021-10-27T08:33:00Z</dcterms:created>
  <dcterms:modified xsi:type="dcterms:W3CDTF">2026-04-24T05:48:00Z</dcterms:modified>
</cp:coreProperties>
</file>