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5535FB"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758CB6BE" w14:textId="1CE68BCE" w:rsidR="002532A3" w:rsidRDefault="002532A3" w:rsidP="003A0FA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2532A3">
        <w:rPr>
          <w:b/>
          <w:bCs/>
          <w:sz w:val="24"/>
          <w:szCs w:val="24"/>
          <w:lang w:val="ro-RO"/>
        </w:rPr>
        <w:t xml:space="preserve">la proiectul </w:t>
      </w:r>
      <w:r w:rsidR="00AF090F" w:rsidRPr="00AF090F">
        <w:rPr>
          <w:b/>
          <w:bCs/>
          <w:sz w:val="24"/>
          <w:szCs w:val="24"/>
          <w:lang w:val="ro-RO"/>
        </w:rPr>
        <w:t xml:space="preserve">Ordinului ministrului mediului privind aprobarea </w:t>
      </w:r>
      <w:r w:rsidR="003A0FAB" w:rsidRPr="003A0FAB">
        <w:rPr>
          <w:b/>
          <w:bCs/>
          <w:sz w:val="24"/>
          <w:szCs w:val="24"/>
          <w:lang w:val="ro-RO"/>
        </w:rPr>
        <w:t>Ghidului metodologic privind raportarea emisiilor de gaze cu efect de seră pentru instalații și activități de aviație</w:t>
      </w:r>
    </w:p>
    <w:p w14:paraId="0BC2412B" w14:textId="77777777" w:rsidR="003A0FAB" w:rsidRPr="005535FB" w:rsidRDefault="003A0FAB" w:rsidP="003A0FA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88"/>
      </w:tblGrid>
      <w:tr w:rsidR="006D3EB7" w:rsidRPr="005535FB" w14:paraId="287A4E29" w14:textId="77777777" w:rsidTr="00CC7BF8">
        <w:trPr>
          <w:trHeight w:val="688"/>
        </w:trPr>
        <w:tc>
          <w:tcPr>
            <w:tcW w:w="948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5535FB" w14:paraId="07E4E789"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FFEBFC9" w:rsidR="008B4BE6" w:rsidRPr="00564883" w:rsidRDefault="0002004F" w:rsidP="00A44F24">
            <w:pPr>
              <w:ind w:firstLine="735"/>
              <w:rPr>
                <w:rFonts w:ascii="Times New Roman" w:hAnsi="Times New Roman"/>
                <w:sz w:val="24"/>
                <w:szCs w:val="24"/>
                <w:lang w:val="ro-RO"/>
              </w:rPr>
            </w:pPr>
            <w:r w:rsidRPr="00564883">
              <w:rPr>
                <w:rFonts w:ascii="Times New Roman" w:hAnsi="Times New Roman"/>
                <w:sz w:val="24"/>
                <w:szCs w:val="24"/>
                <w:lang w:val="ro-RO"/>
              </w:rPr>
              <w:t xml:space="preserve">Proiectul Ordinul </w:t>
            </w:r>
            <w:r w:rsidR="00F925FB" w:rsidRPr="00564883">
              <w:rPr>
                <w:rFonts w:ascii="Times New Roman" w:hAnsi="Times New Roman"/>
                <w:sz w:val="24"/>
                <w:szCs w:val="24"/>
                <w:lang w:val="ro-RO"/>
              </w:rPr>
              <w:t xml:space="preserve">ministrului mediului </w:t>
            </w:r>
            <w:r w:rsidRPr="00564883">
              <w:rPr>
                <w:rFonts w:ascii="Times New Roman" w:hAnsi="Times New Roman"/>
                <w:sz w:val="24"/>
                <w:szCs w:val="24"/>
                <w:lang w:val="ro-RO"/>
              </w:rPr>
              <w:t xml:space="preserve">privind aprobarea </w:t>
            </w:r>
            <w:r w:rsidR="003A0FAB" w:rsidRPr="00564883">
              <w:rPr>
                <w:rFonts w:ascii="Times New Roman" w:hAnsi="Times New Roman"/>
                <w:sz w:val="24"/>
                <w:szCs w:val="24"/>
                <w:lang w:val="ro-RO"/>
              </w:rPr>
              <w:t>Ghidului metodologic privind raportarea emisiilor de gaze cu efect de seră pentru instalații și activități de aviație</w:t>
            </w:r>
            <w:r w:rsidR="00F925FB" w:rsidRPr="00564883">
              <w:rPr>
                <w:rFonts w:ascii="Times New Roman" w:hAnsi="Times New Roman"/>
                <w:sz w:val="24"/>
                <w:szCs w:val="24"/>
                <w:lang w:val="ro-RO"/>
              </w:rPr>
              <w:t xml:space="preserve"> </w:t>
            </w:r>
            <w:r w:rsidR="002532A3" w:rsidRPr="00564883">
              <w:rPr>
                <w:rFonts w:ascii="Times New Roman" w:hAnsi="Times New Roman"/>
                <w:sz w:val="24"/>
                <w:szCs w:val="24"/>
                <w:lang w:val="ro-RO"/>
              </w:rPr>
              <w:t>(în continuare -</w:t>
            </w:r>
            <w:r w:rsidR="00C510F1" w:rsidRPr="00564883">
              <w:rPr>
                <w:rFonts w:ascii="Times New Roman" w:hAnsi="Times New Roman"/>
                <w:i/>
                <w:iCs/>
                <w:sz w:val="24"/>
                <w:szCs w:val="24"/>
                <w:lang w:val="ro-RO"/>
              </w:rPr>
              <w:t>P</w:t>
            </w:r>
            <w:r w:rsidR="002532A3" w:rsidRPr="00564883">
              <w:rPr>
                <w:rFonts w:ascii="Times New Roman" w:hAnsi="Times New Roman"/>
                <w:i/>
                <w:iCs/>
                <w:sz w:val="24"/>
                <w:szCs w:val="24"/>
                <w:lang w:val="ro-RO"/>
              </w:rPr>
              <w:t>roiect</w:t>
            </w:r>
            <w:r w:rsidR="002532A3" w:rsidRPr="00564883">
              <w:rPr>
                <w:rFonts w:ascii="Times New Roman" w:hAnsi="Times New Roman"/>
                <w:sz w:val="24"/>
                <w:szCs w:val="24"/>
                <w:lang w:val="ro-RO"/>
              </w:rPr>
              <w:t>)</w:t>
            </w:r>
            <w:r w:rsidRPr="00564883">
              <w:rPr>
                <w:rFonts w:ascii="Times New Roman" w:hAnsi="Times New Roman"/>
                <w:sz w:val="24"/>
                <w:szCs w:val="24"/>
                <w:lang w:val="ro-RO"/>
              </w:rPr>
              <w:t xml:space="preserve">, a fost elaborat de Ministerul Mediului cu suportul </w:t>
            </w:r>
            <w:r w:rsidR="00C510F1" w:rsidRPr="00564883">
              <w:rPr>
                <w:rFonts w:ascii="Times New Roman" w:hAnsi="Times New Roman"/>
                <w:sz w:val="24"/>
                <w:szCs w:val="24"/>
                <w:lang w:val="ro-RO"/>
              </w:rPr>
              <w:t xml:space="preserve">expertului din cadrul </w:t>
            </w:r>
            <w:r w:rsidR="00C510F1" w:rsidRPr="00564883">
              <w:rPr>
                <w:rFonts w:ascii="Times New Roman" w:hAnsi="Times New Roman"/>
                <w:sz w:val="24"/>
                <w:szCs w:val="24"/>
                <w:lang w:val="ro-MD"/>
              </w:rPr>
              <w:t>proiectului „</w:t>
            </w:r>
            <w:r w:rsidR="00C510F1" w:rsidRPr="00564883">
              <w:rPr>
                <w:rFonts w:ascii="Times New Roman" w:hAnsi="Times New Roman"/>
                <w:i/>
                <w:iCs/>
                <w:sz w:val="24"/>
                <w:szCs w:val="24"/>
                <w:lang w:val="ro-MD"/>
              </w:rPr>
              <w:t>Consolidarea capacităților pentru acțiuni climatice în Republica Moldov</w:t>
            </w:r>
            <w:r w:rsidR="00C510F1" w:rsidRPr="00564883">
              <w:rPr>
                <w:rFonts w:ascii="Times New Roman" w:hAnsi="Times New Roman"/>
                <w:sz w:val="24"/>
                <w:szCs w:val="24"/>
                <w:lang w:val="ro-MD"/>
              </w:rPr>
              <w:t xml:space="preserve">a”, finanțat de Fondul Verde pentru Climă și implementat de </w:t>
            </w:r>
            <w:r w:rsidR="00F925FB" w:rsidRPr="00564883">
              <w:rPr>
                <w:rFonts w:ascii="Times New Roman" w:hAnsi="Times New Roman"/>
                <w:sz w:val="24"/>
                <w:szCs w:val="24"/>
                <w:lang w:val="ro-MD"/>
              </w:rPr>
              <w:t>Programul Națiunilor Unite pentru Dezvoltare.</w:t>
            </w:r>
          </w:p>
        </w:tc>
      </w:tr>
      <w:tr w:rsidR="006D3EB7" w:rsidRPr="005535FB" w14:paraId="54985D5B"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64883" w:rsidRDefault="006933C3" w:rsidP="00452C6C">
            <w:pPr>
              <w:rPr>
                <w:rFonts w:ascii="Times New Roman" w:hAnsi="Times New Roman"/>
                <w:b/>
                <w:bCs/>
                <w:sz w:val="24"/>
                <w:szCs w:val="24"/>
                <w:lang w:val="ro-RO"/>
              </w:rPr>
            </w:pPr>
            <w:r w:rsidRPr="00564883">
              <w:rPr>
                <w:rFonts w:ascii="Times New Roman" w:hAnsi="Times New Roman"/>
                <w:b/>
                <w:bCs/>
                <w:sz w:val="24"/>
                <w:szCs w:val="24"/>
                <w:lang w:val="ro-RO"/>
              </w:rPr>
              <w:t>2.</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Condi</w:t>
            </w:r>
            <w:r w:rsidR="00863417" w:rsidRPr="00564883">
              <w:rPr>
                <w:rFonts w:ascii="Times New Roman" w:hAnsi="Times New Roman"/>
                <w:b/>
                <w:bCs/>
                <w:sz w:val="24"/>
                <w:szCs w:val="24"/>
                <w:lang w:val="ro-RO"/>
              </w:rPr>
              <w:t>ț</w:t>
            </w:r>
            <w:r w:rsidRPr="00564883">
              <w:rPr>
                <w:rFonts w:ascii="Times New Roman" w:hAnsi="Times New Roman"/>
                <w:b/>
                <w:bCs/>
                <w:sz w:val="24"/>
                <w:szCs w:val="24"/>
                <w:lang w:val="ro-RO"/>
              </w:rPr>
              <w:t>iile</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ce</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au</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impus</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elaborarea</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proiectului</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actului</w:t>
            </w:r>
            <w:r w:rsidR="00032B46" w:rsidRPr="00564883">
              <w:rPr>
                <w:rFonts w:ascii="Times New Roman" w:hAnsi="Times New Roman"/>
                <w:b/>
                <w:bCs/>
                <w:sz w:val="24"/>
                <w:szCs w:val="24"/>
                <w:lang w:val="ro-RO"/>
              </w:rPr>
              <w:t xml:space="preserve"> </w:t>
            </w:r>
            <w:r w:rsidRPr="00564883">
              <w:rPr>
                <w:rFonts w:ascii="Times New Roman" w:hAnsi="Times New Roman"/>
                <w:b/>
                <w:bCs/>
                <w:sz w:val="24"/>
                <w:szCs w:val="24"/>
                <w:lang w:val="ro-RO"/>
              </w:rPr>
              <w:t>normativ</w:t>
            </w:r>
          </w:p>
        </w:tc>
      </w:tr>
      <w:tr w:rsidR="006D3EB7" w:rsidRPr="005535FB" w14:paraId="4F79667C"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64883" w:rsidRDefault="006933C3" w:rsidP="00452C6C">
            <w:pPr>
              <w:rPr>
                <w:rFonts w:ascii="Times New Roman" w:hAnsi="Times New Roman"/>
                <w:sz w:val="24"/>
                <w:szCs w:val="24"/>
                <w:lang w:val="ro-RO"/>
              </w:rPr>
            </w:pPr>
            <w:r w:rsidRPr="00564883">
              <w:rPr>
                <w:rFonts w:ascii="Times New Roman" w:hAnsi="Times New Roman"/>
                <w:sz w:val="24"/>
                <w:szCs w:val="24"/>
                <w:lang w:val="ro-RO"/>
              </w:rPr>
              <w:t>2.1.</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Temeiul</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legal</w:t>
            </w:r>
            <w:r w:rsidR="00825DC9" w:rsidRPr="00564883">
              <w:rPr>
                <w:rFonts w:ascii="Times New Roman" w:hAnsi="Times New Roman"/>
                <w:sz w:val="24"/>
                <w:szCs w:val="24"/>
                <w:lang w:val="ro-RO"/>
              </w:rPr>
              <w:t xml:space="preserve"> sau</w:t>
            </w:r>
            <w:r w:rsidRPr="00564883">
              <w:rPr>
                <w:rFonts w:ascii="Times New Roman" w:hAnsi="Times New Roman"/>
                <w:sz w:val="24"/>
                <w:szCs w:val="24"/>
                <w:lang w:val="ro-RO"/>
              </w:rPr>
              <w:t>,</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după</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caz</w:t>
            </w:r>
            <w:r w:rsidR="00825DC9" w:rsidRPr="00564883">
              <w:rPr>
                <w:rFonts w:ascii="Times New Roman" w:hAnsi="Times New Roman"/>
                <w:sz w:val="24"/>
                <w:szCs w:val="24"/>
                <w:lang w:val="ro-RO"/>
              </w:rPr>
              <w:t>,</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sursa</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proiectului</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actului</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normativ</w:t>
            </w:r>
          </w:p>
        </w:tc>
      </w:tr>
      <w:tr w:rsidR="0002004F" w:rsidRPr="00332FBE" w14:paraId="5C38388C"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5A53DB" w14:textId="2BD99F53" w:rsidR="00F925FB" w:rsidRPr="00564883" w:rsidRDefault="00880984" w:rsidP="00452C6C">
            <w:pPr>
              <w:rPr>
                <w:rFonts w:ascii="Times New Roman" w:hAnsi="Times New Roman"/>
                <w:sz w:val="24"/>
                <w:szCs w:val="24"/>
                <w:lang w:val="ro-MD"/>
              </w:rPr>
            </w:pPr>
            <w:r w:rsidRPr="00564883">
              <w:rPr>
                <w:rFonts w:ascii="Times New Roman" w:hAnsi="Times New Roman"/>
                <w:sz w:val="24"/>
                <w:szCs w:val="24"/>
                <w:lang w:val="ro-MD"/>
              </w:rPr>
              <w:t>Elaborarea proiectului de act normativ rezultă din</w:t>
            </w:r>
            <w:r w:rsidR="00F925FB" w:rsidRPr="00564883">
              <w:rPr>
                <w:rFonts w:ascii="Times New Roman" w:hAnsi="Times New Roman"/>
                <w:sz w:val="24"/>
                <w:szCs w:val="24"/>
                <w:lang w:val="ro-MD"/>
              </w:rPr>
              <w:t xml:space="preserve"> angajamente</w:t>
            </w:r>
            <w:r w:rsidR="00332FBE">
              <w:rPr>
                <w:rFonts w:ascii="Times New Roman" w:hAnsi="Times New Roman"/>
                <w:sz w:val="24"/>
                <w:szCs w:val="24"/>
                <w:lang w:val="ro-MD"/>
              </w:rPr>
              <w:t>le</w:t>
            </w:r>
            <w:r w:rsidR="00F925FB" w:rsidRPr="00564883">
              <w:rPr>
                <w:rFonts w:ascii="Times New Roman" w:hAnsi="Times New Roman"/>
                <w:sz w:val="24"/>
                <w:szCs w:val="24"/>
                <w:lang w:val="ro-MD"/>
              </w:rPr>
              <w:t xml:space="preserve"> </w:t>
            </w:r>
            <w:r w:rsidRPr="00564883">
              <w:rPr>
                <w:rFonts w:ascii="Times New Roman" w:hAnsi="Times New Roman"/>
                <w:sz w:val="24"/>
                <w:szCs w:val="24"/>
                <w:lang w:val="ro-MD"/>
              </w:rPr>
              <w:t xml:space="preserve">asumate în cadrul </w:t>
            </w:r>
            <w:r w:rsidR="00F925FB" w:rsidRPr="00564883">
              <w:rPr>
                <w:rFonts w:ascii="Times New Roman" w:hAnsi="Times New Roman"/>
                <w:sz w:val="24"/>
                <w:szCs w:val="24"/>
                <w:lang w:val="ro-MD"/>
              </w:rPr>
              <w:t xml:space="preserve"> </w:t>
            </w:r>
            <w:r w:rsidR="00F925FB" w:rsidRPr="00564883">
              <w:rPr>
                <w:rFonts w:ascii="Times New Roman" w:hAnsi="Times New Roman"/>
                <w:b/>
                <w:bCs/>
                <w:sz w:val="24"/>
                <w:szCs w:val="24"/>
                <w:lang w:val="ro-MD"/>
              </w:rPr>
              <w:t>Programul</w:t>
            </w:r>
            <w:r w:rsidRPr="00564883">
              <w:rPr>
                <w:rFonts w:ascii="Times New Roman" w:hAnsi="Times New Roman"/>
                <w:b/>
                <w:bCs/>
                <w:sz w:val="24"/>
                <w:szCs w:val="24"/>
                <w:lang w:val="ro-MD"/>
              </w:rPr>
              <w:t>ui</w:t>
            </w:r>
            <w:r w:rsidR="00F925FB" w:rsidRPr="00564883">
              <w:rPr>
                <w:rFonts w:ascii="Times New Roman" w:hAnsi="Times New Roman"/>
                <w:b/>
                <w:bCs/>
                <w:sz w:val="24"/>
                <w:szCs w:val="24"/>
                <w:lang w:val="ro-MD"/>
              </w:rPr>
              <w:t xml:space="preserve"> Național de aderare a Republicii Moldova la Uniunea Europeană pentru anii 2025-2029, aprobat prin Hotărârea Guvernului nr. 306/2025</w:t>
            </w:r>
            <w:r w:rsidR="00F925FB" w:rsidRPr="00564883">
              <w:rPr>
                <w:rFonts w:ascii="Times New Roman" w:hAnsi="Times New Roman"/>
                <w:sz w:val="24"/>
                <w:szCs w:val="24"/>
                <w:lang w:val="ro-MD"/>
              </w:rPr>
              <w:t xml:space="preserve">, Clusterul 4, Anexa A, Capitolul 27 Mediu și schimbării climatice, acțiunea nr. </w:t>
            </w:r>
            <w:r w:rsidR="00DC480B" w:rsidRPr="00564883">
              <w:rPr>
                <w:rFonts w:ascii="Times New Roman" w:hAnsi="Times New Roman"/>
                <w:sz w:val="24"/>
                <w:szCs w:val="24"/>
                <w:lang w:val="ro-MD"/>
              </w:rPr>
              <w:t>132</w:t>
            </w:r>
          </w:p>
          <w:p w14:paraId="321F328F" w14:textId="21D85C48" w:rsidR="00631B04" w:rsidRPr="00564883" w:rsidRDefault="00880984" w:rsidP="00013690">
            <w:pPr>
              <w:rPr>
                <w:rFonts w:ascii="Times New Roman" w:hAnsi="Times New Roman"/>
                <w:sz w:val="24"/>
                <w:szCs w:val="24"/>
                <w:lang w:val="ro-MD"/>
              </w:rPr>
            </w:pPr>
            <w:r w:rsidRPr="00564883">
              <w:rPr>
                <w:rFonts w:ascii="Times New Roman" w:hAnsi="Times New Roman"/>
                <w:b/>
                <w:bCs/>
                <w:sz w:val="24"/>
                <w:szCs w:val="24"/>
                <w:lang w:val="ro-RO"/>
              </w:rPr>
              <w:t>Agend</w:t>
            </w:r>
            <w:r w:rsidR="00E21F1F">
              <w:rPr>
                <w:rFonts w:ascii="Times New Roman" w:hAnsi="Times New Roman"/>
                <w:b/>
                <w:bCs/>
                <w:sz w:val="24"/>
                <w:szCs w:val="24"/>
                <w:lang w:val="ro-RO"/>
              </w:rPr>
              <w:t>a</w:t>
            </w:r>
            <w:r w:rsidRPr="00564883">
              <w:rPr>
                <w:rFonts w:ascii="Times New Roman" w:hAnsi="Times New Roman"/>
                <w:b/>
                <w:bCs/>
                <w:sz w:val="24"/>
                <w:szCs w:val="24"/>
                <w:lang w:val="ro-RO"/>
              </w:rPr>
              <w:t xml:space="preserve"> de reforme aferentă Planului de creștere al Republicii Moldova pentru anii 2025-2027, aprobat prin Hotărârea Guvernului nr. 260/2025</w:t>
            </w:r>
            <w:r w:rsidRPr="00564883">
              <w:rPr>
                <w:rFonts w:ascii="Times New Roman" w:hAnsi="Times New Roman"/>
                <w:sz w:val="24"/>
                <w:szCs w:val="24"/>
                <w:lang w:val="ro-MD"/>
              </w:rPr>
              <w:t>, prevede realizarea măsurii</w:t>
            </w:r>
            <w:r w:rsidR="008214CA" w:rsidRPr="00564883">
              <w:rPr>
                <w:rFonts w:ascii="Times New Roman" w:hAnsi="Times New Roman"/>
                <w:sz w:val="24"/>
                <w:szCs w:val="24"/>
                <w:lang w:val="ro-MD"/>
              </w:rPr>
              <w:t xml:space="preserve"> nr.12 din cadrul </w:t>
            </w:r>
            <w:r w:rsidR="008214CA" w:rsidRPr="00564883">
              <w:rPr>
                <w:rFonts w:ascii="Times New Roman" w:hAnsi="Times New Roman"/>
                <w:i/>
                <w:iCs/>
                <w:sz w:val="24"/>
                <w:szCs w:val="24"/>
                <w:lang w:val="ro-MD"/>
              </w:rPr>
              <w:t>Reformei nr. 5</w:t>
            </w:r>
            <w:r w:rsidR="00FD40CF" w:rsidRPr="00564883">
              <w:rPr>
                <w:rFonts w:ascii="Times New Roman" w:hAnsi="Times New Roman"/>
                <w:i/>
                <w:iCs/>
                <w:sz w:val="24"/>
                <w:szCs w:val="24"/>
                <w:lang w:val="ro-MD"/>
              </w:rPr>
              <w:t>:</w:t>
            </w:r>
            <w:r w:rsidR="008214CA" w:rsidRPr="00564883">
              <w:rPr>
                <w:rFonts w:ascii="Times New Roman" w:hAnsi="Times New Roman"/>
                <w:i/>
                <w:iCs/>
                <w:sz w:val="24"/>
                <w:szCs w:val="24"/>
                <w:lang w:val="ro-MD"/>
              </w:rPr>
              <w:t xml:space="preserve"> Acțiuni climatice, Subdomeniul</w:t>
            </w:r>
            <w:r w:rsidR="00FD40CF" w:rsidRPr="00564883">
              <w:rPr>
                <w:rFonts w:ascii="Times New Roman" w:hAnsi="Times New Roman"/>
                <w:i/>
                <w:iCs/>
                <w:sz w:val="24"/>
                <w:szCs w:val="24"/>
                <w:lang w:val="ro-MD"/>
              </w:rPr>
              <w:t>:</w:t>
            </w:r>
            <w:r w:rsidR="008214CA" w:rsidRPr="00564883">
              <w:rPr>
                <w:rFonts w:ascii="Times New Roman" w:hAnsi="Times New Roman"/>
                <w:i/>
                <w:iCs/>
                <w:sz w:val="24"/>
                <w:szCs w:val="24"/>
                <w:lang w:val="ro-MD"/>
              </w:rPr>
              <w:t xml:space="preserve"> Protecția mediului și acțiunile climatice</w:t>
            </w:r>
            <w:r w:rsidR="00FD40CF" w:rsidRPr="00564883">
              <w:rPr>
                <w:rFonts w:ascii="Times New Roman" w:hAnsi="Times New Roman"/>
                <w:i/>
                <w:iCs/>
                <w:sz w:val="24"/>
                <w:szCs w:val="24"/>
                <w:lang w:val="ro-MD"/>
              </w:rPr>
              <w:t>, Pilonul 5: Tranziție verde și capital natural.</w:t>
            </w:r>
          </w:p>
          <w:p w14:paraId="7619F0CF" w14:textId="04590715" w:rsidR="00AF090F" w:rsidRPr="00564883" w:rsidRDefault="00D36DF3" w:rsidP="00C510F1">
            <w:pPr>
              <w:rPr>
                <w:rFonts w:ascii="Times New Roman" w:hAnsi="Times New Roman"/>
                <w:sz w:val="24"/>
                <w:szCs w:val="24"/>
                <w:lang w:val="ro-RO"/>
              </w:rPr>
            </w:pPr>
            <w:r w:rsidRPr="00564883">
              <w:rPr>
                <w:rFonts w:ascii="Times New Roman" w:hAnsi="Times New Roman"/>
                <w:sz w:val="24"/>
                <w:szCs w:val="24"/>
                <w:lang w:val="ro-RO"/>
              </w:rPr>
              <w:t>Temeiul legal pentru aprobarea acestui proiect de act normativ este</w:t>
            </w:r>
            <w:r w:rsidRPr="00564883">
              <w:rPr>
                <w:rFonts w:ascii="Times New Roman" w:hAnsi="Times New Roman"/>
                <w:sz w:val="24"/>
                <w:szCs w:val="24"/>
              </w:rPr>
              <w:t xml:space="preserve"> </w:t>
            </w:r>
            <w:r w:rsidR="00A44F24" w:rsidRPr="00564883">
              <w:rPr>
                <w:rFonts w:ascii="Times New Roman" w:hAnsi="Times New Roman"/>
                <w:sz w:val="24"/>
                <w:szCs w:val="24"/>
                <w:lang w:val="ro-RO"/>
              </w:rPr>
              <w:t xml:space="preserve"> art. 8 lit. a) din Legea nr. 74/2024 privind acțiunile climatice</w:t>
            </w:r>
            <w:r w:rsidR="00E21F1F">
              <w:rPr>
                <w:rFonts w:ascii="Times New Roman" w:hAnsi="Times New Roman"/>
                <w:sz w:val="24"/>
                <w:szCs w:val="24"/>
                <w:lang w:val="ro-RO"/>
              </w:rPr>
              <w:t>,</w:t>
            </w:r>
            <w:r w:rsidR="00A44F24" w:rsidRPr="00564883">
              <w:rPr>
                <w:rFonts w:ascii="Times New Roman" w:hAnsi="Times New Roman"/>
                <w:sz w:val="24"/>
                <w:szCs w:val="24"/>
                <w:lang w:val="ro-RO"/>
              </w:rPr>
              <w:t xml:space="preserve"> precum și pct. 9 subpct. 2) și 11) din Regulamentul cu privire la organizarea și funcționarea Ministerului Mediului, aprobat prin Hotărârea Guvernului nr. 145/2021, care atribuie Ministerului Mediului competența de a elabora și aproba acte normative în domeniul reducerii emisiilor de gaze cu efect de seră.</w:t>
            </w:r>
          </w:p>
        </w:tc>
      </w:tr>
      <w:tr w:rsidR="006D3EB7" w:rsidRPr="005535FB" w14:paraId="6F56D62C"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64883" w:rsidRDefault="006933C3" w:rsidP="00452C6C">
            <w:pPr>
              <w:rPr>
                <w:rFonts w:ascii="Times New Roman" w:hAnsi="Times New Roman"/>
                <w:sz w:val="24"/>
                <w:szCs w:val="24"/>
                <w:lang w:val="ro-RO"/>
              </w:rPr>
            </w:pPr>
            <w:r w:rsidRPr="00564883">
              <w:rPr>
                <w:rFonts w:ascii="Times New Roman" w:hAnsi="Times New Roman"/>
                <w:sz w:val="24"/>
                <w:szCs w:val="24"/>
                <w:lang w:val="ro-RO"/>
              </w:rPr>
              <w:t>2.2.</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Descrierea</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situa</w:t>
            </w:r>
            <w:r w:rsidR="00863417" w:rsidRPr="00564883">
              <w:rPr>
                <w:rFonts w:ascii="Times New Roman" w:hAnsi="Times New Roman"/>
                <w:sz w:val="24"/>
                <w:szCs w:val="24"/>
                <w:lang w:val="ro-RO"/>
              </w:rPr>
              <w:t>ț</w:t>
            </w:r>
            <w:r w:rsidRPr="00564883">
              <w:rPr>
                <w:rFonts w:ascii="Times New Roman" w:hAnsi="Times New Roman"/>
                <w:sz w:val="24"/>
                <w:szCs w:val="24"/>
                <w:lang w:val="ro-RO"/>
              </w:rPr>
              <w:t>iei</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actuale</w:t>
            </w:r>
            <w:r w:rsidR="00032B46" w:rsidRPr="00564883">
              <w:rPr>
                <w:rFonts w:ascii="Times New Roman" w:hAnsi="Times New Roman"/>
                <w:sz w:val="24"/>
                <w:szCs w:val="24"/>
                <w:lang w:val="ro-RO"/>
              </w:rPr>
              <w:t xml:space="preserve"> </w:t>
            </w:r>
            <w:r w:rsidR="00863417" w:rsidRPr="00564883">
              <w:rPr>
                <w:rFonts w:ascii="Times New Roman" w:hAnsi="Times New Roman"/>
                <w:sz w:val="24"/>
                <w:szCs w:val="24"/>
                <w:lang w:val="ro-RO"/>
              </w:rPr>
              <w:t>ș</w:t>
            </w:r>
            <w:r w:rsidRPr="00564883">
              <w:rPr>
                <w:rFonts w:ascii="Times New Roman" w:hAnsi="Times New Roman"/>
                <w:sz w:val="24"/>
                <w:szCs w:val="24"/>
                <w:lang w:val="ro-RO"/>
              </w:rPr>
              <w:t>i</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a</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problemelor</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care</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impun</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interven</w:t>
            </w:r>
            <w:r w:rsidR="00863417" w:rsidRPr="00564883">
              <w:rPr>
                <w:rFonts w:ascii="Times New Roman" w:hAnsi="Times New Roman"/>
                <w:sz w:val="24"/>
                <w:szCs w:val="24"/>
                <w:lang w:val="ro-RO"/>
              </w:rPr>
              <w:t>ț</w:t>
            </w:r>
            <w:r w:rsidRPr="00564883">
              <w:rPr>
                <w:rFonts w:ascii="Times New Roman" w:hAnsi="Times New Roman"/>
                <w:sz w:val="24"/>
                <w:szCs w:val="24"/>
                <w:lang w:val="ro-RO"/>
              </w:rPr>
              <w:t>ia,</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inclusiv</w:t>
            </w:r>
            <w:r w:rsidR="00032B46" w:rsidRPr="00564883">
              <w:rPr>
                <w:rFonts w:ascii="Times New Roman" w:hAnsi="Times New Roman"/>
                <w:sz w:val="24"/>
                <w:szCs w:val="24"/>
                <w:lang w:val="ro-RO"/>
              </w:rPr>
              <w:t xml:space="preserve"> </w:t>
            </w:r>
            <w:r w:rsidR="005C7769" w:rsidRPr="00564883">
              <w:rPr>
                <w:rFonts w:ascii="Times New Roman" w:hAnsi="Times New Roman"/>
                <w:sz w:val="24"/>
                <w:szCs w:val="24"/>
                <w:lang w:val="ro-RO"/>
              </w:rPr>
              <w:t xml:space="preserve">a </w:t>
            </w:r>
            <w:r w:rsidRPr="00564883">
              <w:rPr>
                <w:rFonts w:ascii="Times New Roman" w:hAnsi="Times New Roman"/>
                <w:sz w:val="24"/>
                <w:szCs w:val="24"/>
                <w:lang w:val="ro-RO"/>
              </w:rPr>
              <w:t>cadrul</w:t>
            </w:r>
            <w:r w:rsidR="005C7769" w:rsidRPr="00564883">
              <w:rPr>
                <w:rFonts w:ascii="Times New Roman" w:hAnsi="Times New Roman"/>
                <w:sz w:val="24"/>
                <w:szCs w:val="24"/>
                <w:lang w:val="ro-RO"/>
              </w:rPr>
              <w:t>ui</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normativ</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aplicabil</w:t>
            </w:r>
            <w:r w:rsidR="00032B46" w:rsidRPr="00564883">
              <w:rPr>
                <w:rFonts w:ascii="Times New Roman" w:hAnsi="Times New Roman"/>
                <w:sz w:val="24"/>
                <w:szCs w:val="24"/>
                <w:lang w:val="ro-RO"/>
              </w:rPr>
              <w:t xml:space="preserve"> </w:t>
            </w:r>
            <w:r w:rsidR="00863417" w:rsidRPr="00564883">
              <w:rPr>
                <w:rFonts w:ascii="Times New Roman" w:hAnsi="Times New Roman"/>
                <w:sz w:val="24"/>
                <w:szCs w:val="24"/>
                <w:lang w:val="ro-RO"/>
              </w:rPr>
              <w:t>ș</w:t>
            </w:r>
            <w:r w:rsidRPr="00564883">
              <w:rPr>
                <w:rFonts w:ascii="Times New Roman" w:hAnsi="Times New Roman"/>
                <w:sz w:val="24"/>
                <w:szCs w:val="24"/>
                <w:lang w:val="ro-RO"/>
              </w:rPr>
              <w:t>i</w:t>
            </w:r>
            <w:r w:rsidR="00032B46" w:rsidRPr="00564883">
              <w:rPr>
                <w:rFonts w:ascii="Times New Roman" w:hAnsi="Times New Roman"/>
                <w:sz w:val="24"/>
                <w:szCs w:val="24"/>
                <w:lang w:val="ro-RO"/>
              </w:rPr>
              <w:t xml:space="preserve"> </w:t>
            </w:r>
            <w:r w:rsidR="005C7769" w:rsidRPr="00564883">
              <w:rPr>
                <w:rFonts w:ascii="Times New Roman" w:hAnsi="Times New Roman"/>
                <w:sz w:val="24"/>
                <w:szCs w:val="24"/>
                <w:lang w:val="ro-RO"/>
              </w:rPr>
              <w:t xml:space="preserve">a </w:t>
            </w:r>
            <w:r w:rsidRPr="00564883">
              <w:rPr>
                <w:rFonts w:ascii="Times New Roman" w:hAnsi="Times New Roman"/>
                <w:sz w:val="24"/>
                <w:szCs w:val="24"/>
                <w:lang w:val="ro-RO"/>
              </w:rPr>
              <w:t>deficien</w:t>
            </w:r>
            <w:r w:rsidR="00863417" w:rsidRPr="00564883">
              <w:rPr>
                <w:rFonts w:ascii="Times New Roman" w:hAnsi="Times New Roman"/>
                <w:sz w:val="24"/>
                <w:szCs w:val="24"/>
                <w:lang w:val="ro-RO"/>
              </w:rPr>
              <w:t>ț</w:t>
            </w:r>
            <w:r w:rsidRPr="00564883">
              <w:rPr>
                <w:rFonts w:ascii="Times New Roman" w:hAnsi="Times New Roman"/>
                <w:sz w:val="24"/>
                <w:szCs w:val="24"/>
                <w:lang w:val="ro-RO"/>
              </w:rPr>
              <w:t>el</w:t>
            </w:r>
            <w:r w:rsidR="005C7769" w:rsidRPr="00564883">
              <w:rPr>
                <w:rFonts w:ascii="Times New Roman" w:hAnsi="Times New Roman"/>
                <w:sz w:val="24"/>
                <w:szCs w:val="24"/>
                <w:lang w:val="ro-RO"/>
              </w:rPr>
              <w:t>or</w:t>
            </w:r>
            <w:r w:rsidRPr="00564883">
              <w:rPr>
                <w:rFonts w:ascii="Times New Roman" w:hAnsi="Times New Roman"/>
                <w:sz w:val="24"/>
                <w:szCs w:val="24"/>
                <w:lang w:val="ro-RO"/>
              </w:rPr>
              <w:t>/lacunel</w:t>
            </w:r>
            <w:r w:rsidR="005C7769" w:rsidRPr="00564883">
              <w:rPr>
                <w:rFonts w:ascii="Times New Roman" w:hAnsi="Times New Roman"/>
                <w:sz w:val="24"/>
                <w:szCs w:val="24"/>
                <w:lang w:val="ro-RO"/>
              </w:rPr>
              <w:t>or</w:t>
            </w:r>
            <w:r w:rsidR="00032B46" w:rsidRPr="00564883">
              <w:rPr>
                <w:rFonts w:ascii="Times New Roman" w:hAnsi="Times New Roman"/>
                <w:sz w:val="24"/>
                <w:szCs w:val="24"/>
                <w:lang w:val="ro-RO"/>
              </w:rPr>
              <w:t xml:space="preserve"> </w:t>
            </w:r>
            <w:r w:rsidRPr="00564883">
              <w:rPr>
                <w:rFonts w:ascii="Times New Roman" w:hAnsi="Times New Roman"/>
                <w:sz w:val="24"/>
                <w:szCs w:val="24"/>
                <w:lang w:val="ro-RO"/>
              </w:rPr>
              <w:t>normative</w:t>
            </w:r>
          </w:p>
        </w:tc>
      </w:tr>
      <w:tr w:rsidR="00452C6C" w:rsidRPr="00142D44" w14:paraId="30963134"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2F43BF"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În ultimii ani, Republica Moldova a realizat progrese semnificative în instituirea cadrului normativ necesar pentru implementarea politicilor în domeniul acțiunilor climatice, prin adoptarea Legii nr. 74/2024 privind acțiunile climatice (în continuare – Legea nr. 74/2024). Acest act normativ stabilește mecanismele instituționale și instrumentele esențiale pentru monitorizarea, raportarea și verificarea emisiilor de gaze cu efect de seră (GES), în vederea alinierii treptate la acquis-ul Uniunii Europene și atingerii obiectivului de neutralitate climatică până în anul 2050.</w:t>
            </w:r>
          </w:p>
          <w:p w14:paraId="67D34C28" w14:textId="1DEF2C8E"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 xml:space="preserve">În aplicarea prevederilor legii, a fost aprobat Regulamentul privind monitorizarea, raportarea și verificarea emisiilor de </w:t>
            </w:r>
            <w:r w:rsidR="009674F8">
              <w:rPr>
                <w:rFonts w:ascii="Times New Roman" w:hAnsi="Times New Roman"/>
                <w:color w:val="000000" w:themeColor="text1"/>
                <w:sz w:val="24"/>
                <w:szCs w:val="24"/>
                <w:lang w:val="ro-RO"/>
              </w:rPr>
              <w:t>gaze cu efect de seră</w:t>
            </w:r>
            <w:r w:rsidRPr="009674F8">
              <w:rPr>
                <w:rFonts w:ascii="Times New Roman" w:hAnsi="Times New Roman"/>
                <w:color w:val="000000" w:themeColor="text1"/>
                <w:sz w:val="24"/>
                <w:szCs w:val="24"/>
                <w:lang w:val="ro-RO"/>
              </w:rPr>
              <w:t>, prin Hotărârea Guvernului nr. 575/2024. Acest act normativ stabilește cadrul aplicabil operatorilor instalațiilor staționare și operatorilor de aeronave, inclusiv cerințele privind monitorizarea și raportarea emisiilor, responsabilitățile autorităților competente, precum și procedurile de verificare a datelor raportate.</w:t>
            </w:r>
          </w:p>
          <w:p w14:paraId="27021A11"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În acest context, cadrul normativ național instituie obligații clare pentru operatori. Astfel, potrivit art. 49 alin. (1) din Legea nr. 74/2024, la aprobarea desfășurării activităților prevăzute în anexa nr. 1, în autorizația integrată de mediu sau în autorizația de mediu se include, în mod obligatoriu, componenta privind emisiile de GES, în conformitate cu prevederile Legii nr. 227/2022 privind emisiile industriale.</w:t>
            </w:r>
          </w:p>
          <w:p w14:paraId="1BDA12D0"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 xml:space="preserve">Începând din 30 iunie 2026, autorizațiile integrate de mediu și autorizațiile de mediu se emit cu respectarea cerințelor prevăzute la pct. 7 din Regulamentul privind monitorizarea, raportarea și verificarea emisiilor de gaze cu efect de seră provenite de la instalațiile staționare și activitățile din domeniul aviației, aprobat de Guvern, iar autorizațiile emise anterior, valabile în temeiul art. 27 alin. (1) coroborat cu art. 15 alin. (22) din Legea nr. 227/2022 privind emisiile </w:t>
            </w:r>
            <w:r w:rsidRPr="009674F8">
              <w:rPr>
                <w:rFonts w:ascii="Times New Roman" w:hAnsi="Times New Roman"/>
                <w:color w:val="000000" w:themeColor="text1"/>
                <w:sz w:val="24"/>
                <w:szCs w:val="24"/>
                <w:lang w:val="ro-RO"/>
              </w:rPr>
              <w:lastRenderedPageBreak/>
              <w:t>industriale, pe componenta de GES, se completează cu planul de monitorizare a emisiilor de gaze cu efect de seră în termen de 3 luni.</w:t>
            </w:r>
          </w:p>
          <w:p w14:paraId="0F9D04C1"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În continuare, alin. (2) prevede că operatorii instalațiilor staționare care desfășoară activități prevăzute în anexa nr. 1 și dețin autorizație de mediu sau autorizație integrată de mediu au obligația de a asigura monitorizarea și raportarea anuală a emisiilor de GES, începând cu 1 ianuarie 2027, în baza unui plan de monitorizare aprobat.</w:t>
            </w:r>
          </w:p>
          <w:p w14:paraId="1257CD79"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În mod similar, conform art. 50 alin. (4) din aceeași lege, operatorii de aeronave trebuie să prezinte spre coordonare Agenției de Mediu planul de monitorizare a emisiilor de CO₂, începând cu 30 iunie 2026 sau anterior inițierii activității.</w:t>
            </w:r>
          </w:p>
          <w:p w14:paraId="5BA12423"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Totodată, pct. 10 din Regulamentul privind monitorizarea, raportarea și verificarea emisiilor de gaze cu efect de seră provenite de la instalațiile staționare și activitățile din domeniul aviației, aprobat prin Hotărârea Guvernului nr. 575/2024, stabilește responsabilitatea operatorilor de a monitoriza și raporta emisiile generate pe parcursul fiecărui an calendaristic, pentru întreaga perioadă de raportare aferentă anului precedent.</w:t>
            </w:r>
          </w:p>
          <w:p w14:paraId="51648CDF"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 xml:space="preserve">Cu toate acestea, în pofida existenței unui cadru normativ primar și secundar bine definit, acesta nu este în prezent însoțit de orientări metodologice detaliate privind elaborarea și completarea rapoartelor anuale de emisii. </w:t>
            </w:r>
          </w:p>
          <w:p w14:paraId="498F4D7F" w14:textId="77777777" w:rsidR="00E21F1F" w:rsidRPr="009674F8" w:rsidRDefault="00E21F1F" w:rsidP="00E21F1F">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În aceste condiții, odată cu inițierea implementării mecanismului de monitorizare, raportare și verificare a emisiilor de GES (MRV), elaborarea unui ghid metodologic devine necesară pentru a asigura o aplicare coerentă și uniformă a prevederilor legale.</w:t>
            </w:r>
          </w:p>
          <w:p w14:paraId="7AF8A9C7" w14:textId="7B8D11A8" w:rsidR="00C15774" w:rsidRPr="009674F8" w:rsidRDefault="00E21F1F" w:rsidP="009674F8">
            <w:pPr>
              <w:ind w:firstLine="851"/>
              <w:rPr>
                <w:rFonts w:ascii="Times New Roman" w:hAnsi="Times New Roman"/>
                <w:color w:val="000000" w:themeColor="text1"/>
                <w:sz w:val="24"/>
                <w:szCs w:val="24"/>
                <w:lang w:val="ro-RO"/>
              </w:rPr>
            </w:pPr>
            <w:r w:rsidRPr="009674F8">
              <w:rPr>
                <w:rFonts w:ascii="Times New Roman" w:hAnsi="Times New Roman"/>
                <w:color w:val="000000" w:themeColor="text1"/>
                <w:sz w:val="24"/>
                <w:szCs w:val="24"/>
                <w:lang w:val="ro-RO"/>
              </w:rPr>
              <w:t>Ghidul are rolul de a oferi operatorilor și autorităților competente orientări practice privind elaborarea, structurarea și completarea rapoartelor anuale de emisii (RAE), contribuind astfel la consolidarea capacităților instituționale și la alinierea practicilor naționale la standardele Uniunii Europene.</w:t>
            </w:r>
          </w:p>
        </w:tc>
      </w:tr>
      <w:tr w:rsidR="006D3EB7" w:rsidRPr="005535FB" w14:paraId="595D390F"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535FB" w:rsidRDefault="00D927DB" w:rsidP="00452C6C">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710E4F" w:rsidRPr="00332FBE" w14:paraId="1E5D5B3D"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07314A" w14:textId="39A59B74" w:rsidR="009674F8" w:rsidRPr="009674F8" w:rsidRDefault="009674F8" w:rsidP="00332FBE">
            <w:pPr>
              <w:ind w:firstLine="738"/>
              <w:rPr>
                <w:rFonts w:ascii="Times New Roman" w:hAnsi="Times New Roman"/>
                <w:sz w:val="24"/>
                <w:szCs w:val="24"/>
                <w:lang w:val="ro-MD"/>
              </w:rPr>
            </w:pPr>
            <w:r w:rsidRPr="009674F8">
              <w:rPr>
                <w:rFonts w:ascii="Times New Roman" w:hAnsi="Times New Roman"/>
                <w:sz w:val="24"/>
                <w:szCs w:val="24"/>
                <w:lang w:val="ro-MD"/>
              </w:rPr>
              <w:t>Proiectul are ca obiectiv principal asigurarea unei aplicări uniforme și coerente a cerințelor privind monitorizarea și raportarea emisiilor de gaze cu efect de seră, prin elaborarea unui ghid metodologic destinat operatorilor instalațiilor staționare și operatorilor de aeronave.</w:t>
            </w:r>
          </w:p>
          <w:p w14:paraId="5CAC3B1F" w14:textId="10354DA5" w:rsidR="009674F8" w:rsidRPr="009674F8" w:rsidRDefault="009674F8" w:rsidP="009674F8">
            <w:pPr>
              <w:rPr>
                <w:rFonts w:ascii="Times New Roman" w:hAnsi="Times New Roman"/>
                <w:sz w:val="24"/>
                <w:szCs w:val="24"/>
                <w:lang w:val="ro-MD"/>
              </w:rPr>
            </w:pPr>
            <w:r w:rsidRPr="009674F8">
              <w:rPr>
                <w:rFonts w:ascii="Times New Roman" w:hAnsi="Times New Roman"/>
                <w:sz w:val="24"/>
                <w:szCs w:val="24"/>
                <w:lang w:val="ro-MD"/>
              </w:rPr>
              <w:t>Ghidul oferă orientări practice pentru completarea modelului de RAE, atât pentru instalațiile staționare, cât și pentru activitățile din domeniul aviației.</w:t>
            </w:r>
          </w:p>
          <w:p w14:paraId="791AAC99" w14:textId="67F05DE0" w:rsidR="009674F8" w:rsidRPr="00F03936" w:rsidRDefault="009674F8" w:rsidP="009674F8">
            <w:pPr>
              <w:rPr>
                <w:rFonts w:ascii="Times New Roman" w:hAnsi="Times New Roman"/>
                <w:sz w:val="24"/>
                <w:szCs w:val="24"/>
                <w:lang w:val="ro-MD"/>
              </w:rPr>
            </w:pPr>
            <w:r w:rsidRPr="009674F8">
              <w:rPr>
                <w:rFonts w:ascii="Times New Roman" w:hAnsi="Times New Roman"/>
                <w:sz w:val="24"/>
                <w:szCs w:val="24"/>
                <w:lang w:val="ro-MD"/>
              </w:rPr>
              <w:t xml:space="preserve">Un element de noutate îl constituie abordarea practică a ghidului, care nu are scopul de a duplica </w:t>
            </w:r>
            <w:r w:rsidRPr="00F03936">
              <w:rPr>
                <w:rFonts w:ascii="Times New Roman" w:hAnsi="Times New Roman"/>
                <w:sz w:val="24"/>
                <w:szCs w:val="24"/>
                <w:lang w:val="ro-MD"/>
              </w:rPr>
              <w:t>prevederile normative existente, ci de a le completa prin:</w:t>
            </w:r>
          </w:p>
          <w:p w14:paraId="3F43DA8D" w14:textId="77777777" w:rsidR="00F03936" w:rsidRPr="00F03936" w:rsidRDefault="009674F8" w:rsidP="00F03936">
            <w:pPr>
              <w:pStyle w:val="Listparagraf"/>
              <w:numPr>
                <w:ilvl w:val="0"/>
                <w:numId w:val="47"/>
              </w:numPr>
              <w:ind w:left="306" w:hanging="284"/>
              <w:rPr>
                <w:rFonts w:ascii="Times New Roman" w:hAnsi="Times New Roman"/>
                <w:sz w:val="24"/>
                <w:szCs w:val="24"/>
                <w:lang w:val="ro-MD"/>
              </w:rPr>
            </w:pPr>
            <w:r w:rsidRPr="00F03936">
              <w:rPr>
                <w:rFonts w:ascii="Times New Roman" w:hAnsi="Times New Roman"/>
                <w:sz w:val="24"/>
                <w:szCs w:val="24"/>
                <w:lang w:val="ro-MD"/>
              </w:rPr>
              <w:t>exemple specifice aplicabile diferitor tipuri de activități;</w:t>
            </w:r>
          </w:p>
          <w:p w14:paraId="3D9C0373" w14:textId="77777777" w:rsidR="00F03936" w:rsidRPr="00F03936" w:rsidRDefault="009674F8" w:rsidP="00F03936">
            <w:pPr>
              <w:pStyle w:val="Listparagraf"/>
              <w:numPr>
                <w:ilvl w:val="0"/>
                <w:numId w:val="47"/>
              </w:numPr>
              <w:ind w:left="306" w:hanging="284"/>
              <w:rPr>
                <w:rFonts w:ascii="Times New Roman" w:hAnsi="Times New Roman"/>
                <w:sz w:val="24"/>
                <w:szCs w:val="24"/>
                <w:lang w:val="ro-MD"/>
              </w:rPr>
            </w:pPr>
            <w:r w:rsidRPr="00F03936">
              <w:rPr>
                <w:rFonts w:ascii="Times New Roman" w:hAnsi="Times New Roman"/>
                <w:sz w:val="24"/>
                <w:szCs w:val="24"/>
                <w:lang w:val="ro-MD"/>
              </w:rPr>
              <w:t>explicații detaliate privind completarea câmpurilor din modelul de raportare;</w:t>
            </w:r>
          </w:p>
          <w:p w14:paraId="7732F097" w14:textId="1ACCCB32" w:rsidR="009674F8" w:rsidRPr="00F03936" w:rsidRDefault="009674F8" w:rsidP="00F03936">
            <w:pPr>
              <w:pStyle w:val="Listparagraf"/>
              <w:numPr>
                <w:ilvl w:val="0"/>
                <w:numId w:val="47"/>
              </w:numPr>
              <w:ind w:left="306" w:hanging="284"/>
              <w:rPr>
                <w:rFonts w:ascii="Times New Roman" w:hAnsi="Times New Roman"/>
                <w:sz w:val="24"/>
                <w:szCs w:val="24"/>
                <w:lang w:val="ro-MD"/>
              </w:rPr>
            </w:pPr>
            <w:r w:rsidRPr="00F03936">
              <w:rPr>
                <w:rFonts w:ascii="Times New Roman" w:hAnsi="Times New Roman"/>
                <w:sz w:val="24"/>
                <w:szCs w:val="24"/>
                <w:lang w:val="ro-MD"/>
              </w:rPr>
              <w:t>capturi de ecran care ilustrează modul de completare a diferitelor secțiuni ale RAE, în funcție de tipul instalației, metodologia de monitorizare, fluxurile-sursă și alte elemente relevante.</w:t>
            </w:r>
          </w:p>
          <w:p w14:paraId="7F9146BF" w14:textId="517036D3" w:rsidR="009674F8" w:rsidRPr="00F03936" w:rsidRDefault="009674F8" w:rsidP="009674F8">
            <w:pPr>
              <w:rPr>
                <w:rFonts w:ascii="Times New Roman" w:hAnsi="Times New Roman"/>
                <w:sz w:val="24"/>
                <w:szCs w:val="24"/>
                <w:lang w:val="ro-MD"/>
              </w:rPr>
            </w:pPr>
            <w:r w:rsidRPr="00F03936">
              <w:rPr>
                <w:rFonts w:ascii="Times New Roman" w:hAnsi="Times New Roman"/>
                <w:sz w:val="24"/>
                <w:szCs w:val="24"/>
                <w:lang w:val="ro-MD"/>
              </w:rPr>
              <w:t>Ghidul este structurat în următoarele capitole:</w:t>
            </w:r>
          </w:p>
          <w:p w14:paraId="3E72F236" w14:textId="77777777" w:rsidR="00F03936" w:rsidRPr="00F03936" w:rsidRDefault="009674F8" w:rsidP="00F03936">
            <w:pPr>
              <w:pStyle w:val="Listparagraf"/>
              <w:numPr>
                <w:ilvl w:val="0"/>
                <w:numId w:val="48"/>
              </w:numPr>
              <w:ind w:left="306" w:hanging="284"/>
              <w:rPr>
                <w:rFonts w:ascii="Times New Roman" w:hAnsi="Times New Roman"/>
                <w:sz w:val="24"/>
                <w:szCs w:val="24"/>
                <w:lang w:val="ro-MD"/>
              </w:rPr>
            </w:pPr>
            <w:r w:rsidRPr="00F03936">
              <w:rPr>
                <w:rFonts w:ascii="Times New Roman" w:hAnsi="Times New Roman"/>
                <w:sz w:val="24"/>
                <w:szCs w:val="24"/>
                <w:lang w:val="ro-MD"/>
              </w:rPr>
              <w:t>Dispoziții generale;</w:t>
            </w:r>
          </w:p>
          <w:p w14:paraId="0371AD00" w14:textId="77777777" w:rsidR="00F03936" w:rsidRPr="00F03936" w:rsidRDefault="009674F8" w:rsidP="00F03936">
            <w:pPr>
              <w:pStyle w:val="Listparagraf"/>
              <w:numPr>
                <w:ilvl w:val="0"/>
                <w:numId w:val="48"/>
              </w:numPr>
              <w:ind w:left="306" w:hanging="284"/>
              <w:rPr>
                <w:rFonts w:ascii="Times New Roman" w:hAnsi="Times New Roman"/>
                <w:sz w:val="24"/>
                <w:szCs w:val="24"/>
                <w:lang w:val="ro-MD"/>
              </w:rPr>
            </w:pPr>
            <w:r w:rsidRPr="00F03936">
              <w:rPr>
                <w:rFonts w:ascii="Times New Roman" w:hAnsi="Times New Roman"/>
                <w:sz w:val="24"/>
                <w:szCs w:val="24"/>
                <w:lang w:val="ro-MD"/>
              </w:rPr>
              <w:t>Orientări privind completarea modelului de raportare anuală a emisiilor GES pentru instalații staționare;</w:t>
            </w:r>
          </w:p>
          <w:p w14:paraId="28668A77" w14:textId="77777777" w:rsidR="00F03936" w:rsidRPr="00F03936" w:rsidRDefault="009674F8" w:rsidP="00F03936">
            <w:pPr>
              <w:pStyle w:val="Listparagraf"/>
              <w:numPr>
                <w:ilvl w:val="0"/>
                <w:numId w:val="48"/>
              </w:numPr>
              <w:ind w:left="306" w:hanging="284"/>
              <w:rPr>
                <w:rFonts w:ascii="Times New Roman" w:hAnsi="Times New Roman"/>
                <w:sz w:val="24"/>
                <w:szCs w:val="24"/>
                <w:lang w:val="ro-MD"/>
              </w:rPr>
            </w:pPr>
            <w:r w:rsidRPr="00F03936">
              <w:rPr>
                <w:rFonts w:ascii="Times New Roman" w:hAnsi="Times New Roman"/>
                <w:sz w:val="24"/>
                <w:szCs w:val="24"/>
                <w:lang w:val="ro-MD"/>
              </w:rPr>
              <w:t>Orientări privind îmbunătățirea raportului anual privind emisiile GES pentru instalații staționare;</w:t>
            </w:r>
          </w:p>
          <w:p w14:paraId="06FFD80D" w14:textId="79FADFBF" w:rsidR="009674F8" w:rsidRPr="00F03936" w:rsidRDefault="009674F8" w:rsidP="00F03936">
            <w:pPr>
              <w:pStyle w:val="Listparagraf"/>
              <w:numPr>
                <w:ilvl w:val="0"/>
                <w:numId w:val="48"/>
              </w:numPr>
              <w:ind w:left="306" w:hanging="284"/>
              <w:rPr>
                <w:rFonts w:ascii="Times New Roman" w:hAnsi="Times New Roman"/>
                <w:sz w:val="24"/>
                <w:szCs w:val="24"/>
                <w:lang w:val="ro-MD"/>
              </w:rPr>
            </w:pPr>
            <w:r w:rsidRPr="00F03936">
              <w:rPr>
                <w:rFonts w:ascii="Times New Roman" w:hAnsi="Times New Roman"/>
                <w:sz w:val="24"/>
                <w:szCs w:val="24"/>
                <w:lang w:val="ro-MD"/>
              </w:rPr>
              <w:t>Orientări privind raportarea anuală a emisiilor GES pentru activitățile de aviație.</w:t>
            </w:r>
          </w:p>
          <w:p w14:paraId="1FE95EFF" w14:textId="7C9182B4" w:rsidR="009674F8" w:rsidRPr="00F03936" w:rsidRDefault="00F03936" w:rsidP="00F03936">
            <w:pPr>
              <w:ind w:firstLine="731"/>
              <w:rPr>
                <w:rFonts w:ascii="Times New Roman" w:hAnsi="Times New Roman"/>
                <w:sz w:val="24"/>
                <w:szCs w:val="24"/>
                <w:lang w:val="ro-MD"/>
              </w:rPr>
            </w:pPr>
            <w:r w:rsidRPr="00F03936">
              <w:rPr>
                <w:rFonts w:ascii="Times New Roman" w:hAnsi="Times New Roman"/>
                <w:sz w:val="24"/>
                <w:szCs w:val="24"/>
                <w:lang w:val="ro-MD"/>
              </w:rPr>
              <w:t xml:space="preserve">Ghidul, </w:t>
            </w:r>
            <w:r w:rsidR="009674F8" w:rsidRPr="00F03936">
              <w:rPr>
                <w:rFonts w:ascii="Times New Roman" w:hAnsi="Times New Roman"/>
                <w:sz w:val="24"/>
                <w:szCs w:val="24"/>
                <w:lang w:val="ro-MD"/>
              </w:rPr>
              <w:t>oferă orientări pentru completarea modelului de RAE pentru instalațiile staționare, conform anexei nr. 1 și, pentru activitățile de aviație, conform anexei nr. 3.</w:t>
            </w:r>
          </w:p>
          <w:p w14:paraId="12DB3AA8" w14:textId="46E09DE7" w:rsidR="009674F8" w:rsidRPr="00F03936" w:rsidRDefault="009674F8" w:rsidP="00F03936">
            <w:pPr>
              <w:rPr>
                <w:rFonts w:ascii="Times New Roman" w:hAnsi="Times New Roman"/>
                <w:sz w:val="24"/>
                <w:szCs w:val="24"/>
                <w:lang w:val="ro-MD"/>
              </w:rPr>
            </w:pPr>
            <w:r w:rsidRPr="00F03936">
              <w:rPr>
                <w:rFonts w:ascii="Times New Roman" w:hAnsi="Times New Roman"/>
                <w:sz w:val="24"/>
                <w:szCs w:val="24"/>
                <w:lang w:val="ro-MD"/>
              </w:rPr>
              <w:t>În vederea facilitării înțelegerii procesului de raportare, ghidul include exemple ilustrative, structurate pe tipuri relevante de activități și fluxuri-sursă.</w:t>
            </w:r>
            <w:r w:rsidR="00F03936" w:rsidRPr="00F03936">
              <w:rPr>
                <w:rFonts w:ascii="Times New Roman" w:hAnsi="Times New Roman"/>
                <w:sz w:val="24"/>
                <w:szCs w:val="24"/>
                <w:lang w:val="ro-MD"/>
              </w:rPr>
              <w:t xml:space="preserve"> </w:t>
            </w:r>
            <w:r w:rsidRPr="00F03936">
              <w:rPr>
                <w:rFonts w:ascii="Times New Roman" w:hAnsi="Times New Roman"/>
                <w:sz w:val="24"/>
                <w:szCs w:val="24"/>
                <w:lang w:val="ro-MD"/>
              </w:rPr>
              <w:t>Astfel, sunt prezentate repere privind:</w:t>
            </w:r>
          </w:p>
          <w:p w14:paraId="67849C42" w14:textId="77777777" w:rsidR="00F03936" w:rsidRPr="00F03936" w:rsidRDefault="009674F8" w:rsidP="00F03936">
            <w:pPr>
              <w:pStyle w:val="Listparagraf"/>
              <w:numPr>
                <w:ilvl w:val="0"/>
                <w:numId w:val="49"/>
              </w:numPr>
              <w:ind w:left="306" w:hanging="284"/>
              <w:rPr>
                <w:rFonts w:ascii="Times New Roman" w:hAnsi="Times New Roman"/>
                <w:sz w:val="24"/>
                <w:szCs w:val="24"/>
                <w:lang w:val="ro-MD"/>
              </w:rPr>
            </w:pPr>
            <w:r w:rsidRPr="00F03936">
              <w:rPr>
                <w:rFonts w:ascii="Times New Roman" w:hAnsi="Times New Roman"/>
                <w:sz w:val="24"/>
                <w:szCs w:val="24"/>
                <w:lang w:val="ro-MD"/>
              </w:rPr>
              <w:t>utilizarea combustibililor lichizi în producerea de energie;</w:t>
            </w:r>
          </w:p>
          <w:p w14:paraId="47529CA2" w14:textId="77777777" w:rsidR="00F03936" w:rsidRPr="00F03936" w:rsidRDefault="009674F8" w:rsidP="00F03936">
            <w:pPr>
              <w:pStyle w:val="Listparagraf"/>
              <w:numPr>
                <w:ilvl w:val="0"/>
                <w:numId w:val="49"/>
              </w:numPr>
              <w:ind w:left="306" w:hanging="284"/>
              <w:rPr>
                <w:rFonts w:ascii="Times New Roman" w:hAnsi="Times New Roman"/>
                <w:sz w:val="24"/>
                <w:szCs w:val="24"/>
                <w:lang w:val="ro-MD"/>
              </w:rPr>
            </w:pPr>
            <w:r w:rsidRPr="00F03936">
              <w:rPr>
                <w:rFonts w:ascii="Times New Roman" w:hAnsi="Times New Roman"/>
                <w:sz w:val="24"/>
                <w:szCs w:val="24"/>
                <w:lang w:val="ro-MD"/>
              </w:rPr>
              <w:t>generarea emisiilor de proces în sectorul materialelor de construcție;</w:t>
            </w:r>
          </w:p>
          <w:p w14:paraId="5F39C4B6" w14:textId="77777777" w:rsidR="00F03936" w:rsidRPr="00F03936" w:rsidRDefault="009674F8" w:rsidP="00F03936">
            <w:pPr>
              <w:pStyle w:val="Listparagraf"/>
              <w:numPr>
                <w:ilvl w:val="0"/>
                <w:numId w:val="49"/>
              </w:numPr>
              <w:ind w:left="306" w:hanging="284"/>
              <w:rPr>
                <w:rFonts w:ascii="Times New Roman" w:hAnsi="Times New Roman"/>
                <w:sz w:val="24"/>
                <w:szCs w:val="24"/>
                <w:lang w:val="ro-MD"/>
              </w:rPr>
            </w:pPr>
            <w:r w:rsidRPr="00F03936">
              <w:rPr>
                <w:rFonts w:ascii="Times New Roman" w:hAnsi="Times New Roman"/>
                <w:sz w:val="24"/>
                <w:szCs w:val="24"/>
                <w:lang w:val="ro-MD"/>
              </w:rPr>
              <w:t>aplicarea abordărilor de tip bilanț de masă în industria chimică;</w:t>
            </w:r>
          </w:p>
          <w:p w14:paraId="0F67D955" w14:textId="77777777" w:rsidR="00F03936" w:rsidRPr="00F03936" w:rsidRDefault="009674F8" w:rsidP="00F03936">
            <w:pPr>
              <w:pStyle w:val="Listparagraf"/>
              <w:numPr>
                <w:ilvl w:val="0"/>
                <w:numId w:val="49"/>
              </w:numPr>
              <w:ind w:left="306" w:hanging="284"/>
              <w:rPr>
                <w:rFonts w:ascii="Times New Roman" w:hAnsi="Times New Roman"/>
                <w:sz w:val="24"/>
                <w:szCs w:val="24"/>
                <w:lang w:val="ro-MD"/>
              </w:rPr>
            </w:pPr>
            <w:r w:rsidRPr="00F03936">
              <w:rPr>
                <w:rFonts w:ascii="Times New Roman" w:hAnsi="Times New Roman"/>
                <w:sz w:val="24"/>
                <w:szCs w:val="24"/>
                <w:lang w:val="ro-MD"/>
              </w:rPr>
              <w:t>monitorizarea emisiilor rezultate din procese industriale specifice;</w:t>
            </w:r>
          </w:p>
          <w:p w14:paraId="44DF4B43" w14:textId="77777777" w:rsidR="00F03936" w:rsidRPr="00F03936" w:rsidRDefault="009674F8" w:rsidP="00F03936">
            <w:pPr>
              <w:pStyle w:val="Listparagraf"/>
              <w:numPr>
                <w:ilvl w:val="0"/>
                <w:numId w:val="49"/>
              </w:numPr>
              <w:ind w:left="306" w:hanging="284"/>
              <w:rPr>
                <w:rFonts w:ascii="Times New Roman" w:hAnsi="Times New Roman"/>
                <w:sz w:val="24"/>
                <w:szCs w:val="24"/>
                <w:lang w:val="ro-MD"/>
              </w:rPr>
            </w:pPr>
            <w:r w:rsidRPr="00F03936">
              <w:rPr>
                <w:rFonts w:ascii="Times New Roman" w:hAnsi="Times New Roman"/>
                <w:sz w:val="24"/>
                <w:szCs w:val="24"/>
                <w:lang w:val="ro-MD"/>
              </w:rPr>
              <w:lastRenderedPageBreak/>
              <w:t>transferul și gestionarea emisiilor de CO₂ în contextul captării și stocării carbonului;</w:t>
            </w:r>
          </w:p>
          <w:p w14:paraId="1A051099" w14:textId="036E988F" w:rsidR="009674F8" w:rsidRPr="00F03936" w:rsidRDefault="009674F8" w:rsidP="00F03936">
            <w:pPr>
              <w:pStyle w:val="Listparagraf"/>
              <w:numPr>
                <w:ilvl w:val="0"/>
                <w:numId w:val="49"/>
              </w:numPr>
              <w:ind w:left="306" w:hanging="284"/>
              <w:rPr>
                <w:rFonts w:ascii="Times New Roman" w:hAnsi="Times New Roman"/>
                <w:sz w:val="24"/>
                <w:szCs w:val="24"/>
                <w:lang w:val="ro-MD"/>
              </w:rPr>
            </w:pPr>
            <w:r w:rsidRPr="00F03936">
              <w:rPr>
                <w:rFonts w:ascii="Times New Roman" w:hAnsi="Times New Roman"/>
                <w:sz w:val="24"/>
                <w:szCs w:val="24"/>
                <w:lang w:val="ro-MD"/>
              </w:rPr>
              <w:t>determinarea emisiilor specifice unor procese industriale complexe, cum este producția primară de aluminiu.</w:t>
            </w:r>
          </w:p>
          <w:p w14:paraId="5DEB13A4" w14:textId="54129D1A" w:rsidR="00B8156A" w:rsidRPr="00F03936" w:rsidRDefault="009674F8" w:rsidP="00F03936">
            <w:pPr>
              <w:rPr>
                <w:rFonts w:ascii="Times New Roman" w:hAnsi="Times New Roman"/>
                <w:sz w:val="24"/>
                <w:szCs w:val="24"/>
                <w:lang w:val="ro-MD"/>
              </w:rPr>
            </w:pPr>
            <w:r w:rsidRPr="00F03936">
              <w:rPr>
                <w:rFonts w:ascii="Times New Roman" w:hAnsi="Times New Roman"/>
                <w:sz w:val="24"/>
                <w:szCs w:val="24"/>
                <w:lang w:val="ro-MD"/>
              </w:rPr>
              <w:t>Exemplele incluse au</w:t>
            </w:r>
            <w:r w:rsidRPr="009674F8">
              <w:rPr>
                <w:rFonts w:ascii="Times New Roman" w:hAnsi="Times New Roman"/>
                <w:sz w:val="24"/>
                <w:szCs w:val="24"/>
                <w:lang w:val="ro-MD"/>
              </w:rPr>
              <w:t xml:space="preserve"> caracter orientativ și urmăresc să ofere o imagine de ansamblu asupra diversității situațiilor întâlnite în practică, contribuind la o mai bună înțelegere și aplicare a cerințelor de monitorizare și raportare de către operatori.</w:t>
            </w:r>
          </w:p>
        </w:tc>
      </w:tr>
      <w:tr w:rsidR="006D3EB7" w:rsidRPr="005535FB" w14:paraId="3761439B"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332FBE" w14:paraId="322ED771"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CA6727" w14:textId="0C82CB4A" w:rsidR="00F03936" w:rsidRPr="00F03936" w:rsidRDefault="00F03936" w:rsidP="00F03936">
            <w:pPr>
              <w:rPr>
                <w:rFonts w:ascii="Times New Roman" w:hAnsi="Times New Roman"/>
                <w:sz w:val="24"/>
                <w:szCs w:val="24"/>
                <w:lang w:val="ro-MD"/>
              </w:rPr>
            </w:pPr>
            <w:r w:rsidRPr="00F03936">
              <w:rPr>
                <w:rFonts w:ascii="Times New Roman" w:hAnsi="Times New Roman"/>
                <w:sz w:val="24"/>
                <w:szCs w:val="24"/>
                <w:lang w:val="ro-MD"/>
              </w:rPr>
              <w:t>A fost analizată opțiunea menținerii situației existente, fără elaborarea unui ghid metodologic privind raportarea emisiilor de gaze cu efect de seră. Aceasta nu a fost considerată viabilă, întrucât ar menține lipsa unor orientări practice pentru operatori și autoritățile competente, generând riscuri de interpretare neuniformă a prevederilor Hotărârii Guvernului nr. 575/2024.</w:t>
            </w:r>
          </w:p>
          <w:p w14:paraId="5C0360E0" w14:textId="10BD9F04" w:rsidR="00F03936" w:rsidRPr="00F03936" w:rsidRDefault="00F03936" w:rsidP="00F03936">
            <w:pPr>
              <w:rPr>
                <w:rFonts w:ascii="Times New Roman" w:hAnsi="Times New Roman"/>
                <w:sz w:val="24"/>
                <w:szCs w:val="24"/>
                <w:lang w:val="ro-MD"/>
              </w:rPr>
            </w:pPr>
            <w:r w:rsidRPr="00F03936">
              <w:rPr>
                <w:rFonts w:ascii="Times New Roman" w:hAnsi="Times New Roman"/>
                <w:sz w:val="24"/>
                <w:szCs w:val="24"/>
                <w:lang w:val="ro-MD"/>
              </w:rPr>
              <w:t>În absența unui astfel de instrument, ar putea apărea neconformități în procesul de raportare, afectând calitatea, acuratețea și comparabilitatea datelor privind emisiile de GES, precum și funcționarea eficientă a sistemului MRV.</w:t>
            </w:r>
          </w:p>
          <w:p w14:paraId="3C37A4B2" w14:textId="7945B1DE" w:rsidR="00F03936" w:rsidRDefault="00F03936" w:rsidP="00F03936">
            <w:pPr>
              <w:rPr>
                <w:rFonts w:ascii="Times New Roman" w:hAnsi="Times New Roman"/>
                <w:sz w:val="24"/>
                <w:szCs w:val="24"/>
                <w:lang w:val="ro-MD"/>
              </w:rPr>
            </w:pPr>
            <w:r w:rsidRPr="00F03936">
              <w:rPr>
                <w:rFonts w:ascii="Times New Roman" w:hAnsi="Times New Roman"/>
                <w:sz w:val="24"/>
                <w:szCs w:val="24"/>
                <w:lang w:val="ro-MD"/>
              </w:rPr>
              <w:t>Totodată, această opțiune ar limita capacitatea instituțională de implementare a mecanismelor de stabilire a prețului carbonului și ar încetini alinierea la practicile Uniunii Europene.</w:t>
            </w:r>
          </w:p>
          <w:p w14:paraId="250FAB33" w14:textId="76317E2B" w:rsidR="0096688B" w:rsidRPr="0096688B" w:rsidRDefault="0096688B" w:rsidP="0096688B">
            <w:pPr>
              <w:rPr>
                <w:rFonts w:ascii="Times New Roman" w:hAnsi="Times New Roman"/>
                <w:sz w:val="24"/>
                <w:szCs w:val="24"/>
                <w:lang w:val="ro-MD"/>
              </w:rPr>
            </w:pPr>
            <w:r w:rsidRPr="0096688B">
              <w:rPr>
                <w:rFonts w:ascii="Times New Roman" w:hAnsi="Times New Roman"/>
                <w:sz w:val="24"/>
                <w:szCs w:val="24"/>
                <w:lang w:val="ro-MD"/>
              </w:rPr>
              <w:t>O altă opțiune analizată a vizat aprobarea orientărilor privind elaborarea RAE în cadrul aceluiași act normativ cu orientările privind elaborarea și aprobarea planurilor de monitorizare a emisiilor de gaze cu efect de seră.</w:t>
            </w:r>
          </w:p>
          <w:p w14:paraId="39A229C8" w14:textId="62D6474D" w:rsidR="0096688B" w:rsidRPr="0096688B" w:rsidRDefault="0096688B" w:rsidP="0096688B">
            <w:pPr>
              <w:rPr>
                <w:rFonts w:ascii="Times New Roman" w:hAnsi="Times New Roman"/>
                <w:sz w:val="24"/>
                <w:szCs w:val="24"/>
                <w:lang w:val="ro-MD"/>
              </w:rPr>
            </w:pPr>
            <w:r w:rsidRPr="0096688B">
              <w:rPr>
                <w:rFonts w:ascii="Times New Roman" w:hAnsi="Times New Roman"/>
                <w:sz w:val="24"/>
                <w:szCs w:val="24"/>
                <w:lang w:val="ro-MD"/>
              </w:rPr>
              <w:t>Această opțiune nu a fost reținută, întrucât cele două procese – elaborarea planurilor de monitorizare și raportarea anuală a emisiilor – au natură, scop și aplicabilitate distincte. Planurile de monitorizare reprezintă un instrument ex-ante, care stabilește metodologia de colectare și calcul al datelor, în timp ce raportarea anuală a emisiilor constituie un proces ex-post, bazat pe implementarea planurilor aprobate și pe raportarea datelor efective.</w:t>
            </w:r>
          </w:p>
          <w:p w14:paraId="01C58AE3" w14:textId="55A02DE9" w:rsidR="0096688B" w:rsidRPr="0096688B" w:rsidRDefault="0096688B" w:rsidP="0096688B">
            <w:pPr>
              <w:rPr>
                <w:rFonts w:ascii="Times New Roman" w:hAnsi="Times New Roman"/>
                <w:sz w:val="24"/>
                <w:szCs w:val="24"/>
                <w:lang w:val="ro-MD"/>
              </w:rPr>
            </w:pPr>
            <w:r w:rsidRPr="0096688B">
              <w:rPr>
                <w:rFonts w:ascii="Times New Roman" w:hAnsi="Times New Roman"/>
                <w:sz w:val="24"/>
                <w:szCs w:val="24"/>
                <w:lang w:val="ro-MD"/>
              </w:rPr>
              <w:t xml:space="preserve">Comasarea acestor orientări într-un singur act normativ ar fi redus claritatea și accesibilitatea prevederilor pentru </w:t>
            </w:r>
            <w:r>
              <w:rPr>
                <w:rFonts w:ascii="Times New Roman" w:hAnsi="Times New Roman"/>
                <w:sz w:val="24"/>
                <w:szCs w:val="24"/>
                <w:lang w:val="ro-MD"/>
              </w:rPr>
              <w:t>operatori</w:t>
            </w:r>
            <w:r w:rsidRPr="0096688B">
              <w:rPr>
                <w:rFonts w:ascii="Times New Roman" w:hAnsi="Times New Roman"/>
                <w:sz w:val="24"/>
                <w:szCs w:val="24"/>
                <w:lang w:val="ro-MD"/>
              </w:rPr>
              <w:t>, generând riscul de confuzii în aplicare și îngreunând utilizarea practică a ghidurilor de către operatori și autoritățile competente.</w:t>
            </w:r>
          </w:p>
          <w:p w14:paraId="6862D268" w14:textId="64A12763" w:rsidR="002408AA" w:rsidRPr="002408AA" w:rsidRDefault="00F03936" w:rsidP="00F03936">
            <w:pPr>
              <w:rPr>
                <w:rFonts w:ascii="Times New Roman" w:hAnsi="Times New Roman"/>
                <w:sz w:val="24"/>
                <w:szCs w:val="24"/>
                <w:lang w:val="ro-MD"/>
              </w:rPr>
            </w:pPr>
            <w:r w:rsidRPr="00F03936">
              <w:rPr>
                <w:rFonts w:ascii="Times New Roman" w:hAnsi="Times New Roman"/>
                <w:sz w:val="24"/>
                <w:szCs w:val="24"/>
                <w:lang w:val="ro-MD"/>
              </w:rPr>
              <w:t xml:space="preserve">În aceste condiții, elaborarea unui </w:t>
            </w:r>
            <w:r w:rsidR="0096688B" w:rsidRPr="00564883">
              <w:rPr>
                <w:rFonts w:ascii="Times New Roman" w:hAnsi="Times New Roman"/>
                <w:sz w:val="24"/>
                <w:szCs w:val="24"/>
                <w:lang w:val="ro-RO"/>
              </w:rPr>
              <w:t>Ghidului metodologic privind raportarea emisiilor de gaze cu efect de seră pentru instalații și activități de aviație</w:t>
            </w:r>
            <w:r w:rsidR="0096688B">
              <w:rPr>
                <w:rFonts w:ascii="Times New Roman" w:hAnsi="Times New Roman"/>
                <w:sz w:val="24"/>
                <w:szCs w:val="24"/>
                <w:lang w:val="ro-RO"/>
              </w:rPr>
              <w:t>, și aprobarea acestuia</w:t>
            </w:r>
            <w:r w:rsidRPr="00F03936">
              <w:rPr>
                <w:rFonts w:ascii="Times New Roman" w:hAnsi="Times New Roman"/>
                <w:sz w:val="24"/>
                <w:szCs w:val="24"/>
                <w:lang w:val="ro-MD"/>
              </w:rPr>
              <w:t xml:space="preserve"> prin</w:t>
            </w:r>
            <w:r w:rsidR="0096688B">
              <w:rPr>
                <w:rFonts w:ascii="Times New Roman" w:hAnsi="Times New Roman"/>
                <w:sz w:val="24"/>
                <w:szCs w:val="24"/>
                <w:lang w:val="ro-MD"/>
              </w:rPr>
              <w:t>tr-un</w:t>
            </w:r>
            <w:r w:rsidRPr="00F03936">
              <w:rPr>
                <w:rFonts w:ascii="Times New Roman" w:hAnsi="Times New Roman"/>
                <w:sz w:val="24"/>
                <w:szCs w:val="24"/>
                <w:lang w:val="ro-MD"/>
              </w:rPr>
              <w:t xml:space="preserve"> act normativ distinct reprezintă soluția optimă.</w:t>
            </w:r>
          </w:p>
        </w:tc>
      </w:tr>
      <w:tr w:rsidR="006D3EB7" w:rsidRPr="005535FB" w14:paraId="64CCC468" w14:textId="77777777" w:rsidTr="00CC7BF8">
        <w:trPr>
          <w:trHeight w:val="381"/>
        </w:trPr>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710E4F" w:rsidRPr="00B8156A" w14:paraId="1C44FC25"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A1CD15" w14:textId="05747F1B" w:rsidR="00401879" w:rsidRPr="00401879" w:rsidRDefault="00401879" w:rsidP="00401879">
            <w:pPr>
              <w:rPr>
                <w:rFonts w:ascii="Times New Roman" w:hAnsi="Times New Roman"/>
                <w:color w:val="000000" w:themeColor="text1"/>
                <w:sz w:val="24"/>
                <w:szCs w:val="24"/>
                <w:lang w:val="ro-RO"/>
              </w:rPr>
            </w:pPr>
            <w:r w:rsidRPr="00401879">
              <w:rPr>
                <w:rFonts w:ascii="Times New Roman" w:hAnsi="Times New Roman"/>
                <w:color w:val="000000" w:themeColor="text1"/>
                <w:sz w:val="24"/>
                <w:szCs w:val="24"/>
                <w:lang w:val="ro-RO"/>
              </w:rPr>
              <w:t>Implementarea proiectului va avea un impact pozitiv asupra sectorului public, prin consolidarea cadrului metodologic necesar aplicării Legii nr. 74/2024 și operaționalizării sistemului MRV, reglementat prin Hotărârea Guvernului nr. 575/2024.</w:t>
            </w:r>
          </w:p>
          <w:p w14:paraId="2BE537F3" w14:textId="6C3C438B" w:rsidR="00401879" w:rsidRPr="00401879" w:rsidRDefault="00401879" w:rsidP="00401879">
            <w:pPr>
              <w:rPr>
                <w:rFonts w:ascii="Times New Roman" w:hAnsi="Times New Roman"/>
                <w:color w:val="000000" w:themeColor="text1"/>
                <w:sz w:val="24"/>
                <w:szCs w:val="24"/>
                <w:lang w:val="ro-RO"/>
              </w:rPr>
            </w:pPr>
            <w:r w:rsidRPr="00401879">
              <w:rPr>
                <w:rFonts w:ascii="Times New Roman" w:hAnsi="Times New Roman"/>
                <w:color w:val="000000" w:themeColor="text1"/>
                <w:sz w:val="24"/>
                <w:szCs w:val="24"/>
                <w:lang w:val="ro-RO"/>
              </w:rPr>
              <w:t>Ghidul metodologic va sprijini Agenția de Mediu în examinarea RAE</w:t>
            </w:r>
            <w:r>
              <w:rPr>
                <w:rFonts w:ascii="Times New Roman" w:hAnsi="Times New Roman"/>
                <w:color w:val="000000" w:themeColor="text1"/>
                <w:sz w:val="24"/>
                <w:szCs w:val="24"/>
                <w:lang w:val="ro-RO"/>
              </w:rPr>
              <w:t>-urilor</w:t>
            </w:r>
            <w:r w:rsidRPr="00401879">
              <w:rPr>
                <w:rFonts w:ascii="Times New Roman" w:hAnsi="Times New Roman"/>
                <w:color w:val="000000" w:themeColor="text1"/>
                <w:sz w:val="24"/>
                <w:szCs w:val="24"/>
                <w:lang w:val="ro-RO"/>
              </w:rPr>
              <w:t>, contribuind la asigurarea unei abordări unitare și transparente în aplicarea cerințelor de monitorizare și raportare.</w:t>
            </w:r>
          </w:p>
          <w:p w14:paraId="5A4B77EF" w14:textId="13A03F58" w:rsidR="00710E4F" w:rsidRPr="00534B79" w:rsidRDefault="00401879" w:rsidP="00401879">
            <w:pPr>
              <w:rPr>
                <w:color w:val="388600"/>
                <w:sz w:val="24"/>
                <w:szCs w:val="24"/>
                <w:lang w:val="ro-RO"/>
              </w:rPr>
            </w:pPr>
            <w:r w:rsidRPr="00401879">
              <w:rPr>
                <w:rFonts w:ascii="Times New Roman" w:hAnsi="Times New Roman"/>
                <w:color w:val="000000" w:themeColor="text1"/>
                <w:sz w:val="24"/>
                <w:szCs w:val="24"/>
                <w:lang w:val="ro-RO"/>
              </w:rPr>
              <w:t>Totodată, stabilirea unor orientări clare va reduce riscul interpretărilor neuniforme și va eficientiza procesul de evaluare a documentației depuse de operatori, consolidând capacitatea instituțională în implementarea sistemului MRV.</w:t>
            </w:r>
          </w:p>
        </w:tc>
      </w:tr>
      <w:tr w:rsidR="006D3EB7" w:rsidRPr="005535FB" w14:paraId="44F24487"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710E4F" w:rsidRPr="00332FBE" w14:paraId="577E84C0"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A559DE" w14:textId="44F48829" w:rsidR="00CE6D54" w:rsidRPr="00401879" w:rsidRDefault="00163600" w:rsidP="00CE6D54">
            <w:pPr>
              <w:rPr>
                <w:rFonts w:ascii="Times New Roman" w:hAnsi="Times New Roman"/>
                <w:color w:val="000000" w:themeColor="text1"/>
                <w:sz w:val="24"/>
                <w:szCs w:val="24"/>
                <w:lang w:val="ro-MD"/>
              </w:rPr>
            </w:pPr>
            <w:r w:rsidRPr="00401879">
              <w:rPr>
                <w:rFonts w:ascii="Times New Roman" w:hAnsi="Times New Roman"/>
                <w:color w:val="000000" w:themeColor="text1"/>
                <w:sz w:val="24"/>
                <w:szCs w:val="24"/>
                <w:lang w:val="ro-MD"/>
              </w:rPr>
              <w:t xml:space="preserve">Ghidului metodologic privind raportarea emisiilor de gaze cu efect de seră pentru instalații și activități de aviație, </w:t>
            </w:r>
            <w:r w:rsidR="00CE6D54" w:rsidRPr="00401879">
              <w:rPr>
                <w:rFonts w:ascii="Times New Roman" w:hAnsi="Times New Roman"/>
                <w:color w:val="000000" w:themeColor="text1"/>
                <w:sz w:val="24"/>
                <w:szCs w:val="24"/>
                <w:lang w:val="ro-MD"/>
              </w:rPr>
              <w:t xml:space="preserve">are rolul de a oferi orientări tehnice și metodologice pentru operaționalizarea sistemului național de monitorizare, raportare și verificare a emisiilor de gaze cu efect de seră. În acest sens, </w:t>
            </w:r>
            <w:r w:rsidR="00B7556A" w:rsidRPr="00401879">
              <w:rPr>
                <w:rFonts w:ascii="Times New Roman" w:hAnsi="Times New Roman"/>
                <w:color w:val="000000" w:themeColor="text1"/>
                <w:sz w:val="24"/>
                <w:szCs w:val="24"/>
                <w:lang w:val="ro-MD"/>
              </w:rPr>
              <w:t xml:space="preserve">proiectul </w:t>
            </w:r>
            <w:r w:rsidR="00CE6D54" w:rsidRPr="00401879">
              <w:rPr>
                <w:rFonts w:ascii="Times New Roman" w:hAnsi="Times New Roman"/>
                <w:color w:val="000000" w:themeColor="text1"/>
                <w:sz w:val="24"/>
                <w:szCs w:val="24"/>
                <w:lang w:val="ro-MD"/>
              </w:rPr>
              <w:t>facilitează aplicarea prevederilor legale existente.</w:t>
            </w:r>
          </w:p>
          <w:p w14:paraId="3E755F55" w14:textId="2F1CA194" w:rsidR="00CE6D54" w:rsidRPr="00401879" w:rsidRDefault="00CE6D54" w:rsidP="00CE6D54">
            <w:pPr>
              <w:rPr>
                <w:rFonts w:ascii="Times New Roman" w:hAnsi="Times New Roman"/>
                <w:color w:val="000000" w:themeColor="text1"/>
                <w:sz w:val="24"/>
                <w:szCs w:val="24"/>
                <w:lang w:val="ro-MD"/>
              </w:rPr>
            </w:pPr>
            <w:r w:rsidRPr="00401879">
              <w:rPr>
                <w:rFonts w:ascii="Times New Roman" w:hAnsi="Times New Roman"/>
                <w:color w:val="000000" w:themeColor="text1"/>
                <w:sz w:val="24"/>
                <w:szCs w:val="24"/>
                <w:lang w:val="ro-MD"/>
              </w:rPr>
              <w:t>Agenția de Mediu, v</w:t>
            </w:r>
            <w:r w:rsidR="00172A6E" w:rsidRPr="00401879">
              <w:rPr>
                <w:rFonts w:ascii="Times New Roman" w:hAnsi="Times New Roman"/>
                <w:color w:val="000000" w:themeColor="text1"/>
                <w:sz w:val="24"/>
                <w:szCs w:val="24"/>
                <w:lang w:val="ro-MD"/>
              </w:rPr>
              <w:t>a</w:t>
            </w:r>
            <w:r w:rsidRPr="00401879">
              <w:rPr>
                <w:rFonts w:ascii="Times New Roman" w:hAnsi="Times New Roman"/>
                <w:color w:val="000000" w:themeColor="text1"/>
                <w:sz w:val="24"/>
                <w:szCs w:val="24"/>
                <w:lang w:val="ro-MD"/>
              </w:rPr>
              <w:t xml:space="preserve"> asigura implementarea prevederilor ghidului în cadrul atribuțiilor funcționale existente și în limitele resurselor bugetare aprobate</w:t>
            </w:r>
            <w:r w:rsidR="00172A6E" w:rsidRPr="00401879">
              <w:rPr>
                <w:rFonts w:ascii="Times New Roman" w:hAnsi="Times New Roman"/>
                <w:color w:val="000000" w:themeColor="text1"/>
                <w:sz w:val="24"/>
                <w:szCs w:val="24"/>
                <w:lang w:val="ro-MD"/>
              </w:rPr>
              <w:t xml:space="preserve"> anual</w:t>
            </w:r>
            <w:r w:rsidRPr="00401879">
              <w:rPr>
                <w:rFonts w:ascii="Times New Roman" w:hAnsi="Times New Roman"/>
                <w:color w:val="000000" w:themeColor="text1"/>
                <w:sz w:val="24"/>
                <w:szCs w:val="24"/>
                <w:lang w:val="ro-MD"/>
              </w:rPr>
              <w:t xml:space="preserve">. </w:t>
            </w:r>
          </w:p>
          <w:p w14:paraId="4BD5788D" w14:textId="410A8BD0" w:rsidR="00710E4F" w:rsidRPr="00076385" w:rsidRDefault="00CE6D54" w:rsidP="00CE6D54">
            <w:pPr>
              <w:rPr>
                <w:sz w:val="24"/>
                <w:szCs w:val="24"/>
                <w:lang w:val="ro-MD"/>
              </w:rPr>
            </w:pPr>
            <w:r w:rsidRPr="00401879">
              <w:rPr>
                <w:rFonts w:ascii="Times New Roman" w:hAnsi="Times New Roman"/>
                <w:color w:val="000000" w:themeColor="text1"/>
                <w:sz w:val="24"/>
                <w:szCs w:val="24"/>
                <w:lang w:val="ro-MD"/>
              </w:rPr>
              <w:lastRenderedPageBreak/>
              <w:t>Prin urmare, implementarea proiectului nu generează impact financiar suplimentar asupra bugetului public și contribuie, în același timp, la eficientizarea proceselor administrative și la reducerea incertitudinilor în aplicarea cerințelor privind monitorizarea emisiilor de gaze cu efect de seră.</w:t>
            </w:r>
          </w:p>
        </w:tc>
      </w:tr>
      <w:tr w:rsidR="006D3EB7" w:rsidRPr="005535FB" w14:paraId="02E2B551"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lastRenderedPageBreak/>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710E4F" w:rsidRPr="00332FBE" w14:paraId="6ECAC42F"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AFBF7B" w14:textId="18F70370" w:rsidR="00401879" w:rsidRPr="00401879" w:rsidRDefault="00401879" w:rsidP="00401879">
            <w:pPr>
              <w:rPr>
                <w:rFonts w:ascii="Times New Roman" w:hAnsi="Times New Roman"/>
                <w:color w:val="000000" w:themeColor="text1"/>
                <w:sz w:val="24"/>
                <w:szCs w:val="24"/>
                <w:lang w:val="ro-RO"/>
              </w:rPr>
            </w:pPr>
            <w:r w:rsidRPr="00401879">
              <w:rPr>
                <w:rFonts w:ascii="Times New Roman" w:hAnsi="Times New Roman"/>
                <w:color w:val="000000" w:themeColor="text1"/>
                <w:sz w:val="24"/>
                <w:szCs w:val="24"/>
                <w:lang w:val="ro-RO"/>
              </w:rPr>
              <w:t>După cum s-a menționat, prezentul ghid este destinat operatorilor instalațiilor staționare și operatorilor de aeronave incluși în sistemul de monitorizare, raportare și verificare a emisiilor de gaze cu efect de seră (MRV). Conform Ordinului ministrului mediului nr. 123 din 20 august 2025, în anul 2025 sunt identificați 18 operatori ai instalațiilor staționare și 5 operatori de aeronave.</w:t>
            </w:r>
          </w:p>
          <w:p w14:paraId="24250EB9" w14:textId="6988BB7B" w:rsidR="00401879" w:rsidRPr="00401879" w:rsidRDefault="00401879" w:rsidP="00401879">
            <w:pPr>
              <w:rPr>
                <w:rFonts w:ascii="Times New Roman" w:hAnsi="Times New Roman"/>
                <w:color w:val="000000" w:themeColor="text1"/>
                <w:sz w:val="24"/>
                <w:szCs w:val="24"/>
                <w:lang w:val="ro-RO"/>
              </w:rPr>
            </w:pPr>
            <w:r w:rsidRPr="00401879">
              <w:rPr>
                <w:rFonts w:ascii="Times New Roman" w:hAnsi="Times New Roman"/>
                <w:color w:val="000000" w:themeColor="text1"/>
                <w:sz w:val="24"/>
                <w:szCs w:val="24"/>
                <w:lang w:val="ro-RO"/>
              </w:rPr>
              <w:t>Proiectul nu introduce obligații noi pentru agenții economici vizați, ci oferă orientări metodologice pentru îndeplinirea obligațiilor stabilite prin Legea nr. 74/2024 și aplicarea cerințelor Hotărârii Guvernului nr. 575/2024. În acest sens, ghidul sprijină operatorii în elaborarea RAE-urilor, ce urmează a fi prezentate autorității competente.</w:t>
            </w:r>
          </w:p>
          <w:p w14:paraId="286318B4" w14:textId="574BAED0" w:rsidR="00401879" w:rsidRPr="00401879" w:rsidRDefault="00401879" w:rsidP="00401879">
            <w:pPr>
              <w:rPr>
                <w:rFonts w:ascii="Times New Roman" w:hAnsi="Times New Roman"/>
                <w:color w:val="000000" w:themeColor="text1"/>
                <w:sz w:val="24"/>
                <w:szCs w:val="24"/>
                <w:lang w:val="ro-RO"/>
              </w:rPr>
            </w:pPr>
            <w:r w:rsidRPr="00401879">
              <w:rPr>
                <w:rFonts w:ascii="Times New Roman" w:hAnsi="Times New Roman"/>
                <w:color w:val="000000" w:themeColor="text1"/>
                <w:sz w:val="24"/>
                <w:szCs w:val="24"/>
                <w:lang w:val="ro-RO"/>
              </w:rPr>
              <w:t>Impactul asupra sectorului privat se va manifesta în principal prin necesitatea elaborării RAE și ajustarea procedurilor interne de gestionare a datelor privind emisiile. Totodată, ghidul va contribui la simplificarea acestor procese, prin furnizarea de modele, explicații și recomandări practice.</w:t>
            </w:r>
          </w:p>
          <w:p w14:paraId="3D2FD352" w14:textId="7CB77AAB" w:rsidR="00710E4F" w:rsidRPr="005535FB" w:rsidRDefault="00401879" w:rsidP="00401879">
            <w:pPr>
              <w:rPr>
                <w:sz w:val="24"/>
                <w:szCs w:val="24"/>
                <w:lang w:val="ro-RO"/>
              </w:rPr>
            </w:pPr>
            <w:r w:rsidRPr="00401879">
              <w:rPr>
                <w:rFonts w:ascii="Times New Roman" w:hAnsi="Times New Roman"/>
                <w:color w:val="000000" w:themeColor="text1"/>
                <w:sz w:val="24"/>
                <w:szCs w:val="24"/>
                <w:lang w:val="ro-RO"/>
              </w:rPr>
              <w:t>Prin urmare, proiectul va facilita conformarea mediului de afaceri la cerințele legislației naționale în domeniul acțiunilor climatice și va sprijini pregătirea operatorilor pentru implementarea sistemului MRV, în concordanță cu practicile Uniunii Europene.</w:t>
            </w:r>
          </w:p>
        </w:tc>
      </w:tr>
      <w:tr w:rsidR="006D3EB7" w:rsidRPr="00CD33D3" w14:paraId="7424CF32"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4E34B0B7" w:rsidR="008B4BE6" w:rsidRPr="005535FB" w:rsidRDefault="006933C3" w:rsidP="00CE6D54">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tc>
      </w:tr>
      <w:tr w:rsidR="00CE6D54" w:rsidRPr="00CD33D3" w14:paraId="10E221BB"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F96771" w14:textId="1CBDCDE9" w:rsidR="00DA6464" w:rsidRPr="003201E7" w:rsidRDefault="00DA6464" w:rsidP="00DA6464">
            <w:pPr>
              <w:rPr>
                <w:rFonts w:ascii="Times New Roman" w:hAnsi="Times New Roman"/>
                <w:color w:val="000000" w:themeColor="text1"/>
                <w:sz w:val="24"/>
                <w:szCs w:val="24"/>
                <w:lang w:val="ro-MD"/>
              </w:rPr>
            </w:pPr>
            <w:r w:rsidRPr="003201E7">
              <w:rPr>
                <w:rFonts w:ascii="Times New Roman" w:hAnsi="Times New Roman"/>
                <w:color w:val="000000" w:themeColor="text1"/>
                <w:sz w:val="24"/>
                <w:szCs w:val="24"/>
                <w:lang w:val="ro-MD"/>
              </w:rPr>
              <w:t xml:space="preserve">Implementarea proiectului de act normativ nu generează impact social direct asupra populației, întrucât prevederile acestuia vizează stabilirea unor orientări metodologice pentru elaborarea </w:t>
            </w:r>
            <w:r w:rsidR="00163600" w:rsidRPr="003201E7">
              <w:rPr>
                <w:rFonts w:ascii="Times New Roman" w:hAnsi="Times New Roman"/>
                <w:color w:val="000000" w:themeColor="text1"/>
                <w:sz w:val="24"/>
                <w:szCs w:val="24"/>
                <w:lang w:val="ro-MD"/>
              </w:rPr>
              <w:t>RAE</w:t>
            </w:r>
            <w:r w:rsidRPr="003201E7">
              <w:rPr>
                <w:rFonts w:ascii="Times New Roman" w:hAnsi="Times New Roman"/>
                <w:color w:val="000000" w:themeColor="text1"/>
                <w:sz w:val="24"/>
                <w:szCs w:val="24"/>
                <w:lang w:val="ro-MD"/>
              </w:rPr>
              <w:t xml:space="preserve"> de către operatorii instalațiilor staționare și operatorii de aeronave.</w:t>
            </w:r>
          </w:p>
          <w:p w14:paraId="3417D20E" w14:textId="31AE747C" w:rsidR="00CE6D54" w:rsidRPr="00DA6464" w:rsidRDefault="00DA6464" w:rsidP="00DA6464">
            <w:pPr>
              <w:rPr>
                <w:sz w:val="24"/>
                <w:szCs w:val="24"/>
              </w:rPr>
            </w:pPr>
            <w:r w:rsidRPr="003201E7">
              <w:rPr>
                <w:rFonts w:ascii="Times New Roman" w:hAnsi="Times New Roman"/>
                <w:color w:val="000000" w:themeColor="text1"/>
                <w:sz w:val="24"/>
                <w:szCs w:val="24"/>
                <w:lang w:val="ro-MD"/>
              </w:rPr>
              <w:t>În mod indirect, proiectul contribuie la consolidarea cadrului național de monitorizare a emisiilor de gaze cu efect de seră și la implementarea politicilor climatice, ceea ce susține obiectivele de protecție a mediului, sănătății publice și de reducere a riscurilor asociate schimbărilor climatice.</w:t>
            </w:r>
          </w:p>
        </w:tc>
      </w:tr>
      <w:tr w:rsidR="00CE6D54" w:rsidRPr="00CD33D3" w14:paraId="139C5F53"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D369FC6" w14:textId="10A18961" w:rsidR="00CE6D54" w:rsidRPr="00CE6D54" w:rsidRDefault="00CE6D54" w:rsidP="00CE6D54">
            <w:pPr>
              <w:rPr>
                <w:rFonts w:ascii="Times New Roman" w:hAnsi="Times New Roman"/>
                <w:sz w:val="24"/>
                <w:szCs w:val="24"/>
                <w:lang w:val="ro-RO"/>
              </w:rPr>
            </w:pPr>
            <w:r w:rsidRPr="005535FB">
              <w:rPr>
                <w:rFonts w:ascii="Times New Roman" w:hAnsi="Times New Roman"/>
                <w:sz w:val="24"/>
                <w:szCs w:val="24"/>
                <w:lang w:val="ro-RO"/>
              </w:rPr>
              <w:t>4.4.1. Impactul asupra datelor cu caracter personal</w:t>
            </w:r>
          </w:p>
        </w:tc>
      </w:tr>
      <w:tr w:rsidR="00CE6D54" w:rsidRPr="00CD33D3" w14:paraId="559A043D"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9BAE92" w14:textId="1484F680" w:rsidR="00566F3B" w:rsidRPr="003201E7" w:rsidRDefault="00566F3B" w:rsidP="00566F3B">
            <w:pPr>
              <w:tabs>
                <w:tab w:val="left" w:pos="1230"/>
              </w:tabs>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t>Proiectul de act normativ nu instituie procese de colectare, prelucrare sau stocare a datelor cu caracter personal. Informațiile gestionate în cadrul procesului de monitorizare a emisiilor de gaze cu efect de seră se referă, în principal, la date tehnice și operaționale privind instalațiile staționare și activitățile din domeniul aviației.</w:t>
            </w:r>
          </w:p>
          <w:p w14:paraId="68BCE567" w14:textId="6B705945" w:rsidR="00566F3B" w:rsidRPr="003201E7" w:rsidRDefault="00566F3B" w:rsidP="00566F3B">
            <w:pPr>
              <w:tabs>
                <w:tab w:val="left" w:pos="1230"/>
              </w:tabs>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t xml:space="preserve">Totodată, în procesul de prezentare a </w:t>
            </w:r>
            <w:r w:rsidR="00163600" w:rsidRPr="003201E7">
              <w:rPr>
                <w:rFonts w:ascii="Times New Roman" w:hAnsi="Times New Roman"/>
                <w:color w:val="000000" w:themeColor="text1"/>
                <w:sz w:val="24"/>
                <w:szCs w:val="24"/>
                <w:lang w:val="ro-RO"/>
              </w:rPr>
              <w:t>RAE</w:t>
            </w:r>
            <w:r w:rsidRPr="003201E7">
              <w:rPr>
                <w:rFonts w:ascii="Times New Roman" w:hAnsi="Times New Roman"/>
                <w:color w:val="000000" w:themeColor="text1"/>
                <w:sz w:val="24"/>
                <w:szCs w:val="24"/>
                <w:lang w:val="ro-RO"/>
              </w:rPr>
              <w:t xml:space="preserve">, operatorii vor indica o persoană de contact autorizată să acționeze în numele operatorului și să ofere clarificări în legătură cu conținutul </w:t>
            </w:r>
            <w:r w:rsidR="00163600" w:rsidRPr="003201E7">
              <w:rPr>
                <w:rFonts w:ascii="Times New Roman" w:hAnsi="Times New Roman"/>
                <w:color w:val="000000" w:themeColor="text1"/>
                <w:sz w:val="24"/>
                <w:szCs w:val="24"/>
                <w:lang w:val="ro-RO"/>
              </w:rPr>
              <w:t>RAE</w:t>
            </w:r>
            <w:r w:rsidRPr="003201E7">
              <w:rPr>
                <w:rFonts w:ascii="Times New Roman" w:hAnsi="Times New Roman"/>
                <w:color w:val="000000" w:themeColor="text1"/>
                <w:sz w:val="24"/>
                <w:szCs w:val="24"/>
                <w:lang w:val="ro-RO"/>
              </w:rPr>
              <w:t>. Datele aferente acestei persoane vor avea un caracter limitat și vor fi utilizate exclusiv în scopul facilitării comunicării dintre operator și autoritatea competentă.</w:t>
            </w:r>
          </w:p>
          <w:p w14:paraId="1052DAA1" w14:textId="188D13D2" w:rsidR="00CE6D54" w:rsidRPr="00DA6464" w:rsidRDefault="00DA6464" w:rsidP="00DA6464">
            <w:pPr>
              <w:tabs>
                <w:tab w:val="left" w:pos="1230"/>
              </w:tabs>
              <w:rPr>
                <w:sz w:val="24"/>
                <w:szCs w:val="24"/>
              </w:rPr>
            </w:pPr>
            <w:r w:rsidRPr="003201E7">
              <w:rPr>
                <w:rFonts w:ascii="Times New Roman" w:hAnsi="Times New Roman"/>
                <w:color w:val="000000" w:themeColor="text1"/>
                <w:sz w:val="24"/>
                <w:szCs w:val="24"/>
                <w:lang w:val="ro-RO"/>
              </w:rPr>
              <w:t>Prin urmare, implementarea ghidului metodologic nu generează impact asupra protecției datelor cu caracter personal și nu implică riscuri privind confidențialitatea sau securitatea acestora.</w:t>
            </w:r>
          </w:p>
        </w:tc>
      </w:tr>
      <w:tr w:rsidR="00CE6D54" w:rsidRPr="00CD33D3" w14:paraId="6B592D5E"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702A3F7" w14:textId="0D76F152" w:rsidR="00CE6D54" w:rsidRPr="005535FB" w:rsidRDefault="00CE6D54" w:rsidP="00F37ED4">
            <w:pPr>
              <w:rPr>
                <w:sz w:val="24"/>
                <w:szCs w:val="24"/>
                <w:lang w:val="ro-RO"/>
              </w:rPr>
            </w:pPr>
            <w:r w:rsidRPr="005535FB">
              <w:rPr>
                <w:rFonts w:ascii="Times New Roman" w:hAnsi="Times New Roman"/>
                <w:sz w:val="24"/>
                <w:szCs w:val="24"/>
                <w:lang w:val="ro-RO"/>
              </w:rPr>
              <w:t>4.4.2. Impactul asupra echității și egalității de gen</w:t>
            </w:r>
          </w:p>
        </w:tc>
      </w:tr>
      <w:tr w:rsidR="00CE6D54" w:rsidRPr="00CD33D3" w14:paraId="3FB47DF6"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CE2D81" w14:textId="7F3CBB66" w:rsidR="00CE6D54" w:rsidRPr="00DA6464" w:rsidRDefault="00CE6D54" w:rsidP="00F37ED4">
            <w:pPr>
              <w:rPr>
                <w:rFonts w:ascii="Times New Roman" w:hAnsi="Times New Roman"/>
                <w:sz w:val="24"/>
                <w:szCs w:val="24"/>
                <w:lang w:val="ro-RO"/>
              </w:rPr>
            </w:pPr>
            <w:r w:rsidRPr="00DA6464">
              <w:rPr>
                <w:rFonts w:ascii="Times New Roman" w:hAnsi="Times New Roman"/>
                <w:sz w:val="24"/>
                <w:szCs w:val="24"/>
                <w:lang w:val="ro-RO"/>
              </w:rPr>
              <w:t>Nu este aplicabil.</w:t>
            </w:r>
          </w:p>
        </w:tc>
      </w:tr>
      <w:tr w:rsidR="006D3EB7" w:rsidRPr="005535FB" w14:paraId="5A26B0A1"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710E4F" w:rsidRPr="00332FBE" w14:paraId="61810761"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58A830" w14:textId="1E193E2C" w:rsidR="003201E7" w:rsidRPr="003201E7" w:rsidRDefault="003201E7" w:rsidP="003201E7">
            <w:pPr>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t>Implementarea proiectului de act normativ va avea un impact pozitiv asupra mediului, prin consolidarea cadrului metodologic necesar pentru monitorizarea emisiilor de gaze cu efect de seră generate de instalațiile staționare și activitățile din domeniul aviației.</w:t>
            </w:r>
          </w:p>
          <w:p w14:paraId="64B71E38" w14:textId="7FCAB1F0" w:rsidR="003201E7" w:rsidRPr="003201E7" w:rsidRDefault="003201E7" w:rsidP="003201E7">
            <w:pPr>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t>Aprobarea ghidului metodologic va facilita aplicarea uniformă a cerințelor de monitorizare, contribuind la îmbunătățirea calității și acurateței datelor raportate. Astfel, va fi sprijinită dezvoltarea unui sistem național funcțional de monitorizare, raportare și verificare a emisiilor de GES, în conformitate cu Legea nr. 74/2024, Hotărârea Guvernului nr. 575/2024 și practicile Uniunii Europene.</w:t>
            </w:r>
          </w:p>
          <w:p w14:paraId="40114F11" w14:textId="3C5ABB28" w:rsidR="003201E7" w:rsidRPr="003201E7" w:rsidRDefault="003201E7" w:rsidP="003201E7">
            <w:pPr>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lastRenderedPageBreak/>
              <w:t>Prin asigurarea unei monitorizări riguroase și transparente, ghidul va contribui la fundamentarea politicilor publice în domeniul schimbărilor climatice și la evaluarea progresului în atingerea obiectivelor naționale de reducere a emisiilor.</w:t>
            </w:r>
          </w:p>
          <w:p w14:paraId="521DEFB0" w14:textId="7313095A" w:rsidR="00710E4F" w:rsidRPr="00163600" w:rsidRDefault="003201E7" w:rsidP="003201E7">
            <w:pPr>
              <w:rPr>
                <w:color w:val="388600"/>
                <w:sz w:val="24"/>
                <w:szCs w:val="24"/>
                <w:lang w:val="ro-RO"/>
              </w:rPr>
            </w:pPr>
            <w:r w:rsidRPr="003201E7">
              <w:rPr>
                <w:rFonts w:ascii="Times New Roman" w:hAnsi="Times New Roman"/>
                <w:color w:val="000000" w:themeColor="text1"/>
                <w:sz w:val="24"/>
                <w:szCs w:val="24"/>
                <w:lang w:val="ro-RO"/>
              </w:rPr>
              <w:t>Totodată, pe termen mediu și lung, proiectul va sprijini implementarea mecanismelor de stabilire a prețului carbonului, reducerea impactului activităților economice asupra mediului și realizarea obiectivului de neutralitate climatică până în anul 2050.</w:t>
            </w:r>
          </w:p>
        </w:tc>
      </w:tr>
      <w:tr w:rsidR="006D3EB7" w:rsidRPr="005535FB" w14:paraId="42A0201F"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lastRenderedPageBreak/>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5535FB" w14:paraId="70A7B0BB"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0425FFA8" w:rsidR="008B4BE6" w:rsidRPr="005535FB" w:rsidRDefault="00DA6464" w:rsidP="00F37ED4">
            <w:pPr>
              <w:rPr>
                <w:rFonts w:ascii="Times New Roman" w:hAnsi="Times New Roman"/>
                <w:sz w:val="24"/>
                <w:szCs w:val="24"/>
                <w:lang w:val="ro-RO"/>
              </w:rPr>
            </w:pPr>
            <w:r>
              <w:rPr>
                <w:rFonts w:ascii="Times New Roman" w:hAnsi="Times New Roman"/>
                <w:sz w:val="24"/>
                <w:szCs w:val="24"/>
                <w:lang w:val="ro-RO"/>
              </w:rPr>
              <w:t>Nu este aplicabil.</w:t>
            </w:r>
          </w:p>
        </w:tc>
      </w:tr>
      <w:tr w:rsidR="006D3EB7" w:rsidRPr="005535FB" w14:paraId="3227BD3A"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7C507A" w:rsidRPr="007C507A" w14:paraId="73943386"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675468" w14:textId="70F3E82A" w:rsidR="00BE4D9A" w:rsidRPr="003201E7" w:rsidRDefault="00BE4D9A" w:rsidP="00BE4D9A">
            <w:pPr>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t>Prezentul proiect nu are ca obiect transpunerea directă a unui act juridic al Uniunii Europene, ci are drept scop dezvoltarea cadrului metodologic necesar pentru aplicarea prevederilor legislației naționale în domeniul monitorizării, raportării și verificării emisiilor de gaze cu efect de seră MRV, în contextul alinierii treptate la acquis-ul Uniunii Europene în domeniul schimbărilor climatice.</w:t>
            </w:r>
          </w:p>
          <w:p w14:paraId="051AE372" w14:textId="0D643ACF" w:rsidR="007C507A" w:rsidRPr="007A4279" w:rsidRDefault="00BE4D9A" w:rsidP="00BE4D9A">
            <w:pPr>
              <w:rPr>
                <w:color w:val="388600"/>
                <w:sz w:val="24"/>
                <w:szCs w:val="24"/>
              </w:rPr>
            </w:pPr>
            <w:r w:rsidRPr="003201E7">
              <w:rPr>
                <w:rFonts w:ascii="Times New Roman" w:hAnsi="Times New Roman"/>
                <w:color w:val="000000" w:themeColor="text1"/>
                <w:sz w:val="24"/>
                <w:szCs w:val="24"/>
                <w:lang w:val="ro-RO"/>
              </w:rPr>
              <w:t xml:space="preserve">Ghidul metodologic, preia structura și elementele metodologice utilizate la nivelul Uniunii Europene pentru elaborarea </w:t>
            </w:r>
            <w:r w:rsidR="007A4279" w:rsidRPr="003201E7">
              <w:rPr>
                <w:rFonts w:ascii="Times New Roman" w:hAnsi="Times New Roman"/>
                <w:color w:val="000000" w:themeColor="text1"/>
                <w:sz w:val="24"/>
                <w:szCs w:val="24"/>
                <w:lang w:val="ro-RO"/>
              </w:rPr>
              <w:t xml:space="preserve">RAE </w:t>
            </w:r>
            <w:r w:rsidRPr="003201E7">
              <w:rPr>
                <w:rFonts w:ascii="Times New Roman" w:hAnsi="Times New Roman"/>
                <w:color w:val="000000" w:themeColor="text1"/>
                <w:sz w:val="24"/>
                <w:szCs w:val="24"/>
                <w:lang w:val="ro-RO"/>
              </w:rPr>
              <w:t>pentru instalații și activități de aviație, inclusiv modelele de formulare utilizate în cadrul sistemului EU ETS. În acest sens, ghidul contribuie la alinierea practicilor naționale la standardele metodologice aplicate în Uniunea Europeană.</w:t>
            </w:r>
          </w:p>
        </w:tc>
      </w:tr>
      <w:tr w:rsidR="006D3EB7" w:rsidRPr="005535FB" w14:paraId="1541F0CB"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332FBE" w14:paraId="531AA3AA"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0E80FD" w14:textId="081562CA" w:rsidR="00BE4D9A" w:rsidRPr="003201E7" w:rsidRDefault="00BE4D9A" w:rsidP="00BE4D9A">
            <w:pPr>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t>Proiectul contribuie la crearea cadrului metodologic necesar pentru implementarea legislației în domeniul</w:t>
            </w:r>
            <w:r w:rsidR="003201E7" w:rsidRPr="003201E7">
              <w:rPr>
                <w:rFonts w:ascii="Times New Roman" w:hAnsi="Times New Roman"/>
                <w:color w:val="000000" w:themeColor="text1"/>
                <w:sz w:val="24"/>
                <w:szCs w:val="24"/>
                <w:lang w:val="ro-RO"/>
              </w:rPr>
              <w:t xml:space="preserve"> </w:t>
            </w:r>
            <w:r w:rsidRPr="003201E7">
              <w:rPr>
                <w:rFonts w:ascii="Times New Roman" w:hAnsi="Times New Roman"/>
                <w:color w:val="000000" w:themeColor="text1"/>
                <w:sz w:val="24"/>
                <w:szCs w:val="24"/>
                <w:lang w:val="ro-RO"/>
              </w:rPr>
              <w:t>MRV. În mod particular, ghidul metodologic este elaborat în corelare cu prevederile Directivei 2003/87/CE de stabilire a unui sistem de comercializare a certificatelor de emisii de gaze cu efect de seră în cadrul Uniunii Europene (EU ETS)</w:t>
            </w:r>
            <w:r w:rsidR="00CE34A4" w:rsidRPr="003201E7">
              <w:rPr>
                <w:rFonts w:ascii="Times New Roman" w:hAnsi="Times New Roman"/>
                <w:color w:val="000000" w:themeColor="text1"/>
                <w:sz w:val="24"/>
                <w:szCs w:val="24"/>
                <w:lang w:val="ro-RO"/>
              </w:rPr>
              <w:t xml:space="preserve"> (transpus</w:t>
            </w:r>
            <w:r w:rsidR="00C24FAE" w:rsidRPr="003201E7">
              <w:rPr>
                <w:rFonts w:ascii="Times New Roman" w:hAnsi="Times New Roman"/>
                <w:color w:val="000000" w:themeColor="text1"/>
                <w:sz w:val="24"/>
                <w:szCs w:val="24"/>
                <w:lang w:val="ro-RO"/>
              </w:rPr>
              <w:t>ă</w:t>
            </w:r>
            <w:r w:rsidR="00CE34A4" w:rsidRPr="003201E7">
              <w:rPr>
                <w:rFonts w:ascii="Times New Roman" w:hAnsi="Times New Roman"/>
                <w:color w:val="000000" w:themeColor="text1"/>
                <w:sz w:val="24"/>
                <w:szCs w:val="24"/>
                <w:lang w:val="ro-RO"/>
              </w:rPr>
              <w:t xml:space="preserve"> parțial în Legea nr. 74/2024)</w:t>
            </w:r>
            <w:r w:rsidRPr="003201E7">
              <w:rPr>
                <w:rFonts w:ascii="Times New Roman" w:hAnsi="Times New Roman"/>
                <w:color w:val="000000" w:themeColor="text1"/>
                <w:sz w:val="24"/>
                <w:szCs w:val="24"/>
                <w:lang w:val="ro-RO"/>
              </w:rPr>
              <w:t>, precum și cu actele delegate și de punere în aplicare aferente domeniului MRV, inclusiv Regulamentul de punere în aplicare (UE) 2018/2066 privind monitorizarea și raportarea emisiilor de gaze cu efect de seră și</w:t>
            </w:r>
            <w:r w:rsidR="006E4435" w:rsidRPr="003201E7">
              <w:rPr>
                <w:rFonts w:ascii="Times New Roman" w:hAnsi="Times New Roman"/>
                <w:color w:val="000000" w:themeColor="text1"/>
                <w:sz w:val="24"/>
                <w:szCs w:val="24"/>
                <w:lang w:val="ro-RO"/>
              </w:rPr>
              <w:t xml:space="preserve"> </w:t>
            </w:r>
            <w:r w:rsidR="00CE34A4" w:rsidRPr="003201E7">
              <w:rPr>
                <w:rFonts w:ascii="Times New Roman" w:hAnsi="Times New Roman"/>
                <w:color w:val="000000" w:themeColor="text1"/>
                <w:sz w:val="24"/>
                <w:szCs w:val="24"/>
                <w:lang w:val="ro-RO"/>
              </w:rPr>
              <w:t>(transpus parțial în Hotărârea Guvernului nr. 575/2024)</w:t>
            </w:r>
            <w:r w:rsidRPr="003201E7">
              <w:rPr>
                <w:rFonts w:ascii="Times New Roman" w:hAnsi="Times New Roman"/>
                <w:color w:val="000000" w:themeColor="text1"/>
                <w:sz w:val="24"/>
                <w:szCs w:val="24"/>
                <w:lang w:val="ro-RO"/>
              </w:rPr>
              <w:t>.</w:t>
            </w:r>
          </w:p>
          <w:p w14:paraId="1DBF688D" w14:textId="627B88B6" w:rsidR="008B4BE6" w:rsidRPr="003201E7" w:rsidRDefault="00C72F46" w:rsidP="00C72F46">
            <w:pPr>
              <w:rPr>
                <w:rFonts w:ascii="Times New Roman" w:hAnsi="Times New Roman"/>
                <w:color w:val="000000" w:themeColor="text1"/>
                <w:sz w:val="24"/>
                <w:szCs w:val="24"/>
                <w:lang w:val="ro-RO"/>
              </w:rPr>
            </w:pPr>
            <w:r w:rsidRPr="003201E7">
              <w:rPr>
                <w:rFonts w:ascii="Times New Roman" w:hAnsi="Times New Roman"/>
                <w:color w:val="000000" w:themeColor="text1"/>
                <w:sz w:val="24"/>
                <w:szCs w:val="24"/>
                <w:lang w:val="ro-RO"/>
              </w:rPr>
              <w:t>Ghidul metodologic stabilește</w:t>
            </w:r>
            <w:r w:rsidR="00BE4D9A" w:rsidRPr="003201E7">
              <w:rPr>
                <w:rFonts w:ascii="Times New Roman" w:hAnsi="Times New Roman"/>
                <w:color w:val="000000" w:themeColor="text1"/>
                <w:sz w:val="24"/>
                <w:szCs w:val="24"/>
                <w:lang w:val="ro-RO"/>
              </w:rPr>
              <w:t xml:space="preserve"> orientări tehnice și procedurale pentru elaborarea </w:t>
            </w:r>
            <w:r w:rsidR="007A4279" w:rsidRPr="003201E7">
              <w:rPr>
                <w:rFonts w:ascii="Times New Roman" w:hAnsi="Times New Roman"/>
                <w:color w:val="000000" w:themeColor="text1"/>
                <w:sz w:val="24"/>
                <w:szCs w:val="24"/>
                <w:lang w:val="ro-RO"/>
              </w:rPr>
              <w:t xml:space="preserve">RAE </w:t>
            </w:r>
            <w:r w:rsidR="00BE4D9A" w:rsidRPr="003201E7">
              <w:rPr>
                <w:rFonts w:ascii="Times New Roman" w:hAnsi="Times New Roman"/>
                <w:color w:val="000000" w:themeColor="text1"/>
                <w:sz w:val="24"/>
                <w:szCs w:val="24"/>
                <w:lang w:val="ro-RO"/>
              </w:rPr>
              <w:t>pentru instalații și activități de aviație, în concordanță cu structura și instrumentele utilizate la nivelul Uniunii Europene. Aceste orientări facilitează aplicarea uniformă a prevederilor Legii nr. 74/2024 privind acțiunile climatice și ale Hotărârii Guvernului nr. 575/2024 privind monitorizarea, raportarea și verificarea emisiilor de gaze cu efect de seră, contribuind la dezvoltarea unui sistem național MRV funcțional și compatibil cu cerințele europene.</w:t>
            </w:r>
          </w:p>
        </w:tc>
      </w:tr>
      <w:tr w:rsidR="006D3EB7" w:rsidRPr="005535FB" w14:paraId="338B3440"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332FBE" w14:paraId="4E687F27"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686C28" w14:textId="69FA72EE" w:rsidR="008D148A" w:rsidRPr="000C0F70" w:rsidRDefault="00835C07" w:rsidP="00835C07">
            <w:pPr>
              <w:rPr>
                <w:rFonts w:ascii="Times New Roman" w:hAnsi="Times New Roman"/>
                <w:sz w:val="24"/>
                <w:szCs w:val="24"/>
                <w:lang w:val="ro-RO"/>
              </w:rPr>
            </w:pPr>
            <w:r w:rsidRPr="000C0F70">
              <w:rPr>
                <w:rFonts w:ascii="Times New Roman" w:hAnsi="Times New Roman"/>
                <w:sz w:val="24"/>
                <w:szCs w:val="24"/>
                <w:lang w:val="ro-RO"/>
              </w:rPr>
              <w:t xml:space="preserve">În scopul respectării prevederilor Legii nr. 239/2008 privind transparența în procesul decizional, pe pagina web oficială a Ministerului Mediului www.mediu.gov.md, la compartimentul Transparența decizională, </w:t>
            </w:r>
            <w:r w:rsidR="00125D15" w:rsidRPr="000C0F70">
              <w:rPr>
                <w:rFonts w:ascii="Times New Roman" w:hAnsi="Times New Roman"/>
                <w:sz w:val="24"/>
                <w:szCs w:val="24"/>
                <w:lang w:val="ro-RO"/>
              </w:rPr>
              <w:t xml:space="preserve">cât și pe platforma particip.gov.md </w:t>
            </w:r>
            <w:r w:rsidRPr="000C0F70">
              <w:rPr>
                <w:rFonts w:ascii="Times New Roman" w:hAnsi="Times New Roman"/>
                <w:sz w:val="24"/>
                <w:szCs w:val="24"/>
                <w:lang w:val="ro-RO"/>
              </w:rPr>
              <w:t>a fost plasat anunțul privind inițierea procesului de elaborare a prezentului proiect, care poate fi accesat la linkul:</w:t>
            </w:r>
            <w:r w:rsidR="008D148A" w:rsidRPr="000C0F70">
              <w:rPr>
                <w:rFonts w:ascii="Times New Roman" w:hAnsi="Times New Roman"/>
                <w:sz w:val="24"/>
                <w:szCs w:val="24"/>
                <w:lang w:val="ro-RO"/>
              </w:rPr>
              <w:t xml:space="preserve"> </w:t>
            </w:r>
            <w:hyperlink r:id="rId11" w:tgtFrame="_blank" w:history="1">
              <w:r w:rsidR="00B4008D" w:rsidRPr="000C0F70">
                <w:rPr>
                  <w:rStyle w:val="Hyperlink"/>
                  <w:color w:val="auto"/>
                </w:rPr>
                <w:t>https://particip.gov.md/ro/document/stages/*/16576</w:t>
              </w:r>
            </w:hyperlink>
            <w:r w:rsidR="00B4008D" w:rsidRPr="000C0F70">
              <w:t> </w:t>
            </w:r>
            <w:r w:rsidR="0022460B">
              <w:t>.</w:t>
            </w:r>
          </w:p>
          <w:p w14:paraId="7E6045F3" w14:textId="447A871C" w:rsidR="00835C07" w:rsidRPr="00835C07" w:rsidRDefault="00835C07" w:rsidP="00835C07">
            <w:pPr>
              <w:rPr>
                <w:rFonts w:ascii="Times New Roman" w:hAnsi="Times New Roman"/>
                <w:sz w:val="24"/>
                <w:szCs w:val="24"/>
                <w:lang w:val="ro-RO"/>
              </w:rPr>
            </w:pPr>
            <w:r w:rsidRPr="000C0F70">
              <w:rPr>
                <w:rFonts w:ascii="Times New Roman" w:hAnsi="Times New Roman"/>
                <w:sz w:val="24"/>
                <w:szCs w:val="24"/>
                <w:lang w:val="ro-RO"/>
              </w:rPr>
              <w:t>Proiectul urmează a fi supus avizării și consultării publice în conformitate cu art.32 din Legea nr.100/2017 cu privire la actele normative și conform prevederilor Legii nr.239/2008 privind transparența în procesul decizional.</w:t>
            </w:r>
          </w:p>
        </w:tc>
      </w:tr>
      <w:tr w:rsidR="006D3EB7" w:rsidRPr="005535FB" w14:paraId="2C469418"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CD33D3" w14:paraId="26F8D433"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0139316A" w:rsidR="008B4BE6" w:rsidRPr="000C0F70" w:rsidRDefault="00994D90" w:rsidP="00994D90">
            <w:pPr>
              <w:rPr>
                <w:rFonts w:ascii="Times New Roman" w:hAnsi="Times New Roman"/>
                <w:sz w:val="24"/>
                <w:szCs w:val="24"/>
                <w:lang w:val="ro-RO"/>
              </w:rPr>
            </w:pPr>
            <w:r w:rsidRPr="000C0F70">
              <w:rPr>
                <w:rFonts w:ascii="Times New Roman" w:hAnsi="Times New Roman"/>
                <w:sz w:val="24"/>
                <w:szCs w:val="24"/>
                <w:lang w:val="ro-RO"/>
              </w:rPr>
              <w:t>După definitivarea proiectului în urma procesului de avizare, acesta va fi remis Ministerului Justiției</w:t>
            </w:r>
            <w:r w:rsidR="0031240C" w:rsidRPr="000C0F70">
              <w:rPr>
                <w:rFonts w:ascii="Times New Roman" w:hAnsi="Times New Roman"/>
                <w:sz w:val="24"/>
                <w:szCs w:val="24"/>
                <w:lang w:val="ro-RO"/>
              </w:rPr>
              <w:t xml:space="preserve"> și Centrului Național Anticorupție,</w:t>
            </w:r>
            <w:r w:rsidRPr="000C0F70">
              <w:rPr>
                <w:rFonts w:ascii="Times New Roman" w:hAnsi="Times New Roman"/>
                <w:sz w:val="24"/>
                <w:szCs w:val="24"/>
                <w:lang w:val="ro-RO"/>
              </w:rPr>
              <w:t xml:space="preserve"> pentru efectuarea expertizei juridice</w:t>
            </w:r>
            <w:r w:rsidR="0031240C" w:rsidRPr="000C0F70">
              <w:rPr>
                <w:rFonts w:ascii="Times New Roman" w:hAnsi="Times New Roman"/>
                <w:sz w:val="24"/>
                <w:szCs w:val="24"/>
                <w:lang w:val="ro-RO"/>
              </w:rPr>
              <w:t xml:space="preserve"> și anticorupție.</w:t>
            </w:r>
          </w:p>
        </w:tc>
      </w:tr>
      <w:tr w:rsidR="006D3EB7" w:rsidRPr="005535FB" w14:paraId="723ACED3"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0C0F70" w:rsidRDefault="006933C3" w:rsidP="00452C6C">
            <w:pPr>
              <w:rPr>
                <w:rFonts w:ascii="Times New Roman" w:hAnsi="Times New Roman"/>
                <w:b/>
                <w:bCs/>
                <w:sz w:val="24"/>
                <w:szCs w:val="24"/>
                <w:lang w:val="ro-RO"/>
              </w:rPr>
            </w:pPr>
            <w:r w:rsidRPr="000C0F70">
              <w:rPr>
                <w:rFonts w:ascii="Times New Roman" w:hAnsi="Times New Roman"/>
                <w:b/>
                <w:bCs/>
                <w:sz w:val="24"/>
                <w:szCs w:val="24"/>
                <w:lang w:val="ro-RO"/>
              </w:rPr>
              <w:t>8.</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Modul</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de</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încorporare</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a</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actului</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în</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cadrul</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normativ</w:t>
            </w:r>
            <w:r w:rsidR="00032B46" w:rsidRPr="000C0F70">
              <w:rPr>
                <w:rFonts w:ascii="Times New Roman" w:hAnsi="Times New Roman"/>
                <w:b/>
                <w:bCs/>
                <w:sz w:val="24"/>
                <w:szCs w:val="24"/>
                <w:lang w:val="ro-RO"/>
              </w:rPr>
              <w:t xml:space="preserve"> </w:t>
            </w:r>
            <w:r w:rsidR="007C53A1" w:rsidRPr="000C0F70">
              <w:rPr>
                <w:rFonts w:ascii="Times New Roman" w:hAnsi="Times New Roman"/>
                <w:b/>
                <w:bCs/>
                <w:sz w:val="24"/>
                <w:szCs w:val="24"/>
                <w:lang w:val="ro-RO"/>
              </w:rPr>
              <w:t>existent</w:t>
            </w:r>
          </w:p>
        </w:tc>
      </w:tr>
      <w:tr w:rsidR="006D3EB7" w:rsidRPr="00332FBE" w14:paraId="627B30F2"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4DCEFA0" w:rsidR="008B4BE6" w:rsidRPr="000C0F70" w:rsidRDefault="00AF090F" w:rsidP="00F37ED4">
            <w:pPr>
              <w:rPr>
                <w:rFonts w:ascii="Times New Roman" w:hAnsi="Times New Roman"/>
                <w:sz w:val="24"/>
                <w:szCs w:val="24"/>
                <w:lang w:val="ro-MD"/>
              </w:rPr>
            </w:pPr>
            <w:r w:rsidRPr="000C0F70">
              <w:rPr>
                <w:rFonts w:ascii="Times New Roman" w:hAnsi="Times New Roman"/>
                <w:sz w:val="24"/>
                <w:szCs w:val="24"/>
                <w:lang w:val="ro-MD"/>
              </w:rPr>
              <w:t xml:space="preserve">Aprobarea prezentului proiect nu implică modificarea sau abrogarea altor acte normative. Documentul completează cadrul normativ existent și contribuie la asigurarea unei aplicări </w:t>
            </w:r>
            <w:r w:rsidRPr="000C0F70">
              <w:rPr>
                <w:rFonts w:ascii="Times New Roman" w:hAnsi="Times New Roman"/>
                <w:sz w:val="24"/>
                <w:szCs w:val="24"/>
                <w:lang w:val="ro-MD"/>
              </w:rPr>
              <w:lastRenderedPageBreak/>
              <w:t>uniforme a prevederilor legislației naționale în domeniul monitorizării emisiilor de gaze cu efect de seră.</w:t>
            </w:r>
          </w:p>
        </w:tc>
      </w:tr>
      <w:tr w:rsidR="006D3EB7" w:rsidRPr="005535FB" w14:paraId="5FD6247A" w14:textId="77777777" w:rsidTr="00CC7BF8">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0C0F70" w:rsidRDefault="006933C3" w:rsidP="00F37ED4">
            <w:pPr>
              <w:rPr>
                <w:rFonts w:ascii="Times New Roman" w:hAnsi="Times New Roman"/>
                <w:b/>
                <w:bCs/>
                <w:sz w:val="24"/>
                <w:szCs w:val="24"/>
                <w:lang w:val="ro-RO"/>
              </w:rPr>
            </w:pPr>
            <w:r w:rsidRPr="000C0F70">
              <w:rPr>
                <w:rFonts w:ascii="Times New Roman" w:hAnsi="Times New Roman"/>
                <w:b/>
                <w:bCs/>
                <w:sz w:val="24"/>
                <w:szCs w:val="24"/>
                <w:lang w:val="ro-RO"/>
              </w:rPr>
              <w:lastRenderedPageBreak/>
              <w:t>9.</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Măsuri</w:t>
            </w:r>
            <w:r w:rsidR="0036135C" w:rsidRPr="000C0F70">
              <w:rPr>
                <w:rFonts w:ascii="Times New Roman" w:hAnsi="Times New Roman"/>
                <w:b/>
                <w:bCs/>
                <w:sz w:val="24"/>
                <w:szCs w:val="24"/>
                <w:lang w:val="ro-RO"/>
              </w:rPr>
              <w:t>le</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necesare</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pentru</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implementarea</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prevederilor</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proiectului</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actului</w:t>
            </w:r>
            <w:r w:rsidR="00032B46" w:rsidRPr="000C0F70">
              <w:rPr>
                <w:rFonts w:ascii="Times New Roman" w:hAnsi="Times New Roman"/>
                <w:b/>
                <w:bCs/>
                <w:sz w:val="24"/>
                <w:szCs w:val="24"/>
                <w:lang w:val="ro-RO"/>
              </w:rPr>
              <w:t xml:space="preserve"> </w:t>
            </w:r>
            <w:r w:rsidRPr="000C0F70">
              <w:rPr>
                <w:rFonts w:ascii="Times New Roman" w:hAnsi="Times New Roman"/>
                <w:b/>
                <w:bCs/>
                <w:sz w:val="24"/>
                <w:szCs w:val="24"/>
                <w:lang w:val="ro-RO"/>
              </w:rPr>
              <w:t>normativ</w:t>
            </w:r>
          </w:p>
        </w:tc>
      </w:tr>
      <w:tr w:rsidR="006D3EB7" w:rsidRPr="00332FBE" w14:paraId="494CA73F" w14:textId="77777777" w:rsidTr="00CC7BF8">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E1298B" w14:textId="61A328F6" w:rsidR="00DA6464" w:rsidRPr="000C0F70" w:rsidRDefault="00DA6464" w:rsidP="00DA6464">
            <w:pPr>
              <w:rPr>
                <w:rFonts w:ascii="Times New Roman" w:hAnsi="Times New Roman"/>
                <w:sz w:val="24"/>
                <w:szCs w:val="24"/>
                <w:lang w:val="ro-RO"/>
              </w:rPr>
            </w:pPr>
            <w:r w:rsidRPr="000C0F70">
              <w:rPr>
                <w:rFonts w:ascii="Times New Roman" w:hAnsi="Times New Roman"/>
                <w:sz w:val="24"/>
                <w:szCs w:val="24"/>
                <w:lang w:val="ro-RO"/>
              </w:rPr>
              <w:t>În vederea implementării prevederilor prezentului proiect, Ministerul Mediului v</w:t>
            </w:r>
            <w:r w:rsidR="00AF090F" w:rsidRPr="000C0F70">
              <w:rPr>
                <w:rFonts w:ascii="Times New Roman" w:hAnsi="Times New Roman"/>
                <w:sz w:val="24"/>
                <w:szCs w:val="24"/>
                <w:lang w:val="ro-RO"/>
              </w:rPr>
              <w:t>a</w:t>
            </w:r>
            <w:r w:rsidRPr="000C0F70">
              <w:rPr>
                <w:rFonts w:ascii="Times New Roman" w:hAnsi="Times New Roman"/>
                <w:sz w:val="24"/>
                <w:szCs w:val="24"/>
                <w:lang w:val="ro-RO"/>
              </w:rPr>
              <w:t xml:space="preserve"> asigura realizarea următoarelor măsuri:</w:t>
            </w:r>
          </w:p>
          <w:p w14:paraId="4D60B11F" w14:textId="062170BD" w:rsidR="00DA6464" w:rsidRPr="000C0F70" w:rsidRDefault="00DA6464" w:rsidP="00DA6464">
            <w:pPr>
              <w:pStyle w:val="Listparagraf"/>
              <w:numPr>
                <w:ilvl w:val="0"/>
                <w:numId w:val="45"/>
              </w:numPr>
              <w:ind w:left="22" w:firstLine="567"/>
              <w:rPr>
                <w:rFonts w:ascii="Times New Roman" w:hAnsi="Times New Roman"/>
                <w:sz w:val="24"/>
                <w:szCs w:val="24"/>
                <w:lang w:val="ro-RO"/>
              </w:rPr>
            </w:pPr>
            <w:r w:rsidRPr="000C0F70">
              <w:rPr>
                <w:rFonts w:ascii="Times New Roman" w:hAnsi="Times New Roman"/>
                <w:sz w:val="24"/>
                <w:szCs w:val="24"/>
                <w:lang w:val="ro-RO"/>
              </w:rPr>
              <w:t>publicarea și diseminarea ghidului metodologic către operatorii instalațiilor staționare și operatorii de aeronave vizați de prevederile Legii nr. 74/2024 privind acțiunile climatice;</w:t>
            </w:r>
          </w:p>
          <w:p w14:paraId="3F58EB07" w14:textId="6C994A1A" w:rsidR="00DA6464" w:rsidRPr="000C0F70" w:rsidRDefault="00DA6464" w:rsidP="00DA6464">
            <w:pPr>
              <w:pStyle w:val="Listparagraf"/>
              <w:numPr>
                <w:ilvl w:val="0"/>
                <w:numId w:val="45"/>
              </w:numPr>
              <w:ind w:left="22" w:firstLine="567"/>
              <w:rPr>
                <w:rFonts w:ascii="Times New Roman" w:hAnsi="Times New Roman"/>
                <w:sz w:val="24"/>
                <w:szCs w:val="24"/>
                <w:lang w:val="ro-RO"/>
              </w:rPr>
            </w:pPr>
            <w:r w:rsidRPr="000C0F70">
              <w:rPr>
                <w:rFonts w:ascii="Times New Roman" w:hAnsi="Times New Roman"/>
                <w:sz w:val="24"/>
                <w:szCs w:val="24"/>
                <w:lang w:val="ro-RO"/>
              </w:rPr>
              <w:t xml:space="preserve">organizarea cu suportul partenerilor a sesiunilor de informare și instruire pentru operatorii economici privind modul de elaborare și completare </w:t>
            </w:r>
            <w:r w:rsidR="00B4008D" w:rsidRPr="000C0F70">
              <w:rPr>
                <w:rFonts w:ascii="Times New Roman" w:hAnsi="Times New Roman"/>
                <w:sz w:val="24"/>
                <w:szCs w:val="24"/>
                <w:lang w:val="ro-RO"/>
              </w:rPr>
              <w:t>RAE</w:t>
            </w:r>
            <w:r w:rsidR="007A4279" w:rsidRPr="000C0F70">
              <w:rPr>
                <w:rFonts w:ascii="Times New Roman" w:hAnsi="Times New Roman"/>
                <w:sz w:val="24"/>
                <w:szCs w:val="24"/>
                <w:lang w:val="ro-RO"/>
              </w:rPr>
              <w:t>;</w:t>
            </w:r>
          </w:p>
          <w:p w14:paraId="35423DE1" w14:textId="6DAC750E" w:rsidR="008B4BE6" w:rsidRPr="000C0F70" w:rsidRDefault="00DA6464" w:rsidP="00DA6464">
            <w:pPr>
              <w:pStyle w:val="Listparagraf"/>
              <w:numPr>
                <w:ilvl w:val="0"/>
                <w:numId w:val="45"/>
              </w:numPr>
              <w:ind w:left="22" w:firstLine="567"/>
              <w:rPr>
                <w:sz w:val="24"/>
                <w:szCs w:val="24"/>
                <w:lang w:val="ro-RO"/>
              </w:rPr>
            </w:pPr>
            <w:r w:rsidRPr="000C0F70">
              <w:rPr>
                <w:rFonts w:ascii="Times New Roman" w:hAnsi="Times New Roman"/>
                <w:sz w:val="24"/>
                <w:szCs w:val="24"/>
                <w:lang w:val="ro-RO"/>
              </w:rPr>
              <w:t>monitorizarea aplicării prevederilor ghidului metodologic și formularea, după caz, a unor propuneri de actualizare a acestuia, în funcție de evoluția cadrului normativ național și european în domeniul monitorizării emisiilor de gaze cu efect de seră.</w:t>
            </w:r>
          </w:p>
        </w:tc>
      </w:tr>
    </w:tbl>
    <w:p w14:paraId="6C5979B8" w14:textId="38148722"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EFA3D06" w14:textId="77777777" w:rsidR="00D161C0" w:rsidRDefault="00D161C0"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307A82D" w14:textId="77777777" w:rsidR="004509E8" w:rsidRDefault="004509E8" w:rsidP="00D161C0">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p>
    <w:p w14:paraId="3DB33AA1" w14:textId="62FD9785" w:rsidR="00D161C0" w:rsidRPr="004509E8" w:rsidRDefault="003201E7" w:rsidP="00D161C0">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Pr>
          <w:b/>
          <w:bCs/>
          <w:sz w:val="28"/>
          <w:szCs w:val="28"/>
          <w:lang w:val="ro-RO"/>
        </w:rPr>
        <w:t>Ministru</w:t>
      </w:r>
      <w:r w:rsidR="00D161C0" w:rsidRPr="004509E8">
        <w:rPr>
          <w:b/>
          <w:bCs/>
          <w:sz w:val="28"/>
          <w:szCs w:val="28"/>
          <w:lang w:val="ro-RO"/>
        </w:rPr>
        <w:t xml:space="preserve">                                                                                     </w:t>
      </w:r>
      <w:r>
        <w:rPr>
          <w:b/>
          <w:bCs/>
          <w:sz w:val="28"/>
          <w:szCs w:val="28"/>
          <w:lang w:val="ro-RO"/>
        </w:rPr>
        <w:t>Gheorghe HAJDER</w:t>
      </w:r>
    </w:p>
    <w:sectPr w:rsidR="00D161C0" w:rsidRPr="004509E8" w:rsidSect="00D161C0">
      <w:headerReference w:type="default" r:id="rId12"/>
      <w:headerReference w:type="first" r:id="rId13"/>
      <w:pgSz w:w="11907" w:h="16840"/>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12D1" w14:textId="77777777" w:rsidR="005706FF" w:rsidRDefault="005706FF">
      <w:r>
        <w:separator/>
      </w:r>
    </w:p>
  </w:endnote>
  <w:endnote w:type="continuationSeparator" w:id="0">
    <w:p w14:paraId="40CDAC80" w14:textId="77777777" w:rsidR="005706FF" w:rsidRDefault="005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19E9" w14:textId="77777777" w:rsidR="005706FF" w:rsidRDefault="005706FF">
      <w:r>
        <w:separator/>
      </w:r>
    </w:p>
  </w:footnote>
  <w:footnote w:type="continuationSeparator" w:id="0">
    <w:p w14:paraId="229ED3FA" w14:textId="77777777" w:rsidR="005706FF" w:rsidRDefault="0057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2AB"/>
    <w:multiLevelType w:val="hybridMultilevel"/>
    <w:tmpl w:val="482E98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624FF"/>
    <w:multiLevelType w:val="hybridMultilevel"/>
    <w:tmpl w:val="170EB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1E4F06"/>
    <w:multiLevelType w:val="multilevel"/>
    <w:tmpl w:val="AA9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D476FA"/>
    <w:multiLevelType w:val="hybridMultilevel"/>
    <w:tmpl w:val="32C293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941733"/>
    <w:multiLevelType w:val="hybridMultilevel"/>
    <w:tmpl w:val="5D26D6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6FC65CE7"/>
    <w:multiLevelType w:val="hybridMultilevel"/>
    <w:tmpl w:val="ADFC3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397246091">
    <w:abstractNumId w:val="36"/>
  </w:num>
  <w:num w:numId="2" w16cid:durableId="487476763">
    <w:abstractNumId w:val="38"/>
  </w:num>
  <w:num w:numId="3" w16cid:durableId="57245066">
    <w:abstractNumId w:val="16"/>
  </w:num>
  <w:num w:numId="4" w16cid:durableId="125781002">
    <w:abstractNumId w:val="31"/>
  </w:num>
  <w:num w:numId="5" w16cid:durableId="340937562">
    <w:abstractNumId w:val="18"/>
  </w:num>
  <w:num w:numId="6" w16cid:durableId="1548838336">
    <w:abstractNumId w:val="12"/>
  </w:num>
  <w:num w:numId="7" w16cid:durableId="1747528273">
    <w:abstractNumId w:val="6"/>
  </w:num>
  <w:num w:numId="8" w16cid:durableId="1002124707">
    <w:abstractNumId w:val="7"/>
  </w:num>
  <w:num w:numId="9" w16cid:durableId="744761482">
    <w:abstractNumId w:val="27"/>
  </w:num>
  <w:num w:numId="10" w16cid:durableId="914506992">
    <w:abstractNumId w:val="4"/>
  </w:num>
  <w:num w:numId="11" w16cid:durableId="17857316">
    <w:abstractNumId w:val="25"/>
  </w:num>
  <w:num w:numId="12" w16cid:durableId="902985197">
    <w:abstractNumId w:val="3"/>
  </w:num>
  <w:num w:numId="13" w16cid:durableId="1240023053">
    <w:abstractNumId w:val="41"/>
  </w:num>
  <w:num w:numId="14" w16cid:durableId="838541664">
    <w:abstractNumId w:val="19"/>
  </w:num>
  <w:num w:numId="15" w16cid:durableId="1608080048">
    <w:abstractNumId w:val="20"/>
  </w:num>
  <w:num w:numId="16" w16cid:durableId="977538640">
    <w:abstractNumId w:val="35"/>
  </w:num>
  <w:num w:numId="17" w16cid:durableId="1668634026">
    <w:abstractNumId w:val="32"/>
  </w:num>
  <w:num w:numId="18" w16cid:durableId="1390155513">
    <w:abstractNumId w:val="24"/>
  </w:num>
  <w:num w:numId="19" w16cid:durableId="520511409">
    <w:abstractNumId w:val="21"/>
  </w:num>
  <w:num w:numId="20" w16cid:durableId="1258833520">
    <w:abstractNumId w:val="9"/>
  </w:num>
  <w:num w:numId="21" w16cid:durableId="2067218090">
    <w:abstractNumId w:val="34"/>
  </w:num>
  <w:num w:numId="22" w16cid:durableId="176628048">
    <w:abstractNumId w:val="5"/>
  </w:num>
  <w:num w:numId="23" w16cid:durableId="999962408">
    <w:abstractNumId w:val="14"/>
  </w:num>
  <w:num w:numId="24" w16cid:durableId="2018117927">
    <w:abstractNumId w:val="11"/>
  </w:num>
  <w:num w:numId="25" w16cid:durableId="793137690">
    <w:abstractNumId w:val="22"/>
  </w:num>
  <w:num w:numId="26" w16cid:durableId="1059131756">
    <w:abstractNumId w:val="37"/>
  </w:num>
  <w:num w:numId="27" w16cid:durableId="67963081">
    <w:abstractNumId w:val="29"/>
  </w:num>
  <w:num w:numId="28" w16cid:durableId="887107111">
    <w:abstractNumId w:val="43"/>
    <w:lvlOverride w:ilvl="0">
      <w:startOverride w:val="1"/>
    </w:lvlOverride>
  </w:num>
  <w:num w:numId="29" w16cid:durableId="390347501">
    <w:abstractNumId w:val="23"/>
  </w:num>
  <w:num w:numId="30" w16cid:durableId="1756049126">
    <w:abstractNumId w:val="8"/>
  </w:num>
  <w:num w:numId="31" w16cid:durableId="1849827458">
    <w:abstractNumId w:val="42"/>
  </w:num>
  <w:num w:numId="32" w16cid:durableId="1783380051">
    <w:abstractNumId w:val="43"/>
  </w:num>
  <w:num w:numId="33" w16cid:durableId="1039361698">
    <w:abstractNumId w:val="13"/>
  </w:num>
  <w:num w:numId="34" w16cid:durableId="1118523058">
    <w:abstractNumId w:val="46"/>
  </w:num>
  <w:num w:numId="35" w16cid:durableId="1399665224">
    <w:abstractNumId w:val="45"/>
  </w:num>
  <w:num w:numId="36" w16cid:durableId="371005836">
    <w:abstractNumId w:val="1"/>
  </w:num>
  <w:num w:numId="37" w16cid:durableId="1524436271">
    <w:abstractNumId w:val="10"/>
  </w:num>
  <w:num w:numId="38" w16cid:durableId="1409766425">
    <w:abstractNumId w:val="33"/>
  </w:num>
  <w:num w:numId="39" w16cid:durableId="1820147523">
    <w:abstractNumId w:val="17"/>
  </w:num>
  <w:num w:numId="40" w16cid:durableId="1587306697">
    <w:abstractNumId w:val="40"/>
  </w:num>
  <w:num w:numId="41" w16cid:durableId="974457382">
    <w:abstractNumId w:val="30"/>
  </w:num>
  <w:num w:numId="42" w16cid:durableId="1467891358">
    <w:abstractNumId w:val="2"/>
  </w:num>
  <w:num w:numId="43" w16cid:durableId="533614780">
    <w:abstractNumId w:val="47"/>
  </w:num>
  <w:num w:numId="44" w16cid:durableId="466433153">
    <w:abstractNumId w:val="39"/>
  </w:num>
  <w:num w:numId="45" w16cid:durableId="2129472327">
    <w:abstractNumId w:val="28"/>
  </w:num>
  <w:num w:numId="46" w16cid:durableId="1335576061">
    <w:abstractNumId w:val="26"/>
  </w:num>
  <w:num w:numId="47" w16cid:durableId="1404179643">
    <w:abstractNumId w:val="0"/>
  </w:num>
  <w:num w:numId="48" w16cid:durableId="399256344">
    <w:abstractNumId w:val="44"/>
  </w:num>
  <w:num w:numId="49" w16cid:durableId="2054964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690"/>
    <w:rsid w:val="00013804"/>
    <w:rsid w:val="00013AC9"/>
    <w:rsid w:val="0001747F"/>
    <w:rsid w:val="0002004F"/>
    <w:rsid w:val="0002435C"/>
    <w:rsid w:val="00031AA0"/>
    <w:rsid w:val="00032B46"/>
    <w:rsid w:val="0004289C"/>
    <w:rsid w:val="00043AC7"/>
    <w:rsid w:val="00044D19"/>
    <w:rsid w:val="00052045"/>
    <w:rsid w:val="00054810"/>
    <w:rsid w:val="000713DA"/>
    <w:rsid w:val="00071EAA"/>
    <w:rsid w:val="0007236F"/>
    <w:rsid w:val="00075A5F"/>
    <w:rsid w:val="00076385"/>
    <w:rsid w:val="00081267"/>
    <w:rsid w:val="00085029"/>
    <w:rsid w:val="00091051"/>
    <w:rsid w:val="000A08FA"/>
    <w:rsid w:val="000A30D9"/>
    <w:rsid w:val="000A6BA5"/>
    <w:rsid w:val="000B3D87"/>
    <w:rsid w:val="000B50EE"/>
    <w:rsid w:val="000C041B"/>
    <w:rsid w:val="000C0F70"/>
    <w:rsid w:val="000C2AB4"/>
    <w:rsid w:val="000D5C74"/>
    <w:rsid w:val="000E04DA"/>
    <w:rsid w:val="000E1D40"/>
    <w:rsid w:val="000E2800"/>
    <w:rsid w:val="000F497A"/>
    <w:rsid w:val="00102AD8"/>
    <w:rsid w:val="00106411"/>
    <w:rsid w:val="00113956"/>
    <w:rsid w:val="00116035"/>
    <w:rsid w:val="001211EA"/>
    <w:rsid w:val="00121BCC"/>
    <w:rsid w:val="00125D15"/>
    <w:rsid w:val="00140ED8"/>
    <w:rsid w:val="00142D44"/>
    <w:rsid w:val="00143389"/>
    <w:rsid w:val="00143CC4"/>
    <w:rsid w:val="0015146D"/>
    <w:rsid w:val="00157D40"/>
    <w:rsid w:val="00162BE7"/>
    <w:rsid w:val="00163600"/>
    <w:rsid w:val="0017006C"/>
    <w:rsid w:val="001718E7"/>
    <w:rsid w:val="0017236D"/>
    <w:rsid w:val="00172A6E"/>
    <w:rsid w:val="00174E20"/>
    <w:rsid w:val="00184334"/>
    <w:rsid w:val="00185AC8"/>
    <w:rsid w:val="00191428"/>
    <w:rsid w:val="0019523F"/>
    <w:rsid w:val="00197FED"/>
    <w:rsid w:val="001A25C3"/>
    <w:rsid w:val="001A37C7"/>
    <w:rsid w:val="001B3BE4"/>
    <w:rsid w:val="001B5818"/>
    <w:rsid w:val="001B66A4"/>
    <w:rsid w:val="001B6E6E"/>
    <w:rsid w:val="001C0149"/>
    <w:rsid w:val="001C3F21"/>
    <w:rsid w:val="001C4EEE"/>
    <w:rsid w:val="001D2FA2"/>
    <w:rsid w:val="001D367A"/>
    <w:rsid w:val="001E3745"/>
    <w:rsid w:val="001E4497"/>
    <w:rsid w:val="001F0570"/>
    <w:rsid w:val="001F2097"/>
    <w:rsid w:val="001F407D"/>
    <w:rsid w:val="002000EB"/>
    <w:rsid w:val="00200223"/>
    <w:rsid w:val="00200516"/>
    <w:rsid w:val="00205100"/>
    <w:rsid w:val="0020794F"/>
    <w:rsid w:val="002164C9"/>
    <w:rsid w:val="002170A5"/>
    <w:rsid w:val="0022460B"/>
    <w:rsid w:val="00230761"/>
    <w:rsid w:val="00236E65"/>
    <w:rsid w:val="002372B8"/>
    <w:rsid w:val="002408AA"/>
    <w:rsid w:val="00240AC0"/>
    <w:rsid w:val="002453BD"/>
    <w:rsid w:val="002532A3"/>
    <w:rsid w:val="0025372D"/>
    <w:rsid w:val="00257353"/>
    <w:rsid w:val="00257DF1"/>
    <w:rsid w:val="002721D2"/>
    <w:rsid w:val="0027425A"/>
    <w:rsid w:val="0028093A"/>
    <w:rsid w:val="002813FF"/>
    <w:rsid w:val="00281C80"/>
    <w:rsid w:val="002950E0"/>
    <w:rsid w:val="002954C4"/>
    <w:rsid w:val="002B07BD"/>
    <w:rsid w:val="002B5444"/>
    <w:rsid w:val="002B547F"/>
    <w:rsid w:val="002C21E9"/>
    <w:rsid w:val="002C5B71"/>
    <w:rsid w:val="002D1207"/>
    <w:rsid w:val="002D38C5"/>
    <w:rsid w:val="002E4217"/>
    <w:rsid w:val="002E505B"/>
    <w:rsid w:val="002F30F7"/>
    <w:rsid w:val="002F3DAA"/>
    <w:rsid w:val="002F5F1E"/>
    <w:rsid w:val="002F7FB5"/>
    <w:rsid w:val="00301D7D"/>
    <w:rsid w:val="0031240C"/>
    <w:rsid w:val="0031300E"/>
    <w:rsid w:val="0031555D"/>
    <w:rsid w:val="00315655"/>
    <w:rsid w:val="00315B32"/>
    <w:rsid w:val="00315BDC"/>
    <w:rsid w:val="003201E7"/>
    <w:rsid w:val="00324559"/>
    <w:rsid w:val="00326411"/>
    <w:rsid w:val="00327364"/>
    <w:rsid w:val="00327C88"/>
    <w:rsid w:val="00332FBE"/>
    <w:rsid w:val="00334C0F"/>
    <w:rsid w:val="003358FF"/>
    <w:rsid w:val="003421D3"/>
    <w:rsid w:val="00347B79"/>
    <w:rsid w:val="003509A8"/>
    <w:rsid w:val="00354545"/>
    <w:rsid w:val="0035769A"/>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0FAB"/>
    <w:rsid w:val="003A2CB2"/>
    <w:rsid w:val="003A4D1C"/>
    <w:rsid w:val="003B257A"/>
    <w:rsid w:val="003B7521"/>
    <w:rsid w:val="003C0C4D"/>
    <w:rsid w:val="003C11CC"/>
    <w:rsid w:val="003C3DB4"/>
    <w:rsid w:val="003C3EB9"/>
    <w:rsid w:val="003D5E8B"/>
    <w:rsid w:val="003E3748"/>
    <w:rsid w:val="003E4DA7"/>
    <w:rsid w:val="003F0CD8"/>
    <w:rsid w:val="00401879"/>
    <w:rsid w:val="00405019"/>
    <w:rsid w:val="00406BA9"/>
    <w:rsid w:val="00410C9A"/>
    <w:rsid w:val="00421AB5"/>
    <w:rsid w:val="00424212"/>
    <w:rsid w:val="00424CF9"/>
    <w:rsid w:val="00431F2C"/>
    <w:rsid w:val="0043208D"/>
    <w:rsid w:val="004333B4"/>
    <w:rsid w:val="00434203"/>
    <w:rsid w:val="0045098C"/>
    <w:rsid w:val="004509E8"/>
    <w:rsid w:val="00452C3E"/>
    <w:rsid w:val="00452C6C"/>
    <w:rsid w:val="0045451B"/>
    <w:rsid w:val="00464294"/>
    <w:rsid w:val="004735CE"/>
    <w:rsid w:val="00474658"/>
    <w:rsid w:val="0047797E"/>
    <w:rsid w:val="00493A44"/>
    <w:rsid w:val="00497F06"/>
    <w:rsid w:val="004A3757"/>
    <w:rsid w:val="004B1283"/>
    <w:rsid w:val="004C6034"/>
    <w:rsid w:val="004D3941"/>
    <w:rsid w:val="004E2421"/>
    <w:rsid w:val="004E6489"/>
    <w:rsid w:val="004E6662"/>
    <w:rsid w:val="004F1300"/>
    <w:rsid w:val="004F568A"/>
    <w:rsid w:val="005020EC"/>
    <w:rsid w:val="00505ED7"/>
    <w:rsid w:val="00516555"/>
    <w:rsid w:val="005256CF"/>
    <w:rsid w:val="00534B79"/>
    <w:rsid w:val="005416A6"/>
    <w:rsid w:val="00542C43"/>
    <w:rsid w:val="005435A1"/>
    <w:rsid w:val="00551299"/>
    <w:rsid w:val="005535FB"/>
    <w:rsid w:val="00555DF5"/>
    <w:rsid w:val="00564883"/>
    <w:rsid w:val="00566F3B"/>
    <w:rsid w:val="005706FF"/>
    <w:rsid w:val="00572006"/>
    <w:rsid w:val="00573E74"/>
    <w:rsid w:val="0057790F"/>
    <w:rsid w:val="00582470"/>
    <w:rsid w:val="00594DE5"/>
    <w:rsid w:val="005A12D7"/>
    <w:rsid w:val="005A29D6"/>
    <w:rsid w:val="005B0C92"/>
    <w:rsid w:val="005B7E20"/>
    <w:rsid w:val="005C1D42"/>
    <w:rsid w:val="005C412B"/>
    <w:rsid w:val="005C4835"/>
    <w:rsid w:val="005C5501"/>
    <w:rsid w:val="005C5A53"/>
    <w:rsid w:val="005C7769"/>
    <w:rsid w:val="005D5915"/>
    <w:rsid w:val="005D5F1D"/>
    <w:rsid w:val="005D6A34"/>
    <w:rsid w:val="005E37E8"/>
    <w:rsid w:val="005F0F53"/>
    <w:rsid w:val="005F584A"/>
    <w:rsid w:val="005F6E53"/>
    <w:rsid w:val="0060625D"/>
    <w:rsid w:val="00611BAA"/>
    <w:rsid w:val="00612D18"/>
    <w:rsid w:val="00615BB7"/>
    <w:rsid w:val="00616A16"/>
    <w:rsid w:val="00621954"/>
    <w:rsid w:val="00623361"/>
    <w:rsid w:val="00624BA9"/>
    <w:rsid w:val="0062575C"/>
    <w:rsid w:val="00631B04"/>
    <w:rsid w:val="006339EB"/>
    <w:rsid w:val="006559E3"/>
    <w:rsid w:val="00655C45"/>
    <w:rsid w:val="00657577"/>
    <w:rsid w:val="00657D5C"/>
    <w:rsid w:val="006660B2"/>
    <w:rsid w:val="0067056E"/>
    <w:rsid w:val="006706B6"/>
    <w:rsid w:val="006739CA"/>
    <w:rsid w:val="0068258E"/>
    <w:rsid w:val="006855AC"/>
    <w:rsid w:val="00691790"/>
    <w:rsid w:val="006933C3"/>
    <w:rsid w:val="006956E6"/>
    <w:rsid w:val="00697045"/>
    <w:rsid w:val="006A27BD"/>
    <w:rsid w:val="006A337B"/>
    <w:rsid w:val="006A4E08"/>
    <w:rsid w:val="006A57D6"/>
    <w:rsid w:val="006A58BC"/>
    <w:rsid w:val="006C1089"/>
    <w:rsid w:val="006C40C7"/>
    <w:rsid w:val="006D3EB7"/>
    <w:rsid w:val="006D7B49"/>
    <w:rsid w:val="006E0A2E"/>
    <w:rsid w:val="006E1269"/>
    <w:rsid w:val="006E4435"/>
    <w:rsid w:val="006E7D38"/>
    <w:rsid w:val="006F0870"/>
    <w:rsid w:val="006F43CA"/>
    <w:rsid w:val="006F7EF4"/>
    <w:rsid w:val="007026DD"/>
    <w:rsid w:val="00702770"/>
    <w:rsid w:val="00703FCE"/>
    <w:rsid w:val="00707B68"/>
    <w:rsid w:val="00710E4F"/>
    <w:rsid w:val="007126C4"/>
    <w:rsid w:val="007258CF"/>
    <w:rsid w:val="00737731"/>
    <w:rsid w:val="00740210"/>
    <w:rsid w:val="007411D5"/>
    <w:rsid w:val="00753835"/>
    <w:rsid w:val="00756648"/>
    <w:rsid w:val="007656A5"/>
    <w:rsid w:val="007724CE"/>
    <w:rsid w:val="00780C21"/>
    <w:rsid w:val="00783FAB"/>
    <w:rsid w:val="00785002"/>
    <w:rsid w:val="0079167D"/>
    <w:rsid w:val="00791C83"/>
    <w:rsid w:val="00797D05"/>
    <w:rsid w:val="007A0931"/>
    <w:rsid w:val="007A4279"/>
    <w:rsid w:val="007A4309"/>
    <w:rsid w:val="007B627D"/>
    <w:rsid w:val="007B6E7F"/>
    <w:rsid w:val="007C507A"/>
    <w:rsid w:val="007C53A1"/>
    <w:rsid w:val="007C58BD"/>
    <w:rsid w:val="007C5D4B"/>
    <w:rsid w:val="007D00B1"/>
    <w:rsid w:val="007D0E36"/>
    <w:rsid w:val="007E3F69"/>
    <w:rsid w:val="007E7735"/>
    <w:rsid w:val="007F1254"/>
    <w:rsid w:val="007F1374"/>
    <w:rsid w:val="00800EE1"/>
    <w:rsid w:val="0080626D"/>
    <w:rsid w:val="00810FFB"/>
    <w:rsid w:val="00811CAE"/>
    <w:rsid w:val="008214CA"/>
    <w:rsid w:val="00825DC9"/>
    <w:rsid w:val="00831DF3"/>
    <w:rsid w:val="008326E7"/>
    <w:rsid w:val="00835C07"/>
    <w:rsid w:val="0084241F"/>
    <w:rsid w:val="0084434E"/>
    <w:rsid w:val="0084551D"/>
    <w:rsid w:val="008506B1"/>
    <w:rsid w:val="008510CC"/>
    <w:rsid w:val="00854079"/>
    <w:rsid w:val="00860C47"/>
    <w:rsid w:val="00863417"/>
    <w:rsid w:val="0086343C"/>
    <w:rsid w:val="00863D76"/>
    <w:rsid w:val="0086509B"/>
    <w:rsid w:val="0087296A"/>
    <w:rsid w:val="00876262"/>
    <w:rsid w:val="00880984"/>
    <w:rsid w:val="008824BF"/>
    <w:rsid w:val="00891049"/>
    <w:rsid w:val="00897403"/>
    <w:rsid w:val="008A40C0"/>
    <w:rsid w:val="008A5923"/>
    <w:rsid w:val="008B1120"/>
    <w:rsid w:val="008B1AA1"/>
    <w:rsid w:val="008B1BFF"/>
    <w:rsid w:val="008B4BE6"/>
    <w:rsid w:val="008C2DD5"/>
    <w:rsid w:val="008D148A"/>
    <w:rsid w:val="008F12A1"/>
    <w:rsid w:val="008F3624"/>
    <w:rsid w:val="008F73D1"/>
    <w:rsid w:val="009002CA"/>
    <w:rsid w:val="00903AF9"/>
    <w:rsid w:val="0090579F"/>
    <w:rsid w:val="00911DB3"/>
    <w:rsid w:val="009143C9"/>
    <w:rsid w:val="00915302"/>
    <w:rsid w:val="00915A40"/>
    <w:rsid w:val="009201C9"/>
    <w:rsid w:val="00930424"/>
    <w:rsid w:val="00942BCB"/>
    <w:rsid w:val="00942F03"/>
    <w:rsid w:val="00953155"/>
    <w:rsid w:val="00961B81"/>
    <w:rsid w:val="00962ED5"/>
    <w:rsid w:val="0096688B"/>
    <w:rsid w:val="009674F8"/>
    <w:rsid w:val="00971561"/>
    <w:rsid w:val="009761DA"/>
    <w:rsid w:val="009858FE"/>
    <w:rsid w:val="009860EA"/>
    <w:rsid w:val="00990719"/>
    <w:rsid w:val="0099315C"/>
    <w:rsid w:val="00993D73"/>
    <w:rsid w:val="00994D90"/>
    <w:rsid w:val="009C02E5"/>
    <w:rsid w:val="009C0E0E"/>
    <w:rsid w:val="009C26E3"/>
    <w:rsid w:val="009C6DD1"/>
    <w:rsid w:val="009C7CD6"/>
    <w:rsid w:val="009D19D6"/>
    <w:rsid w:val="009D2789"/>
    <w:rsid w:val="009D4C0F"/>
    <w:rsid w:val="009D7C44"/>
    <w:rsid w:val="009E271E"/>
    <w:rsid w:val="009E7B86"/>
    <w:rsid w:val="009F366D"/>
    <w:rsid w:val="009F45EC"/>
    <w:rsid w:val="00A06362"/>
    <w:rsid w:val="00A13D8B"/>
    <w:rsid w:val="00A2390C"/>
    <w:rsid w:val="00A244A2"/>
    <w:rsid w:val="00A24A81"/>
    <w:rsid w:val="00A34443"/>
    <w:rsid w:val="00A345F7"/>
    <w:rsid w:val="00A404F7"/>
    <w:rsid w:val="00A413FD"/>
    <w:rsid w:val="00A42581"/>
    <w:rsid w:val="00A44F24"/>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090F"/>
    <w:rsid w:val="00AF23AF"/>
    <w:rsid w:val="00AF4E3A"/>
    <w:rsid w:val="00AF6A53"/>
    <w:rsid w:val="00B00257"/>
    <w:rsid w:val="00B039D7"/>
    <w:rsid w:val="00B07F61"/>
    <w:rsid w:val="00B11EFC"/>
    <w:rsid w:val="00B15210"/>
    <w:rsid w:val="00B1623B"/>
    <w:rsid w:val="00B24403"/>
    <w:rsid w:val="00B25206"/>
    <w:rsid w:val="00B25A30"/>
    <w:rsid w:val="00B26F83"/>
    <w:rsid w:val="00B32239"/>
    <w:rsid w:val="00B4008D"/>
    <w:rsid w:val="00B42DDB"/>
    <w:rsid w:val="00B472D0"/>
    <w:rsid w:val="00B60B42"/>
    <w:rsid w:val="00B6145A"/>
    <w:rsid w:val="00B61570"/>
    <w:rsid w:val="00B6585E"/>
    <w:rsid w:val="00B72578"/>
    <w:rsid w:val="00B744FB"/>
    <w:rsid w:val="00B7556A"/>
    <w:rsid w:val="00B8156A"/>
    <w:rsid w:val="00B84A8E"/>
    <w:rsid w:val="00B85252"/>
    <w:rsid w:val="00B92D67"/>
    <w:rsid w:val="00B952D8"/>
    <w:rsid w:val="00B9615A"/>
    <w:rsid w:val="00BA1CBE"/>
    <w:rsid w:val="00BA3831"/>
    <w:rsid w:val="00BA500B"/>
    <w:rsid w:val="00BA5B5B"/>
    <w:rsid w:val="00BB008B"/>
    <w:rsid w:val="00BB0093"/>
    <w:rsid w:val="00BB1027"/>
    <w:rsid w:val="00BB2181"/>
    <w:rsid w:val="00BB3C82"/>
    <w:rsid w:val="00BB57F6"/>
    <w:rsid w:val="00BC14F8"/>
    <w:rsid w:val="00BC2684"/>
    <w:rsid w:val="00BC35AA"/>
    <w:rsid w:val="00BC5BB3"/>
    <w:rsid w:val="00BD2F0F"/>
    <w:rsid w:val="00BD53BD"/>
    <w:rsid w:val="00BD5DEF"/>
    <w:rsid w:val="00BE4802"/>
    <w:rsid w:val="00BE4D9A"/>
    <w:rsid w:val="00BF170E"/>
    <w:rsid w:val="00BF509C"/>
    <w:rsid w:val="00BF7CF6"/>
    <w:rsid w:val="00C069DB"/>
    <w:rsid w:val="00C119D6"/>
    <w:rsid w:val="00C141D0"/>
    <w:rsid w:val="00C15774"/>
    <w:rsid w:val="00C20F98"/>
    <w:rsid w:val="00C21F77"/>
    <w:rsid w:val="00C249C9"/>
    <w:rsid w:val="00C24FAE"/>
    <w:rsid w:val="00C27BEF"/>
    <w:rsid w:val="00C32A74"/>
    <w:rsid w:val="00C33BEA"/>
    <w:rsid w:val="00C36425"/>
    <w:rsid w:val="00C424F1"/>
    <w:rsid w:val="00C4424F"/>
    <w:rsid w:val="00C445CC"/>
    <w:rsid w:val="00C4599F"/>
    <w:rsid w:val="00C45F82"/>
    <w:rsid w:val="00C475F7"/>
    <w:rsid w:val="00C510F1"/>
    <w:rsid w:val="00C53E01"/>
    <w:rsid w:val="00C72F46"/>
    <w:rsid w:val="00C81CDA"/>
    <w:rsid w:val="00C83148"/>
    <w:rsid w:val="00C846A9"/>
    <w:rsid w:val="00C87B56"/>
    <w:rsid w:val="00C97610"/>
    <w:rsid w:val="00C9769F"/>
    <w:rsid w:val="00CA2822"/>
    <w:rsid w:val="00CB128D"/>
    <w:rsid w:val="00CB6841"/>
    <w:rsid w:val="00CC1911"/>
    <w:rsid w:val="00CC7AC8"/>
    <w:rsid w:val="00CC7BF8"/>
    <w:rsid w:val="00CD0459"/>
    <w:rsid w:val="00CD1F68"/>
    <w:rsid w:val="00CD33D3"/>
    <w:rsid w:val="00CD3E6A"/>
    <w:rsid w:val="00CE1C4A"/>
    <w:rsid w:val="00CE224F"/>
    <w:rsid w:val="00CE34A4"/>
    <w:rsid w:val="00CE6133"/>
    <w:rsid w:val="00CE6D54"/>
    <w:rsid w:val="00CF1BF6"/>
    <w:rsid w:val="00CF6CCE"/>
    <w:rsid w:val="00D00C36"/>
    <w:rsid w:val="00D0145D"/>
    <w:rsid w:val="00D02424"/>
    <w:rsid w:val="00D07A16"/>
    <w:rsid w:val="00D12DE0"/>
    <w:rsid w:val="00D14E81"/>
    <w:rsid w:val="00D161C0"/>
    <w:rsid w:val="00D1647F"/>
    <w:rsid w:val="00D16C96"/>
    <w:rsid w:val="00D20E22"/>
    <w:rsid w:val="00D20F95"/>
    <w:rsid w:val="00D3113A"/>
    <w:rsid w:val="00D36DF3"/>
    <w:rsid w:val="00D3779C"/>
    <w:rsid w:val="00D37DCA"/>
    <w:rsid w:val="00D54373"/>
    <w:rsid w:val="00D62225"/>
    <w:rsid w:val="00D65D20"/>
    <w:rsid w:val="00D745DA"/>
    <w:rsid w:val="00D77DA5"/>
    <w:rsid w:val="00D8149C"/>
    <w:rsid w:val="00D84420"/>
    <w:rsid w:val="00D85438"/>
    <w:rsid w:val="00D8732D"/>
    <w:rsid w:val="00D927DB"/>
    <w:rsid w:val="00DA0D76"/>
    <w:rsid w:val="00DA1274"/>
    <w:rsid w:val="00DA133C"/>
    <w:rsid w:val="00DA234B"/>
    <w:rsid w:val="00DA2B1D"/>
    <w:rsid w:val="00DA30A3"/>
    <w:rsid w:val="00DA6464"/>
    <w:rsid w:val="00DB7EE7"/>
    <w:rsid w:val="00DC0474"/>
    <w:rsid w:val="00DC3E82"/>
    <w:rsid w:val="00DC480B"/>
    <w:rsid w:val="00DC529B"/>
    <w:rsid w:val="00DD563C"/>
    <w:rsid w:val="00DE06EE"/>
    <w:rsid w:val="00DF0141"/>
    <w:rsid w:val="00DF0807"/>
    <w:rsid w:val="00DF513B"/>
    <w:rsid w:val="00DF71E8"/>
    <w:rsid w:val="00E0352C"/>
    <w:rsid w:val="00E07BB2"/>
    <w:rsid w:val="00E11E1A"/>
    <w:rsid w:val="00E120A2"/>
    <w:rsid w:val="00E12C95"/>
    <w:rsid w:val="00E14566"/>
    <w:rsid w:val="00E14911"/>
    <w:rsid w:val="00E217E8"/>
    <w:rsid w:val="00E21F1F"/>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0FA7"/>
    <w:rsid w:val="00E757FD"/>
    <w:rsid w:val="00E814FB"/>
    <w:rsid w:val="00E84140"/>
    <w:rsid w:val="00E93D69"/>
    <w:rsid w:val="00E94FA8"/>
    <w:rsid w:val="00EB4FD7"/>
    <w:rsid w:val="00EC3A50"/>
    <w:rsid w:val="00EC564B"/>
    <w:rsid w:val="00EC6F58"/>
    <w:rsid w:val="00ED1019"/>
    <w:rsid w:val="00ED2246"/>
    <w:rsid w:val="00ED4634"/>
    <w:rsid w:val="00ED7CB3"/>
    <w:rsid w:val="00EE1123"/>
    <w:rsid w:val="00EE1706"/>
    <w:rsid w:val="00EE3A4F"/>
    <w:rsid w:val="00EF0C91"/>
    <w:rsid w:val="00EF2660"/>
    <w:rsid w:val="00EF26A2"/>
    <w:rsid w:val="00F03936"/>
    <w:rsid w:val="00F06892"/>
    <w:rsid w:val="00F1668A"/>
    <w:rsid w:val="00F269DE"/>
    <w:rsid w:val="00F26A4B"/>
    <w:rsid w:val="00F31636"/>
    <w:rsid w:val="00F376E3"/>
    <w:rsid w:val="00F377E8"/>
    <w:rsid w:val="00F37ED4"/>
    <w:rsid w:val="00F40A46"/>
    <w:rsid w:val="00F41D12"/>
    <w:rsid w:val="00F45235"/>
    <w:rsid w:val="00F50B3C"/>
    <w:rsid w:val="00F5592A"/>
    <w:rsid w:val="00F57E9D"/>
    <w:rsid w:val="00F66E1A"/>
    <w:rsid w:val="00F71EBB"/>
    <w:rsid w:val="00F728DA"/>
    <w:rsid w:val="00F8554D"/>
    <w:rsid w:val="00F925FB"/>
    <w:rsid w:val="00F97494"/>
    <w:rsid w:val="00FB4E60"/>
    <w:rsid w:val="00FC4ACC"/>
    <w:rsid w:val="00FD0892"/>
    <w:rsid w:val="00FD40CF"/>
    <w:rsid w:val="00FD6782"/>
    <w:rsid w:val="00FE09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125D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5443">
      <w:bodyDiv w:val="1"/>
      <w:marLeft w:val="0"/>
      <w:marRight w:val="0"/>
      <w:marTop w:val="0"/>
      <w:marBottom w:val="0"/>
      <w:divBdr>
        <w:top w:val="none" w:sz="0" w:space="0" w:color="auto"/>
        <w:left w:val="none" w:sz="0" w:space="0" w:color="auto"/>
        <w:bottom w:val="none" w:sz="0" w:space="0" w:color="auto"/>
        <w:right w:val="none" w:sz="0" w:space="0" w:color="auto"/>
      </w:divBdr>
    </w:div>
    <w:div w:id="682902096">
      <w:bodyDiv w:val="1"/>
      <w:marLeft w:val="0"/>
      <w:marRight w:val="0"/>
      <w:marTop w:val="0"/>
      <w:marBottom w:val="0"/>
      <w:divBdr>
        <w:top w:val="none" w:sz="0" w:space="0" w:color="auto"/>
        <w:left w:val="none" w:sz="0" w:space="0" w:color="auto"/>
        <w:bottom w:val="none" w:sz="0" w:space="0" w:color="auto"/>
        <w:right w:val="none" w:sz="0" w:space="0" w:color="auto"/>
      </w:divBdr>
    </w:div>
    <w:div w:id="998846685">
      <w:bodyDiv w:val="1"/>
      <w:marLeft w:val="0"/>
      <w:marRight w:val="0"/>
      <w:marTop w:val="0"/>
      <w:marBottom w:val="0"/>
      <w:divBdr>
        <w:top w:val="none" w:sz="0" w:space="0" w:color="auto"/>
        <w:left w:val="none" w:sz="0" w:space="0" w:color="auto"/>
        <w:bottom w:val="none" w:sz="0" w:space="0" w:color="auto"/>
        <w:right w:val="none" w:sz="0" w:space="0" w:color="auto"/>
      </w:divBdr>
    </w:div>
    <w:div w:id="1225488670">
      <w:bodyDiv w:val="1"/>
      <w:marLeft w:val="0"/>
      <w:marRight w:val="0"/>
      <w:marTop w:val="0"/>
      <w:marBottom w:val="0"/>
      <w:divBdr>
        <w:top w:val="none" w:sz="0" w:space="0" w:color="auto"/>
        <w:left w:val="none" w:sz="0" w:space="0" w:color="auto"/>
        <w:bottom w:val="none" w:sz="0" w:space="0" w:color="auto"/>
        <w:right w:val="none" w:sz="0" w:space="0" w:color="auto"/>
      </w:divBdr>
    </w:div>
    <w:div w:id="1367099948">
      <w:bodyDiv w:val="1"/>
      <w:marLeft w:val="0"/>
      <w:marRight w:val="0"/>
      <w:marTop w:val="0"/>
      <w:marBottom w:val="0"/>
      <w:divBdr>
        <w:top w:val="none" w:sz="0" w:space="0" w:color="auto"/>
        <w:left w:val="none" w:sz="0" w:space="0" w:color="auto"/>
        <w:bottom w:val="none" w:sz="0" w:space="0" w:color="auto"/>
        <w:right w:val="none" w:sz="0" w:space="0" w:color="auto"/>
      </w:divBdr>
    </w:div>
    <w:div w:id="143563891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911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657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6</Pages>
  <Words>2842</Words>
  <Characters>18136</Characters>
  <Application>Microsoft Office Word</Application>
  <DocSecurity>0</DocSecurity>
  <Lines>755</Lines>
  <Paragraphs>295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Secția politici în domeniul schimbării climei</cp:lastModifiedBy>
  <cp:revision>36</cp:revision>
  <cp:lastPrinted>2024-03-11T11:21:00Z</cp:lastPrinted>
  <dcterms:created xsi:type="dcterms:W3CDTF">2024-03-25T08:15:00Z</dcterms:created>
  <dcterms:modified xsi:type="dcterms:W3CDTF">2026-05-06T06:59:00Z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