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D0030" w14:textId="77777777" w:rsidR="00E114BB" w:rsidRDefault="00000000">
      <w:pPr>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b/>
          <w:bCs/>
        </w:rPr>
        <w:t>SINTEZA</w:t>
      </w:r>
      <w:r>
        <w:rPr>
          <w:rFonts w:ascii="Times New Roman" w:eastAsia="Times New Roman" w:hAnsi="Times New Roman" w:cs="Times New Roman"/>
        </w:rPr>
        <w:t xml:space="preserve"> </w:t>
      </w:r>
    </w:p>
    <w:p w14:paraId="2DED07FB" w14:textId="77777777" w:rsidR="00E114B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la proiectul de lege pentru modificarea unor acte normative în domeniul raporturilor de muncă, securității și sănătății în muncă și egalității de tratament </w:t>
      </w:r>
    </w:p>
    <w:p w14:paraId="7957FA27" w14:textId="77777777" w:rsidR="00E114BB" w:rsidRDefault="00E114BB">
      <w:pPr>
        <w:spacing w:line="240" w:lineRule="auto"/>
        <w:ind w:firstLine="567"/>
        <w:jc w:val="center"/>
        <w:rPr>
          <w:rFonts w:ascii="Times New Roman" w:eastAsia="Times New Roman" w:hAnsi="Times New Roman" w:cs="Times New Roman"/>
          <w:b/>
          <w:bCs/>
        </w:rPr>
      </w:pPr>
    </w:p>
    <w:p w14:paraId="3F249F6E" w14:textId="77777777" w:rsidR="00E114BB" w:rsidRDefault="00000000">
      <w:pPr>
        <w:spacing w:line="240" w:lineRule="auto"/>
        <w:ind w:firstLine="567"/>
        <w:jc w:val="center"/>
        <w:rPr>
          <w:rFonts w:ascii="Times New Roman" w:eastAsia="Times New Roman" w:hAnsi="Times New Roman" w:cs="Times New Roman"/>
          <w:b/>
          <w:bCs/>
          <w:i/>
          <w:iCs/>
        </w:rPr>
      </w:pPr>
      <w:bookmarkStart w:id="0" w:name="_29tri7afl5lk" w:colFirst="0" w:colLast="0"/>
      <w:bookmarkEnd w:id="0"/>
      <w:r>
        <w:rPr>
          <w:rFonts w:ascii="Times New Roman" w:eastAsia="Times New Roman" w:hAnsi="Times New Roman" w:cs="Times New Roman"/>
          <w:b/>
          <w:bCs/>
          <w:i/>
          <w:iCs/>
        </w:rPr>
        <w:t>(număr unic 181/MMPS/2026)</w:t>
      </w:r>
    </w:p>
    <w:p w14:paraId="7B052323" w14:textId="77777777" w:rsidR="00E114BB" w:rsidRDefault="00000000">
      <w:pPr>
        <w:spacing w:line="240"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5"/>
        <w:tblpPr w:leftFromText="180" w:rightFromText="180" w:vertAnchor="text"/>
        <w:tblW w:w="15015"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555"/>
        <w:gridCol w:w="2700"/>
        <w:gridCol w:w="5880"/>
        <w:gridCol w:w="5880"/>
      </w:tblGrid>
      <w:tr w:rsidR="00E114BB" w14:paraId="6EC087E0" w14:textId="77777777">
        <w:trPr>
          <w:trHeight w:val="690"/>
        </w:trPr>
        <w:tc>
          <w:tcPr>
            <w:tcW w:w="555" w:type="dxa"/>
          </w:tcPr>
          <w:p w14:paraId="0F21F04D" w14:textId="77777777" w:rsidR="00E114BB"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Nr. d/o</w:t>
            </w:r>
          </w:p>
        </w:tc>
        <w:tc>
          <w:tcPr>
            <w:tcW w:w="2700" w:type="dxa"/>
          </w:tcPr>
          <w:p w14:paraId="240C73BF"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Autorul propunerilor şi </w:t>
            </w:r>
            <w:proofErr w:type="spellStart"/>
            <w:r>
              <w:rPr>
                <w:rFonts w:ascii="Times New Roman" w:eastAsia="Times New Roman" w:hAnsi="Times New Roman" w:cs="Times New Roman"/>
              </w:rPr>
              <w:t>obiecţiilor</w:t>
            </w:r>
            <w:proofErr w:type="spellEnd"/>
          </w:p>
        </w:tc>
        <w:tc>
          <w:tcPr>
            <w:tcW w:w="5880" w:type="dxa"/>
          </w:tcPr>
          <w:p w14:paraId="0CC11B97" w14:textId="77777777" w:rsidR="00E114BB" w:rsidRDefault="00000000">
            <w:pPr>
              <w:keepNext/>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Conținutul propunerilor, obiecțiilor</w:t>
            </w:r>
          </w:p>
        </w:tc>
        <w:tc>
          <w:tcPr>
            <w:tcW w:w="5880" w:type="dxa"/>
          </w:tcPr>
          <w:p w14:paraId="674C21FB" w14:textId="77777777" w:rsidR="00E114BB" w:rsidRDefault="00000000">
            <w:pPr>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Argumentare</w:t>
            </w:r>
          </w:p>
        </w:tc>
      </w:tr>
      <w:tr w:rsidR="00E114BB" w14:paraId="003DC2DD" w14:textId="77777777">
        <w:trPr>
          <w:trHeight w:val="267"/>
        </w:trPr>
        <w:tc>
          <w:tcPr>
            <w:tcW w:w="555" w:type="dxa"/>
          </w:tcPr>
          <w:p w14:paraId="6B299994" w14:textId="77777777" w:rsidR="00E114BB" w:rsidRDefault="00000000">
            <w:pPr>
              <w:spacing w:line="240" w:lineRule="auto"/>
              <w:ind w:firstLine="567"/>
              <w:rPr>
                <w:rFonts w:ascii="Times New Roman" w:eastAsia="Times New Roman" w:hAnsi="Times New Roman" w:cs="Times New Roman"/>
                <w:i/>
                <w:iCs/>
              </w:rPr>
            </w:pPr>
            <w:r>
              <w:rPr>
                <w:rFonts w:ascii="Times New Roman" w:eastAsia="Times New Roman" w:hAnsi="Times New Roman" w:cs="Times New Roman"/>
                <w:i/>
                <w:iCs/>
              </w:rPr>
              <w:t>1</w:t>
            </w:r>
          </w:p>
        </w:tc>
        <w:tc>
          <w:tcPr>
            <w:tcW w:w="2700" w:type="dxa"/>
          </w:tcPr>
          <w:p w14:paraId="35F5B0B0" w14:textId="77777777" w:rsidR="00E114BB"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5880" w:type="dxa"/>
          </w:tcPr>
          <w:p w14:paraId="2D881566" w14:textId="77777777" w:rsidR="00E114BB"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3</w:t>
            </w:r>
          </w:p>
        </w:tc>
        <w:tc>
          <w:tcPr>
            <w:tcW w:w="5880" w:type="dxa"/>
          </w:tcPr>
          <w:p w14:paraId="58A9AC24" w14:textId="77777777" w:rsidR="00E114BB"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4</w:t>
            </w:r>
          </w:p>
        </w:tc>
      </w:tr>
      <w:tr w:rsidR="00E114BB" w14:paraId="4EC8A6CC" w14:textId="77777777">
        <w:trPr>
          <w:trHeight w:val="267"/>
        </w:trPr>
        <w:tc>
          <w:tcPr>
            <w:tcW w:w="15015" w:type="dxa"/>
            <w:gridSpan w:val="4"/>
          </w:tcPr>
          <w:p w14:paraId="5C694D55" w14:textId="77777777" w:rsidR="00E114BB"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b/>
                <w:bCs/>
              </w:rPr>
              <w:t xml:space="preserve">Procedura de avizare </w:t>
            </w:r>
          </w:p>
        </w:tc>
      </w:tr>
      <w:tr w:rsidR="00E114BB" w14:paraId="00D0D865" w14:textId="77777777">
        <w:trPr>
          <w:trHeight w:val="315"/>
        </w:trPr>
        <w:tc>
          <w:tcPr>
            <w:tcW w:w="555" w:type="dxa"/>
            <w:vMerge w:val="restart"/>
          </w:tcPr>
          <w:p w14:paraId="02B3BE13" w14:textId="77777777" w:rsidR="00E114BB" w:rsidRDefault="00E114BB">
            <w:pPr>
              <w:numPr>
                <w:ilvl w:val="0"/>
                <w:numId w:val="4"/>
              </w:numPr>
              <w:spacing w:line="240" w:lineRule="auto"/>
              <w:ind w:hanging="338"/>
              <w:rPr>
                <w:rFonts w:ascii="Times New Roman" w:eastAsia="Times New Roman" w:hAnsi="Times New Roman" w:cs="Times New Roman"/>
                <w:b/>
                <w:bCs/>
              </w:rPr>
            </w:pPr>
          </w:p>
          <w:p w14:paraId="448F89D6" w14:textId="77777777" w:rsidR="00E114BB" w:rsidRDefault="00E114BB">
            <w:pPr>
              <w:spacing w:line="240" w:lineRule="auto"/>
              <w:ind w:hanging="338"/>
              <w:rPr>
                <w:rFonts w:ascii="Times New Roman" w:eastAsia="Times New Roman" w:hAnsi="Times New Roman" w:cs="Times New Roman"/>
                <w:b/>
                <w:bCs/>
              </w:rPr>
            </w:pPr>
          </w:p>
        </w:tc>
        <w:tc>
          <w:tcPr>
            <w:tcW w:w="2700" w:type="dxa"/>
            <w:vMerge w:val="restart"/>
          </w:tcPr>
          <w:p w14:paraId="51A7B3A8"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Cancelaria de Stat </w:t>
            </w:r>
          </w:p>
          <w:p w14:paraId="29A4078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22-69-2681 din 10.03.2026</w:t>
            </w:r>
          </w:p>
        </w:tc>
        <w:tc>
          <w:tcPr>
            <w:tcW w:w="5880" w:type="dxa"/>
            <w:tcBorders>
              <w:bottom w:val="single" w:sz="4" w:space="0" w:color="000000"/>
            </w:tcBorders>
          </w:tcPr>
          <w:p w14:paraId="14C0A0A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 din proiectul de lege: La pct. 4, la articolul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alin. (3) se recomandă clarificarea conținutului sintagmei „sprijinul logistic" asigurat de către Inspectoratul de Stat al Muncii pentru participarea inspectorilor străini, precum și a aspectelor concrete asupra cărora acesta se extinde, întrucât în redacția sa actuală, prezintă un caracter incomplet și este susceptibilă de interpretări neuniforme. În acest sens, se menționează că, în temeiul prevederilor art. 54 alin. (1), lit. a) din Legea nr.100/2017 cu privire la actele normative, conținutul proiectului trebuie să fie expus într-un limbaj simplu, clar și concis, astfel încât să fie exclus orice echivoc.</w:t>
            </w:r>
          </w:p>
        </w:tc>
        <w:tc>
          <w:tcPr>
            <w:tcW w:w="5880" w:type="dxa"/>
            <w:tcBorders>
              <w:bottom w:val="single" w:sz="4" w:space="0" w:color="000000"/>
            </w:tcBorders>
          </w:tcPr>
          <w:p w14:paraId="3CE0EB4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BAE17B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alin. (3) va avea următoarea redacție:</w:t>
            </w:r>
            <w:r>
              <w:rPr>
                <w:rFonts w:ascii="Times New Roman" w:eastAsia="Times New Roman" w:hAnsi="Times New Roman" w:cs="Times New Roman"/>
                <w:highlight w:val="white"/>
              </w:rPr>
              <w:br/>
            </w:r>
            <w:r>
              <w:rPr>
                <w:rFonts w:ascii="Times New Roman" w:eastAsia="Times New Roman" w:hAnsi="Times New Roman" w:cs="Times New Roman"/>
                <w:highlight w:val="white"/>
              </w:rPr>
              <w:br/>
              <w:t>“Inspectoratul de Stat al Muncii asigură condițiile organizatorice necesare pentru participarea inspectorilor străini la activitățile desfășurate în condițiile prezentului capitol, în limitele competențelor sale și în condițiile legii.”</w:t>
            </w:r>
          </w:p>
        </w:tc>
      </w:tr>
      <w:tr w:rsidR="00E114BB" w14:paraId="440F09CD" w14:textId="77777777">
        <w:trPr>
          <w:trHeight w:val="432"/>
        </w:trPr>
        <w:tc>
          <w:tcPr>
            <w:tcW w:w="555" w:type="dxa"/>
            <w:vMerge/>
          </w:tcPr>
          <w:p w14:paraId="670A5968" w14:textId="77777777" w:rsidR="00E114BB" w:rsidRDefault="00E114BB">
            <w:pPr>
              <w:widowControl w:val="0"/>
              <w:rPr>
                <w:rFonts w:ascii="Times New Roman" w:eastAsia="Times New Roman" w:hAnsi="Times New Roman" w:cs="Times New Roman"/>
                <w:highlight w:val="white"/>
              </w:rPr>
            </w:pPr>
          </w:p>
        </w:tc>
        <w:tc>
          <w:tcPr>
            <w:tcW w:w="2700" w:type="dxa"/>
            <w:vMerge/>
          </w:tcPr>
          <w:p w14:paraId="1314C5E6"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1EF8C2B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II. din proiectul de lege: la pct. 4, la articolul 8, alin. (1.1), se recomandă revizuirea textului de la lit. a) și lit. c) întrucât din formularea actuală nu reiese clar care este distincția dintre „condițiile de acces la încadrare în muncă, sau la muncă”, și „condițiile de încadrare și de muncă” și nici care este justificarea opțiunii de a reglementa aceste prevederi în mod enumerativ.</w:t>
            </w:r>
          </w:p>
        </w:tc>
        <w:tc>
          <w:tcPr>
            <w:tcW w:w="5880" w:type="dxa"/>
            <w:tcBorders>
              <w:top w:val="single" w:sz="4" w:space="0" w:color="000000"/>
              <w:bottom w:val="single" w:sz="4" w:space="0" w:color="000000"/>
            </w:tcBorders>
          </w:tcPr>
          <w:p w14:paraId="4852251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1264E76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8, alin. (1.1), are rolul de a prelua și transpune în mod fidel art. 3 alin. (1) din Directiva 2000/78/CE, care utilizează o enumerare a principalelor domenii de aplicare ale principiului egalității de tratament în materie de muncă și ocupare a forței de muncă. Lit. a) protejează împotriva discriminării în accesul la piața muncii. Lit. c) protejează împotriva discriminării în derularea și încetarea raportului de muncă, prin urmare la lit. a fost exclus sintagma „sau la muncă”, iar la lit. c) a fost exclusă sintagma de încadrare”.  </w:t>
            </w:r>
          </w:p>
        </w:tc>
      </w:tr>
      <w:tr w:rsidR="00E114BB" w14:paraId="2F656BD3" w14:textId="77777777">
        <w:trPr>
          <w:trHeight w:val="420"/>
        </w:trPr>
        <w:tc>
          <w:tcPr>
            <w:tcW w:w="555" w:type="dxa"/>
            <w:vMerge/>
          </w:tcPr>
          <w:p w14:paraId="0FF7E913" w14:textId="77777777" w:rsidR="00E114BB" w:rsidRDefault="00E114BB">
            <w:pPr>
              <w:widowControl w:val="0"/>
              <w:rPr>
                <w:rFonts w:ascii="Times New Roman" w:eastAsia="Times New Roman" w:hAnsi="Times New Roman" w:cs="Times New Roman"/>
                <w:highlight w:val="white"/>
              </w:rPr>
            </w:pPr>
          </w:p>
        </w:tc>
        <w:tc>
          <w:tcPr>
            <w:tcW w:w="2700" w:type="dxa"/>
            <w:vMerge/>
          </w:tcPr>
          <w:p w14:paraId="34B52B16"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2542B2C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la litera c), se propune reconsiderarea sintagmei „condițiile de concediere”, dat fiind că concedierea reprezintă doar una dintre modalitățile de încetare a raporturilor de muncă/serviciu, din inițiativa angajatorului, or principiul egalității de tratament trebuie să se aplice asupra tuturor aspectelor și reglementărilor ce țin de raportul de muncă.</w:t>
            </w:r>
          </w:p>
        </w:tc>
        <w:tc>
          <w:tcPr>
            <w:tcW w:w="5880" w:type="dxa"/>
            <w:tcBorders>
              <w:top w:val="single" w:sz="4" w:space="0" w:color="000000"/>
              <w:bottom w:val="single" w:sz="4" w:space="0" w:color="000000"/>
            </w:tcBorders>
          </w:tcPr>
          <w:p w14:paraId="0AD1303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633A97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Articolul 8, alin. (1.1) se propune în următoarea redacție:</w:t>
            </w:r>
          </w:p>
          <w:p w14:paraId="56F8FAE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condițiile de acces la încadrare în muncă, inclusiv criteriile de selecție și condițiile de recrutare, oricare ar fi ramura de activitate și la toate nivelurile ierarhiei profesionale, inclusiv în materie de promovare;</w:t>
            </w:r>
          </w:p>
          <w:p w14:paraId="28BDF3AB" w14:textId="77777777" w:rsidR="00E114BB" w:rsidRDefault="00E114BB">
            <w:pPr>
              <w:spacing w:line="240" w:lineRule="auto"/>
              <w:ind w:firstLine="705"/>
              <w:jc w:val="both"/>
              <w:rPr>
                <w:rFonts w:ascii="Times New Roman" w:eastAsia="Times New Roman" w:hAnsi="Times New Roman" w:cs="Times New Roman"/>
                <w:highlight w:val="white"/>
              </w:rPr>
            </w:pPr>
          </w:p>
          <w:p w14:paraId="1A399DB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condițiile de muncă, inclusiv condițiile de remunerare și  de încetare a raporturilor de muncă;”</w:t>
            </w:r>
          </w:p>
        </w:tc>
      </w:tr>
      <w:tr w:rsidR="00E114BB" w14:paraId="4F711A6F" w14:textId="77777777">
        <w:trPr>
          <w:trHeight w:val="516"/>
        </w:trPr>
        <w:tc>
          <w:tcPr>
            <w:tcW w:w="555" w:type="dxa"/>
            <w:vMerge/>
          </w:tcPr>
          <w:p w14:paraId="60E64369" w14:textId="77777777" w:rsidR="00E114BB" w:rsidRDefault="00E114BB">
            <w:pPr>
              <w:widowControl w:val="0"/>
              <w:rPr>
                <w:rFonts w:ascii="Times New Roman" w:eastAsia="Times New Roman" w:hAnsi="Times New Roman" w:cs="Times New Roman"/>
                <w:highlight w:val="white"/>
              </w:rPr>
            </w:pPr>
          </w:p>
        </w:tc>
        <w:tc>
          <w:tcPr>
            <w:tcW w:w="2700" w:type="dxa"/>
            <w:vMerge/>
          </w:tcPr>
          <w:p w14:paraId="7CB4F11A"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tcBorders>
          </w:tcPr>
          <w:p w14:paraId="44926A1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alineatul (2) al aceluiași articol, se impune precizarea noțiunii de „obiectiv legitim" în sensul normei în cauză.</w:t>
            </w:r>
          </w:p>
        </w:tc>
        <w:tc>
          <w:tcPr>
            <w:tcW w:w="5880" w:type="dxa"/>
            <w:tcBorders>
              <w:top w:val="single" w:sz="4" w:space="0" w:color="000000"/>
            </w:tcBorders>
          </w:tcPr>
          <w:p w14:paraId="3FFD6AC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r>
              <w:rPr>
                <w:rFonts w:ascii="Times New Roman" w:eastAsia="Times New Roman" w:hAnsi="Times New Roman" w:cs="Times New Roman"/>
                <w:highlight w:val="white"/>
              </w:rPr>
              <w:t xml:space="preserve"> în varianta propusă de Consiliul pentru egalitate, astfel articolul 8, alin. (2) se propune în următoarea redacție:</w:t>
            </w:r>
          </w:p>
          <w:p w14:paraId="77F6D78B"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8 alin. (2)</w:t>
            </w:r>
            <w:r>
              <w:rPr>
                <w:rFonts w:ascii="Times New Roman" w:eastAsia="Times New Roman" w:hAnsi="Times New Roman" w:cs="Times New Roman"/>
                <w:b/>
                <w:bCs/>
                <w:highlight w:val="white"/>
              </w:rPr>
              <w:t xml:space="preserve"> </w:t>
            </w: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53B7DB9E" w14:textId="77777777" w:rsidR="00E114BB" w:rsidRDefault="00E114BB">
            <w:pPr>
              <w:spacing w:line="240" w:lineRule="auto"/>
              <w:ind w:firstLine="284"/>
              <w:jc w:val="both"/>
              <w:rPr>
                <w:rFonts w:ascii="Times New Roman" w:eastAsia="Times New Roman" w:hAnsi="Times New Roman" w:cs="Times New Roman"/>
                <w:highlight w:val="white"/>
              </w:rPr>
            </w:pPr>
          </w:p>
        </w:tc>
      </w:tr>
      <w:tr w:rsidR="00E114BB" w14:paraId="71075C0E" w14:textId="77777777">
        <w:trPr>
          <w:trHeight w:val="376"/>
        </w:trPr>
        <w:tc>
          <w:tcPr>
            <w:tcW w:w="555" w:type="dxa"/>
            <w:vMerge w:val="restart"/>
          </w:tcPr>
          <w:p w14:paraId="410FEC97" w14:textId="77777777" w:rsidR="00E114BB" w:rsidRDefault="00E114BB">
            <w:pPr>
              <w:spacing w:line="240" w:lineRule="auto"/>
              <w:ind w:left="360" w:hanging="338"/>
              <w:rPr>
                <w:rFonts w:ascii="Times New Roman" w:eastAsia="Times New Roman" w:hAnsi="Times New Roman" w:cs="Times New Roman"/>
                <w:b/>
                <w:bCs/>
              </w:rPr>
            </w:pPr>
          </w:p>
        </w:tc>
        <w:tc>
          <w:tcPr>
            <w:tcW w:w="2700" w:type="dxa"/>
            <w:vMerge w:val="restart"/>
          </w:tcPr>
          <w:p w14:paraId="1AF435A6"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Centrul de Armonizare a Legislației</w:t>
            </w:r>
          </w:p>
          <w:p w14:paraId="25BADE26"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31/02-126-3296</w:t>
            </w:r>
          </w:p>
          <w:p w14:paraId="0CE91E2A"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23.03.2026</w:t>
            </w:r>
          </w:p>
        </w:tc>
        <w:tc>
          <w:tcPr>
            <w:tcW w:w="5880" w:type="dxa"/>
            <w:tcBorders>
              <w:bottom w:val="single" w:sz="4" w:space="0" w:color="000000"/>
            </w:tcBorders>
          </w:tcPr>
          <w:p w14:paraId="6636FA3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II. Evaluarea din perspectiva compatibilității cu Dreptul UE</w:t>
            </w:r>
          </w:p>
          <w:p w14:paraId="662ACCDA"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Din punct de vedere al dreptului UE, prin prisma obiectului de reglementare, prezentul demers normativ se circumscrie reglementărilor statuate la nivelul UE, subsumate Capitolului 2 „Libera circulație a lucrătorilor” și Capitolului 19 „Politica socială și ocuparea forței de muncă”.</w:t>
            </w:r>
          </w:p>
          <w:p w14:paraId="1301A71B"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din perspectiva proiectului examinat, la nivelul legislației europene, prezintă relevanță directă prevederile Directivelor nr. 89/391/CEE a Consiliului din 12 iunie 1989 privind punerea în aplicare de măsuri pentru promovarea îmbunătățirii securității și sănătății lucrătorilor la locul de muncă, 91/383/CEE Consiliului </w:t>
            </w:r>
            <w:r>
              <w:rPr>
                <w:rFonts w:ascii="Times New Roman" w:eastAsia="Times New Roman" w:hAnsi="Times New Roman" w:cs="Times New Roman"/>
                <w:highlight w:val="white"/>
              </w:rPr>
              <w:lastRenderedPageBreak/>
              <w:t>din 25 iunie 1991 de completare a măsurilor destinate să promoveze îmbunătățirea securității și sănătății la locul de muncă în cazul lucrătorilor care au un raport de muncă pe durată determinată sau un raport de muncă temporară,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2000/43/CE a Consiliului din 29 iunie 2000 de punere în aplicare a principiului egalității de tratament între persoane, fără deosebire de rasă sau origine etnică, 2000/78/CE a Consiliului din 27 noiembrie 2000 de creare a unui cadru general în favoarea egalității de tratament în ceea ce privește încadrarea în muncă și ocuparea forței de muncă, 2002/14/CE a Parlamentului European și a Consiliului din 11 martie 2002 de stabilire a unui cadru general de informare și consultare a lucrătorilor din Comunitatea Europeană, 2008/104/CE a Parlamentului European și a Consiliului din 19 noiembrie 2008 privind munca prin agent de muncă temporară,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și a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p>
          <w:p w14:paraId="41747D77"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Examinând proiectul național (Art. I, pct. 4) prin prisma Regulamentului (UE) 2019/1149 al Parlamentului European și al Consiliului din 20 iunie 2019, constatăm că, acesta nu are ca scop transpunerea directă a legislației UE relevante, dar creează cadrul </w:t>
            </w:r>
            <w:r>
              <w:rPr>
                <w:rFonts w:ascii="Times New Roman" w:eastAsia="Times New Roman" w:hAnsi="Times New Roman" w:cs="Times New Roman"/>
                <w:highlight w:val="white"/>
              </w:rPr>
              <w:lastRenderedPageBreak/>
              <w:t>juridic necesar aplicării actului UE pentru consolidarea cooperării administrative și a schimbului de informații între autoritățile naționale competente și Autoritatea Europeană a Muncii.</w:t>
            </w:r>
          </w:p>
        </w:tc>
        <w:tc>
          <w:tcPr>
            <w:tcW w:w="5880" w:type="dxa"/>
            <w:tcBorders>
              <w:bottom w:val="single" w:sz="4" w:space="0" w:color="000000"/>
            </w:tcBorders>
          </w:tcPr>
          <w:p w14:paraId="2CFE231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C94C93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ia act.</w:t>
            </w:r>
          </w:p>
          <w:p w14:paraId="62F78AE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D99D1C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110DEA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F39E0E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A7658B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936009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7C10C0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3F72F8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CE61BD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2C7C96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585246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FD2EDB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9F6854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164FCE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A46A4D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32DFF0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69CA6B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2B4ED7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207859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59BC52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3E7027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05784B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88C7F9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Se acceptă.</w:t>
            </w:r>
          </w:p>
        </w:tc>
      </w:tr>
      <w:tr w:rsidR="00E114BB" w14:paraId="1243B2F3" w14:textId="77777777">
        <w:trPr>
          <w:trHeight w:val="376"/>
        </w:trPr>
        <w:tc>
          <w:tcPr>
            <w:tcW w:w="555" w:type="dxa"/>
            <w:vMerge/>
          </w:tcPr>
          <w:p w14:paraId="426378A0" w14:textId="77777777" w:rsidR="00E114BB" w:rsidRDefault="00E114BB">
            <w:pPr>
              <w:spacing w:line="240" w:lineRule="auto"/>
              <w:rPr>
                <w:rFonts w:ascii="Times New Roman" w:eastAsia="Times New Roman" w:hAnsi="Times New Roman" w:cs="Times New Roman"/>
                <w:b/>
                <w:bCs/>
              </w:rPr>
            </w:pPr>
          </w:p>
        </w:tc>
        <w:tc>
          <w:tcPr>
            <w:tcW w:w="2700" w:type="dxa"/>
            <w:vMerge/>
          </w:tcPr>
          <w:p w14:paraId="7D176F8F"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71FAE3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1. Directiva 89/391/CEE a Consiliului din 12 iunie 1989</w:t>
            </w:r>
            <w:r>
              <w:rPr>
                <w:rFonts w:ascii="Times New Roman" w:eastAsia="Times New Roman" w:hAnsi="Times New Roman" w:cs="Times New Roman"/>
                <w:highlight w:val="white"/>
              </w:rPr>
              <w:t xml:space="preserve"> urmărește instituirea unui cadru unitar de măsuri pentru prevenirea riscurilor profesionale și protejarea sănătății lucrătorilor, prin responsabilizarea directă a angajatorilor în eliminarea factorilor de pericol la locul de muncă.</w:t>
            </w:r>
          </w:p>
          <w:p w14:paraId="656A87B5"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89/391/CEE</w:t>
            </w:r>
          </w:p>
          <w:p w14:paraId="42E518E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89/391/CEE a Consiliului din 12 iunie 1989 a constituit obiect al transpunerii prin Legea securității și sănătății în muncă nr. 186/2008.</w:t>
            </w:r>
          </w:p>
          <w:p w14:paraId="69F909D7"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89/391/CEE</w:t>
            </w:r>
          </w:p>
          <w:p w14:paraId="11FB789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89/391/CEE, apreciem că proiectul național asigură transpunerea parțială a actului UE, conform celor constatate infra.</w:t>
            </w:r>
          </w:p>
          <w:p w14:paraId="774DF98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Legea securității și sănătății în muncă nr. 186/2008, asigură transpunerea Directivei 89/391/CEE.</w:t>
            </w:r>
          </w:p>
          <w:p w14:paraId="056A33C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6 „Obligații generale ale angajatorilor ”, art. 7 „Servicii de protecție și prevenire”, art. 8 „Primul-ajutor, stingerea incendiilor și evacuarea lucrătorilor, riscurile grave și imediate ”, art. 9 „Diverse obligații ale angajatorului ”, art. 10 „Informarea lucrătorilor” și art. 15 „Grupurile de risc” din actul UE, sunt transpuse parțial în Art. III, pct. 3 - 8 din proiectul național.</w:t>
            </w:r>
          </w:p>
          <w:p w14:paraId="5651A98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17a „Rapoartele privind punerea în aplicare” din actul UE sunt transpuse în Art. III, pct. 9 - 10 din proiectul național.</w:t>
            </w:r>
          </w:p>
          <w:p w14:paraId="15E124B1"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Prevederi ale actului UE neaplicabile</w:t>
            </w:r>
          </w:p>
          <w:p w14:paraId="794957D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Dispozițiile art. 16 - 17, art. 18 - 19 și Anexei nu fac obiectul transpunerii, întrucât au caracter procedural-instituțional, vizând </w:t>
            </w:r>
            <w:r>
              <w:rPr>
                <w:rFonts w:ascii="Times New Roman" w:eastAsia="Times New Roman" w:hAnsi="Times New Roman" w:cs="Times New Roman"/>
                <w:highlight w:val="white"/>
              </w:rPr>
              <w:lastRenderedPageBreak/>
              <w:t>competențele de legiferare ale Consiliului și Comisiei, procedurile de cooperare între instituțiile UE sau sunt prevederi finale sau tranzitorii.</w:t>
            </w:r>
          </w:p>
        </w:tc>
        <w:tc>
          <w:tcPr>
            <w:tcW w:w="5880" w:type="dxa"/>
            <w:tcBorders>
              <w:bottom w:val="single" w:sz="4" w:space="0" w:color="000000"/>
            </w:tcBorders>
          </w:tcPr>
          <w:p w14:paraId="0DBACBA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222F67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25633A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0089A9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5201FB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C6CE55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78A87B6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93DFA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DF73E5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120610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23660C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0B2C282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80C843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339AA2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64117B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A36E1B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67E832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E7A15D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CA45BB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85FD62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FA63E2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7AB1E4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AB682C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6C31FF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6AD6E1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66546C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658A1F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149AB7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r>
              <w:rPr>
                <w:rFonts w:ascii="Times New Roman" w:eastAsia="Times New Roman" w:hAnsi="Times New Roman" w:cs="Times New Roman"/>
                <w:b/>
                <w:bCs/>
                <w:highlight w:val="white"/>
              </w:rPr>
              <w:t>.</w:t>
            </w:r>
          </w:p>
        </w:tc>
      </w:tr>
      <w:tr w:rsidR="00E114BB" w14:paraId="7E492E53" w14:textId="77777777">
        <w:trPr>
          <w:trHeight w:val="376"/>
        </w:trPr>
        <w:tc>
          <w:tcPr>
            <w:tcW w:w="555" w:type="dxa"/>
            <w:vMerge/>
          </w:tcPr>
          <w:p w14:paraId="4A34C907" w14:textId="77777777" w:rsidR="00E114BB" w:rsidRDefault="00E114BB">
            <w:pPr>
              <w:spacing w:line="240" w:lineRule="auto"/>
              <w:rPr>
                <w:rFonts w:ascii="Times New Roman" w:eastAsia="Times New Roman" w:hAnsi="Times New Roman" w:cs="Times New Roman"/>
                <w:b/>
                <w:bCs/>
              </w:rPr>
            </w:pPr>
          </w:p>
        </w:tc>
        <w:tc>
          <w:tcPr>
            <w:tcW w:w="2700" w:type="dxa"/>
            <w:vMerge/>
          </w:tcPr>
          <w:p w14:paraId="6610E696"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16AE88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2. Directiva 91/383/CEE Consiliului din 25 iunie 19</w:t>
            </w:r>
            <w:r>
              <w:rPr>
                <w:rFonts w:ascii="Times New Roman" w:eastAsia="Times New Roman" w:hAnsi="Times New Roman" w:cs="Times New Roman"/>
                <w:highlight w:val="white"/>
              </w:rPr>
              <w:t>91 urmărește să asigure lucrătorilor cu raporturi de muncă pe durată determinată sau temporară același nivel de protecție a securității și sănătății la locul de muncă precum cel de care beneficiază ceilalți lucrători din unitatea utilizatoare.</w:t>
            </w:r>
          </w:p>
          <w:p w14:paraId="6D683DD0"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91/383/CEE</w:t>
            </w:r>
          </w:p>
          <w:p w14:paraId="5318578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91/383/CEE Consiliului din 25 iunie 1991 a constituit obiect al transpunerii prin Legea securității și sănătății în muncă nr. 186/2008.</w:t>
            </w:r>
          </w:p>
          <w:p w14:paraId="67E31016"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91/383/CEE</w:t>
            </w:r>
          </w:p>
          <w:p w14:paraId="0CED1CB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91/383/CEE, apreciem că proiectul național asigură transpunerea parțială a actului UE, conform celor constatate infra.</w:t>
            </w:r>
          </w:p>
          <w:p w14:paraId="7F739AE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Legea securității și sănătății în muncă nr. 186/2008, asigură transpunerea Directivei 91/383/CEE.</w:t>
            </w:r>
          </w:p>
          <w:p w14:paraId="110B7F5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6 „Servicii de protecție și de prevenire” din actul UE sunt transpuse parțial în Art. III, pct. 4 din proiectul național.</w:t>
            </w:r>
          </w:p>
          <w:p w14:paraId="01220A0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10a „Raportul privind punerea în aplicare” din actul UE sunt transpuse în Art. III, pct. 9 - 10 din proiectul național.</w:t>
            </w:r>
          </w:p>
          <w:p w14:paraId="11E6551B"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Prevederi ale actului UE neaplicabile</w:t>
            </w:r>
          </w:p>
          <w:p w14:paraId="4C5B9BA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9 - 10 și art. 11 nu fac obiectul transpunerii, întrucât au caracter procedural-instituțional, vizând raportul juridic dintre statul membru și Uniunea Europeană, sau constituie prevederi finale și de implementare administrativă care nu generează drepturi sau obligații directe pentru subiecții de drept intern.</w:t>
            </w:r>
          </w:p>
        </w:tc>
        <w:tc>
          <w:tcPr>
            <w:tcW w:w="5880" w:type="dxa"/>
            <w:tcBorders>
              <w:bottom w:val="single" w:sz="4" w:space="0" w:color="000000"/>
            </w:tcBorders>
          </w:tcPr>
          <w:p w14:paraId="716EB5B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F3DE21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41706E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270025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E168F3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280C8A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19EBE2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1F1D8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603DEA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D81C75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6C8820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3166A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33C67F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F6D514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FD34BB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80C4CD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7AEC0DF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CE0E2B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A65AD6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9B9B04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3ACF45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D2708F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D90F27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CB33C5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31E9F6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8D655D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A7D2A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r>
              <w:rPr>
                <w:rFonts w:ascii="Times New Roman" w:eastAsia="Times New Roman" w:hAnsi="Times New Roman" w:cs="Times New Roman"/>
                <w:b/>
                <w:bCs/>
                <w:highlight w:val="white"/>
              </w:rPr>
              <w:t>.</w:t>
            </w:r>
          </w:p>
        </w:tc>
      </w:tr>
      <w:tr w:rsidR="00E114BB" w14:paraId="053711A2" w14:textId="77777777">
        <w:trPr>
          <w:trHeight w:val="376"/>
        </w:trPr>
        <w:tc>
          <w:tcPr>
            <w:tcW w:w="555" w:type="dxa"/>
            <w:vMerge/>
          </w:tcPr>
          <w:p w14:paraId="5883284D" w14:textId="77777777" w:rsidR="00E114BB" w:rsidRDefault="00E114BB">
            <w:pPr>
              <w:spacing w:line="240" w:lineRule="auto"/>
              <w:rPr>
                <w:rFonts w:ascii="Times New Roman" w:eastAsia="Times New Roman" w:hAnsi="Times New Roman" w:cs="Times New Roman"/>
                <w:b/>
                <w:bCs/>
              </w:rPr>
            </w:pPr>
          </w:p>
        </w:tc>
        <w:tc>
          <w:tcPr>
            <w:tcW w:w="2700" w:type="dxa"/>
            <w:vMerge/>
          </w:tcPr>
          <w:p w14:paraId="3AADFF72"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402D7A5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Directiva 92/85/CEE a Consiliului din 19 octombrie 1992 urmărește implementarea unor standarde minime de protecție a sănătății și securității la locul de muncă pentru lucrătoarele gravide, care au născut de curând sau care alăptează, garantându-le acestora drepturi specifice privind concediul de maternitate și protecția împotriva concedierii.</w:t>
            </w:r>
          </w:p>
          <w:p w14:paraId="2BBBA28B"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92/85/CEE</w:t>
            </w:r>
          </w:p>
          <w:p w14:paraId="58576BC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92/85/CEE a Consiliului din 19 octombrie 1992 a constituit obiect al transpunerii prin:</w:t>
            </w:r>
          </w:p>
          <w:p w14:paraId="2CCEEE3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Codul Muncii nr. 154/2003;</w:t>
            </w:r>
          </w:p>
          <w:p w14:paraId="19947E0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Legea securității și sănătății în muncă nr. 186/2008;</w:t>
            </w:r>
          </w:p>
          <w:p w14:paraId="70B4B80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HG nr. 1408/2016 privind Cerințele minime de securitate şi sănătate în muncă pentru protecția salariatelor gravide, care au născut de curând sau care alăptează;</w:t>
            </w:r>
          </w:p>
          <w:p w14:paraId="6004AF5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HG nr.1079/2023 pentru aprobarea Regulamentului sanitar cu privire la supravegherea sănătății lucrătorilor, Anexa nr. 1;</w:t>
            </w:r>
          </w:p>
          <w:p w14:paraId="2EC6C16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HG nr.639/2024 pentru aprobarea Regulamentului privind protecția lucrătorilor împotriva riscurilor legate de expunerea la agenți biologici la locul de muncă;</w:t>
            </w:r>
          </w:p>
          <w:p w14:paraId="19F6FD8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6. HG nr.640/2024 pentru aprobarea Regulamentului privind protecția sănătății şi securității lucrătorilor împotriva riscurilor legate de prezența agenților chimici la locul de muncă.</w:t>
            </w:r>
          </w:p>
          <w:p w14:paraId="33695E8A"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92/85/CEE</w:t>
            </w:r>
          </w:p>
          <w:p w14:paraId="6C5CB1F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92/85/CEE, apreciem că proiectul național asigură transpunerea parțială a actului UE, conform celor constatate infra.</w:t>
            </w:r>
          </w:p>
          <w:p w14:paraId="3B23544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actele indicate mai sus, asigură transpunerea Directivei 92/85/CEE.</w:t>
            </w:r>
          </w:p>
          <w:p w14:paraId="5564E6A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9 „Acordarea de dispense pentru consultații prenatale” din actul UE sunt transpuse în Art. II, pct. 2 și pct. 8 din proiectul național.</w:t>
            </w:r>
          </w:p>
          <w:p w14:paraId="1AF1A415"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4330866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Dispozițiile art. 3, art. 13-15 și Declarația anexată nu fac obiectul transpunerii, întrucât au caracter procedural-instituțional, vizând competențele de legiferare ale Comisiei și Consiliului, procedurile de delegare și urgență specifice UE, sunt atribuții exclusive ale Comisiei sau sunt prevederi finale și interpretative.</w:t>
            </w:r>
          </w:p>
          <w:p w14:paraId="37A20AC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cu referire la art. 3 din actul UE, informația de la compartimentul 9 al tabelului de concordanță urmează a fi exclusă, cu indicarea la compartimentul 8 a calificativului „Prevederi UE neaplicabile”.</w:t>
            </w:r>
          </w:p>
        </w:tc>
        <w:tc>
          <w:tcPr>
            <w:tcW w:w="5880" w:type="dxa"/>
            <w:tcBorders>
              <w:bottom w:val="single" w:sz="4" w:space="0" w:color="000000"/>
            </w:tcBorders>
          </w:tcPr>
          <w:p w14:paraId="5E83F51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75F59A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FFF997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AF216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8A0541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9C6C5A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998921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D289B8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9E42FF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0211C67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EF8917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0F2275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4DC886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B6AAA8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61D746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069DE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FE5947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57E883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23D0CF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B27F94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7943CC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EC1FB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9899AA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EFDE29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CEA750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997590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E3FBEE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4E8AAD4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92774E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9BDC85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0BCAC4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12A938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96AC3E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FE9C27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5D72C5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ACC29B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56A43B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58B4169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(doar pentru alin (1)) propunerea referitoare la articolul 3 din Actul UE (pct. 3 </w:t>
            </w:r>
            <w:proofErr w:type="spellStart"/>
            <w:r>
              <w:rPr>
                <w:rFonts w:ascii="Times New Roman" w:eastAsia="Times New Roman" w:hAnsi="Times New Roman" w:cs="Times New Roman"/>
                <w:highlight w:val="white"/>
              </w:rPr>
              <w:t>lit</w:t>
            </w:r>
            <w:proofErr w:type="spellEnd"/>
            <w:r>
              <w:rPr>
                <w:rFonts w:ascii="Times New Roman" w:eastAsia="Times New Roman" w:hAnsi="Times New Roman" w:cs="Times New Roman"/>
                <w:highlight w:val="white"/>
              </w:rPr>
              <w:t xml:space="preserve"> d) din Aviz).</w:t>
            </w:r>
          </w:p>
          <w:p w14:paraId="0FD3CCF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tabelul de concordanță la Articolul 3 alin (1) în compartimentul 8 este inclus calificativul „Prevederi UE neaplicabile”, iar informația din compartimentul 9 este exclusă.  </w:t>
            </w:r>
          </w:p>
          <w:p w14:paraId="4B6BE4D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43CD7DAB" w14:textId="77777777">
        <w:trPr>
          <w:trHeight w:val="376"/>
        </w:trPr>
        <w:tc>
          <w:tcPr>
            <w:tcW w:w="555" w:type="dxa"/>
            <w:vMerge/>
          </w:tcPr>
          <w:p w14:paraId="2CAC1B31" w14:textId="77777777" w:rsidR="00E114BB" w:rsidRDefault="00E114BB">
            <w:pPr>
              <w:spacing w:line="240" w:lineRule="auto"/>
              <w:rPr>
                <w:rFonts w:ascii="Times New Roman" w:eastAsia="Times New Roman" w:hAnsi="Times New Roman" w:cs="Times New Roman"/>
                <w:b/>
                <w:bCs/>
              </w:rPr>
            </w:pPr>
          </w:p>
        </w:tc>
        <w:tc>
          <w:tcPr>
            <w:tcW w:w="2700" w:type="dxa"/>
            <w:vMerge/>
          </w:tcPr>
          <w:p w14:paraId="619BE823"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5256F8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Directiva 2000/43/CE a Consiliului din 29 iunie 2000 urmărește combaterea discriminării pe criterii de rasă sau origine etnică prin stabilirea unui cadru minim de protecție legală egală în toate statele membre UE, aplicabil în domenii precum ocuparea forței de muncă, educația și serviciile sociale.</w:t>
            </w:r>
          </w:p>
          <w:p w14:paraId="7834DF6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2000/43/CE</w:t>
            </w:r>
          </w:p>
          <w:p w14:paraId="1F6AEC8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2000/43/CE a Consiliului din 12 iunie 1989 a constituit obiect al transpunerii parțiale prin:</w:t>
            </w:r>
          </w:p>
          <w:p w14:paraId="63FFB70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Constituția Republicii Moldova;</w:t>
            </w:r>
          </w:p>
          <w:p w14:paraId="641C664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Hotărârea Parlamentului Republicii Moldova nr. 593-XIII din 26 septembrie 1995;</w:t>
            </w:r>
          </w:p>
          <w:p w14:paraId="308D4FA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Codul Penal nr. 985/2002;</w:t>
            </w:r>
          </w:p>
          <w:p w14:paraId="3835453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Codul civil nr. 1107/2002;</w:t>
            </w:r>
          </w:p>
          <w:p w14:paraId="6EACDB0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Codul Muncii nr. 154/2003;</w:t>
            </w:r>
          </w:p>
          <w:p w14:paraId="785C183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6. Codul de procedură civilă nr. 225/2003;</w:t>
            </w:r>
          </w:p>
          <w:p w14:paraId="0019494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Codul Contravențional nr. 218/2008;</w:t>
            </w:r>
          </w:p>
          <w:p w14:paraId="651BE54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Codul Educației nr.152 /2014;</w:t>
            </w:r>
          </w:p>
          <w:p w14:paraId="7A38BEF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9. Codul administrativ nr. 116/2018;</w:t>
            </w:r>
          </w:p>
          <w:p w14:paraId="6E04260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10. Legea ocrotirii sănătăţii nr. 411/1995;</w:t>
            </w:r>
          </w:p>
          <w:p w14:paraId="3034FD2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11. Legea privind sistemul public de asigurări sociale nr. 489/1999;</w:t>
            </w:r>
          </w:p>
          <w:p w14:paraId="7BE12DD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Legea Patronatelor nr. 976/2000;</w:t>
            </w:r>
          </w:p>
          <w:p w14:paraId="08A96FE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13. Legea Sindicatelor nr. 1129/2000;</w:t>
            </w:r>
          </w:p>
          <w:p w14:paraId="6737754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14. Legea privind Inspectoratul de Stat al Muncii nr. 140/2001;</w:t>
            </w:r>
          </w:p>
          <w:p w14:paraId="559B9FC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15. Legea nr. 382/2001 cu privire la drepturile persoanelor aparținând </w:t>
            </w:r>
            <w:proofErr w:type="spellStart"/>
            <w:r>
              <w:rPr>
                <w:rFonts w:ascii="Times New Roman" w:eastAsia="Times New Roman" w:hAnsi="Times New Roman" w:cs="Times New Roman"/>
                <w:highlight w:val="white"/>
              </w:rPr>
              <w:t>minorităţilor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naţionale</w:t>
            </w:r>
            <w:proofErr w:type="spellEnd"/>
            <w:r>
              <w:rPr>
                <w:rFonts w:ascii="Times New Roman" w:eastAsia="Times New Roman" w:hAnsi="Times New Roman" w:cs="Times New Roman"/>
                <w:highlight w:val="white"/>
              </w:rPr>
              <w:t xml:space="preserve"> şi la statutul juridic al </w:t>
            </w:r>
            <w:proofErr w:type="spellStart"/>
            <w:r>
              <w:rPr>
                <w:rFonts w:ascii="Times New Roman" w:eastAsia="Times New Roman" w:hAnsi="Times New Roman" w:cs="Times New Roman"/>
                <w:highlight w:val="white"/>
              </w:rPr>
              <w:t>organizaţiilor</w:t>
            </w:r>
            <w:proofErr w:type="spellEnd"/>
            <w:r>
              <w:rPr>
                <w:rFonts w:ascii="Times New Roman" w:eastAsia="Times New Roman" w:hAnsi="Times New Roman" w:cs="Times New Roman"/>
                <w:highlight w:val="white"/>
              </w:rPr>
              <w:t xml:space="preserve"> lor;</w:t>
            </w:r>
          </w:p>
          <w:p w14:paraId="4E4E685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16. Legea nr. 245/2006 privind organizarea şi </w:t>
            </w:r>
            <w:proofErr w:type="spellStart"/>
            <w:r>
              <w:rPr>
                <w:rFonts w:ascii="Times New Roman" w:eastAsia="Times New Roman" w:hAnsi="Times New Roman" w:cs="Times New Roman"/>
                <w:highlight w:val="white"/>
              </w:rPr>
              <w:t>funcţionarea</w:t>
            </w:r>
            <w:proofErr w:type="spellEnd"/>
            <w:r>
              <w:rPr>
                <w:rFonts w:ascii="Times New Roman" w:eastAsia="Times New Roman" w:hAnsi="Times New Roman" w:cs="Times New Roman"/>
                <w:highlight w:val="white"/>
              </w:rPr>
              <w:t xml:space="preserve"> Comisiei </w:t>
            </w:r>
            <w:proofErr w:type="spellStart"/>
            <w:r>
              <w:rPr>
                <w:rFonts w:ascii="Times New Roman" w:eastAsia="Times New Roman" w:hAnsi="Times New Roman" w:cs="Times New Roman"/>
                <w:highlight w:val="white"/>
              </w:rPr>
              <w:t>naţionale</w:t>
            </w:r>
            <w:proofErr w:type="spellEnd"/>
            <w:r>
              <w:rPr>
                <w:rFonts w:ascii="Times New Roman" w:eastAsia="Times New Roman" w:hAnsi="Times New Roman" w:cs="Times New Roman"/>
                <w:highlight w:val="white"/>
              </w:rPr>
              <w:t xml:space="preserve"> pentru consultări şi negocieri colective, a comisiilor pentru consultări şi negocieri colective la nivel de ramură şi la nivel teritorial;</w:t>
            </w:r>
          </w:p>
          <w:p w14:paraId="3105CEE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17. Legea nr. 133/2008 cu privire la ajutorul social;</w:t>
            </w:r>
          </w:p>
          <w:p w14:paraId="46DEA8E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18. Legea nr. 158/2008 cu privire la funcția publică și statutul funcționarului public;</w:t>
            </w:r>
          </w:p>
          <w:p w14:paraId="6702F9A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19. Legea nr. 239/2008 privind </w:t>
            </w:r>
            <w:proofErr w:type="spellStart"/>
            <w:r>
              <w:rPr>
                <w:rFonts w:ascii="Times New Roman" w:eastAsia="Times New Roman" w:hAnsi="Times New Roman" w:cs="Times New Roman"/>
                <w:highlight w:val="white"/>
              </w:rPr>
              <w:t>transparenţa</w:t>
            </w:r>
            <w:proofErr w:type="spellEnd"/>
            <w:r>
              <w:rPr>
                <w:rFonts w:ascii="Times New Roman" w:eastAsia="Times New Roman" w:hAnsi="Times New Roman" w:cs="Times New Roman"/>
                <w:highlight w:val="white"/>
              </w:rPr>
              <w:t xml:space="preserve"> în procesul decizional;</w:t>
            </w:r>
          </w:p>
          <w:p w14:paraId="7830D4B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20. Legea nr. 123/2010 cu privire la serviciile sociale;</w:t>
            </w:r>
          </w:p>
          <w:p w14:paraId="045E124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21. Legea nr. 121/2012 cu privire la asigurarea egalității;</w:t>
            </w:r>
          </w:p>
          <w:p w14:paraId="27F1044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22. Legea nr. 298/2012 cu privire la activitatea Consiliului pentru egalitate;</w:t>
            </w:r>
          </w:p>
          <w:p w14:paraId="643E6F6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23. Legea nr. 52/2014 cu privire la Avocatul Poporului (Ombudsmanul);</w:t>
            </w:r>
          </w:p>
          <w:p w14:paraId="4A45EC6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24. Lege cu privire la </w:t>
            </w:r>
            <w:proofErr w:type="spellStart"/>
            <w:r>
              <w:rPr>
                <w:rFonts w:ascii="Times New Roman" w:eastAsia="Times New Roman" w:hAnsi="Times New Roman" w:cs="Times New Roman"/>
                <w:highlight w:val="white"/>
              </w:rPr>
              <w:t>locuinţe</w:t>
            </w:r>
            <w:proofErr w:type="spellEnd"/>
            <w:r>
              <w:rPr>
                <w:rFonts w:ascii="Times New Roman" w:eastAsia="Times New Roman" w:hAnsi="Times New Roman" w:cs="Times New Roman"/>
                <w:highlight w:val="white"/>
              </w:rPr>
              <w:t xml:space="preserve"> nr. 75/2015;</w:t>
            </w:r>
          </w:p>
          <w:p w14:paraId="778A5D7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25. Legea nr. 105/2018 cu privire la promovarea ocupării </w:t>
            </w:r>
            <w:proofErr w:type="spellStart"/>
            <w:r>
              <w:rPr>
                <w:rFonts w:ascii="Times New Roman" w:eastAsia="Times New Roman" w:hAnsi="Times New Roman" w:cs="Times New Roman"/>
                <w:highlight w:val="white"/>
              </w:rPr>
              <w:t>forţei</w:t>
            </w:r>
            <w:proofErr w:type="spellEnd"/>
            <w:r>
              <w:rPr>
                <w:rFonts w:ascii="Times New Roman" w:eastAsia="Times New Roman" w:hAnsi="Times New Roman" w:cs="Times New Roman"/>
                <w:highlight w:val="white"/>
              </w:rPr>
              <w:t xml:space="preserve"> de muncă şi asigurarea de șomaj;</w:t>
            </w:r>
          </w:p>
          <w:p w14:paraId="1231883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26. Legea nr. 148/2023 privind accesul la </w:t>
            </w:r>
            <w:proofErr w:type="spellStart"/>
            <w:r>
              <w:rPr>
                <w:rFonts w:ascii="Times New Roman" w:eastAsia="Times New Roman" w:hAnsi="Times New Roman" w:cs="Times New Roman"/>
                <w:highlight w:val="white"/>
              </w:rPr>
              <w:t>informaţiile</w:t>
            </w:r>
            <w:proofErr w:type="spellEnd"/>
            <w:r>
              <w:rPr>
                <w:rFonts w:ascii="Times New Roman" w:eastAsia="Times New Roman" w:hAnsi="Times New Roman" w:cs="Times New Roman"/>
                <w:highlight w:val="white"/>
              </w:rPr>
              <w:t xml:space="preserve"> de interes public;</w:t>
            </w:r>
          </w:p>
          <w:p w14:paraId="1143469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27. HG nr. 11/2010 cu privire la crearea Consiliului </w:t>
            </w:r>
            <w:proofErr w:type="spellStart"/>
            <w:r>
              <w:rPr>
                <w:rFonts w:ascii="Times New Roman" w:eastAsia="Times New Roman" w:hAnsi="Times New Roman" w:cs="Times New Roman"/>
                <w:highlight w:val="white"/>
              </w:rPr>
              <w:t>Naţional</w:t>
            </w:r>
            <w:proofErr w:type="spellEnd"/>
            <w:r>
              <w:rPr>
                <w:rFonts w:ascii="Times New Roman" w:eastAsia="Times New Roman" w:hAnsi="Times New Roman" w:cs="Times New Roman"/>
                <w:highlight w:val="white"/>
              </w:rPr>
              <w:t xml:space="preserve"> pentru Participare.</w:t>
            </w:r>
          </w:p>
          <w:p w14:paraId="5CF74FC4"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2000/43/CE</w:t>
            </w:r>
          </w:p>
          <w:p w14:paraId="16BBEE4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2000/43/CE, apreciem că proiectul național asigură transpunerea parțială a actului UE, conform celor constatate infra.</w:t>
            </w:r>
          </w:p>
          <w:p w14:paraId="42B16FC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Prevederile art. 3 „Domeniul de aplicare”, art. 4 „Cerințe profesionale reale și determinante”, art. 11 „Dialogul social” din </w:t>
            </w:r>
            <w:r>
              <w:rPr>
                <w:rFonts w:ascii="Times New Roman" w:eastAsia="Times New Roman" w:hAnsi="Times New Roman" w:cs="Times New Roman"/>
                <w:highlight w:val="white"/>
              </w:rPr>
              <w:lastRenderedPageBreak/>
              <w:t>actul UE sunt transpuse parțial în Art. II, pct. 3, 4 și 6 din proiectul național.</w:t>
            </w:r>
          </w:p>
          <w:p w14:paraId="2C1A693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vă informăm că, prin art. 23 din Directiva (UE) 2024/1499 (privind standardele pentru organismele de egalitate) se elimină (abrogă) începând cu data de 19 iunie 2026 întreg Capitolul III (Articolul 13) din Directiva 2000/43/CE. Art. 13 din Directiva 2000/43/CE stabilește cerințele minime pentru „organismele de promovare a egalității” (desemnare, asistență pentru victime, studii și rapoarte independente). Aceste norme nu dispar din dreptul UE, ci sunt înlocuite și consolidate de standarde mai ridicate prevăzute de noua Directivă (UE) 2024/1499.</w:t>
            </w:r>
          </w:p>
          <w:p w14:paraId="0C43D5E7"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Obiecții privind compatibilitatea cu Directiva 2000/43/CE</w:t>
            </w:r>
          </w:p>
          <w:p w14:paraId="2171ADC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transpunerea de proiectul național a art. 17 (1) din Directiva 2000/43/CE, care prevede obligația de raportare a statelor membre către Comisia Europeană, o dată la 5 ani, a măsurilor adoptate și a stadiului implementării prevederilor directivei, cu punerea în aplicare a acestuia din data aderării la UE, având ca obiectiv prima raportare în termen de 5 ani de la data aderării la UE.</w:t>
            </w:r>
          </w:p>
          <w:p w14:paraId="21236662" w14:textId="77777777" w:rsidR="00E114BB" w:rsidRDefault="00E114BB">
            <w:pPr>
              <w:spacing w:line="240" w:lineRule="auto"/>
              <w:ind w:firstLine="284"/>
              <w:jc w:val="both"/>
              <w:rPr>
                <w:rFonts w:ascii="Times New Roman" w:eastAsia="Times New Roman" w:hAnsi="Times New Roman" w:cs="Times New Roman"/>
                <w:highlight w:val="white"/>
              </w:rPr>
            </w:pPr>
          </w:p>
          <w:p w14:paraId="661B89F4" w14:textId="77777777" w:rsidR="00E114BB" w:rsidRDefault="00E114BB">
            <w:pPr>
              <w:spacing w:line="240" w:lineRule="auto"/>
              <w:ind w:firstLine="284"/>
              <w:jc w:val="both"/>
              <w:rPr>
                <w:rFonts w:ascii="Times New Roman" w:eastAsia="Times New Roman" w:hAnsi="Times New Roman" w:cs="Times New Roman"/>
                <w:highlight w:val="white"/>
              </w:rPr>
            </w:pPr>
          </w:p>
          <w:p w14:paraId="49883300" w14:textId="77777777" w:rsidR="00E114BB" w:rsidRDefault="00E114BB">
            <w:pPr>
              <w:spacing w:line="240" w:lineRule="auto"/>
              <w:ind w:firstLine="284"/>
              <w:jc w:val="both"/>
              <w:rPr>
                <w:rFonts w:ascii="Times New Roman" w:eastAsia="Times New Roman" w:hAnsi="Times New Roman" w:cs="Times New Roman"/>
                <w:highlight w:val="white"/>
              </w:rPr>
            </w:pPr>
          </w:p>
          <w:p w14:paraId="09196D48" w14:textId="77777777" w:rsidR="00E114BB" w:rsidRDefault="00E114BB">
            <w:pPr>
              <w:spacing w:line="240" w:lineRule="auto"/>
              <w:ind w:firstLine="284"/>
              <w:jc w:val="both"/>
              <w:rPr>
                <w:rFonts w:ascii="Times New Roman" w:eastAsia="Times New Roman" w:hAnsi="Times New Roman" w:cs="Times New Roman"/>
                <w:highlight w:val="white"/>
              </w:rPr>
            </w:pPr>
          </w:p>
          <w:p w14:paraId="2F82144F" w14:textId="77777777" w:rsidR="00E114BB" w:rsidRDefault="00E114BB">
            <w:pPr>
              <w:spacing w:line="240" w:lineRule="auto"/>
              <w:ind w:firstLine="284"/>
              <w:jc w:val="both"/>
              <w:rPr>
                <w:rFonts w:ascii="Times New Roman" w:eastAsia="Times New Roman" w:hAnsi="Times New Roman" w:cs="Times New Roman"/>
                <w:highlight w:val="white"/>
              </w:rPr>
            </w:pPr>
          </w:p>
          <w:p w14:paraId="2C51FA89" w14:textId="77777777" w:rsidR="00E114BB" w:rsidRDefault="00E114BB">
            <w:pPr>
              <w:spacing w:line="240" w:lineRule="auto"/>
              <w:ind w:firstLine="284"/>
              <w:jc w:val="both"/>
              <w:rPr>
                <w:rFonts w:ascii="Times New Roman" w:eastAsia="Times New Roman" w:hAnsi="Times New Roman" w:cs="Times New Roman"/>
                <w:highlight w:val="white"/>
              </w:rPr>
            </w:pPr>
          </w:p>
          <w:p w14:paraId="60051975" w14:textId="77777777" w:rsidR="00E114BB" w:rsidRDefault="00E114BB">
            <w:pPr>
              <w:spacing w:line="240" w:lineRule="auto"/>
              <w:ind w:firstLine="284"/>
              <w:jc w:val="both"/>
              <w:rPr>
                <w:rFonts w:ascii="Times New Roman" w:eastAsia="Times New Roman" w:hAnsi="Times New Roman" w:cs="Times New Roman"/>
                <w:highlight w:val="white"/>
              </w:rPr>
            </w:pPr>
          </w:p>
          <w:p w14:paraId="3EAE867B" w14:textId="77777777" w:rsidR="00E114BB" w:rsidRDefault="00E114BB">
            <w:pPr>
              <w:spacing w:line="240" w:lineRule="auto"/>
              <w:ind w:firstLine="284"/>
              <w:jc w:val="both"/>
              <w:rPr>
                <w:rFonts w:ascii="Times New Roman" w:eastAsia="Times New Roman" w:hAnsi="Times New Roman" w:cs="Times New Roman"/>
                <w:highlight w:val="white"/>
              </w:rPr>
            </w:pPr>
          </w:p>
          <w:p w14:paraId="4869E284" w14:textId="77777777" w:rsidR="00E114BB" w:rsidRDefault="00E114BB">
            <w:pPr>
              <w:spacing w:line="240" w:lineRule="auto"/>
              <w:ind w:firstLine="284"/>
              <w:jc w:val="both"/>
              <w:rPr>
                <w:rFonts w:ascii="Times New Roman" w:eastAsia="Times New Roman" w:hAnsi="Times New Roman" w:cs="Times New Roman"/>
                <w:highlight w:val="white"/>
              </w:rPr>
            </w:pPr>
          </w:p>
          <w:p w14:paraId="2123C6E2" w14:textId="77777777" w:rsidR="00E114BB" w:rsidRDefault="00E114BB">
            <w:pPr>
              <w:spacing w:line="240" w:lineRule="auto"/>
              <w:ind w:firstLine="284"/>
              <w:jc w:val="both"/>
              <w:rPr>
                <w:rFonts w:ascii="Times New Roman" w:eastAsia="Times New Roman" w:hAnsi="Times New Roman" w:cs="Times New Roman"/>
                <w:highlight w:val="white"/>
              </w:rPr>
            </w:pPr>
          </w:p>
          <w:p w14:paraId="74919946" w14:textId="77777777" w:rsidR="00E114BB" w:rsidRDefault="00E114BB">
            <w:pPr>
              <w:spacing w:line="240" w:lineRule="auto"/>
              <w:ind w:firstLine="284"/>
              <w:jc w:val="both"/>
              <w:rPr>
                <w:rFonts w:ascii="Times New Roman" w:eastAsia="Times New Roman" w:hAnsi="Times New Roman" w:cs="Times New Roman"/>
                <w:highlight w:val="white"/>
              </w:rPr>
            </w:pPr>
          </w:p>
          <w:p w14:paraId="10B21615" w14:textId="77777777" w:rsidR="00E114BB" w:rsidRDefault="00E114BB">
            <w:pPr>
              <w:spacing w:line="240" w:lineRule="auto"/>
              <w:ind w:firstLine="284"/>
              <w:jc w:val="both"/>
              <w:rPr>
                <w:rFonts w:ascii="Times New Roman" w:eastAsia="Times New Roman" w:hAnsi="Times New Roman" w:cs="Times New Roman"/>
                <w:highlight w:val="white"/>
              </w:rPr>
            </w:pPr>
          </w:p>
          <w:p w14:paraId="1B05DCA7" w14:textId="77777777" w:rsidR="00E114BB" w:rsidRDefault="00E114BB">
            <w:pPr>
              <w:spacing w:line="240" w:lineRule="auto"/>
              <w:ind w:firstLine="284"/>
              <w:jc w:val="both"/>
              <w:rPr>
                <w:rFonts w:ascii="Times New Roman" w:eastAsia="Times New Roman" w:hAnsi="Times New Roman" w:cs="Times New Roman"/>
                <w:highlight w:val="white"/>
              </w:rPr>
            </w:pPr>
          </w:p>
          <w:p w14:paraId="4AEEAEE9" w14:textId="77777777" w:rsidR="00E114BB" w:rsidRDefault="00E114BB">
            <w:pPr>
              <w:spacing w:line="240" w:lineRule="auto"/>
              <w:ind w:firstLine="284"/>
              <w:jc w:val="both"/>
              <w:rPr>
                <w:rFonts w:ascii="Times New Roman" w:eastAsia="Times New Roman" w:hAnsi="Times New Roman" w:cs="Times New Roman"/>
                <w:highlight w:val="white"/>
              </w:rPr>
            </w:pPr>
          </w:p>
          <w:p w14:paraId="41B8FBFB" w14:textId="77777777" w:rsidR="00E114BB" w:rsidRDefault="00E114BB">
            <w:pPr>
              <w:spacing w:line="240" w:lineRule="auto"/>
              <w:ind w:firstLine="284"/>
              <w:jc w:val="both"/>
              <w:rPr>
                <w:rFonts w:ascii="Times New Roman" w:eastAsia="Times New Roman" w:hAnsi="Times New Roman" w:cs="Times New Roman"/>
                <w:highlight w:val="white"/>
              </w:rPr>
            </w:pPr>
          </w:p>
          <w:p w14:paraId="70A7B621" w14:textId="77777777" w:rsidR="00E114BB" w:rsidRDefault="00E114BB">
            <w:pPr>
              <w:spacing w:line="240" w:lineRule="auto"/>
              <w:ind w:firstLine="284"/>
              <w:jc w:val="both"/>
              <w:rPr>
                <w:rFonts w:ascii="Times New Roman" w:eastAsia="Times New Roman" w:hAnsi="Times New Roman" w:cs="Times New Roman"/>
                <w:highlight w:val="white"/>
              </w:rPr>
            </w:pPr>
          </w:p>
          <w:p w14:paraId="6D030A0B" w14:textId="77777777" w:rsidR="00E114BB" w:rsidRDefault="00E114BB">
            <w:pPr>
              <w:spacing w:line="240" w:lineRule="auto"/>
              <w:ind w:firstLine="284"/>
              <w:jc w:val="both"/>
              <w:rPr>
                <w:rFonts w:ascii="Times New Roman" w:eastAsia="Times New Roman" w:hAnsi="Times New Roman" w:cs="Times New Roman"/>
                <w:highlight w:val="white"/>
              </w:rPr>
            </w:pPr>
          </w:p>
          <w:p w14:paraId="28A54427" w14:textId="77777777" w:rsidR="00E114BB" w:rsidRDefault="00E114BB">
            <w:pPr>
              <w:spacing w:line="240" w:lineRule="auto"/>
              <w:ind w:firstLine="284"/>
              <w:jc w:val="both"/>
              <w:rPr>
                <w:rFonts w:ascii="Times New Roman" w:eastAsia="Times New Roman" w:hAnsi="Times New Roman" w:cs="Times New Roman"/>
                <w:highlight w:val="white"/>
              </w:rPr>
            </w:pPr>
          </w:p>
          <w:p w14:paraId="67346541" w14:textId="77777777" w:rsidR="00E114BB" w:rsidRDefault="00E114BB">
            <w:pPr>
              <w:spacing w:line="240" w:lineRule="auto"/>
              <w:ind w:firstLine="284"/>
              <w:jc w:val="both"/>
              <w:rPr>
                <w:rFonts w:ascii="Times New Roman" w:eastAsia="Times New Roman" w:hAnsi="Times New Roman" w:cs="Times New Roman"/>
                <w:highlight w:val="white"/>
              </w:rPr>
            </w:pPr>
          </w:p>
          <w:p w14:paraId="601D6DB1" w14:textId="77777777" w:rsidR="00E114BB" w:rsidRDefault="00E114BB">
            <w:pPr>
              <w:spacing w:line="240" w:lineRule="auto"/>
              <w:ind w:firstLine="284"/>
              <w:jc w:val="both"/>
              <w:rPr>
                <w:rFonts w:ascii="Times New Roman" w:eastAsia="Times New Roman" w:hAnsi="Times New Roman" w:cs="Times New Roman"/>
                <w:highlight w:val="white"/>
              </w:rPr>
            </w:pPr>
          </w:p>
          <w:p w14:paraId="6405FB89" w14:textId="77777777" w:rsidR="00E114BB" w:rsidRDefault="00E114BB">
            <w:pPr>
              <w:spacing w:line="240" w:lineRule="auto"/>
              <w:ind w:firstLine="284"/>
              <w:jc w:val="both"/>
              <w:rPr>
                <w:rFonts w:ascii="Times New Roman" w:eastAsia="Times New Roman" w:hAnsi="Times New Roman" w:cs="Times New Roman"/>
                <w:highlight w:val="white"/>
              </w:rPr>
            </w:pPr>
          </w:p>
          <w:p w14:paraId="548FA79C" w14:textId="77777777" w:rsidR="00E114BB" w:rsidRDefault="00E114BB">
            <w:pPr>
              <w:spacing w:line="240" w:lineRule="auto"/>
              <w:ind w:firstLine="284"/>
              <w:jc w:val="both"/>
              <w:rPr>
                <w:rFonts w:ascii="Times New Roman" w:eastAsia="Times New Roman" w:hAnsi="Times New Roman" w:cs="Times New Roman"/>
                <w:highlight w:val="white"/>
              </w:rPr>
            </w:pPr>
          </w:p>
          <w:p w14:paraId="261DFAA5" w14:textId="77777777" w:rsidR="00E114BB" w:rsidRDefault="00E114BB">
            <w:pPr>
              <w:spacing w:line="240" w:lineRule="auto"/>
              <w:ind w:firstLine="284"/>
              <w:jc w:val="both"/>
              <w:rPr>
                <w:rFonts w:ascii="Times New Roman" w:eastAsia="Times New Roman" w:hAnsi="Times New Roman" w:cs="Times New Roman"/>
                <w:highlight w:val="white"/>
              </w:rPr>
            </w:pPr>
          </w:p>
          <w:p w14:paraId="67253FCA" w14:textId="77777777" w:rsidR="00E114BB" w:rsidRDefault="00E114BB">
            <w:pPr>
              <w:spacing w:line="240" w:lineRule="auto"/>
              <w:ind w:firstLine="284"/>
              <w:jc w:val="both"/>
              <w:rPr>
                <w:rFonts w:ascii="Times New Roman" w:eastAsia="Times New Roman" w:hAnsi="Times New Roman" w:cs="Times New Roman"/>
                <w:highlight w:val="white"/>
              </w:rPr>
            </w:pPr>
          </w:p>
          <w:p w14:paraId="1B0D1CE6" w14:textId="77777777" w:rsidR="00E114BB" w:rsidRDefault="00E114BB">
            <w:pPr>
              <w:spacing w:line="240" w:lineRule="auto"/>
              <w:ind w:firstLine="284"/>
              <w:jc w:val="both"/>
              <w:rPr>
                <w:rFonts w:ascii="Times New Roman" w:eastAsia="Times New Roman" w:hAnsi="Times New Roman" w:cs="Times New Roman"/>
                <w:highlight w:val="white"/>
              </w:rPr>
            </w:pPr>
          </w:p>
          <w:p w14:paraId="611A6856" w14:textId="77777777" w:rsidR="00E114BB" w:rsidRDefault="00E114BB">
            <w:pPr>
              <w:spacing w:line="240" w:lineRule="auto"/>
              <w:ind w:firstLine="284"/>
              <w:jc w:val="both"/>
              <w:rPr>
                <w:rFonts w:ascii="Times New Roman" w:eastAsia="Times New Roman" w:hAnsi="Times New Roman" w:cs="Times New Roman"/>
                <w:highlight w:val="white"/>
              </w:rPr>
            </w:pPr>
          </w:p>
          <w:p w14:paraId="4D21A1B4" w14:textId="77777777" w:rsidR="00E114BB" w:rsidRDefault="00E114BB">
            <w:pPr>
              <w:spacing w:line="240" w:lineRule="auto"/>
              <w:ind w:firstLine="284"/>
              <w:jc w:val="both"/>
              <w:rPr>
                <w:rFonts w:ascii="Times New Roman" w:eastAsia="Times New Roman" w:hAnsi="Times New Roman" w:cs="Times New Roman"/>
                <w:highlight w:val="white"/>
              </w:rPr>
            </w:pPr>
          </w:p>
          <w:p w14:paraId="1E4556E7" w14:textId="77777777" w:rsidR="00E114BB" w:rsidRDefault="00E114BB">
            <w:pPr>
              <w:spacing w:line="240" w:lineRule="auto"/>
              <w:ind w:firstLine="284"/>
              <w:jc w:val="both"/>
              <w:rPr>
                <w:rFonts w:ascii="Times New Roman" w:eastAsia="Times New Roman" w:hAnsi="Times New Roman" w:cs="Times New Roman"/>
                <w:highlight w:val="white"/>
              </w:rPr>
            </w:pPr>
          </w:p>
          <w:p w14:paraId="65238D98" w14:textId="77777777" w:rsidR="00E114BB" w:rsidRDefault="00E114BB">
            <w:pPr>
              <w:spacing w:line="240" w:lineRule="auto"/>
              <w:ind w:firstLine="284"/>
              <w:jc w:val="both"/>
              <w:rPr>
                <w:rFonts w:ascii="Times New Roman" w:eastAsia="Times New Roman" w:hAnsi="Times New Roman" w:cs="Times New Roman"/>
                <w:highlight w:val="white"/>
              </w:rPr>
            </w:pPr>
          </w:p>
          <w:p w14:paraId="1FFBEA78" w14:textId="77777777" w:rsidR="00E114BB" w:rsidRDefault="00E114BB">
            <w:pPr>
              <w:spacing w:line="240" w:lineRule="auto"/>
              <w:ind w:firstLine="284"/>
              <w:jc w:val="both"/>
              <w:rPr>
                <w:rFonts w:ascii="Times New Roman" w:eastAsia="Times New Roman" w:hAnsi="Times New Roman" w:cs="Times New Roman"/>
                <w:highlight w:val="white"/>
              </w:rPr>
            </w:pPr>
          </w:p>
          <w:p w14:paraId="1E5EC6CD" w14:textId="77777777" w:rsidR="00E114BB" w:rsidRDefault="00E114BB">
            <w:pPr>
              <w:spacing w:line="240" w:lineRule="auto"/>
              <w:ind w:firstLine="284"/>
              <w:jc w:val="both"/>
              <w:rPr>
                <w:rFonts w:ascii="Times New Roman" w:eastAsia="Times New Roman" w:hAnsi="Times New Roman" w:cs="Times New Roman"/>
                <w:highlight w:val="white"/>
              </w:rPr>
            </w:pPr>
          </w:p>
          <w:p w14:paraId="34FD6BB5" w14:textId="77777777" w:rsidR="00E114BB" w:rsidRDefault="00E114BB">
            <w:pPr>
              <w:spacing w:line="240" w:lineRule="auto"/>
              <w:ind w:firstLine="284"/>
              <w:jc w:val="both"/>
              <w:rPr>
                <w:rFonts w:ascii="Times New Roman" w:eastAsia="Times New Roman" w:hAnsi="Times New Roman" w:cs="Times New Roman"/>
                <w:highlight w:val="white"/>
              </w:rPr>
            </w:pPr>
          </w:p>
          <w:p w14:paraId="7919D24C" w14:textId="77777777" w:rsidR="00E114BB" w:rsidRDefault="00E114BB">
            <w:pPr>
              <w:spacing w:line="240" w:lineRule="auto"/>
              <w:ind w:firstLine="284"/>
              <w:jc w:val="both"/>
              <w:rPr>
                <w:rFonts w:ascii="Times New Roman" w:eastAsia="Times New Roman" w:hAnsi="Times New Roman" w:cs="Times New Roman"/>
                <w:highlight w:val="white"/>
              </w:rPr>
            </w:pPr>
          </w:p>
          <w:p w14:paraId="6EA59BC0" w14:textId="77777777" w:rsidR="00E114BB" w:rsidRDefault="00E114BB">
            <w:pPr>
              <w:spacing w:line="240" w:lineRule="auto"/>
              <w:ind w:firstLine="284"/>
              <w:jc w:val="both"/>
              <w:rPr>
                <w:rFonts w:ascii="Times New Roman" w:eastAsia="Times New Roman" w:hAnsi="Times New Roman" w:cs="Times New Roman"/>
                <w:highlight w:val="white"/>
              </w:rPr>
            </w:pPr>
          </w:p>
          <w:p w14:paraId="6255158D" w14:textId="77777777" w:rsidR="00E114BB" w:rsidRDefault="00E114BB">
            <w:pPr>
              <w:spacing w:line="240" w:lineRule="auto"/>
              <w:ind w:firstLine="284"/>
              <w:jc w:val="both"/>
              <w:rPr>
                <w:rFonts w:ascii="Times New Roman" w:eastAsia="Times New Roman" w:hAnsi="Times New Roman" w:cs="Times New Roman"/>
                <w:highlight w:val="white"/>
              </w:rPr>
            </w:pPr>
          </w:p>
          <w:p w14:paraId="7528A55A" w14:textId="77777777" w:rsidR="00E114BB" w:rsidRDefault="00E114BB">
            <w:pPr>
              <w:spacing w:line="240" w:lineRule="auto"/>
              <w:ind w:firstLine="284"/>
              <w:jc w:val="both"/>
              <w:rPr>
                <w:rFonts w:ascii="Times New Roman" w:eastAsia="Times New Roman" w:hAnsi="Times New Roman" w:cs="Times New Roman"/>
                <w:highlight w:val="white"/>
              </w:rPr>
            </w:pPr>
          </w:p>
          <w:p w14:paraId="335C5373" w14:textId="77777777" w:rsidR="00E114BB" w:rsidRDefault="00E114BB">
            <w:pPr>
              <w:spacing w:line="240" w:lineRule="auto"/>
              <w:ind w:firstLine="284"/>
              <w:jc w:val="both"/>
              <w:rPr>
                <w:rFonts w:ascii="Times New Roman" w:eastAsia="Times New Roman" w:hAnsi="Times New Roman" w:cs="Times New Roman"/>
                <w:highlight w:val="white"/>
              </w:rPr>
            </w:pPr>
          </w:p>
          <w:p w14:paraId="77FA3006" w14:textId="77777777" w:rsidR="00E114BB" w:rsidRDefault="00E114BB">
            <w:pPr>
              <w:spacing w:line="240" w:lineRule="auto"/>
              <w:ind w:firstLine="284"/>
              <w:jc w:val="both"/>
              <w:rPr>
                <w:rFonts w:ascii="Times New Roman" w:eastAsia="Times New Roman" w:hAnsi="Times New Roman" w:cs="Times New Roman"/>
                <w:highlight w:val="white"/>
              </w:rPr>
            </w:pPr>
          </w:p>
          <w:p w14:paraId="541160CC" w14:textId="77777777" w:rsidR="00E114BB" w:rsidRDefault="00E114BB">
            <w:pPr>
              <w:spacing w:line="240" w:lineRule="auto"/>
              <w:ind w:firstLine="284"/>
              <w:jc w:val="both"/>
              <w:rPr>
                <w:rFonts w:ascii="Times New Roman" w:eastAsia="Times New Roman" w:hAnsi="Times New Roman" w:cs="Times New Roman"/>
                <w:highlight w:val="white"/>
              </w:rPr>
            </w:pPr>
          </w:p>
          <w:p w14:paraId="39BB4D73"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6196F85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16, art. 17 (2) și art. 18 - 19 nu fac obiectul transpunerii, întrucât sunt prevederi finale.</w:t>
            </w:r>
          </w:p>
        </w:tc>
        <w:tc>
          <w:tcPr>
            <w:tcW w:w="5880" w:type="dxa"/>
            <w:tcBorders>
              <w:bottom w:val="single" w:sz="4" w:space="0" w:color="000000"/>
            </w:tcBorders>
          </w:tcPr>
          <w:p w14:paraId="77C2DB7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96AD36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23CE87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AEF31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3B0E61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476E7C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0A7843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587ABD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D80EA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BB60C4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201FF2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A70CB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0A0424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F1C015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06CA5D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22581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9AF68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EF0500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43B75E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827433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4B3B9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23A3E8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F7D110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C028FB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950EBA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6D1CA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4F18C2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19BCC8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1022EA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BC3E3A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5015F9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0BD5A0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32C80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62FC0E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10939E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9FE819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3BF878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5BF2CE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22B1C4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AE8684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0F5EE4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C3A66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DD3EAF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E9603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1C119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0DAB26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0FA10D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464437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7D441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1AAC72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A6187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205D1D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245016E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F8C323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6EBFE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3C4873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584065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F4551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C71BF4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2C4ECB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BA69C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57982D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19E244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AE1FF3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B09023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3A740B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26A778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97982F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5A110C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F0E334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ED139F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BA90A5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0EFEE7D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în pofida existenței unor mecanisme interne de raportare la nivel național, acestea nu echivalează cu obligația specifică și autonomă instituită prin art. 17 alin. (1) din Directiva 2000/43/CE, care vizează în mod expres relația de raportare a statului către Comisia Europeană.</w:t>
            </w:r>
          </w:p>
          <w:p w14:paraId="64106E4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a se reține că instituirea obligației de raportare externă exclusiv în Codul muncii al Republicii Moldova nu ar corespunde logicii și structurii Directivei 2000/43/CE, nici exigențelor de coerență normativă, având în vedere domeniul material extins al acesteia.</w:t>
            </w:r>
          </w:p>
          <w:p w14:paraId="656397D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primul rând, obiectul Directiva 2000/43/CE depășește în mod evident sfera relațiilor de muncă, reglementând principiul egalității de tratament în multiple domenii, inclusiv protecția socială, educația, accesul la bunuri și servicii, precum și alte aspecte ale vieții sociale. În aceste condiții, limitarea mecanismului de raportare la cadrul Codului muncii ar conduce la o fragmentare artificială a obligației de raportare, excluzând alte sectoare esențiale vizate de directivă.</w:t>
            </w:r>
          </w:p>
          <w:p w14:paraId="38C4410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al doilea rând, Legea nr. 121/2012 privind asigurarea egalității are caracter de lege-cadru transversală, aplicabilă tuturor </w:t>
            </w:r>
            <w:r>
              <w:rPr>
                <w:rFonts w:ascii="Times New Roman" w:eastAsia="Times New Roman" w:hAnsi="Times New Roman" w:cs="Times New Roman"/>
                <w:highlight w:val="white"/>
              </w:rPr>
              <w:lastRenderedPageBreak/>
              <w:t>domeniilor reglementate de directivă, inclusiv, dar fără a se limita la, relațiile de muncă. Prin natura sa, aceasta constituie instrumentul normativ adecvat pentru centralizarea, coordonarea și reflectarea politicilor publice în materie de nediscriminare la nivel național.</w:t>
            </w:r>
          </w:p>
          <w:p w14:paraId="5C00BA4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al treilea rând, includerea obligației de raportare în Codul muncii ar genera un risc de incoerență sistemică, întrucât ar plasa o obligație cu vocație generală într-un act normativ sectorial. O asemenea soluție ar putea conduce fie la omisiuni (în privința altor domenii decât munca), fie la necesitatea unor reglementări paralele în alte acte normative, ceea ce ar afecta claritatea și accesibilitatea legii.</w:t>
            </w:r>
          </w:p>
          <w:p w14:paraId="22F65FB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În al patrulea rând, mecanismul de raportare prevăzut de directivă implică colectarea și agregarea datelor dintr-o pluralitate de domenii și instituții. Or, acest tip de funcție este, în mod logic, compatibil cu rolul instituțional al Consiliului pentru egalitate și cu cadrul reglementat de Legea nr. 121/2012, și nu cu arhitectura normativă a Codului muncii, care reglementează raporturi juridice individuale și colective de muncă.</w:t>
            </w:r>
          </w:p>
          <w:p w14:paraId="60C23B2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66535C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p>
        </w:tc>
      </w:tr>
      <w:tr w:rsidR="00E114BB" w14:paraId="0FD032C5" w14:textId="77777777">
        <w:trPr>
          <w:trHeight w:val="376"/>
        </w:trPr>
        <w:tc>
          <w:tcPr>
            <w:tcW w:w="555" w:type="dxa"/>
            <w:vMerge/>
          </w:tcPr>
          <w:p w14:paraId="3D5AE98E" w14:textId="77777777" w:rsidR="00E114BB" w:rsidRDefault="00E114BB">
            <w:pPr>
              <w:spacing w:line="240" w:lineRule="auto"/>
              <w:rPr>
                <w:rFonts w:ascii="Times New Roman" w:eastAsia="Times New Roman" w:hAnsi="Times New Roman" w:cs="Times New Roman"/>
                <w:b/>
                <w:bCs/>
              </w:rPr>
            </w:pPr>
          </w:p>
        </w:tc>
        <w:tc>
          <w:tcPr>
            <w:tcW w:w="2700" w:type="dxa"/>
            <w:vMerge/>
          </w:tcPr>
          <w:p w14:paraId="63BEBDA8"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277EC46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5. Directiva 2000/78/CE a Consiliului din 27 noiembrie 2000</w:t>
            </w:r>
            <w:r>
              <w:rPr>
                <w:rFonts w:ascii="Times New Roman" w:eastAsia="Times New Roman" w:hAnsi="Times New Roman" w:cs="Times New Roman"/>
                <w:highlight w:val="white"/>
              </w:rPr>
              <w:t xml:space="preserve"> urmărește combaterea discriminării la locul de muncă pe criterii de religie sau convingeri, handicap, vârstă sau orientare sexuală, garantând aplicarea principiului egalității de tratament în ceea ce privește accesul la angajare, formarea profesională și condițiile de muncă.</w:t>
            </w:r>
          </w:p>
          <w:p w14:paraId="45416C4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2000/78/CE</w:t>
            </w:r>
          </w:p>
          <w:p w14:paraId="79E29C0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Directiva 2000/78/CE a Consiliului din 27 noiembrie 2000 a constituit obiect al transpunerii parțiale prin:</w:t>
            </w:r>
          </w:p>
          <w:p w14:paraId="0587BA8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Constituția Republicii Moldova;</w:t>
            </w:r>
          </w:p>
          <w:p w14:paraId="430B200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Codul Penal nr. 985/2002;</w:t>
            </w:r>
          </w:p>
          <w:p w14:paraId="1CD7E69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Codul Muncii nr. 154/2003;</w:t>
            </w:r>
          </w:p>
          <w:p w14:paraId="21B4E32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Codul de procedură civilă nr. 225/2003;</w:t>
            </w:r>
          </w:p>
          <w:p w14:paraId="337A210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Codul Contravențional nr. 218/2008;</w:t>
            </w:r>
          </w:p>
          <w:p w14:paraId="6F522B0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6. Codul Administrativ nr. 116/2018;</w:t>
            </w:r>
          </w:p>
          <w:p w14:paraId="3E48FCA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Legea Nr. 489/1999 privind sistemul public de asigurări sociale;</w:t>
            </w:r>
          </w:p>
          <w:p w14:paraId="1110DE7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Legea sindicatelor nr. 1129/2000;</w:t>
            </w:r>
          </w:p>
          <w:p w14:paraId="4F327E1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9. Legea nr. 245/2006 privind organizarea şi </w:t>
            </w:r>
            <w:proofErr w:type="spellStart"/>
            <w:r>
              <w:rPr>
                <w:rFonts w:ascii="Times New Roman" w:eastAsia="Times New Roman" w:hAnsi="Times New Roman" w:cs="Times New Roman"/>
                <w:highlight w:val="white"/>
              </w:rPr>
              <w:t>funcţionarea</w:t>
            </w:r>
            <w:proofErr w:type="spellEnd"/>
            <w:r>
              <w:rPr>
                <w:rFonts w:ascii="Times New Roman" w:eastAsia="Times New Roman" w:hAnsi="Times New Roman" w:cs="Times New Roman"/>
                <w:highlight w:val="white"/>
              </w:rPr>
              <w:t xml:space="preserve"> Comisiei </w:t>
            </w:r>
            <w:proofErr w:type="spellStart"/>
            <w:r>
              <w:rPr>
                <w:rFonts w:ascii="Times New Roman" w:eastAsia="Times New Roman" w:hAnsi="Times New Roman" w:cs="Times New Roman"/>
                <w:highlight w:val="white"/>
              </w:rPr>
              <w:t>naţionale</w:t>
            </w:r>
            <w:proofErr w:type="spellEnd"/>
            <w:r>
              <w:rPr>
                <w:rFonts w:ascii="Times New Roman" w:eastAsia="Times New Roman" w:hAnsi="Times New Roman" w:cs="Times New Roman"/>
                <w:highlight w:val="white"/>
              </w:rPr>
              <w:t xml:space="preserve"> pentru consultări şi negocieri colective, a comisiilor pentru consultări şi negocieri colective la nivel de ramură şi la nivel teritorial;</w:t>
            </w:r>
          </w:p>
          <w:p w14:paraId="5F1C783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10. Legea nr. 100/2017 cu privire la actele normative;</w:t>
            </w:r>
          </w:p>
          <w:p w14:paraId="623DE9B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11. Legea Nr. 200/2010 privind regimul străinilor în Republica Moldova;</w:t>
            </w:r>
          </w:p>
          <w:p w14:paraId="7C3B1F3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Legea nr. 60/2012 privind incluziunea socială a persoanelor cu dizabilități;</w:t>
            </w:r>
          </w:p>
          <w:p w14:paraId="03295AC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13. Legea nr. 121/2012 cu privire la asigurarea egalității;</w:t>
            </w:r>
          </w:p>
          <w:p w14:paraId="648B1C3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14. Legea nr. 298/2012 cu privire la activitatea Consiliului pentru egalitate;</w:t>
            </w:r>
          </w:p>
          <w:p w14:paraId="47C73B9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15. Legea nr. 105/2018 cu privire la promovarea ocupării </w:t>
            </w:r>
            <w:proofErr w:type="spellStart"/>
            <w:r>
              <w:rPr>
                <w:rFonts w:ascii="Times New Roman" w:eastAsia="Times New Roman" w:hAnsi="Times New Roman" w:cs="Times New Roman"/>
                <w:highlight w:val="white"/>
              </w:rPr>
              <w:t>forţei</w:t>
            </w:r>
            <w:proofErr w:type="spellEnd"/>
            <w:r>
              <w:rPr>
                <w:rFonts w:ascii="Times New Roman" w:eastAsia="Times New Roman" w:hAnsi="Times New Roman" w:cs="Times New Roman"/>
                <w:highlight w:val="white"/>
              </w:rPr>
              <w:t xml:space="preserve"> de muncă și asigurarea de șomaj.</w:t>
            </w:r>
          </w:p>
          <w:p w14:paraId="4146AC49"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2000/78/CE</w:t>
            </w:r>
          </w:p>
          <w:p w14:paraId="4F4C337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2000/78/CE, apreciem că proiectul național asigură transpunerea parțială a actului UE, conform celor constatate infra.</w:t>
            </w:r>
          </w:p>
          <w:p w14:paraId="395FA9A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1 „Obiectivul”, art. 2 „Conceptul de discriminare”, art. 3 „Domeniul de aplicare”, art. 4 „Cerințe profesionale”, art. 13 (1) „Dialogul social” din actul UE sunt transpuse parțial în Art. II, pct. 3 - 4 și pct. 6 din proiectul național.</w:t>
            </w:r>
          </w:p>
          <w:p w14:paraId="25FD7AAA"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lastRenderedPageBreak/>
              <w:t>c) Obiecții privind compatibilitatea cu Directiva 2000/78/CE</w:t>
            </w:r>
          </w:p>
          <w:p w14:paraId="0857884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transpunerea de proiectul național a art. 19 (1) din Directiva 2000/78/CE, care reglementează obligația statelor membre de a comunica periodic, din 5 în 5 ani, Comisiei Europene a tuturor informațiilor necesare pentru evaluarea aplicării directivei, cu punerea în aplicare a acestuia din data aderării la UE, având ca obiectiv prima raportare în termen de 5 ani de la data aderării la UE.</w:t>
            </w:r>
          </w:p>
          <w:p w14:paraId="2114C2D3" w14:textId="77777777" w:rsidR="00E114BB" w:rsidRDefault="00E114BB">
            <w:pPr>
              <w:spacing w:line="240" w:lineRule="auto"/>
              <w:ind w:firstLine="284"/>
              <w:jc w:val="both"/>
              <w:rPr>
                <w:rFonts w:ascii="Times New Roman" w:eastAsia="Times New Roman" w:hAnsi="Times New Roman" w:cs="Times New Roman"/>
                <w:highlight w:val="white"/>
              </w:rPr>
            </w:pPr>
          </w:p>
          <w:p w14:paraId="3482CBC1" w14:textId="77777777" w:rsidR="00E114BB" w:rsidRDefault="00E114BB">
            <w:pPr>
              <w:spacing w:line="240" w:lineRule="auto"/>
              <w:ind w:firstLine="284"/>
              <w:jc w:val="both"/>
              <w:rPr>
                <w:rFonts w:ascii="Times New Roman" w:eastAsia="Times New Roman" w:hAnsi="Times New Roman" w:cs="Times New Roman"/>
                <w:highlight w:val="white"/>
              </w:rPr>
            </w:pPr>
          </w:p>
          <w:p w14:paraId="18CF804F" w14:textId="77777777" w:rsidR="00E114BB" w:rsidRDefault="00E114BB">
            <w:pPr>
              <w:spacing w:line="240" w:lineRule="auto"/>
              <w:ind w:firstLine="284"/>
              <w:jc w:val="both"/>
              <w:rPr>
                <w:rFonts w:ascii="Times New Roman" w:eastAsia="Times New Roman" w:hAnsi="Times New Roman" w:cs="Times New Roman"/>
                <w:highlight w:val="white"/>
              </w:rPr>
            </w:pPr>
          </w:p>
          <w:p w14:paraId="6B7A1E54" w14:textId="77777777" w:rsidR="00E114BB" w:rsidRDefault="00E114BB">
            <w:pPr>
              <w:spacing w:line="240" w:lineRule="auto"/>
              <w:ind w:firstLine="284"/>
              <w:jc w:val="both"/>
              <w:rPr>
                <w:rFonts w:ascii="Times New Roman" w:eastAsia="Times New Roman" w:hAnsi="Times New Roman" w:cs="Times New Roman"/>
                <w:highlight w:val="white"/>
              </w:rPr>
            </w:pPr>
          </w:p>
          <w:p w14:paraId="46EA6F3B" w14:textId="77777777" w:rsidR="00E114BB" w:rsidRDefault="00E114BB">
            <w:pPr>
              <w:spacing w:line="240" w:lineRule="auto"/>
              <w:ind w:firstLine="284"/>
              <w:jc w:val="both"/>
              <w:rPr>
                <w:rFonts w:ascii="Times New Roman" w:eastAsia="Times New Roman" w:hAnsi="Times New Roman" w:cs="Times New Roman"/>
                <w:highlight w:val="white"/>
              </w:rPr>
            </w:pPr>
          </w:p>
          <w:p w14:paraId="2ABA07DF" w14:textId="77777777" w:rsidR="00E114BB" w:rsidRDefault="00E114BB">
            <w:pPr>
              <w:spacing w:line="240" w:lineRule="auto"/>
              <w:ind w:firstLine="284"/>
              <w:jc w:val="both"/>
              <w:rPr>
                <w:rFonts w:ascii="Times New Roman" w:eastAsia="Times New Roman" w:hAnsi="Times New Roman" w:cs="Times New Roman"/>
                <w:highlight w:val="white"/>
              </w:rPr>
            </w:pPr>
          </w:p>
          <w:p w14:paraId="3DCCBCE5" w14:textId="77777777" w:rsidR="00E114BB" w:rsidRDefault="00E114BB">
            <w:pPr>
              <w:spacing w:line="240" w:lineRule="auto"/>
              <w:ind w:firstLine="284"/>
              <w:jc w:val="both"/>
              <w:rPr>
                <w:rFonts w:ascii="Times New Roman" w:eastAsia="Times New Roman" w:hAnsi="Times New Roman" w:cs="Times New Roman"/>
                <w:highlight w:val="white"/>
              </w:rPr>
            </w:pPr>
          </w:p>
          <w:p w14:paraId="72777095" w14:textId="77777777" w:rsidR="00E114BB" w:rsidRDefault="00E114BB">
            <w:pPr>
              <w:spacing w:line="240" w:lineRule="auto"/>
              <w:ind w:firstLine="284"/>
              <w:jc w:val="both"/>
              <w:rPr>
                <w:rFonts w:ascii="Times New Roman" w:eastAsia="Times New Roman" w:hAnsi="Times New Roman" w:cs="Times New Roman"/>
                <w:highlight w:val="white"/>
              </w:rPr>
            </w:pPr>
          </w:p>
          <w:p w14:paraId="6B270AB3" w14:textId="77777777" w:rsidR="00E114BB" w:rsidRDefault="00E114BB">
            <w:pPr>
              <w:spacing w:line="240" w:lineRule="auto"/>
              <w:ind w:firstLine="284"/>
              <w:jc w:val="both"/>
              <w:rPr>
                <w:rFonts w:ascii="Times New Roman" w:eastAsia="Times New Roman" w:hAnsi="Times New Roman" w:cs="Times New Roman"/>
                <w:highlight w:val="white"/>
              </w:rPr>
            </w:pPr>
          </w:p>
          <w:p w14:paraId="53D2578F" w14:textId="77777777" w:rsidR="00E114BB" w:rsidRDefault="00E114BB">
            <w:pPr>
              <w:spacing w:line="240" w:lineRule="auto"/>
              <w:ind w:firstLine="284"/>
              <w:jc w:val="both"/>
              <w:rPr>
                <w:rFonts w:ascii="Times New Roman" w:eastAsia="Times New Roman" w:hAnsi="Times New Roman" w:cs="Times New Roman"/>
                <w:highlight w:val="white"/>
              </w:rPr>
            </w:pPr>
          </w:p>
          <w:p w14:paraId="4775DD65"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0FBB3A5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15, 18, art. 19 (2) și art. 20 - 21 nu fac obiectul transpunerii, întrucât au un caracter administrativ, teritorial sau sunt prevederi finale.</w:t>
            </w:r>
          </w:p>
        </w:tc>
        <w:tc>
          <w:tcPr>
            <w:tcW w:w="5880" w:type="dxa"/>
            <w:tcBorders>
              <w:bottom w:val="single" w:sz="4" w:space="0" w:color="000000"/>
            </w:tcBorders>
          </w:tcPr>
          <w:p w14:paraId="1CBAF75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BAFEAF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6D5290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A9470C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1BB642D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2F7B8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AA2340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BB27F1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9C2054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35019B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F6E3B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48B78D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A8A0E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31D05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11FDA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03CF96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E381F4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A140E1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E6CFB1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E99BC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E0A669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00E1FA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8E0DBA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5575FE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07BAC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7960AA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224CF0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92788F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CBDB5B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F0D30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DC40B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7DAC1E9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1DC2A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3C20F3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6CF46F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8E2473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BD3393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146AED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FAE99C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84DD37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4CB5445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0C3AA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obligația de raportare prevăzută la art. 19 alin. (1) din Directiva 2000/78/CE are un caracter general, vizând evaluarea aplicării principiului egalității de tratament în ansamblul domeniilor reglementate, chiar dacă aceasta include în mod central relațiile de muncă. Or, Legea nr. 121/2012 privind asigurarea egalității constituie cadrul normativ transversal în materie de nediscriminare, acoperind inclusiv domeniul ocupării forței de muncă prin art. 7, dar fără a se limita la acesta. În aceste condiții, reglementarea obligației de raportare în această lege asigură o abordare unitară și evită fragmentarea normativă care ar rezulta din plasarea acesteia exclusiv în Codul muncii al Republicii Moldova. Prin urmare, includerea mecanismului de raportare în Legea nr. 121/2012 apare ca fiind soluția coerentă și conformă cu obiectul extins al directivei, permițând agregarea datelor din toate domeniile relevante, inclusiv munca.</w:t>
            </w:r>
          </w:p>
          <w:p w14:paraId="2D32686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1DC854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3F09A7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p>
          <w:p w14:paraId="4062227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E114BB" w14:paraId="6F4D7C08" w14:textId="77777777">
        <w:trPr>
          <w:trHeight w:val="376"/>
        </w:trPr>
        <w:tc>
          <w:tcPr>
            <w:tcW w:w="555" w:type="dxa"/>
            <w:vMerge/>
          </w:tcPr>
          <w:p w14:paraId="41385F12" w14:textId="77777777" w:rsidR="00E114BB" w:rsidRDefault="00E114BB">
            <w:pPr>
              <w:spacing w:line="240" w:lineRule="auto"/>
              <w:rPr>
                <w:rFonts w:ascii="Times New Roman" w:eastAsia="Times New Roman" w:hAnsi="Times New Roman" w:cs="Times New Roman"/>
                <w:b/>
                <w:bCs/>
              </w:rPr>
            </w:pPr>
          </w:p>
        </w:tc>
        <w:tc>
          <w:tcPr>
            <w:tcW w:w="2700" w:type="dxa"/>
            <w:vMerge/>
          </w:tcPr>
          <w:p w14:paraId="2AA41586"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73DA834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6. </w:t>
            </w:r>
            <w:r>
              <w:rPr>
                <w:rFonts w:ascii="Times New Roman" w:eastAsia="Times New Roman" w:hAnsi="Times New Roman" w:cs="Times New Roman"/>
                <w:b/>
                <w:bCs/>
                <w:highlight w:val="white"/>
              </w:rPr>
              <w:t xml:space="preserve">Directiva 2002/14/CE a Parlamentului European și a Consiliului din 11 martie 2002 </w:t>
            </w:r>
            <w:r>
              <w:rPr>
                <w:rFonts w:ascii="Times New Roman" w:eastAsia="Times New Roman" w:hAnsi="Times New Roman" w:cs="Times New Roman"/>
                <w:highlight w:val="white"/>
              </w:rPr>
              <w:t>urmărește să stabilească un cadru minim de drepturi pentru informarea și consultarea angajaților cu privire la evoluția activității firmei și la deciziile care le pot afecta locurile de muncă.</w:t>
            </w:r>
          </w:p>
          <w:p w14:paraId="20EC2812"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2002/14/CE</w:t>
            </w:r>
          </w:p>
          <w:p w14:paraId="1ECA013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2002/14/CE a Parlamentului European și a Consiliului din 11 martie 2002 a constituit obiect al transpunerii parțiale prin:</w:t>
            </w:r>
          </w:p>
          <w:p w14:paraId="469CC00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Codul Muncii nr. 154/2003;</w:t>
            </w:r>
          </w:p>
          <w:p w14:paraId="067F460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Codul de procedură civilă nr. 225/2003;</w:t>
            </w:r>
          </w:p>
          <w:p w14:paraId="5BAE359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Codul Contravențional nr. 218/2008.</w:t>
            </w:r>
          </w:p>
          <w:p w14:paraId="454A9A6D"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lastRenderedPageBreak/>
              <w:t>b) Analiza comparativă a transpunerii dispozițiilor Directivei 2002/14/CE</w:t>
            </w:r>
          </w:p>
          <w:p w14:paraId="5A1326C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2002/14/CE, apreciem că proiectul național asigură transpunerea parțială a actului UE, conform celor constatate infra.</w:t>
            </w:r>
          </w:p>
          <w:p w14:paraId="2BC2AE2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4 „Modalități de informare și consultare” sunt transpuse parțial în Art. II, pct. 5 din proiectul național, iar prevederile art. 7 „Protecția reprezentanților lucrătorilor” din actul UE, sunt transpuse în Art. II, pct. 5 din proiectul național.</w:t>
            </w:r>
          </w:p>
          <w:p w14:paraId="66A0DC0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8 (2) „Protecția drepturilor” din actul UE sunt transpuse în Art. IV, pct. 2 din proiectul național.</w:t>
            </w:r>
          </w:p>
          <w:p w14:paraId="4426A12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3 (2) din Directiva 2002/14/CE reprezintă o clauză de salvgardare opțională, pe care Republica Moldova a ales să nu o transpună în legislația națională.</w:t>
            </w:r>
          </w:p>
          <w:p w14:paraId="19026656"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Obiecții privind compatibilitatea cu Directiva 2002/14/CE</w:t>
            </w:r>
          </w:p>
          <w:p w14:paraId="0C1CB80E" w14:textId="77777777" w:rsidR="00E114BB" w:rsidRDefault="00E114BB">
            <w:pPr>
              <w:spacing w:line="240" w:lineRule="auto"/>
              <w:ind w:firstLine="284"/>
              <w:jc w:val="both"/>
              <w:rPr>
                <w:rFonts w:ascii="Times New Roman" w:eastAsia="Times New Roman" w:hAnsi="Times New Roman" w:cs="Times New Roman"/>
                <w:highlight w:val="white"/>
              </w:rPr>
            </w:pPr>
          </w:p>
          <w:p w14:paraId="44CD972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atât proiectul național cât și Codul Muncii nu asigură transpunerea expresă a noțiunilor de „informare” și „consultare”, astfel cum sunt definite la art. 2 lit. f) și g) din Directivă. În legislația națională, aceste concepte nu sunt enunțate ca termeni definiți, ci sunt integrate direct în norme procedurale sau de conduită. Pentru o certitudine juridică deplină și o aliniere terminologică cu actul UE, se impune introducerea definițiilor exprese în corpul legii.</w:t>
            </w:r>
          </w:p>
          <w:p w14:paraId="1E2C7123" w14:textId="77777777" w:rsidR="00E114BB" w:rsidRDefault="00E114BB">
            <w:pPr>
              <w:spacing w:line="240" w:lineRule="auto"/>
              <w:ind w:firstLine="284"/>
              <w:jc w:val="both"/>
              <w:rPr>
                <w:rFonts w:ascii="Times New Roman" w:eastAsia="Times New Roman" w:hAnsi="Times New Roman" w:cs="Times New Roman"/>
                <w:highlight w:val="white"/>
              </w:rPr>
            </w:pPr>
          </w:p>
          <w:p w14:paraId="29FD0782" w14:textId="77777777" w:rsidR="00E114BB" w:rsidRDefault="00E114BB">
            <w:pPr>
              <w:spacing w:line="240" w:lineRule="auto"/>
              <w:ind w:firstLine="284"/>
              <w:jc w:val="both"/>
              <w:rPr>
                <w:rFonts w:ascii="Times New Roman" w:eastAsia="Times New Roman" w:hAnsi="Times New Roman" w:cs="Times New Roman"/>
                <w:highlight w:val="white"/>
              </w:rPr>
            </w:pPr>
          </w:p>
          <w:p w14:paraId="6B15DE1D" w14:textId="77777777" w:rsidR="00E114BB" w:rsidRDefault="00E114BB">
            <w:pPr>
              <w:spacing w:line="240" w:lineRule="auto"/>
              <w:ind w:firstLine="284"/>
              <w:jc w:val="both"/>
              <w:rPr>
                <w:rFonts w:ascii="Times New Roman" w:eastAsia="Times New Roman" w:hAnsi="Times New Roman" w:cs="Times New Roman"/>
                <w:highlight w:val="white"/>
              </w:rPr>
            </w:pPr>
          </w:p>
          <w:p w14:paraId="40F70136" w14:textId="77777777" w:rsidR="00E114BB" w:rsidRDefault="00E114BB">
            <w:pPr>
              <w:spacing w:line="240" w:lineRule="auto"/>
              <w:ind w:firstLine="284"/>
              <w:jc w:val="both"/>
              <w:rPr>
                <w:rFonts w:ascii="Times New Roman" w:eastAsia="Times New Roman" w:hAnsi="Times New Roman" w:cs="Times New Roman"/>
                <w:highlight w:val="white"/>
              </w:rPr>
            </w:pPr>
          </w:p>
          <w:p w14:paraId="5EF64610" w14:textId="77777777" w:rsidR="00E114BB" w:rsidRDefault="00E114BB">
            <w:pPr>
              <w:spacing w:line="240" w:lineRule="auto"/>
              <w:ind w:firstLine="284"/>
              <w:jc w:val="both"/>
              <w:rPr>
                <w:rFonts w:ascii="Times New Roman" w:eastAsia="Times New Roman" w:hAnsi="Times New Roman" w:cs="Times New Roman"/>
                <w:highlight w:val="white"/>
              </w:rPr>
            </w:pPr>
          </w:p>
          <w:p w14:paraId="28EABEA9" w14:textId="77777777" w:rsidR="00E114BB" w:rsidRDefault="00E114BB">
            <w:pPr>
              <w:spacing w:line="240" w:lineRule="auto"/>
              <w:ind w:firstLine="284"/>
              <w:jc w:val="both"/>
              <w:rPr>
                <w:rFonts w:ascii="Times New Roman" w:eastAsia="Times New Roman" w:hAnsi="Times New Roman" w:cs="Times New Roman"/>
                <w:highlight w:val="white"/>
              </w:rPr>
            </w:pPr>
          </w:p>
          <w:p w14:paraId="50A133FB" w14:textId="77777777" w:rsidR="00E114BB" w:rsidRDefault="00E114BB">
            <w:pPr>
              <w:spacing w:line="240" w:lineRule="auto"/>
              <w:ind w:firstLine="284"/>
              <w:jc w:val="both"/>
              <w:rPr>
                <w:rFonts w:ascii="Times New Roman" w:eastAsia="Times New Roman" w:hAnsi="Times New Roman" w:cs="Times New Roman"/>
                <w:highlight w:val="white"/>
              </w:rPr>
            </w:pPr>
          </w:p>
          <w:p w14:paraId="5354152D" w14:textId="77777777" w:rsidR="00E114BB" w:rsidRDefault="00E114BB">
            <w:pPr>
              <w:spacing w:line="240" w:lineRule="auto"/>
              <w:ind w:firstLine="284"/>
              <w:jc w:val="both"/>
              <w:rPr>
                <w:rFonts w:ascii="Times New Roman" w:eastAsia="Times New Roman" w:hAnsi="Times New Roman" w:cs="Times New Roman"/>
                <w:highlight w:val="white"/>
              </w:rPr>
            </w:pPr>
          </w:p>
          <w:p w14:paraId="5BBD35E3" w14:textId="77777777" w:rsidR="00E114BB" w:rsidRDefault="00E114BB">
            <w:pPr>
              <w:spacing w:line="240" w:lineRule="auto"/>
              <w:ind w:firstLine="284"/>
              <w:jc w:val="both"/>
              <w:rPr>
                <w:rFonts w:ascii="Times New Roman" w:eastAsia="Times New Roman" w:hAnsi="Times New Roman" w:cs="Times New Roman"/>
                <w:highlight w:val="white"/>
              </w:rPr>
            </w:pPr>
          </w:p>
          <w:p w14:paraId="04C93DCE" w14:textId="77777777" w:rsidR="00E114BB" w:rsidRDefault="00E114BB">
            <w:pPr>
              <w:spacing w:line="240" w:lineRule="auto"/>
              <w:ind w:firstLine="284"/>
              <w:jc w:val="both"/>
              <w:rPr>
                <w:rFonts w:ascii="Times New Roman" w:eastAsia="Times New Roman" w:hAnsi="Times New Roman" w:cs="Times New Roman"/>
                <w:highlight w:val="white"/>
              </w:rPr>
            </w:pPr>
          </w:p>
          <w:p w14:paraId="3754B05F" w14:textId="77777777" w:rsidR="00E114BB" w:rsidRDefault="00E114BB">
            <w:pPr>
              <w:spacing w:line="240" w:lineRule="auto"/>
              <w:ind w:firstLine="284"/>
              <w:jc w:val="both"/>
              <w:rPr>
                <w:rFonts w:ascii="Times New Roman" w:eastAsia="Times New Roman" w:hAnsi="Times New Roman" w:cs="Times New Roman"/>
                <w:highlight w:val="white"/>
              </w:rPr>
            </w:pPr>
          </w:p>
          <w:p w14:paraId="46FF109E" w14:textId="77777777" w:rsidR="00E114BB" w:rsidRDefault="00E114BB">
            <w:pPr>
              <w:spacing w:line="240" w:lineRule="auto"/>
              <w:ind w:firstLine="284"/>
              <w:jc w:val="both"/>
              <w:rPr>
                <w:rFonts w:ascii="Times New Roman" w:eastAsia="Times New Roman" w:hAnsi="Times New Roman" w:cs="Times New Roman"/>
                <w:highlight w:val="white"/>
              </w:rPr>
            </w:pPr>
          </w:p>
          <w:p w14:paraId="422D4AA6" w14:textId="77777777" w:rsidR="00E114BB" w:rsidRDefault="00E114BB">
            <w:pPr>
              <w:spacing w:line="240" w:lineRule="auto"/>
              <w:jc w:val="both"/>
              <w:rPr>
                <w:rFonts w:ascii="Times New Roman" w:eastAsia="Times New Roman" w:hAnsi="Times New Roman" w:cs="Times New Roman"/>
                <w:highlight w:val="white"/>
              </w:rPr>
            </w:pPr>
          </w:p>
          <w:p w14:paraId="5E95A68F" w14:textId="77777777" w:rsidR="00E114BB" w:rsidRDefault="00E114BB">
            <w:pPr>
              <w:spacing w:line="240" w:lineRule="auto"/>
              <w:ind w:firstLine="284"/>
              <w:jc w:val="both"/>
              <w:rPr>
                <w:rFonts w:ascii="Times New Roman" w:eastAsia="Times New Roman" w:hAnsi="Times New Roman" w:cs="Times New Roman"/>
                <w:highlight w:val="white"/>
              </w:rPr>
            </w:pPr>
          </w:p>
          <w:p w14:paraId="2E23972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3 (1) din actul UE, care oferă statelor membre opțiunea de a impune obligația de informare și consultare fie la unitățile cu cel puțin 20 de angajați, fie la întreprinderile cu cel puțin 50 de angajați, constatăm, că art. 421 din Codul Muncii impune această obligație de informare și consultare tuturor unităților indiferent de dimensiunea acestora. Astfel, norma națională este mai extinsă decât cea prevăzută de Directivă, oferind o protecție superioară în temeiul art. 8 din Directiva UE, fapt ce urmează a fi reflectat și în Tabelul de concordanță.</w:t>
            </w:r>
          </w:p>
          <w:p w14:paraId="2669F5BB" w14:textId="77777777" w:rsidR="00E114BB" w:rsidRDefault="00E114BB">
            <w:pPr>
              <w:spacing w:line="240" w:lineRule="auto"/>
              <w:ind w:firstLine="284"/>
              <w:jc w:val="both"/>
              <w:rPr>
                <w:rFonts w:ascii="Times New Roman" w:eastAsia="Times New Roman" w:hAnsi="Times New Roman" w:cs="Times New Roman"/>
                <w:highlight w:val="white"/>
              </w:rPr>
            </w:pPr>
          </w:p>
          <w:p w14:paraId="4A04BC82" w14:textId="77777777" w:rsidR="00E114BB"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32C09C3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 (1) - (2), art. 4 (1) și art. 9 - 13 nu fac obiectul transpunerii, întrucât reprezintă prevederi finale, tranzitorii sau procedurale care reglementează relația dintre norme sau termenele de implementare.</w:t>
            </w:r>
          </w:p>
        </w:tc>
        <w:tc>
          <w:tcPr>
            <w:tcW w:w="5880" w:type="dxa"/>
            <w:tcBorders>
              <w:bottom w:val="single" w:sz="4" w:space="0" w:color="000000"/>
            </w:tcBorders>
          </w:tcPr>
          <w:p w14:paraId="2235034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6CAAD5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8684BC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42EF59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89090D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D10C8D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F6BAC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F690F4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C7B271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B96E46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6C5682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1E3ABD5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E7DE25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E61A8A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90089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7A5DD8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1311E2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45E6CE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58580C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DA9895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C059F0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EB3792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63BDFA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1FFE7B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168BCB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A1D31C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D0B124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CC83C1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8B612E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BFEF104" w14:textId="77777777" w:rsidR="00E114BB"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Se propune art </w:t>
            </w:r>
            <w:r>
              <w:rPr>
                <w:rFonts w:ascii="Times New Roman" w:eastAsia="Times New Roman" w:hAnsi="Times New Roman" w:cs="Times New Roman"/>
                <w:sz w:val="24"/>
                <w:szCs w:val="24"/>
                <w:highlight w:val="white"/>
              </w:rPr>
              <w:t>42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alin. (1) din codul Muncii în următoarea redacție:</w:t>
            </w:r>
          </w:p>
          <w:p w14:paraId="5E7117E5" w14:textId="77777777" w:rsidR="00E114BB" w:rsidRDefault="00E114BB">
            <w:pPr>
              <w:shd w:val="clear" w:color="auto" w:fill="FFFFFF"/>
              <w:jc w:val="both"/>
              <w:rPr>
                <w:rFonts w:ascii="Times New Roman" w:eastAsia="Times New Roman" w:hAnsi="Times New Roman" w:cs="Times New Roman"/>
                <w:highlight w:val="white"/>
              </w:rPr>
            </w:pPr>
          </w:p>
          <w:p w14:paraId="33AE862E"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 xml:space="preserve">În sensul prezentului articol prin informare se înțelege transmiterea de date de către angajator reprezentanților salariaților pentru a le permite să se familiarizeze cu subiectul și să-l examineze, iar prin consultare se înțelege schimbul de păreri și stabilirea unui dialog între </w:t>
            </w:r>
            <w:proofErr w:type="spellStart"/>
            <w:r>
              <w:rPr>
                <w:rFonts w:ascii="Times New Roman" w:eastAsia="Times New Roman" w:hAnsi="Times New Roman" w:cs="Times New Roman"/>
                <w:b/>
                <w:bCs/>
                <w:highlight w:val="white"/>
              </w:rPr>
              <w:t>reprezentanţii</w:t>
            </w:r>
            <w:proofErr w:type="spellEnd"/>
            <w:r>
              <w:rPr>
                <w:rFonts w:ascii="Times New Roman" w:eastAsia="Times New Roman" w:hAnsi="Times New Roman" w:cs="Times New Roman"/>
                <w:b/>
                <w:bCs/>
                <w:highlight w:val="white"/>
              </w:rPr>
              <w:t xml:space="preserve"> salariaţilor și angajator.</w:t>
            </w:r>
          </w:p>
          <w:p w14:paraId="495E725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75484F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07CBA2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BFEA1F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298703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propune art. 42 alineatul (2) lit. b) din codul Muncii în următoarea redacție:</w:t>
            </w:r>
          </w:p>
          <w:p w14:paraId="7D161F55" w14:textId="77777777" w:rsidR="00E114BB"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Participarea salariaţilor la administrarea unităţii poate fi realizată prin:</w:t>
            </w:r>
          </w:p>
          <w:p w14:paraId="54BCFDE8" w14:textId="77777777" w:rsidR="00E114BB" w:rsidRDefault="00000000">
            <w:pPr>
              <w:spacing w:line="240" w:lineRule="auto"/>
              <w:ind w:firstLine="20"/>
              <w:jc w:val="both"/>
              <w:rPr>
                <w:rFonts w:ascii="Times New Roman" w:eastAsia="Times New Roman" w:hAnsi="Times New Roman" w:cs="Times New Roman"/>
                <w:b/>
                <w:bCs/>
                <w:sz w:val="18"/>
                <w:szCs w:val="18"/>
                <w:highlight w:val="white"/>
              </w:rPr>
            </w:pPr>
            <w:r>
              <w:rPr>
                <w:rFonts w:ascii="Times New Roman" w:eastAsia="Times New Roman" w:hAnsi="Times New Roman" w:cs="Times New Roman"/>
                <w:highlight w:val="white"/>
              </w:rPr>
              <w:t xml:space="preserve">b) informarea şi consultarea salariaţilor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highlight w:val="white"/>
              </w:rPr>
              <w:t>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71659B3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FFDF4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25621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52FCD4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5E362A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p>
        </w:tc>
      </w:tr>
      <w:tr w:rsidR="00E114BB" w14:paraId="49D68A0B" w14:textId="77777777">
        <w:trPr>
          <w:trHeight w:val="376"/>
        </w:trPr>
        <w:tc>
          <w:tcPr>
            <w:tcW w:w="555" w:type="dxa"/>
            <w:vMerge/>
          </w:tcPr>
          <w:p w14:paraId="0A9C4269" w14:textId="77777777" w:rsidR="00E114BB" w:rsidRDefault="00E114BB">
            <w:pPr>
              <w:spacing w:line="240" w:lineRule="auto"/>
              <w:rPr>
                <w:rFonts w:ascii="Times New Roman" w:eastAsia="Times New Roman" w:hAnsi="Times New Roman" w:cs="Times New Roman"/>
                <w:b/>
                <w:bCs/>
              </w:rPr>
            </w:pPr>
          </w:p>
        </w:tc>
        <w:tc>
          <w:tcPr>
            <w:tcW w:w="2700" w:type="dxa"/>
            <w:vMerge/>
          </w:tcPr>
          <w:p w14:paraId="27AC613B"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B1AD8E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Directiva 2008/104/CE a Parlamentului European și a Consiliului din 19 noiembrie 2008 urmărește să asigure protecția lucrătorilor temporari prin aplicarea principiului egalității de tratament în raport cu angajații direcți, stabilind totodată un cadru armonizat pentru utilizarea muncii prin agent de muncă temporară în Uniunea Europeană.</w:t>
            </w:r>
          </w:p>
          <w:p w14:paraId="700089F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2008/104/CE</w:t>
            </w:r>
          </w:p>
          <w:p w14:paraId="5FB96CF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2008/104/CE a Parlamentului European și a Consiliului din 19 noiembrie 2008 a constituit obiect al transpunerii parțiale prin:</w:t>
            </w:r>
          </w:p>
          <w:p w14:paraId="6797492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Codul Muncii nr. 154/2003;</w:t>
            </w:r>
          </w:p>
          <w:p w14:paraId="31DF3BA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Legea sindicatelor nr. 1129/2000;</w:t>
            </w:r>
          </w:p>
          <w:p w14:paraId="5C01777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Legea nr. 140/2001 privind Inspectoratul de Stat al Muncii.</w:t>
            </w:r>
          </w:p>
          <w:p w14:paraId="3F51411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Analiza comparativă a transpunerii dispozițiilor Directivei 2008/104/CE</w:t>
            </w:r>
          </w:p>
          <w:p w14:paraId="2B39D01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În ceea ce privește transpunerea Directivei 2008/104/CE, apreciem că proiectul național asigură transpunerea parțială a actului UE, conform celor constatate infra.</w:t>
            </w:r>
          </w:p>
          <w:p w14:paraId="63EFDA1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actele naționale indicate mai sus, asigură transpunerea Directivei 2008/104/CE.</w:t>
            </w:r>
          </w:p>
          <w:p w14:paraId="038D995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8 „Informarea reprezentanților lucrătorilor” din actul UE sunt transpuse parțial în Art. II, pct. 5 din proiectul național.</w:t>
            </w:r>
          </w:p>
          <w:p w14:paraId="6A4160C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 (3) și art. 5 (3) și (4) din Directiva 2002/14/CE reprezintă prevederi opționale, pe care Republica Moldova a ales să nu le transpună în legislația națională.</w:t>
            </w:r>
          </w:p>
          <w:p w14:paraId="692B4E0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Prevederi ale actului UE neaplicabile</w:t>
            </w:r>
          </w:p>
          <w:p w14:paraId="3D5DF75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4 (3) și (5), art. 7 (3), art. 9 (1) și art. 11 - 14 nu fac obiectul transpunerii, întrucât reprezintă prevederi finale sau obligații administrative de raportare expirate.</w:t>
            </w:r>
          </w:p>
          <w:p w14:paraId="58E62A9B" w14:textId="77777777" w:rsidR="00E114BB" w:rsidRDefault="00E114BB">
            <w:pPr>
              <w:spacing w:line="240" w:lineRule="auto"/>
              <w:jc w:val="both"/>
              <w:rPr>
                <w:rFonts w:ascii="Times New Roman" w:eastAsia="Times New Roman" w:hAnsi="Times New Roman" w:cs="Times New Roman"/>
                <w:highlight w:val="white"/>
              </w:rPr>
            </w:pPr>
          </w:p>
          <w:p w14:paraId="10FD550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Directiva 2014/67/UE a Parlamentului European și a Consiliului din 15 mai 2014, urmărește să prevină fraudele și să asigure respectarea drepturilor lucrătorilor detașați prin consolidarea cooperării administrative între statele membre și stabilirea unor mecanisme clare de control și sancționare.</w:t>
            </w:r>
          </w:p>
          <w:p w14:paraId="61B3A36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2014/67/UE</w:t>
            </w:r>
          </w:p>
          <w:p w14:paraId="43910A5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2014/67/UE a Parlamentului European și a Consiliului din 15 mai 2014 a constituit obiect al transpunerii parțiale prin proiectul de Lege privind detașarea salariaților în cadrul prestării de servicii (NU 184/MMPS/2026).</w:t>
            </w:r>
          </w:p>
          <w:p w14:paraId="2E46E74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Analiza comparativă a transpunerii dispozițiilor Directivei 2014/67/UE</w:t>
            </w:r>
          </w:p>
          <w:p w14:paraId="71244F2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2014/67/UE, apreciem că proiectul național, la Art. IV, pct. 3 și Art. V pct. 2, asigură transpunerea art. 20 a actului UE.</w:t>
            </w:r>
          </w:p>
          <w:p w14:paraId="18FEB29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pentru a asigura transpunerea completă a Directivei UE, se vor lua în considerație observațiile de compatibilitate cu </w:t>
            </w:r>
            <w:r>
              <w:rPr>
                <w:rFonts w:ascii="Times New Roman" w:eastAsia="Times New Roman" w:hAnsi="Times New Roman" w:cs="Times New Roman"/>
                <w:highlight w:val="white"/>
              </w:rPr>
              <w:lastRenderedPageBreak/>
              <w:t>Directiva 2014/67/UE, expuse de Centrul de armonizare a legislației la proiectul de Lege privind detașarea salariaților în cadrul prestării de servicii (NU 184/MMPS/2026).</w:t>
            </w:r>
          </w:p>
          <w:p w14:paraId="7E160FB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Prevederi ale actului UE neaplicabile</w:t>
            </w:r>
          </w:p>
          <w:p w14:paraId="2F65B68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5 (3), (4), art. 8 (2), art. 12 (8) și art. 22 - 26 nu fac obiectul transpunerii, întrucât reprezintă prevederi finale sau atribuții exclusive ale Comisiei.</w:t>
            </w:r>
          </w:p>
        </w:tc>
        <w:tc>
          <w:tcPr>
            <w:tcW w:w="5880" w:type="dxa"/>
            <w:tcBorders>
              <w:bottom w:val="single" w:sz="4" w:space="0" w:color="000000"/>
            </w:tcBorders>
          </w:tcPr>
          <w:p w14:paraId="6C18F56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48B0A0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50D26A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48FD82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D6394E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605421C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69FE00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E622A2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6F7400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660390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4790F1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344089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0A8E0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3F68D9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4A2897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A7F4E4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0EAC34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9531BB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45B24E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7A3A18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r>
              <w:rPr>
                <w:rFonts w:ascii="Times New Roman" w:eastAsia="Times New Roman" w:hAnsi="Times New Roman" w:cs="Times New Roman"/>
                <w:b/>
                <w:bCs/>
                <w:highlight w:val="white"/>
              </w:rPr>
              <w:t>.</w:t>
            </w:r>
          </w:p>
          <w:p w14:paraId="0B79DDA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D39A01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6C0852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2C1E6D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3C28C1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98640F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E76934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FBEA7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5C5DFC5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A6893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EB0D9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37581C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E003E9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6D8FB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82EC15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4BCBF8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680BDD4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A35D59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E4F32E1"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F5FD0B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Cu referire la pct. 8, se vor lua în considerare observațiile de compatibilitate cu Directiva 2014/67/UE, expuse de Centrul de armonizare a legislației la proiectul de Lege privind detașarea salariaților în cadrul prestării de servicii (NU 184/MMPS/2026). </w:t>
            </w:r>
          </w:p>
        </w:tc>
      </w:tr>
      <w:tr w:rsidR="00E114BB" w14:paraId="3467B4A0" w14:textId="77777777">
        <w:trPr>
          <w:trHeight w:val="376"/>
        </w:trPr>
        <w:tc>
          <w:tcPr>
            <w:tcW w:w="555" w:type="dxa"/>
            <w:vMerge/>
          </w:tcPr>
          <w:p w14:paraId="467A9D31" w14:textId="77777777" w:rsidR="00E114BB" w:rsidRDefault="00E114BB">
            <w:pPr>
              <w:spacing w:line="240" w:lineRule="auto"/>
              <w:rPr>
                <w:rFonts w:ascii="Times New Roman" w:eastAsia="Times New Roman" w:hAnsi="Times New Roman" w:cs="Times New Roman"/>
                <w:b/>
                <w:bCs/>
              </w:rPr>
            </w:pPr>
          </w:p>
        </w:tc>
        <w:tc>
          <w:tcPr>
            <w:tcW w:w="2700" w:type="dxa"/>
            <w:vMerge/>
          </w:tcPr>
          <w:p w14:paraId="68ED286E"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D34F6A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III. Respectarea mecanismului de armonizare</w:t>
            </w:r>
          </w:p>
          <w:p w14:paraId="23E8283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Obiecții privind clauza de armonizare</w:t>
            </w:r>
          </w:p>
          <w:p w14:paraId="1C5B5FA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Clauza de armonizare a proiectului urmează a fi expusă în următoarea redacție:</w:t>
            </w:r>
          </w:p>
          <w:p w14:paraId="78727BA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„Prezenta lege: </w:t>
            </w:r>
          </w:p>
          <w:p w14:paraId="5AFF005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89/391/CEE a Consiliului din 12 iunie 1989 privind punerea în aplicare de măsuri pentru promovarea îmbunătățirii securității și sănătății lucrătorilor la locul de muncă, CELEX: 31989L0391, publicată în Jurnalul Oficial al Uniunii Europene L 183 din 29 iunie 1989, astfel cum a fost modificată ultima oară prin Regulamentul (CE) nr. 1137/2008 al Parlamentului European și al Consiliului din 22 octombrie 2008; </w:t>
            </w:r>
          </w:p>
          <w:p w14:paraId="03BD3D3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91/383/CEE Consiliului din 25 iunie 1991 de completare a măsurilor destinate să promoveze îmbunătățirea securității și sănătății la locul de muncă în cazul lucrătorilor care au un raport de muncă pe durată determinată sau un raport de muncă temporară, CELEX: 31991L0383, publicată în Jurnalul Oficial al Uniunii Europene L 206 din 29 iulie 1991, astfel cum a fost modificată ultima oară prin Directiva 2007/30/CE a Parlamentului European și a Consiliului din 20 iunie 2007; </w:t>
            </w:r>
          </w:p>
          <w:p w14:paraId="0DE2032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92/85/CEE a Consiliului din 19 octombrie 1992 privind introducerea de măsuri pentru promovarea îmbunătățirii securității și a sănătății la locul de </w:t>
            </w:r>
            <w:r>
              <w:rPr>
                <w:rFonts w:ascii="Times New Roman" w:eastAsia="Times New Roman" w:hAnsi="Times New Roman" w:cs="Times New Roman"/>
                <w:highlight w:val="white"/>
              </w:rPr>
              <w:lastRenderedPageBreak/>
              <w:t>muncă în cazul lucrătoarelor gravide, care au născut de curând sau care alăptează [a zecea directivă specială în sensul articolului 16 alineatul (1) din Directiva 89/391/CEE], CELEX: 31992L0085, publicată în Jurnalul Oficial al Uniunii Europene L 348 din 28 noiembrie 1992, astfel cum a fost modificată ultima oară prin Regulamentul (UE) 2019/1243 al Parlamentului European și al Consiliului din 20 iunie 2019;</w:t>
            </w:r>
          </w:p>
          <w:p w14:paraId="329FD46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 </w:t>
            </w:r>
          </w:p>
          <w:p w14:paraId="38A40FB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 </w:t>
            </w:r>
          </w:p>
          <w:p w14:paraId="08FCB8D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 - transpune parțial Directiva 2008/104/CE a Parlamentului European și a Consiliului din 19 noiembrie 2008 privind munca prin agent de muncă temporară, CELEX: 32008L0104, publicată în Jurnalul Oficial al Uniunii Europene L 327 din 05 decembrie 2008; </w:t>
            </w:r>
          </w:p>
          <w:p w14:paraId="624B577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2014/67/UE a Parlamentului European și a Consiliului din 15 mai 2014 privind asigurarea respectării aplicării Directivei 96/71/CE privind detașarea </w:t>
            </w:r>
            <w:r>
              <w:rPr>
                <w:rFonts w:ascii="Times New Roman" w:eastAsia="Times New Roman" w:hAnsi="Times New Roman" w:cs="Times New Roman"/>
                <w:highlight w:val="white"/>
              </w:rPr>
              <w:lastRenderedPageBreak/>
              <w:t>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7F67176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creează cadrul necesar aplicării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w:t>
            </w:r>
          </w:p>
        </w:tc>
        <w:tc>
          <w:tcPr>
            <w:tcW w:w="5880" w:type="dxa"/>
            <w:tcBorders>
              <w:bottom w:val="single" w:sz="4" w:space="0" w:color="000000"/>
            </w:tcBorders>
          </w:tcPr>
          <w:p w14:paraId="30FA3DA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B1B6112"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E114BB" w14:paraId="3274959C" w14:textId="77777777">
        <w:trPr>
          <w:trHeight w:val="376"/>
        </w:trPr>
        <w:tc>
          <w:tcPr>
            <w:tcW w:w="555" w:type="dxa"/>
            <w:vMerge/>
          </w:tcPr>
          <w:p w14:paraId="098923BD" w14:textId="77777777" w:rsidR="00E114BB" w:rsidRDefault="00E114BB">
            <w:pPr>
              <w:spacing w:line="240" w:lineRule="auto"/>
              <w:rPr>
                <w:rFonts w:ascii="Times New Roman" w:eastAsia="Times New Roman" w:hAnsi="Times New Roman" w:cs="Times New Roman"/>
                <w:b/>
                <w:bCs/>
              </w:rPr>
            </w:pPr>
          </w:p>
        </w:tc>
        <w:tc>
          <w:tcPr>
            <w:tcW w:w="2700" w:type="dxa"/>
            <w:vMerge/>
          </w:tcPr>
          <w:p w14:paraId="6D2CB351"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6E82A5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I, pct. 1 din proiectul național, acesta va avea următoarea redacție:</w:t>
            </w:r>
          </w:p>
          <w:p w14:paraId="73ACB4C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După clauza de adoptare se introduce clauza de armonizare cu următorul cuprins: </w:t>
            </w:r>
          </w:p>
          <w:p w14:paraId="439F1A9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Prezenta lege creează cadrul necesar aplicării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w:t>
            </w:r>
          </w:p>
        </w:tc>
        <w:tc>
          <w:tcPr>
            <w:tcW w:w="5880" w:type="dxa"/>
            <w:tcBorders>
              <w:bottom w:val="single" w:sz="4" w:space="0" w:color="000000"/>
            </w:tcBorders>
          </w:tcPr>
          <w:p w14:paraId="49CC01F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E114BB" w14:paraId="0191BF14" w14:textId="77777777">
        <w:trPr>
          <w:trHeight w:val="376"/>
        </w:trPr>
        <w:tc>
          <w:tcPr>
            <w:tcW w:w="555" w:type="dxa"/>
            <w:vMerge/>
          </w:tcPr>
          <w:p w14:paraId="3D9C4795" w14:textId="77777777" w:rsidR="00E114BB" w:rsidRDefault="00E114BB">
            <w:pPr>
              <w:spacing w:line="240" w:lineRule="auto"/>
              <w:rPr>
                <w:rFonts w:ascii="Times New Roman" w:eastAsia="Times New Roman" w:hAnsi="Times New Roman" w:cs="Times New Roman"/>
                <w:b/>
                <w:bCs/>
              </w:rPr>
            </w:pPr>
          </w:p>
        </w:tc>
        <w:tc>
          <w:tcPr>
            <w:tcW w:w="2700" w:type="dxa"/>
            <w:vMerge/>
          </w:tcPr>
          <w:p w14:paraId="2F72E4AA"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5BB16D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II, pct. 1 din proiectul național, acesta va avea următoarea redacție:</w:t>
            </w:r>
          </w:p>
          <w:p w14:paraId="5567073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Clauza de armonizare se completează în final, după cum urmează:</w:t>
            </w:r>
          </w:p>
          <w:p w14:paraId="6C8CF17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CELEX: </w:t>
            </w:r>
            <w:r>
              <w:rPr>
                <w:rFonts w:ascii="Times New Roman" w:eastAsia="Times New Roman" w:hAnsi="Times New Roman" w:cs="Times New Roman"/>
                <w:highlight w:val="white"/>
              </w:rPr>
              <w:lastRenderedPageBreak/>
              <w:t>31992L0085, publicată în Jurnalul Oficial al Uniunii Europene L 348 din 28 noiembrie 1992, astfel cum a fost modificată ultima oară prin Regulamentul (UE) 2019/1243 al Parlamentului European și al Consiliului din 20 iunie 2019;</w:t>
            </w:r>
          </w:p>
          <w:p w14:paraId="76195C2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w:t>
            </w:r>
          </w:p>
          <w:p w14:paraId="45F1BEF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w:t>
            </w:r>
          </w:p>
          <w:p w14:paraId="66376EA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tc>
        <w:tc>
          <w:tcPr>
            <w:tcW w:w="5880" w:type="dxa"/>
            <w:tcBorders>
              <w:bottom w:val="single" w:sz="4" w:space="0" w:color="000000"/>
            </w:tcBorders>
          </w:tcPr>
          <w:p w14:paraId="779DF375"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Se acceptă.</w:t>
            </w:r>
          </w:p>
        </w:tc>
      </w:tr>
      <w:tr w:rsidR="00E114BB" w14:paraId="1653A3F2" w14:textId="77777777">
        <w:trPr>
          <w:trHeight w:val="376"/>
        </w:trPr>
        <w:tc>
          <w:tcPr>
            <w:tcW w:w="555" w:type="dxa"/>
            <w:vMerge/>
          </w:tcPr>
          <w:p w14:paraId="4F5C0136" w14:textId="77777777" w:rsidR="00E114BB" w:rsidRDefault="00E114BB">
            <w:pPr>
              <w:spacing w:line="240" w:lineRule="auto"/>
              <w:rPr>
                <w:rFonts w:ascii="Times New Roman" w:eastAsia="Times New Roman" w:hAnsi="Times New Roman" w:cs="Times New Roman"/>
                <w:b/>
                <w:bCs/>
              </w:rPr>
            </w:pPr>
          </w:p>
        </w:tc>
        <w:tc>
          <w:tcPr>
            <w:tcW w:w="2700" w:type="dxa"/>
            <w:vMerge/>
          </w:tcPr>
          <w:p w14:paraId="17A74F22"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8939A7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IV pct. 1 din proiectul național, acesta va avea următoarea redacție:</w:t>
            </w:r>
          </w:p>
          <w:p w14:paraId="219A0CF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„După clauza de adoptare se introduce clauza de armonizare cu următorul cuprins:</w:t>
            </w:r>
          </w:p>
          <w:p w14:paraId="2DF046F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Prezenta lege:</w:t>
            </w:r>
          </w:p>
          <w:p w14:paraId="75DFF08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w:t>
            </w:r>
            <w:r>
              <w:rPr>
                <w:rFonts w:ascii="Times New Roman" w:eastAsia="Times New Roman" w:hAnsi="Times New Roman" w:cs="Times New Roman"/>
                <w:highlight w:val="white"/>
              </w:rPr>
              <w:lastRenderedPageBreak/>
              <w:t>astfel cum a fost modificată ultima oară prin Directiva (UE) 2015/1794 a Parlamentului European și a Consiliului din 6 octombrie 2015;</w:t>
            </w:r>
          </w:p>
          <w:p w14:paraId="2B1C94F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tc>
        <w:tc>
          <w:tcPr>
            <w:tcW w:w="5880" w:type="dxa"/>
            <w:tcBorders>
              <w:bottom w:val="single" w:sz="4" w:space="0" w:color="000000"/>
            </w:tcBorders>
          </w:tcPr>
          <w:p w14:paraId="028A7FC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Se acceptă.</w:t>
            </w:r>
          </w:p>
        </w:tc>
      </w:tr>
      <w:tr w:rsidR="00E114BB" w14:paraId="573BFD5B" w14:textId="77777777">
        <w:trPr>
          <w:trHeight w:val="376"/>
        </w:trPr>
        <w:tc>
          <w:tcPr>
            <w:tcW w:w="555" w:type="dxa"/>
            <w:vMerge/>
          </w:tcPr>
          <w:p w14:paraId="21C5416D" w14:textId="77777777" w:rsidR="00E114BB" w:rsidRDefault="00E114BB">
            <w:pPr>
              <w:spacing w:line="240" w:lineRule="auto"/>
              <w:rPr>
                <w:rFonts w:ascii="Times New Roman" w:eastAsia="Times New Roman" w:hAnsi="Times New Roman" w:cs="Times New Roman"/>
                <w:b/>
                <w:bCs/>
              </w:rPr>
            </w:pPr>
          </w:p>
        </w:tc>
        <w:tc>
          <w:tcPr>
            <w:tcW w:w="2700" w:type="dxa"/>
            <w:vMerge/>
          </w:tcPr>
          <w:p w14:paraId="276BBA28"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AD155E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V, pct. 1 din proiectul național, acesta va avea următoarea redacție:</w:t>
            </w:r>
          </w:p>
          <w:p w14:paraId="7BD9D37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„După clauza de adoptare se introduce clauza de armonizare cu următorul cuprins:</w:t>
            </w:r>
          </w:p>
          <w:p w14:paraId="6E93486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Prezenta lege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tc>
        <w:tc>
          <w:tcPr>
            <w:tcW w:w="5880" w:type="dxa"/>
            <w:tcBorders>
              <w:bottom w:val="single" w:sz="4" w:space="0" w:color="000000"/>
            </w:tcBorders>
          </w:tcPr>
          <w:p w14:paraId="234CE00C"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E114BB" w14:paraId="4B4875E1" w14:textId="77777777">
        <w:trPr>
          <w:trHeight w:val="376"/>
        </w:trPr>
        <w:tc>
          <w:tcPr>
            <w:tcW w:w="555" w:type="dxa"/>
            <w:vMerge/>
          </w:tcPr>
          <w:p w14:paraId="33737376" w14:textId="77777777" w:rsidR="00E114BB" w:rsidRDefault="00E114BB">
            <w:pPr>
              <w:spacing w:line="240" w:lineRule="auto"/>
              <w:rPr>
                <w:rFonts w:ascii="Times New Roman" w:eastAsia="Times New Roman" w:hAnsi="Times New Roman" w:cs="Times New Roman"/>
                <w:b/>
                <w:bCs/>
              </w:rPr>
            </w:pPr>
          </w:p>
        </w:tc>
        <w:tc>
          <w:tcPr>
            <w:tcW w:w="2700" w:type="dxa"/>
            <w:vMerge/>
          </w:tcPr>
          <w:p w14:paraId="6F2142D1"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A0D3AA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Obiecții privind tabelele de concordanță</w:t>
            </w:r>
          </w:p>
          <w:p w14:paraId="18909DF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Potrivit pct. 1 din Anexa nr. 2 la Regulamentul privind armonizarea legislației Republicii Moldova cu legislația Uniunii Europene aprobat prin HG nr. 1171/2018 (în continuare Regulament), textul din compartimentul 1 al tabelului de concordanță al actului UE relevant, va avea următoarea redacție:</w:t>
            </w:r>
          </w:p>
          <w:p w14:paraId="7F080EF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89/391/CEE a Consiliului din 12 iunie 1989 privind punerea în aplicare de măsuri pentru promovarea îmbunătățirii securității și sănătății lucrătorilor la locul de muncă, CELEX: 31989L0391, publicată în Jurnalul Oficial al Uniunii Europene L 183 din 29 iunie 1989, astfel cum a fost </w:t>
            </w:r>
            <w:r>
              <w:rPr>
                <w:rFonts w:ascii="Times New Roman" w:eastAsia="Times New Roman" w:hAnsi="Times New Roman" w:cs="Times New Roman"/>
                <w:highlight w:val="white"/>
              </w:rPr>
              <w:lastRenderedPageBreak/>
              <w:t xml:space="preserve">modificată ultima oară prin Regulamentul (CE) nr. 1137/2008 al Parlamentului European și al Consiliului din 22 octombrie 2008”; </w:t>
            </w:r>
          </w:p>
          <w:p w14:paraId="733454C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 </w:t>
            </w:r>
          </w:p>
          <w:p w14:paraId="39A5582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 </w:t>
            </w:r>
          </w:p>
          <w:p w14:paraId="1733550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p w14:paraId="2752330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177D726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w:t>
            </w:r>
            <w:r>
              <w:rPr>
                <w:rFonts w:ascii="Times New Roman" w:eastAsia="Times New Roman" w:hAnsi="Times New Roman" w:cs="Times New Roman"/>
                <w:highlight w:val="white"/>
              </w:rPr>
              <w:lastRenderedPageBreak/>
              <w:t xml:space="preserve">2016/344, CELEX: 32019R1149, publicat în Jurnalul Oficial al Uniunii Europene L 186 din 11 iulie 2019” </w:t>
            </w:r>
          </w:p>
        </w:tc>
        <w:tc>
          <w:tcPr>
            <w:tcW w:w="5880" w:type="dxa"/>
            <w:tcBorders>
              <w:bottom w:val="single" w:sz="4" w:space="0" w:color="000000"/>
            </w:tcBorders>
          </w:tcPr>
          <w:p w14:paraId="429BD7B4" w14:textId="77777777" w:rsidR="00E114BB" w:rsidRDefault="00E114BB">
            <w:pPr>
              <w:spacing w:line="240" w:lineRule="auto"/>
              <w:jc w:val="both"/>
              <w:rPr>
                <w:rFonts w:ascii="Times New Roman" w:eastAsia="Times New Roman" w:hAnsi="Times New Roman" w:cs="Times New Roman"/>
                <w:b/>
                <w:bCs/>
                <w:highlight w:val="white"/>
              </w:rPr>
            </w:pPr>
          </w:p>
          <w:p w14:paraId="6FAEE3E3"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36970F4" w14:textId="77777777" w:rsidR="00E114BB" w:rsidRDefault="00E114BB">
            <w:pPr>
              <w:spacing w:line="240" w:lineRule="auto"/>
              <w:jc w:val="both"/>
              <w:rPr>
                <w:rFonts w:ascii="Times New Roman" w:eastAsia="Times New Roman" w:hAnsi="Times New Roman" w:cs="Times New Roman"/>
                <w:b/>
                <w:bCs/>
                <w:highlight w:val="white"/>
              </w:rPr>
            </w:pPr>
          </w:p>
          <w:p w14:paraId="1F1F134A"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corespunzătoare au fost ajustate.</w:t>
            </w:r>
          </w:p>
          <w:p w14:paraId="0633BEC6" w14:textId="77777777" w:rsidR="00E114BB" w:rsidRDefault="00E114BB">
            <w:pPr>
              <w:spacing w:line="240" w:lineRule="auto"/>
              <w:jc w:val="both"/>
              <w:rPr>
                <w:rFonts w:ascii="Times New Roman" w:eastAsia="Times New Roman" w:hAnsi="Times New Roman" w:cs="Times New Roman"/>
                <w:highlight w:val="white"/>
              </w:rPr>
            </w:pPr>
          </w:p>
          <w:p w14:paraId="0A2A70F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193BC48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24EFA6B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18DAB5D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197F7F6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46651E51" w14:textId="77777777">
        <w:trPr>
          <w:trHeight w:val="376"/>
        </w:trPr>
        <w:tc>
          <w:tcPr>
            <w:tcW w:w="555" w:type="dxa"/>
            <w:vMerge/>
          </w:tcPr>
          <w:p w14:paraId="35DF0730" w14:textId="77777777" w:rsidR="00E114BB" w:rsidRDefault="00E114BB">
            <w:pPr>
              <w:spacing w:line="240" w:lineRule="auto"/>
              <w:rPr>
                <w:rFonts w:ascii="Times New Roman" w:eastAsia="Times New Roman" w:hAnsi="Times New Roman" w:cs="Times New Roman"/>
                <w:b/>
                <w:bCs/>
              </w:rPr>
            </w:pPr>
          </w:p>
        </w:tc>
        <w:tc>
          <w:tcPr>
            <w:tcW w:w="2700" w:type="dxa"/>
            <w:vMerge/>
          </w:tcPr>
          <w:p w14:paraId="48239D18"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94E87B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Potrivit pct. 2 din Anexa nr. 2 la Regulament, la compartimentul 2 al tabelului de concordanță urmează a fi indicat corect titlul proiectului de act normativ național ce transpune dispozițiile actului juridic european, și anume „Lege pentru modificarea unor acte normative în domeniul raporturilor de muncă, securității și sănătății în muncă și egalității de tratament” (obiecție valabilă pentru toate tabelele de concordanță).</w:t>
            </w:r>
          </w:p>
        </w:tc>
        <w:tc>
          <w:tcPr>
            <w:tcW w:w="5880" w:type="dxa"/>
            <w:tcBorders>
              <w:bottom w:val="single" w:sz="4" w:space="0" w:color="000000"/>
            </w:tcBorders>
          </w:tcPr>
          <w:p w14:paraId="74B899AB"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68EC257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corespunzătoare au fost ajustate.</w:t>
            </w:r>
          </w:p>
        </w:tc>
      </w:tr>
      <w:tr w:rsidR="00E114BB" w14:paraId="5AD91F4C" w14:textId="77777777">
        <w:trPr>
          <w:trHeight w:val="376"/>
        </w:trPr>
        <w:tc>
          <w:tcPr>
            <w:tcW w:w="555" w:type="dxa"/>
            <w:vMerge/>
          </w:tcPr>
          <w:p w14:paraId="3048E118" w14:textId="77777777" w:rsidR="00E114BB" w:rsidRDefault="00E114BB">
            <w:pPr>
              <w:spacing w:line="240" w:lineRule="auto"/>
              <w:rPr>
                <w:rFonts w:ascii="Times New Roman" w:eastAsia="Times New Roman" w:hAnsi="Times New Roman" w:cs="Times New Roman"/>
                <w:b/>
                <w:bCs/>
              </w:rPr>
            </w:pPr>
          </w:p>
        </w:tc>
        <w:tc>
          <w:tcPr>
            <w:tcW w:w="2700" w:type="dxa"/>
            <w:vMerge/>
          </w:tcPr>
          <w:p w14:paraId="76F01D1F"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749A326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prevederile indicate la compartimentul 7 al tabelului de concordanță nu corespund versiunii proiectului de lege pentru modificarea unor acte normative în domeniul raporturilor de muncă, securității și sănătății în muncă și egalității de tratament, transmis spre expertizare. Prin urmare, tabelul prezentat urmează a fi revizuit în vederea asigurării unei delimitări clare între normele UE deja transpuse și cele care fac obiectul transpunerii prin prezentul proiect.</w:t>
            </w:r>
          </w:p>
        </w:tc>
        <w:tc>
          <w:tcPr>
            <w:tcW w:w="5880" w:type="dxa"/>
            <w:tcBorders>
              <w:bottom w:val="single" w:sz="4" w:space="0" w:color="000000"/>
            </w:tcBorders>
          </w:tcPr>
          <w:p w14:paraId="5A8DB60C"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098DCF97"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corespunzătoare au fost ajustate.</w:t>
            </w:r>
          </w:p>
          <w:p w14:paraId="2061968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3EC7D1D7" w14:textId="77777777">
        <w:trPr>
          <w:trHeight w:val="376"/>
        </w:trPr>
        <w:tc>
          <w:tcPr>
            <w:tcW w:w="555" w:type="dxa"/>
            <w:vMerge/>
          </w:tcPr>
          <w:p w14:paraId="5692876A" w14:textId="77777777" w:rsidR="00E114BB" w:rsidRDefault="00E114BB">
            <w:pPr>
              <w:spacing w:line="240" w:lineRule="auto"/>
              <w:rPr>
                <w:rFonts w:ascii="Times New Roman" w:eastAsia="Times New Roman" w:hAnsi="Times New Roman" w:cs="Times New Roman"/>
                <w:b/>
                <w:bCs/>
              </w:rPr>
            </w:pPr>
          </w:p>
        </w:tc>
        <w:tc>
          <w:tcPr>
            <w:tcW w:w="2700" w:type="dxa"/>
            <w:vMerge/>
          </w:tcPr>
          <w:p w14:paraId="4E61E16C"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C11C60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având în vedere că inițiativa vizează modificarea art. 8 alin. (2) din Codul muncii (Art. II, pct. 4), se impune actualizarea corespondentului național pentru art. 4 din Directiva 2000/43/CE. În acest sens, la compartimentul 9 al tabelului de concordanță, urmează a fi inserată noua redacție propusă prin proiect în locul versiunii actuale a Codului muncii, pentru a reflecta fidel stadiul de armonizare legislativă</w:t>
            </w:r>
          </w:p>
        </w:tc>
        <w:tc>
          <w:tcPr>
            <w:tcW w:w="5880" w:type="dxa"/>
            <w:tcBorders>
              <w:bottom w:val="single" w:sz="4" w:space="0" w:color="000000"/>
            </w:tcBorders>
          </w:tcPr>
          <w:p w14:paraId="70E5B8B3"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37EBAEE7"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Tabelul de concordanță a fost ajustat.</w:t>
            </w:r>
          </w:p>
          <w:p w14:paraId="67A1A1C4" w14:textId="77777777" w:rsidR="00E114BB" w:rsidRDefault="00E114BB">
            <w:pPr>
              <w:spacing w:line="240" w:lineRule="auto"/>
              <w:jc w:val="both"/>
              <w:rPr>
                <w:rFonts w:ascii="Times New Roman" w:eastAsia="Times New Roman" w:hAnsi="Times New Roman" w:cs="Times New Roman"/>
                <w:b/>
                <w:bCs/>
                <w:highlight w:val="white"/>
              </w:rPr>
            </w:pPr>
          </w:p>
        </w:tc>
      </w:tr>
      <w:tr w:rsidR="00E114BB" w14:paraId="364F8263" w14:textId="77777777">
        <w:trPr>
          <w:trHeight w:val="376"/>
        </w:trPr>
        <w:tc>
          <w:tcPr>
            <w:tcW w:w="555" w:type="dxa"/>
            <w:vMerge/>
          </w:tcPr>
          <w:p w14:paraId="12CA05B1" w14:textId="77777777" w:rsidR="00E114BB" w:rsidRDefault="00E114BB">
            <w:pPr>
              <w:spacing w:line="240" w:lineRule="auto"/>
              <w:rPr>
                <w:rFonts w:ascii="Times New Roman" w:eastAsia="Times New Roman" w:hAnsi="Times New Roman" w:cs="Times New Roman"/>
                <w:b/>
                <w:bCs/>
              </w:rPr>
            </w:pPr>
          </w:p>
        </w:tc>
        <w:tc>
          <w:tcPr>
            <w:tcW w:w="2700" w:type="dxa"/>
            <w:vMerge/>
          </w:tcPr>
          <w:p w14:paraId="6B490FF2"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CF59D0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recomandă examinarea cadrului normativ național pentru identificarea normelor ce reflectă exigențele art. 6 din Directiva 2000/78/CE. În măsura în care se atestă o corelare, tabelul de concordanță urmează a fi completat cu prevederile interne corespondente pentru a asigura oglindirea fidelă a gradului de armonizare.</w:t>
            </w:r>
          </w:p>
        </w:tc>
        <w:tc>
          <w:tcPr>
            <w:tcW w:w="5880" w:type="dxa"/>
            <w:tcBorders>
              <w:bottom w:val="single" w:sz="4" w:space="0" w:color="000000"/>
            </w:tcBorders>
          </w:tcPr>
          <w:p w14:paraId="259678A7"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189F676D"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Tabelul de concordanță a fost ajustat.</w:t>
            </w:r>
          </w:p>
        </w:tc>
      </w:tr>
      <w:tr w:rsidR="00E114BB" w14:paraId="4505680F" w14:textId="77777777">
        <w:trPr>
          <w:trHeight w:val="376"/>
        </w:trPr>
        <w:tc>
          <w:tcPr>
            <w:tcW w:w="555" w:type="dxa"/>
            <w:vMerge/>
          </w:tcPr>
          <w:p w14:paraId="2349D5E0" w14:textId="77777777" w:rsidR="00E114BB" w:rsidRDefault="00E114BB">
            <w:pPr>
              <w:spacing w:line="240" w:lineRule="auto"/>
              <w:rPr>
                <w:rFonts w:ascii="Times New Roman" w:eastAsia="Times New Roman" w:hAnsi="Times New Roman" w:cs="Times New Roman"/>
                <w:b/>
                <w:bCs/>
              </w:rPr>
            </w:pPr>
          </w:p>
        </w:tc>
        <w:tc>
          <w:tcPr>
            <w:tcW w:w="2700" w:type="dxa"/>
            <w:vMerge/>
          </w:tcPr>
          <w:p w14:paraId="629EB7E8"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7E022EB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Potrivit pct. 8 din Anexa nr. 2 la Regulament, pentru Anexa din Directiva nr. 89/391/CEE, la compartimentul 8 al tabelului de concordanță urmează a fi indicat calificativul „Prevederi UE neaplicabile”.</w:t>
            </w:r>
          </w:p>
        </w:tc>
        <w:tc>
          <w:tcPr>
            <w:tcW w:w="5880" w:type="dxa"/>
            <w:tcBorders>
              <w:bottom w:val="single" w:sz="4" w:space="0" w:color="000000"/>
            </w:tcBorders>
          </w:tcPr>
          <w:p w14:paraId="34C666B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3A5E49E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Tabelul de concordanță a fost ajustat.</w:t>
            </w:r>
          </w:p>
          <w:p w14:paraId="4E44EB5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58D0AD02" w14:textId="77777777">
        <w:trPr>
          <w:trHeight w:val="376"/>
        </w:trPr>
        <w:tc>
          <w:tcPr>
            <w:tcW w:w="555" w:type="dxa"/>
            <w:vMerge/>
          </w:tcPr>
          <w:p w14:paraId="7B75E029" w14:textId="77777777" w:rsidR="00E114BB" w:rsidRDefault="00E114BB">
            <w:pPr>
              <w:spacing w:line="240" w:lineRule="auto"/>
              <w:rPr>
                <w:rFonts w:ascii="Times New Roman" w:eastAsia="Times New Roman" w:hAnsi="Times New Roman" w:cs="Times New Roman"/>
                <w:b/>
                <w:bCs/>
              </w:rPr>
            </w:pPr>
          </w:p>
        </w:tc>
        <w:tc>
          <w:tcPr>
            <w:tcW w:w="2700" w:type="dxa"/>
            <w:vMerge/>
          </w:tcPr>
          <w:p w14:paraId="7425877E"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5ECBDDB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pct. 9 din Anexa nr. 2 la Regulament, compartimentul 9 al tabelului de concordanță trebuie să cuprindă strict justificările pentru transpunerea parțială, termenele de compatibilizare deplină și confirmarea lipsei </w:t>
            </w:r>
            <w:proofErr w:type="spellStart"/>
            <w:r>
              <w:rPr>
                <w:rFonts w:ascii="Times New Roman" w:eastAsia="Times New Roman" w:hAnsi="Times New Roman" w:cs="Times New Roman"/>
                <w:highlight w:val="white"/>
              </w:rPr>
              <w:t>suprareglementării</w:t>
            </w:r>
            <w:proofErr w:type="spellEnd"/>
            <w:r>
              <w:rPr>
                <w:rFonts w:ascii="Times New Roman" w:eastAsia="Times New Roman" w:hAnsi="Times New Roman" w:cs="Times New Roman"/>
                <w:highlight w:val="white"/>
              </w:rPr>
              <w:t>. Prin urmare, este necesară eliminarea tuturor comentariilor care nu vizează aceste aspecte specifice (de ex: tabelul Directivei 89/391/CEE).</w:t>
            </w:r>
          </w:p>
        </w:tc>
        <w:tc>
          <w:tcPr>
            <w:tcW w:w="5880" w:type="dxa"/>
            <w:tcBorders>
              <w:bottom w:val="single" w:sz="4" w:space="0" w:color="000000"/>
            </w:tcBorders>
          </w:tcPr>
          <w:p w14:paraId="4E049EF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2252AD57"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au fost ajustate.</w:t>
            </w:r>
          </w:p>
        </w:tc>
      </w:tr>
      <w:tr w:rsidR="00E114BB" w14:paraId="2199AA9A" w14:textId="77777777">
        <w:trPr>
          <w:trHeight w:val="376"/>
        </w:trPr>
        <w:tc>
          <w:tcPr>
            <w:tcW w:w="555" w:type="dxa"/>
            <w:vMerge/>
          </w:tcPr>
          <w:p w14:paraId="588A0DBA" w14:textId="77777777" w:rsidR="00E114BB" w:rsidRDefault="00E114BB">
            <w:pPr>
              <w:spacing w:line="240" w:lineRule="auto"/>
              <w:rPr>
                <w:rFonts w:ascii="Times New Roman" w:eastAsia="Times New Roman" w:hAnsi="Times New Roman" w:cs="Times New Roman"/>
                <w:b/>
                <w:bCs/>
              </w:rPr>
            </w:pPr>
          </w:p>
        </w:tc>
        <w:tc>
          <w:tcPr>
            <w:tcW w:w="2700" w:type="dxa"/>
            <w:vMerge/>
          </w:tcPr>
          <w:p w14:paraId="433D76E8"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2807700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Observații privind Nota de fundamentare</w:t>
            </w:r>
          </w:p>
          <w:p w14:paraId="4062B7C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Compartimentul 5 din Nota de fundamentare urmează a fi completat potrivit cerințelor prevăzute la pct. 5 din Anexa 1 la Legea 100/2017.</w:t>
            </w:r>
          </w:p>
          <w:p w14:paraId="26304BD2"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Borders>
              <w:bottom w:val="single" w:sz="4" w:space="0" w:color="000000"/>
            </w:tcBorders>
          </w:tcPr>
          <w:p w14:paraId="25D96F9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E114BB" w14:paraId="04EA1075" w14:textId="77777777">
        <w:trPr>
          <w:trHeight w:val="376"/>
        </w:trPr>
        <w:tc>
          <w:tcPr>
            <w:tcW w:w="555" w:type="dxa"/>
            <w:vMerge/>
          </w:tcPr>
          <w:p w14:paraId="1F328DC5" w14:textId="77777777" w:rsidR="00E114BB" w:rsidRDefault="00E114BB">
            <w:pPr>
              <w:spacing w:line="240" w:lineRule="auto"/>
              <w:rPr>
                <w:rFonts w:ascii="Times New Roman" w:eastAsia="Times New Roman" w:hAnsi="Times New Roman" w:cs="Times New Roman"/>
                <w:b/>
                <w:bCs/>
              </w:rPr>
            </w:pPr>
          </w:p>
        </w:tc>
        <w:tc>
          <w:tcPr>
            <w:tcW w:w="2700" w:type="dxa"/>
            <w:vMerge/>
          </w:tcPr>
          <w:p w14:paraId="71757E67"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437F2C5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IV. Concluzii</w:t>
            </w:r>
          </w:p>
          <w:p w14:paraId="00D4768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Ca urmare a expertizei de compatibilitate realizate, se va asigura revizuirea proiectului și documentelor anexate prin prisma obiecțiilor și propunerilor enunțate în prezenta Declarație de compatibilitate.</w:t>
            </w:r>
          </w:p>
        </w:tc>
        <w:tc>
          <w:tcPr>
            <w:tcW w:w="5880" w:type="dxa"/>
            <w:tcBorders>
              <w:bottom w:val="single" w:sz="4" w:space="0" w:color="000000"/>
            </w:tcBorders>
          </w:tcPr>
          <w:p w14:paraId="71D49F2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E114BB" w14:paraId="1D03699C" w14:textId="77777777">
        <w:trPr>
          <w:trHeight w:val="376"/>
        </w:trPr>
        <w:tc>
          <w:tcPr>
            <w:tcW w:w="555" w:type="dxa"/>
            <w:vMerge/>
          </w:tcPr>
          <w:p w14:paraId="22861892" w14:textId="77777777" w:rsidR="00E114BB" w:rsidRDefault="00E114BB">
            <w:pPr>
              <w:spacing w:line="240" w:lineRule="auto"/>
              <w:rPr>
                <w:rFonts w:ascii="Times New Roman" w:eastAsia="Times New Roman" w:hAnsi="Times New Roman" w:cs="Times New Roman"/>
                <w:b/>
                <w:bCs/>
              </w:rPr>
            </w:pPr>
          </w:p>
        </w:tc>
        <w:tc>
          <w:tcPr>
            <w:tcW w:w="2700" w:type="dxa"/>
            <w:vMerge/>
          </w:tcPr>
          <w:p w14:paraId="0D695822"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D66C19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Facem mențiunea că analiza Centrului de armonizare a legislației nu are în vedere elementele de oportunitate ale soluțiilor juridice incluse în proiectul de act normativ, ci se referă strict la conformitatea acestora cu Dreptul UE aplicabil, obligațiile juridice asumate în lumina Acordului de Asociere RM – UE și Cadrului de negociere cu Uniunea Europeană.</w:t>
            </w:r>
          </w:p>
        </w:tc>
        <w:tc>
          <w:tcPr>
            <w:tcW w:w="5880" w:type="dxa"/>
            <w:tcBorders>
              <w:bottom w:val="single" w:sz="4" w:space="0" w:color="000000"/>
            </w:tcBorders>
          </w:tcPr>
          <w:p w14:paraId="0A1D319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E114BB" w14:paraId="39B26CD8" w14:textId="77777777">
        <w:trPr>
          <w:trHeight w:val="376"/>
        </w:trPr>
        <w:tc>
          <w:tcPr>
            <w:tcW w:w="555" w:type="dxa"/>
            <w:vMerge w:val="restart"/>
          </w:tcPr>
          <w:p w14:paraId="26F748A9"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77AB3DB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Justiției</w:t>
            </w:r>
          </w:p>
          <w:p w14:paraId="7F6B1913"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04/2-2632 din 12.03.2026</w:t>
            </w:r>
          </w:p>
          <w:p w14:paraId="4AADE351"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BF6662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etapa avizării proiectului, Ministerul Justiției, în limita competenților funcționale, se va expune doar asupra modificărilor propuse la Codul contravențional și Codul de executare. La etapa efectuării expertizei juridice în temeiul art. 37 din Legea nr. 100/2017 cu privire la actele normative, vor fi expuse </w:t>
            </w:r>
            <w:proofErr w:type="spellStart"/>
            <w:r>
              <w:rPr>
                <w:rFonts w:ascii="Times New Roman" w:eastAsia="Times New Roman" w:hAnsi="Times New Roman" w:cs="Times New Roman"/>
                <w:highlight w:val="white"/>
              </w:rPr>
              <w:t>obiecţiile</w:t>
            </w:r>
            <w:proofErr w:type="spellEnd"/>
            <w:r>
              <w:rPr>
                <w:rFonts w:ascii="Times New Roman" w:eastAsia="Times New Roman" w:hAnsi="Times New Roman" w:cs="Times New Roman"/>
                <w:highlight w:val="white"/>
              </w:rPr>
              <w:t xml:space="preserve"> şi propunerile privind respectarea standardelor în domeniul drepturilor omului, precum şi a normelor de tehnică legislativă.</w:t>
            </w:r>
          </w:p>
        </w:tc>
        <w:tc>
          <w:tcPr>
            <w:tcW w:w="5880" w:type="dxa"/>
            <w:tcBorders>
              <w:bottom w:val="single" w:sz="4" w:space="0" w:color="000000"/>
            </w:tcBorders>
          </w:tcPr>
          <w:p w14:paraId="06BABEB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453246D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color w:val="333333"/>
                <w:highlight w:val="white"/>
              </w:rPr>
            </w:pPr>
            <w:r>
              <w:rPr>
                <w:rFonts w:ascii="Times New Roman" w:eastAsia="Times New Roman" w:hAnsi="Times New Roman" w:cs="Times New Roman"/>
                <w:highlight w:val="white"/>
              </w:rPr>
              <w:t xml:space="preserve">Este important inclusiv examinarea aspectelor conexe Legii </w:t>
            </w:r>
            <w:r>
              <w:rPr>
                <w:rFonts w:ascii="Times New Roman" w:eastAsia="Times New Roman" w:hAnsi="Times New Roman" w:cs="Times New Roman"/>
                <w:color w:val="333333"/>
                <w:highlight w:val="white"/>
              </w:rPr>
              <w:t xml:space="preserve">nr.121/2012 cu privire la asigurarea </w:t>
            </w:r>
            <w:proofErr w:type="spellStart"/>
            <w:r>
              <w:rPr>
                <w:rFonts w:ascii="Times New Roman" w:eastAsia="Times New Roman" w:hAnsi="Times New Roman" w:cs="Times New Roman"/>
                <w:color w:val="333333"/>
                <w:highlight w:val="white"/>
              </w:rPr>
              <w:t>egalităţii</w:t>
            </w:r>
            <w:proofErr w:type="spellEnd"/>
            <w:r>
              <w:rPr>
                <w:rFonts w:ascii="Times New Roman" w:eastAsia="Times New Roman" w:hAnsi="Times New Roman" w:cs="Times New Roman"/>
                <w:color w:val="333333"/>
                <w:highlight w:val="white"/>
              </w:rPr>
              <w:t>.</w:t>
            </w:r>
          </w:p>
          <w:p w14:paraId="34D3BAC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5236BBEF" w14:textId="77777777">
        <w:trPr>
          <w:trHeight w:val="4195"/>
        </w:trPr>
        <w:tc>
          <w:tcPr>
            <w:tcW w:w="555" w:type="dxa"/>
            <w:vMerge/>
          </w:tcPr>
          <w:p w14:paraId="0D06658D" w14:textId="77777777" w:rsidR="00E114BB" w:rsidRDefault="00E114BB">
            <w:pPr>
              <w:widowControl w:val="0"/>
              <w:rPr>
                <w:rFonts w:ascii="Times New Roman" w:eastAsia="Times New Roman" w:hAnsi="Times New Roman" w:cs="Times New Roman"/>
                <w:highlight w:val="white"/>
              </w:rPr>
            </w:pPr>
          </w:p>
        </w:tc>
        <w:tc>
          <w:tcPr>
            <w:tcW w:w="2700" w:type="dxa"/>
            <w:vMerge/>
          </w:tcPr>
          <w:p w14:paraId="497285D9"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4985B57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IV (Codul contravențional): </w:t>
            </w:r>
          </w:p>
          <w:p w14:paraId="298E813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3, cu referire la propunerea de completare a Codului contravențional nr. 218/2008 cu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 „Încălcarea legislației muncii, în domeniul detașării transnaționale a salariaților”, se recomandă excluderea acesteia din cadrul proiectului și, respectiv, inserarea amendamentelor propuse în cadrul proiectului de promovare a Legii privind detașarea salariaților în cadrul prestării de servicii transnaționale. Or, anume Legea prenotată va stabili normele materiale, încălcarea cărora poate genera aplicarea răspunderii contravenționale. Respectiv, dispozițiile normelor contravenționale sancționatorii urmează a fi aduse în concordanță cu variantă finală a proiectului de lege prenotat.</w:t>
            </w:r>
          </w:p>
        </w:tc>
        <w:tc>
          <w:tcPr>
            <w:tcW w:w="5880" w:type="dxa"/>
            <w:tcBorders>
              <w:top w:val="single" w:sz="4" w:space="0" w:color="000000"/>
              <w:bottom w:val="single" w:sz="4" w:space="0" w:color="000000"/>
            </w:tcBorders>
          </w:tcPr>
          <w:p w14:paraId="5AFF5080"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0FC0299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privind detașarea lucrătorilor în cadrul prestării de servicii (număr unic 184/MMPS/2026) a fost elaborat în scopul transpunerii Directivelor 96/71/CE și 2014/67/CE. Intrarea în vigoare a proiectului menționat este condiționată de aderarea Republicii Moldova la Uniunea Europeană.</w:t>
            </w:r>
          </w:p>
          <w:p w14:paraId="5A07B588"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vederea asigurării aplicabilității proiectului de lege privind detașarea lucrătorilor în cadrul prestării de servicii, s-a decis integrarea, în textul proiectului de lege supus avizării, a normelor care reglementează mecanismul de control și sancționare aferent detașării transnaționale.</w:t>
            </w:r>
          </w:p>
          <w:p w14:paraId="74CC0708"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etapa de inițiere a proiectului de lege au fost examinate mai multe opțiuni de reglementare, inclusiv versiunea în care proiectul de lege privind detașarea lucrătorilor în cadrul prestării de servicii îngloba, în conținutul său, prevederi privind modificarea Codului muncii, Codului contravențional, Codului de executare și Legii nr. 140/2001 privind Inspectoratul de Stat al Muncii (a se vedea actele anexate la proiectul de lege (număr unic 184/MMPS/2026), încărcate pe platforma e-legiferare la data de 25 și 26 februarie 2026), decizia finală privind promovarea versiunii în cauză fiind luată în mod coordonat cu factorii de decizie.</w:t>
            </w:r>
          </w:p>
        </w:tc>
      </w:tr>
      <w:tr w:rsidR="00E114BB" w14:paraId="107BAFA3" w14:textId="77777777">
        <w:trPr>
          <w:trHeight w:val="360"/>
        </w:trPr>
        <w:tc>
          <w:tcPr>
            <w:tcW w:w="555" w:type="dxa"/>
            <w:vMerge/>
          </w:tcPr>
          <w:p w14:paraId="18D4ADBF" w14:textId="77777777" w:rsidR="00E114BB" w:rsidRDefault="00E114BB">
            <w:pPr>
              <w:widowControl w:val="0"/>
              <w:rPr>
                <w:rFonts w:ascii="Times New Roman" w:eastAsia="Times New Roman" w:hAnsi="Times New Roman" w:cs="Times New Roman"/>
                <w:highlight w:val="white"/>
              </w:rPr>
            </w:pPr>
          </w:p>
        </w:tc>
        <w:tc>
          <w:tcPr>
            <w:tcW w:w="2700" w:type="dxa"/>
            <w:vMerge/>
          </w:tcPr>
          <w:p w14:paraId="321A3DC6"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33C0900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dispozițiile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lit. b) și alin. (2), se consideră judicioasă excluderea acestora din cadrul articolului, or, analizând prima </w:t>
            </w:r>
            <w:proofErr w:type="spellStart"/>
            <w:r>
              <w:rPr>
                <w:rFonts w:ascii="Times New Roman" w:eastAsia="Times New Roman" w:hAnsi="Times New Roman" w:cs="Times New Roman"/>
                <w:highlight w:val="white"/>
              </w:rPr>
              <w:t>facie</w:t>
            </w:r>
            <w:proofErr w:type="spellEnd"/>
            <w:r>
              <w:rPr>
                <w:rFonts w:ascii="Times New Roman" w:eastAsia="Times New Roman" w:hAnsi="Times New Roman" w:cs="Times New Roman"/>
                <w:highlight w:val="white"/>
              </w:rPr>
              <w:t xml:space="preserve"> textul normelor, se constată că încălcările nominalizate s-ar încadra în prevederile art. 55 alin. (1) lit. k) din redacția proiectului – încălcarea legislației muncii, manifestată prin nerespectarea de către angajator a obligației de informare și consultare a salariaților.</w:t>
            </w:r>
          </w:p>
        </w:tc>
        <w:tc>
          <w:tcPr>
            <w:tcW w:w="5880" w:type="dxa"/>
            <w:tcBorders>
              <w:top w:val="single" w:sz="4" w:space="0" w:color="000000"/>
              <w:bottom w:val="single" w:sz="4" w:space="0" w:color="000000"/>
            </w:tcBorders>
          </w:tcPr>
          <w:p w14:paraId="7D63024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Nu se acceptă. </w:t>
            </w:r>
          </w:p>
          <w:p w14:paraId="5A5A9F60" w14:textId="77777777" w:rsidR="00E114BB" w:rsidRDefault="00000000">
            <w:pPr>
              <w:spacing w:line="240"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highlight w:val="white"/>
              </w:rPr>
              <w:t>Prevederile art. 55 alin. (1) lit. k) a fost precizat în textul proiectului că se referă la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Codul muncii și anume: „k) nerespectarea de către angajator a obligației de informare și consultare a salariaților în condițiile art. 42 prim din Codul muncii.”</w:t>
            </w:r>
          </w:p>
          <w:p w14:paraId="61A11A6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lit. b) și alin. (2) reglementează încălcări specifice domeniului detașării transnaționale a salariaților și au un obiect juridic distinct față de contravenția prevăzută la art. 55 alin. (1) lit. k) din proiect. </w:t>
            </w:r>
          </w:p>
          <w:p w14:paraId="7C7E331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art. 55 alin. (1) lit. k) sancționează nerespectarea obligației generale de informare și consultare a salariaților (în condițiile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din Codul muncii) în timp ce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w:t>
            </w:r>
            <w:r>
              <w:rPr>
                <w:rFonts w:ascii="Times New Roman" w:eastAsia="Times New Roman" w:hAnsi="Times New Roman" w:cs="Times New Roman"/>
                <w:highlight w:val="white"/>
              </w:rPr>
              <w:lastRenderedPageBreak/>
              <w:t>lit. b) vizează obligația întreprinderii utilizatoare de a informa agentul de muncă temporară, iar alin. (2) vizează obligații speciale privind informarea salariatului detașat și respectarea drepturilor și condițiilor de muncă aplicabile în contextul detașării transnaționale. Prin urmare, normele nu se suprapun, ci au caracter special și complementar, iar menținerea acestora este necesară pentru asigurarea unui regim sancționator efectiv și adecvat obligațiilor instituite prin legea specială.</w:t>
            </w:r>
          </w:p>
        </w:tc>
      </w:tr>
      <w:tr w:rsidR="00E114BB" w14:paraId="4F69F26E" w14:textId="77777777">
        <w:trPr>
          <w:trHeight w:val="336"/>
        </w:trPr>
        <w:tc>
          <w:tcPr>
            <w:tcW w:w="555" w:type="dxa"/>
            <w:vMerge/>
          </w:tcPr>
          <w:p w14:paraId="740DBA6E" w14:textId="77777777" w:rsidR="00E114BB" w:rsidRDefault="00E114BB">
            <w:pPr>
              <w:widowControl w:val="0"/>
              <w:rPr>
                <w:rFonts w:ascii="Times New Roman" w:eastAsia="Times New Roman" w:hAnsi="Times New Roman" w:cs="Times New Roman"/>
                <w:highlight w:val="white"/>
              </w:rPr>
            </w:pPr>
          </w:p>
        </w:tc>
        <w:tc>
          <w:tcPr>
            <w:tcW w:w="2700" w:type="dxa"/>
            <w:vMerge/>
          </w:tcPr>
          <w:p w14:paraId="4DB61355"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5D108A0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raport cu prevederile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(2) lit. b), se consideră necesară excluderea acestora. Or, Codul contravențional deja conține mai multe norme sancționatorii pentru încălcarea drepturilor salariaților și a condițiilor de muncă: art. 54</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art. 55, art. 55</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Normele menționate asigura sancționarea pentru încălcarea drepturilor tuturor categoriilor de angajați, inclusiv celor detașați în Republica Moldova, de către întreprinderile stabilite pe teritoriul unui stat membru. Respectiv, nu este necesară instituirea unei norme speciale în raport cu persoanele detașate în Republica Moldova, de către întreprinderile stabilite pe teritoriul unui stat membru. Mai mult, o asemenea abordare ar fi contrară principiului egalității în fața legii.</w:t>
            </w:r>
          </w:p>
        </w:tc>
        <w:tc>
          <w:tcPr>
            <w:tcW w:w="5880" w:type="dxa"/>
            <w:tcBorders>
              <w:top w:val="single" w:sz="4" w:space="0" w:color="000000"/>
              <w:bottom w:val="single" w:sz="4" w:space="0" w:color="000000"/>
            </w:tcBorders>
          </w:tcPr>
          <w:p w14:paraId="5E8B38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1DFBF06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Articolul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(2) lit. b) va avea următoarea redacție:</w:t>
            </w:r>
          </w:p>
          <w:p w14:paraId="6542D17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nerespectarea, de către întreprinderile stabilite pe teritoriul unui stat membru, altul decât Republica Moldova, sau pe teritoriul Confederației Elvețiene, care, în cadrul prestării de servicii transnaționale, detașează pe teritoriul Republicii Moldova salariați, a obligațiilor speciale privind condițiile de muncă și de încadrare în muncă aplicabile salariaților detașați pe teritoriul Republicii Moldova, prevăzute de Legea privind detașarea salariaților în cadrul prestării de servicii transnaționale;”</w:t>
            </w:r>
          </w:p>
        </w:tc>
      </w:tr>
      <w:tr w:rsidR="00E114BB" w14:paraId="4A8088BD" w14:textId="77777777">
        <w:trPr>
          <w:trHeight w:val="396"/>
        </w:trPr>
        <w:tc>
          <w:tcPr>
            <w:tcW w:w="555" w:type="dxa"/>
            <w:vMerge/>
          </w:tcPr>
          <w:p w14:paraId="2E865502" w14:textId="77777777" w:rsidR="00E114BB" w:rsidRDefault="00E114BB">
            <w:pPr>
              <w:widowControl w:val="0"/>
              <w:rPr>
                <w:rFonts w:ascii="Times New Roman" w:eastAsia="Times New Roman" w:hAnsi="Times New Roman" w:cs="Times New Roman"/>
                <w:highlight w:val="white"/>
              </w:rPr>
            </w:pPr>
          </w:p>
        </w:tc>
        <w:tc>
          <w:tcPr>
            <w:tcW w:w="2700" w:type="dxa"/>
            <w:vMerge/>
          </w:tcPr>
          <w:p w14:paraId="7277E88B"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7D210CE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Aferent textului sancțiunilor propuse pentru comiterea faptelor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 se notează asupra necesității respectării limitelor stabilite la art. 34-39 din Codul contravențional. Sub acest aspect, se va reține că, potrivit art. 34 alin. (2), amenda se aplică persoanelor fizice de la una la 1500 de unităţi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iar persoanelor cu funcţie de răspundere – de la 10 la 1500 de unităţi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Totodată, conform alin. (2 1 ) din același articol, în cazul persoanelor juridice, amenda se aplică în limitele stabilite de articolul din partea specială a cărții întâi a acestui cod, după caz: a) amendă de la 10 la 1500 de unităţi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b) amendă în mărimea valorii produsului, serviciului respectiv care constituie obiectul </w:t>
            </w:r>
            <w:proofErr w:type="spellStart"/>
            <w:r>
              <w:rPr>
                <w:rFonts w:ascii="Times New Roman" w:eastAsia="Times New Roman" w:hAnsi="Times New Roman" w:cs="Times New Roman"/>
                <w:highlight w:val="white"/>
              </w:rPr>
              <w:t>contravenţiei</w:t>
            </w:r>
            <w:proofErr w:type="spellEnd"/>
            <w:r>
              <w:rPr>
                <w:rFonts w:ascii="Times New Roman" w:eastAsia="Times New Roman" w:hAnsi="Times New Roman" w:cs="Times New Roman"/>
                <w:highlight w:val="white"/>
              </w:rPr>
              <w:t xml:space="preserve">, dar nu mai puţin de valoarea limitei maxime în unităţi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în cazul în care acest fapt este prevăzut expres de norma materială din partea specială a cărții întâi.</w:t>
            </w:r>
          </w:p>
        </w:tc>
        <w:tc>
          <w:tcPr>
            <w:tcW w:w="5880" w:type="dxa"/>
            <w:tcBorders>
              <w:top w:val="single" w:sz="4" w:space="0" w:color="000000"/>
              <w:bottom w:val="single" w:sz="4" w:space="0" w:color="000000"/>
            </w:tcBorders>
          </w:tcPr>
          <w:p w14:paraId="77F84BF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0B87F59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urma reexaminării textului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s-a constatat că sancțiunile prevăzute la alin. (1) și alin. (2), în cuantum de la 1000 la 1500 unități convenționale, se încadrează în limitele generale prevăzute de Codul contravențional. </w:t>
            </w:r>
          </w:p>
          <w:p w14:paraId="79E4684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sancțiunea prevăzută la alin. (3), în cuantum de la 1500 la 2000 unități convenționale, urmează a fi revizuită, întrucât depășește plafonul general admis de art. 34 din Codul contravențional pentru categoriile de subiecți vizați. În consecință, textul va fi ajustat în vederea corelării cu prevederile părții generale a Codului contravențional.</w:t>
            </w:r>
          </w:p>
        </w:tc>
      </w:tr>
      <w:tr w:rsidR="00E114BB" w14:paraId="2FEB1F62" w14:textId="77777777">
        <w:trPr>
          <w:trHeight w:val="2535"/>
        </w:trPr>
        <w:tc>
          <w:tcPr>
            <w:tcW w:w="555" w:type="dxa"/>
            <w:vMerge/>
          </w:tcPr>
          <w:p w14:paraId="400A8FB4" w14:textId="77777777" w:rsidR="00E114BB" w:rsidRDefault="00E114BB">
            <w:pPr>
              <w:widowControl w:val="0"/>
              <w:rPr>
                <w:rFonts w:ascii="Times New Roman" w:eastAsia="Times New Roman" w:hAnsi="Times New Roman" w:cs="Times New Roman"/>
                <w:highlight w:val="white"/>
              </w:rPr>
            </w:pPr>
          </w:p>
        </w:tc>
        <w:tc>
          <w:tcPr>
            <w:tcW w:w="2700" w:type="dxa"/>
            <w:vMerge/>
          </w:tcPr>
          <w:p w14:paraId="7037CC72"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tcBorders>
          </w:tcPr>
          <w:p w14:paraId="27AB2C6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V, prin care se propune modificarea Codului de executare, se va exclude, or, „actul de aplicare a sancțiunii contravenționale în domeniul detașării transnaționale a salariaților” se încadrează la art. 11 lit. c) din Codul de executare – „deciziile (hotărârile) </w:t>
            </w:r>
            <w:proofErr w:type="spellStart"/>
            <w:r>
              <w:rPr>
                <w:rFonts w:ascii="Times New Roman" w:eastAsia="Times New Roman" w:hAnsi="Times New Roman" w:cs="Times New Roman"/>
                <w:highlight w:val="white"/>
              </w:rPr>
              <w:t>contravenţionale</w:t>
            </w:r>
            <w:proofErr w:type="spellEnd"/>
            <w:r>
              <w:rPr>
                <w:rFonts w:ascii="Times New Roman" w:eastAsia="Times New Roman" w:hAnsi="Times New Roman" w:cs="Times New Roman"/>
                <w:highlight w:val="white"/>
              </w:rPr>
              <w:t xml:space="preserve">, inclusiv cele emise de </w:t>
            </w:r>
            <w:proofErr w:type="spellStart"/>
            <w:r>
              <w:rPr>
                <w:rFonts w:ascii="Times New Roman" w:eastAsia="Times New Roman" w:hAnsi="Times New Roman" w:cs="Times New Roman"/>
                <w:highlight w:val="white"/>
              </w:rPr>
              <w:t>agenţii</w:t>
            </w:r>
            <w:proofErr w:type="spellEnd"/>
            <w:r>
              <w:rPr>
                <w:rFonts w:ascii="Times New Roman" w:eastAsia="Times New Roman" w:hAnsi="Times New Roman" w:cs="Times New Roman"/>
                <w:highlight w:val="white"/>
              </w:rPr>
              <w:t xml:space="preserve"> constatatori în limitele </w:t>
            </w:r>
            <w:proofErr w:type="spellStart"/>
            <w:r>
              <w:rPr>
                <w:rFonts w:ascii="Times New Roman" w:eastAsia="Times New Roman" w:hAnsi="Times New Roman" w:cs="Times New Roman"/>
                <w:highlight w:val="white"/>
              </w:rPr>
              <w:t>competenţei</w:t>
            </w:r>
            <w:proofErr w:type="spellEnd"/>
            <w:r>
              <w:rPr>
                <w:rFonts w:ascii="Times New Roman" w:eastAsia="Times New Roman" w:hAnsi="Times New Roman" w:cs="Times New Roman"/>
                <w:highlight w:val="white"/>
              </w:rPr>
              <w:t xml:space="preserve"> atribuite lor prin lege, titlurile executorii emise pe cauze penale şi </w:t>
            </w:r>
            <w:proofErr w:type="spellStart"/>
            <w:r>
              <w:rPr>
                <w:rFonts w:ascii="Times New Roman" w:eastAsia="Times New Roman" w:hAnsi="Times New Roman" w:cs="Times New Roman"/>
                <w:highlight w:val="white"/>
              </w:rPr>
              <w:t>sentinţele</w:t>
            </w:r>
            <w:proofErr w:type="spellEnd"/>
            <w:r>
              <w:rPr>
                <w:rFonts w:ascii="Times New Roman" w:eastAsia="Times New Roman" w:hAnsi="Times New Roman" w:cs="Times New Roman"/>
                <w:highlight w:val="white"/>
              </w:rPr>
              <w:t xml:space="preserve"> pe cauzele penale, în partea încasării amenzii, precum şi în partea </w:t>
            </w:r>
            <w:proofErr w:type="spellStart"/>
            <w:r>
              <w:rPr>
                <w:rFonts w:ascii="Times New Roman" w:eastAsia="Times New Roman" w:hAnsi="Times New Roman" w:cs="Times New Roman"/>
                <w:highlight w:val="white"/>
              </w:rPr>
              <w:t>acţiunii</w:t>
            </w:r>
            <w:proofErr w:type="spellEnd"/>
            <w:r>
              <w:rPr>
                <w:rFonts w:ascii="Times New Roman" w:eastAsia="Times New Roman" w:hAnsi="Times New Roman" w:cs="Times New Roman"/>
                <w:highlight w:val="white"/>
              </w:rPr>
              <w:t xml:space="preserve"> civile”</w:t>
            </w:r>
          </w:p>
        </w:tc>
        <w:tc>
          <w:tcPr>
            <w:tcW w:w="5880" w:type="dxa"/>
            <w:tcBorders>
              <w:top w:val="single" w:sz="4" w:space="0" w:color="000000"/>
            </w:tcBorders>
          </w:tcPr>
          <w:p w14:paraId="6CD2153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284137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Excluderea Art. V nu este oportună, deoarece dispoziția propusă vizează un regim juridic distinct de executare, specific domeniului detașării transnaționale a salariaților, în care recuperarea sancțiunilor pecuniare poate avea la bază acte emise de autorități competente străine, în cadrul mecanismelor de asistență reciprocă și executare transfrontalieră. Or, art. 11 lit. c) din Codul de executare reglementează, cu caracter general, executarea deciziilor și hotărârilor contravenționale emise în cadrul ordinii juridice naționale, inclusiv a celor emise de agenții constatatori în limitele competenței atribuite prin lege, fără a reglementa expres particularitățile executării actelor provenite de la autorități străine. În acest context, menținerea normei este necesară pentru asigurarea clarității cadrului normativ și a efectivității mecanismului de executare în materia detașării transnaționale.</w:t>
            </w:r>
          </w:p>
        </w:tc>
      </w:tr>
      <w:tr w:rsidR="00E114BB" w14:paraId="5324DECB" w14:textId="77777777">
        <w:trPr>
          <w:trHeight w:val="2246"/>
        </w:trPr>
        <w:tc>
          <w:tcPr>
            <w:tcW w:w="555" w:type="dxa"/>
            <w:vMerge w:val="restart"/>
          </w:tcPr>
          <w:p w14:paraId="6A1FCF10"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61577832"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Finanțelor</w:t>
            </w:r>
          </w:p>
          <w:p w14:paraId="73AAF8C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07/2-03/39/392</w:t>
            </w:r>
          </w:p>
          <w:p w14:paraId="011678E8"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24.03.2026</w:t>
            </w:r>
          </w:p>
        </w:tc>
        <w:tc>
          <w:tcPr>
            <w:tcW w:w="5880" w:type="dxa"/>
          </w:tcPr>
          <w:p w14:paraId="56291FF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 care modifică Legea nr.140/2001 privind Inspectoratul de stat al muncii, pct. 3 urmează a fi precizat pentru a avea claritate, ce fel de rapoarte se solicită în baza art.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din Legea nr.186/2008, având în vedere că articolul menționat este abrogat.</w:t>
            </w:r>
          </w:p>
        </w:tc>
        <w:tc>
          <w:tcPr>
            <w:tcW w:w="5880" w:type="dxa"/>
          </w:tcPr>
          <w:p w14:paraId="02BB3B3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63DB8A0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Art. III din prezentul proiect se modifică Legea nr. 186/2008 securității și sănătății în muncă. Legea în cauză se completează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Acest articol prevede raportarea aplicării  acestei legi și a actelor normative naționale care transpun directivele speciale adoptate în temeiul acesteia.</w:t>
            </w:r>
          </w:p>
          <w:p w14:paraId="784B926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temeiul acestui articol ISM va raporta despre aplicarea Legii 186/2008 și actelor normative naționale care transpun directivele speciale.</w:t>
            </w:r>
          </w:p>
          <w:p w14:paraId="063C521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momentul actual în Legea nr. 186/2008 securității și sănătății în muncă nu se conține și nici nu a fost abrogat un careva alt articol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decît cel formulat prin proiectul în cauză.</w:t>
            </w:r>
          </w:p>
        </w:tc>
      </w:tr>
      <w:tr w:rsidR="00E114BB" w14:paraId="77AE5134" w14:textId="77777777">
        <w:trPr>
          <w:trHeight w:val="600"/>
        </w:trPr>
        <w:tc>
          <w:tcPr>
            <w:tcW w:w="555" w:type="dxa"/>
            <w:vMerge/>
          </w:tcPr>
          <w:p w14:paraId="4883E750" w14:textId="77777777" w:rsidR="00E114BB" w:rsidRDefault="00E114BB">
            <w:pPr>
              <w:spacing w:line="240" w:lineRule="auto"/>
              <w:rPr>
                <w:rFonts w:ascii="Times New Roman" w:eastAsia="Times New Roman" w:hAnsi="Times New Roman" w:cs="Times New Roman"/>
                <w:b/>
                <w:bCs/>
              </w:rPr>
            </w:pPr>
          </w:p>
        </w:tc>
        <w:tc>
          <w:tcPr>
            <w:tcW w:w="2700" w:type="dxa"/>
            <w:vMerge/>
          </w:tcPr>
          <w:p w14:paraId="074DD28A" w14:textId="77777777" w:rsidR="00E114BB" w:rsidRDefault="00E114BB">
            <w:pPr>
              <w:spacing w:line="240" w:lineRule="auto"/>
              <w:jc w:val="center"/>
              <w:rPr>
                <w:rFonts w:ascii="Times New Roman" w:eastAsia="Times New Roman" w:hAnsi="Times New Roman" w:cs="Times New Roman"/>
              </w:rPr>
            </w:pPr>
          </w:p>
        </w:tc>
        <w:tc>
          <w:tcPr>
            <w:tcW w:w="5880" w:type="dxa"/>
          </w:tcPr>
          <w:p w14:paraId="4F92AFE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V, care modifică Codul de executare al Republicii Moldove, se propune de revizuit modificat în scopul respectării principiilor activității de legiferare reglementate prin Legea nr.100/2017 cu privire la actele normative. Menționăm că, potrivit art.11 lit. c) din Codul de executare nr.443/2004, deciziile (hotărârile) contravenționale, inclusiv cele emise de agenții constatatori în limitele </w:t>
            </w:r>
            <w:proofErr w:type="spellStart"/>
            <w:r>
              <w:rPr>
                <w:rFonts w:ascii="Times New Roman" w:eastAsia="Times New Roman" w:hAnsi="Times New Roman" w:cs="Times New Roman"/>
                <w:highlight w:val="white"/>
              </w:rPr>
              <w:t>competenţei</w:t>
            </w:r>
            <w:proofErr w:type="spellEnd"/>
            <w:r>
              <w:rPr>
                <w:rFonts w:ascii="Times New Roman" w:eastAsia="Times New Roman" w:hAnsi="Times New Roman" w:cs="Times New Roman"/>
                <w:highlight w:val="white"/>
              </w:rPr>
              <w:t xml:space="preserve"> atribuite lor prin lege, </w:t>
            </w:r>
            <w:r>
              <w:rPr>
                <w:rFonts w:ascii="Times New Roman" w:eastAsia="Times New Roman" w:hAnsi="Times New Roman" w:cs="Times New Roman"/>
                <w:highlight w:val="white"/>
              </w:rPr>
              <w:lastRenderedPageBreak/>
              <w:t xml:space="preserve">titlurile executorii emise pe cauze penale şi </w:t>
            </w:r>
            <w:proofErr w:type="spellStart"/>
            <w:r>
              <w:rPr>
                <w:rFonts w:ascii="Times New Roman" w:eastAsia="Times New Roman" w:hAnsi="Times New Roman" w:cs="Times New Roman"/>
                <w:highlight w:val="white"/>
              </w:rPr>
              <w:t>sentinţele</w:t>
            </w:r>
            <w:proofErr w:type="spellEnd"/>
            <w:r>
              <w:rPr>
                <w:rFonts w:ascii="Times New Roman" w:eastAsia="Times New Roman" w:hAnsi="Times New Roman" w:cs="Times New Roman"/>
                <w:highlight w:val="white"/>
              </w:rPr>
              <w:t xml:space="preserve"> pe cauzele penale, în partea încasării amenzii, precum şi în partea </w:t>
            </w:r>
            <w:proofErr w:type="spellStart"/>
            <w:r>
              <w:rPr>
                <w:rFonts w:ascii="Times New Roman" w:eastAsia="Times New Roman" w:hAnsi="Times New Roman" w:cs="Times New Roman"/>
                <w:highlight w:val="white"/>
              </w:rPr>
              <w:t>acţiunii</w:t>
            </w:r>
            <w:proofErr w:type="spellEnd"/>
            <w:r>
              <w:rPr>
                <w:rFonts w:ascii="Times New Roman" w:eastAsia="Times New Roman" w:hAnsi="Times New Roman" w:cs="Times New Roman"/>
                <w:highlight w:val="white"/>
              </w:rPr>
              <w:t xml:space="preserve"> civile, sânt documente executorii şi se execută conform normelor stabilite de prezentul cod.</w:t>
            </w:r>
          </w:p>
        </w:tc>
        <w:tc>
          <w:tcPr>
            <w:tcW w:w="5880" w:type="dxa"/>
          </w:tcPr>
          <w:p w14:paraId="497229F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3BC10A2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Revizuirea sau excluderea Art. V nu se justifică. Deși art. 11 lit. c) din Codul de executare reglementează, cu caracter general, executarea deciziilor contravenționale, inclusiv a celor emise de agenții constatatori în limitele competenței atribuite prin lege, norma propusă prin proiect vizează particularitățile executării sancțiunilor pecuniare în materia detașării transnaționale a </w:t>
            </w:r>
            <w:r>
              <w:rPr>
                <w:rFonts w:ascii="Times New Roman" w:eastAsia="Times New Roman" w:hAnsi="Times New Roman" w:cs="Times New Roman"/>
                <w:highlight w:val="white"/>
              </w:rPr>
              <w:lastRenderedPageBreak/>
              <w:t>salariaților, inclusiv în situațiile în care actele relevante provin de la autorități competente străine, în cadrul mecanismelor de cooperare și asistență reciprocă. În acest context, menținerea modificării este necesară pentru asigurarea clarității cadrului normativ și a efectivității executării transfrontaliere.</w:t>
            </w:r>
          </w:p>
        </w:tc>
      </w:tr>
      <w:tr w:rsidR="00E114BB" w14:paraId="12D25F13" w14:textId="77777777">
        <w:trPr>
          <w:trHeight w:val="600"/>
        </w:trPr>
        <w:tc>
          <w:tcPr>
            <w:tcW w:w="555" w:type="dxa"/>
            <w:vMerge/>
          </w:tcPr>
          <w:p w14:paraId="756E2116" w14:textId="77777777" w:rsidR="00E114BB" w:rsidRDefault="00E114BB">
            <w:pPr>
              <w:spacing w:line="240" w:lineRule="auto"/>
              <w:rPr>
                <w:rFonts w:ascii="Times New Roman" w:eastAsia="Times New Roman" w:hAnsi="Times New Roman" w:cs="Times New Roman"/>
                <w:b/>
                <w:bCs/>
              </w:rPr>
            </w:pPr>
          </w:p>
        </w:tc>
        <w:tc>
          <w:tcPr>
            <w:tcW w:w="2700" w:type="dxa"/>
            <w:vMerge/>
          </w:tcPr>
          <w:p w14:paraId="1CF84A19" w14:textId="77777777" w:rsidR="00E114BB" w:rsidRDefault="00E114BB">
            <w:pPr>
              <w:spacing w:line="240" w:lineRule="auto"/>
              <w:jc w:val="center"/>
              <w:rPr>
                <w:rFonts w:ascii="Times New Roman" w:eastAsia="Times New Roman" w:hAnsi="Times New Roman" w:cs="Times New Roman"/>
              </w:rPr>
            </w:pPr>
          </w:p>
        </w:tc>
        <w:tc>
          <w:tcPr>
            <w:tcW w:w="5880" w:type="dxa"/>
          </w:tcPr>
          <w:p w14:paraId="7C3F535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Nota de fundamentare</w:t>
            </w:r>
          </w:p>
          <w:p w14:paraId="246DC5B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Compartimentul 4.2 ,,Impactul financiar și argumentarea costurilor estimative”, cu toate că autorul menționează că impactul financiar are un caracter de armonizare și clarificare a cadrului normativ existent, fără a introduce mecanisme noi care să genereze cheltuieli bugetare suplimentare semnificative, totuși analiza proiectului denotă că unele propuneri pot avea impact financiar asupra bugetului de stat.</w:t>
            </w:r>
          </w:p>
          <w:p w14:paraId="2245E60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se atrage atenția asupra măsurilor ce vizează activitatea Inspectoratului de stat al muncii, inclusiv aspectele legate de formare profesională și de asigurare a suportului logistic, care pot implica cheltuieli suplimentare.</w:t>
            </w:r>
          </w:p>
          <w:p w14:paraId="6E9756E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se consideră necesar ca autorul proiectului să completeze Nota de fundamentare cu prevederi clare și detaliate privind costurile ce derivă din proiectul de lege (care au impactul financiar) și, respectiv, cu indicarea sursei de finanțare a acestora.</w:t>
            </w:r>
          </w:p>
          <w:p w14:paraId="3EED3E5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Reieșind din cele relatate, proiectul urmează a fi revizuit prin prisma celor menționate.</w:t>
            </w:r>
          </w:p>
        </w:tc>
        <w:tc>
          <w:tcPr>
            <w:tcW w:w="5880" w:type="dxa"/>
          </w:tcPr>
          <w:p w14:paraId="2E7CB35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0FA065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Nota de fundamentare, inclusiv la compartimentul 4.2, descrie costurile instituționale estimate și explicațiile aferente surselor de finanțare. </w:t>
            </w:r>
          </w:p>
        </w:tc>
      </w:tr>
      <w:tr w:rsidR="00E114BB" w14:paraId="0BA7F3FC" w14:textId="77777777">
        <w:trPr>
          <w:trHeight w:val="600"/>
        </w:trPr>
        <w:tc>
          <w:tcPr>
            <w:tcW w:w="555" w:type="dxa"/>
            <w:vMerge w:val="restart"/>
          </w:tcPr>
          <w:p w14:paraId="2B960E1B"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36A7FB9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Dezvoltării Economice și Digitalizării </w:t>
            </w:r>
          </w:p>
          <w:p w14:paraId="656C710A"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17/888 </w:t>
            </w:r>
          </w:p>
          <w:p w14:paraId="0C397B3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17.03.2026</w:t>
            </w:r>
          </w:p>
          <w:p w14:paraId="14393DCF" w14:textId="77777777" w:rsidR="00E114BB" w:rsidRDefault="00E114BB">
            <w:pPr>
              <w:spacing w:line="240" w:lineRule="auto"/>
              <w:jc w:val="center"/>
              <w:rPr>
                <w:rFonts w:ascii="Times New Roman" w:eastAsia="Times New Roman" w:hAnsi="Times New Roman" w:cs="Times New Roman"/>
              </w:rPr>
            </w:pPr>
          </w:p>
        </w:tc>
        <w:tc>
          <w:tcPr>
            <w:tcW w:w="5880" w:type="dxa"/>
          </w:tcPr>
          <w:p w14:paraId="7304EA9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 La proiectul de lege: Art. I. – Legea nr. 140/2001 privind Inspectoratul de Stat al Muncii: Cu referire la modificările propuse la art. 4 alin. (3) lit. a), b), c) și d) din Legea nr. 140/2001, se constată mai multe probleme de claritate și previzibilitate a normei. Utilizarea sintagmei „în special” în formularea „Inspectoratul de Stat al Muncii exercită, în special, următoarele atribuții” conferă caracter neexhaustiv listei atribuțiilor și permite extinderea interpretativă a competențelor instituției, ceea ce nu corespunde cerințelor de claritate și determinare a normelor juridice.</w:t>
            </w:r>
          </w:p>
        </w:tc>
        <w:tc>
          <w:tcPr>
            <w:tcW w:w="5880" w:type="dxa"/>
          </w:tcPr>
          <w:p w14:paraId="1EA88C2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314AFC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exclude sintagma „în special”.</w:t>
            </w:r>
          </w:p>
        </w:tc>
      </w:tr>
      <w:tr w:rsidR="00E114BB" w14:paraId="586B49E1" w14:textId="77777777">
        <w:trPr>
          <w:trHeight w:val="600"/>
        </w:trPr>
        <w:tc>
          <w:tcPr>
            <w:tcW w:w="555" w:type="dxa"/>
            <w:vMerge/>
          </w:tcPr>
          <w:p w14:paraId="4547AEBD" w14:textId="77777777" w:rsidR="00E114BB" w:rsidRDefault="00E114BB">
            <w:pPr>
              <w:spacing w:line="240" w:lineRule="auto"/>
              <w:rPr>
                <w:rFonts w:ascii="Times New Roman" w:eastAsia="Times New Roman" w:hAnsi="Times New Roman" w:cs="Times New Roman"/>
                <w:b/>
                <w:bCs/>
              </w:rPr>
            </w:pPr>
          </w:p>
        </w:tc>
        <w:tc>
          <w:tcPr>
            <w:tcW w:w="2700" w:type="dxa"/>
            <w:vMerge w:val="restart"/>
          </w:tcPr>
          <w:p w14:paraId="6A07583B" w14:textId="77777777" w:rsidR="00E114BB" w:rsidRDefault="00E114BB">
            <w:pPr>
              <w:spacing w:line="240" w:lineRule="auto"/>
              <w:jc w:val="center"/>
              <w:rPr>
                <w:rFonts w:ascii="Times New Roman" w:eastAsia="Times New Roman" w:hAnsi="Times New Roman" w:cs="Times New Roman"/>
              </w:rPr>
            </w:pPr>
          </w:p>
        </w:tc>
        <w:tc>
          <w:tcPr>
            <w:tcW w:w="5880" w:type="dxa"/>
          </w:tcPr>
          <w:p w14:paraId="36D0CBE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lit. a), termenul „gestionează notificările” este vag și lipsit de conținut juridic determinat, nefiind clar dacă acesta presupune verificare formală, validare, respingere sau evaluare de fond. O asemenea formulare poate conduce, în practică, la instituirea unui mecanism cu caracter permisiv. Se recomandă reformularea prevederii astfel: „primește și înregistrează notificările prevăzute de lege și asigură evidența acestora”.</w:t>
            </w:r>
          </w:p>
          <w:p w14:paraId="032AB85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prevederea potrivit căreia Inspectoratul „verifică îndeplinirea cerințelor administrative stabilite de lege” nu precizează procedura și limitele verificării. În lipsa unor referințe clare la cadrul procedural stabilit de Legea nr. 140/2001, formularea creează incertitudine cu privire la modul de exercitare a acestei atribuții. Se recomandă completarea normei cu o trimitere expresă la prevederile relevante ale legii.</w:t>
            </w:r>
          </w:p>
        </w:tc>
        <w:tc>
          <w:tcPr>
            <w:tcW w:w="5880" w:type="dxa"/>
          </w:tcPr>
          <w:p w14:paraId="18EF3C5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CE9F7A6"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4 alin. (3) lit. a) din Legea nr. 140/2001 va fi expus în următoarea redacție:</w:t>
            </w:r>
          </w:p>
          <w:p w14:paraId="26CE6E5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primește și înregistrează notificările prevăzute la art. 40 din Legea privind detașarea salariaților în cadrul prestării de servicii transnaționale, asigură evidența acestora, inclusiv a actualizărilor, și verifică, în condițiile legii menționate, îndeplinirea cerințelor administrative și a măsurilor de control aferente;”</w:t>
            </w:r>
          </w:p>
        </w:tc>
      </w:tr>
      <w:tr w:rsidR="00E114BB" w14:paraId="33C97759" w14:textId="77777777">
        <w:trPr>
          <w:trHeight w:val="600"/>
        </w:trPr>
        <w:tc>
          <w:tcPr>
            <w:tcW w:w="555" w:type="dxa"/>
            <w:vMerge/>
          </w:tcPr>
          <w:p w14:paraId="26FE33E0" w14:textId="77777777" w:rsidR="00E114BB" w:rsidRDefault="00E114BB">
            <w:pPr>
              <w:spacing w:line="240" w:lineRule="auto"/>
              <w:rPr>
                <w:rFonts w:ascii="Times New Roman" w:eastAsia="Times New Roman" w:hAnsi="Times New Roman" w:cs="Times New Roman"/>
                <w:b/>
                <w:bCs/>
              </w:rPr>
            </w:pPr>
          </w:p>
        </w:tc>
        <w:tc>
          <w:tcPr>
            <w:tcW w:w="2700" w:type="dxa"/>
            <w:vMerge/>
          </w:tcPr>
          <w:p w14:paraId="0118EAE0" w14:textId="77777777" w:rsidR="00E114BB" w:rsidRDefault="00E114BB">
            <w:pPr>
              <w:spacing w:line="240" w:lineRule="auto"/>
              <w:jc w:val="center"/>
              <w:rPr>
                <w:rFonts w:ascii="Times New Roman" w:eastAsia="Times New Roman" w:hAnsi="Times New Roman" w:cs="Times New Roman"/>
              </w:rPr>
            </w:pPr>
          </w:p>
        </w:tc>
        <w:tc>
          <w:tcPr>
            <w:tcW w:w="5880" w:type="dxa"/>
          </w:tcPr>
          <w:p w14:paraId="33F7465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lit. b), sintagma „alte persoane vizate” este nedeterminată și poate conduce la interpretări excesiv de largi ale sferei subiecților obligați să furnizeze informații. Se recomandă excluderea acesteia. </w:t>
            </w:r>
          </w:p>
        </w:tc>
        <w:tc>
          <w:tcPr>
            <w:tcW w:w="5880" w:type="dxa"/>
          </w:tcPr>
          <w:p w14:paraId="3051CBC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4D0346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„alte persoane vizate” pot fi persoane care indirect pot contribui la confirmarea respectării cadrului normativ privind detașarea.</w:t>
            </w:r>
          </w:p>
          <w:p w14:paraId="11ACF89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de persoane pot fi prestatori de cazare, prestatori de servicii, martori, deținători de informații comunale, care confirmă efectuarea anumitor plăți pentru consum de energie electrică sau termică etc, efectuate de persoanele detașate. Categoriile acestor persoane pot fi diferite, iar numărul acestora poate fi vast. În acest sens pentru a confirma sau infirma respectarea cadrului normativ privind detașarea, utilizarea sintagmei „alte persoane vizate” devine justificată.</w:t>
            </w:r>
          </w:p>
        </w:tc>
      </w:tr>
      <w:tr w:rsidR="00E114BB" w14:paraId="61D59382" w14:textId="77777777">
        <w:trPr>
          <w:trHeight w:val="600"/>
        </w:trPr>
        <w:tc>
          <w:tcPr>
            <w:tcW w:w="555" w:type="dxa"/>
            <w:vMerge/>
          </w:tcPr>
          <w:p w14:paraId="52F4578A" w14:textId="77777777" w:rsidR="00E114BB" w:rsidRDefault="00E114BB">
            <w:pPr>
              <w:spacing w:line="240" w:lineRule="auto"/>
              <w:rPr>
                <w:rFonts w:ascii="Times New Roman" w:eastAsia="Times New Roman" w:hAnsi="Times New Roman" w:cs="Times New Roman"/>
                <w:b/>
                <w:bCs/>
              </w:rPr>
            </w:pPr>
          </w:p>
        </w:tc>
        <w:tc>
          <w:tcPr>
            <w:tcW w:w="2700" w:type="dxa"/>
            <w:vMerge/>
          </w:tcPr>
          <w:p w14:paraId="02CF2A8B" w14:textId="77777777" w:rsidR="00E114BB" w:rsidRDefault="00E114BB">
            <w:pPr>
              <w:spacing w:line="240" w:lineRule="auto"/>
              <w:jc w:val="center"/>
              <w:rPr>
                <w:rFonts w:ascii="Times New Roman" w:eastAsia="Times New Roman" w:hAnsi="Times New Roman" w:cs="Times New Roman"/>
              </w:rPr>
            </w:pPr>
          </w:p>
        </w:tc>
        <w:tc>
          <w:tcPr>
            <w:tcW w:w="5880" w:type="dxa"/>
          </w:tcPr>
          <w:p w14:paraId="609FCF1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lit. c), formularea „dispune, după caz, măsuri obligatorii de remediere” nu indică actul administrativ prin care sunt dispuse aceste măsuri și nici temeiul procedural aplicabil. În vederea asigurării clarității normei, se recomandă utilizarea unei formulări determinate, de tipul: „emite prescripții obligatorii de remediere, în condițiile legii”.</w:t>
            </w:r>
          </w:p>
        </w:tc>
        <w:tc>
          <w:tcPr>
            <w:tcW w:w="5880" w:type="dxa"/>
          </w:tcPr>
          <w:p w14:paraId="6DD79E5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3E22DF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c) din Legea nr. 140/2001 va fi expus în următoarea redacție:</w:t>
            </w:r>
          </w:p>
          <w:p w14:paraId="17097B8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efectuează controlul de stat asupra respectării condițiilor de muncă aplicabile salariaților detașați pe teritoriul Republicii Moldova și emite prescripții obligatorii de remediere, în condițiile legii;</w:t>
            </w:r>
          </w:p>
        </w:tc>
      </w:tr>
      <w:tr w:rsidR="00E114BB" w14:paraId="29D5CECF" w14:textId="77777777">
        <w:trPr>
          <w:trHeight w:val="600"/>
        </w:trPr>
        <w:tc>
          <w:tcPr>
            <w:tcW w:w="555" w:type="dxa"/>
            <w:vMerge/>
          </w:tcPr>
          <w:p w14:paraId="5988C069" w14:textId="77777777" w:rsidR="00E114BB" w:rsidRDefault="00E114BB">
            <w:pPr>
              <w:spacing w:line="240" w:lineRule="auto"/>
              <w:rPr>
                <w:rFonts w:ascii="Times New Roman" w:eastAsia="Times New Roman" w:hAnsi="Times New Roman" w:cs="Times New Roman"/>
                <w:b/>
                <w:bCs/>
              </w:rPr>
            </w:pPr>
          </w:p>
        </w:tc>
        <w:tc>
          <w:tcPr>
            <w:tcW w:w="2700" w:type="dxa"/>
            <w:vMerge/>
          </w:tcPr>
          <w:p w14:paraId="6E4A6258" w14:textId="77777777" w:rsidR="00E114BB" w:rsidRDefault="00E114BB">
            <w:pPr>
              <w:spacing w:line="240" w:lineRule="auto"/>
              <w:jc w:val="center"/>
              <w:rPr>
                <w:rFonts w:ascii="Times New Roman" w:eastAsia="Times New Roman" w:hAnsi="Times New Roman" w:cs="Times New Roman"/>
              </w:rPr>
            </w:pPr>
          </w:p>
        </w:tc>
        <w:tc>
          <w:tcPr>
            <w:tcW w:w="5880" w:type="dxa"/>
          </w:tcPr>
          <w:p w14:paraId="36ABC0E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lit. d), trimiterea generică la „încălcarea prevederilor legii” este problematică, întrucât o lege poate conține norme de natură diferită, nu doar norme a căror încălcare constituie contravenție. </w:t>
            </w:r>
            <w:r>
              <w:rPr>
                <w:rFonts w:ascii="Times New Roman" w:eastAsia="Times New Roman" w:hAnsi="Times New Roman" w:cs="Times New Roman"/>
                <w:highlight w:val="white"/>
              </w:rPr>
              <w:lastRenderedPageBreak/>
              <w:t>O asemenea formulare este contrară principiilor dreptului contravențional și poate genera aplicări excesive ale răspunderii. Se recomandă indicarea expresă a normelor a căror încălcare atrage răspunderea contravențională.</w:t>
            </w:r>
          </w:p>
        </w:tc>
        <w:tc>
          <w:tcPr>
            <w:tcW w:w="5880" w:type="dxa"/>
          </w:tcPr>
          <w:p w14:paraId="76135BC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5FB45AD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d) din Legea nr. 140/2001 va fi expus în următoarea redacție:</w:t>
            </w:r>
          </w:p>
          <w:p w14:paraId="250E1F5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 constată contravențiile și aplică sancțiunile contravenționale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 contravențional pentru încălcarea obligațiilor stabilite de Legea privind detașarea salariaților în cadrul prestării de servicii transnaționale;”</w:t>
            </w:r>
          </w:p>
        </w:tc>
      </w:tr>
      <w:tr w:rsidR="00E114BB" w14:paraId="49F7DACA" w14:textId="77777777">
        <w:trPr>
          <w:trHeight w:val="600"/>
        </w:trPr>
        <w:tc>
          <w:tcPr>
            <w:tcW w:w="555" w:type="dxa"/>
            <w:vMerge/>
          </w:tcPr>
          <w:p w14:paraId="0A6BB27F" w14:textId="77777777" w:rsidR="00E114BB" w:rsidRDefault="00E114BB">
            <w:pPr>
              <w:spacing w:line="240" w:lineRule="auto"/>
              <w:rPr>
                <w:rFonts w:ascii="Times New Roman" w:eastAsia="Times New Roman" w:hAnsi="Times New Roman" w:cs="Times New Roman"/>
                <w:b/>
                <w:bCs/>
              </w:rPr>
            </w:pPr>
          </w:p>
        </w:tc>
        <w:tc>
          <w:tcPr>
            <w:tcW w:w="2700" w:type="dxa"/>
            <w:vMerge/>
          </w:tcPr>
          <w:p w14:paraId="60AB56B3" w14:textId="77777777" w:rsidR="00E114BB" w:rsidRDefault="00E114BB">
            <w:pPr>
              <w:spacing w:line="240" w:lineRule="auto"/>
              <w:jc w:val="center"/>
              <w:rPr>
                <w:rFonts w:ascii="Times New Roman" w:eastAsia="Times New Roman" w:hAnsi="Times New Roman" w:cs="Times New Roman"/>
              </w:rPr>
            </w:pPr>
          </w:p>
        </w:tc>
        <w:tc>
          <w:tcPr>
            <w:tcW w:w="5880" w:type="dxa"/>
          </w:tcPr>
          <w:p w14:paraId="282A037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trimiterea „În temeiul prevederilor art. 13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prezenta lege” este nejustificată, întrucât art. 13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reglementează exclusiv principiile cooperării dintre Inspectoratul de Stat al Muncii și Autoritatea Europeană a Muncii și nu constituie un temei juridic pentru acțiunea prevăzută. În acest sens, se recomandă eliminarea trimiterii respective și reformularea dispoziției, după cum urmează: „Inspectoratul de Stat al Muncii poate solicita Autorității Europene a Muncii …”</w:t>
            </w:r>
          </w:p>
        </w:tc>
        <w:tc>
          <w:tcPr>
            <w:tcW w:w="5880" w:type="dxa"/>
          </w:tcPr>
          <w:p w14:paraId="6ED2EDE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CFD8751"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13</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Legea nr. 140/2001 va fi expus în următoarea redacție:</w:t>
            </w:r>
          </w:p>
          <w:p w14:paraId="153D048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Procedura de soluționare a litigiilor transfrontaliere prin intermediul Autorității Europene a Muncii</w:t>
            </w:r>
          </w:p>
          <w:p w14:paraId="60E330D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Inspectoratul de Stat al Muncii poate solicita Autorității Europene a Muncii desfășurarea unei proceduri de mediere în cazurile de litigii transfrontaliere privind aplicarea legislației Uniunii Europene în domeniul muncii.</w:t>
            </w:r>
          </w:p>
          <w:p w14:paraId="06D58FB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7C676F63" w14:textId="77777777">
        <w:trPr>
          <w:trHeight w:val="600"/>
        </w:trPr>
        <w:tc>
          <w:tcPr>
            <w:tcW w:w="555" w:type="dxa"/>
            <w:vMerge/>
          </w:tcPr>
          <w:p w14:paraId="449159C4" w14:textId="77777777" w:rsidR="00E114BB" w:rsidRDefault="00E114BB">
            <w:pPr>
              <w:spacing w:line="240" w:lineRule="auto"/>
              <w:rPr>
                <w:rFonts w:ascii="Times New Roman" w:eastAsia="Times New Roman" w:hAnsi="Times New Roman" w:cs="Times New Roman"/>
                <w:b/>
                <w:bCs/>
              </w:rPr>
            </w:pPr>
          </w:p>
        </w:tc>
        <w:tc>
          <w:tcPr>
            <w:tcW w:w="2700" w:type="dxa"/>
            <w:vMerge/>
          </w:tcPr>
          <w:p w14:paraId="172D7AA3" w14:textId="77777777" w:rsidR="00E114BB" w:rsidRDefault="00E114BB">
            <w:pPr>
              <w:spacing w:line="240" w:lineRule="auto"/>
              <w:jc w:val="center"/>
              <w:rPr>
                <w:rFonts w:ascii="Times New Roman" w:eastAsia="Times New Roman" w:hAnsi="Times New Roman" w:cs="Times New Roman"/>
              </w:rPr>
            </w:pPr>
          </w:p>
        </w:tc>
        <w:tc>
          <w:tcPr>
            <w:tcW w:w="5880" w:type="dxa"/>
          </w:tcPr>
          <w:p w14:paraId="46C68F2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II. – Codul muncii nr. 154/2003:</w:t>
            </w:r>
          </w:p>
          <w:p w14:paraId="4A6F10D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Articolul 8.</w:t>
            </w:r>
          </w:p>
          <w:p w14:paraId="21E5754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alin. (1), lista criteriilor de discriminare este extinsă prin includerea formulării „și criteriile stabilite prin Legea nr. 121/2012 cu privire la asigurarea egalității, precum și pe alte criterii nelegate de calitățile sale profesionale”. Această formulare are caracter deschis și poate genera incertitudine juridică pentru angajatori, întrucât extinde în mod nedeterminat sfera criteriilor de discriminare, inclusiv prin trimitere la alte acte normative și la „alte criterii” nedefinite.</w:t>
            </w:r>
          </w:p>
        </w:tc>
        <w:tc>
          <w:tcPr>
            <w:tcW w:w="5880" w:type="dxa"/>
          </w:tcPr>
          <w:p w14:paraId="7AD1CE1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DDCD86B"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Sintagma „alte criterii nelegate de calitățile sale profesionale” se conține în redacția actuală a art. 8 din CM, până nu au fost raportate situații care genera incertitudine juridică pentru angajator.</w:t>
            </w:r>
          </w:p>
        </w:tc>
      </w:tr>
      <w:tr w:rsidR="00E114BB" w14:paraId="105A712C" w14:textId="77777777">
        <w:trPr>
          <w:trHeight w:val="600"/>
        </w:trPr>
        <w:tc>
          <w:tcPr>
            <w:tcW w:w="555" w:type="dxa"/>
            <w:vMerge/>
          </w:tcPr>
          <w:p w14:paraId="27292619" w14:textId="77777777" w:rsidR="00E114BB" w:rsidRDefault="00E114BB">
            <w:pPr>
              <w:spacing w:line="240" w:lineRule="auto"/>
              <w:rPr>
                <w:rFonts w:ascii="Times New Roman" w:eastAsia="Times New Roman" w:hAnsi="Times New Roman" w:cs="Times New Roman"/>
                <w:b/>
                <w:bCs/>
              </w:rPr>
            </w:pPr>
          </w:p>
        </w:tc>
        <w:tc>
          <w:tcPr>
            <w:tcW w:w="2700" w:type="dxa"/>
            <w:vMerge/>
          </w:tcPr>
          <w:p w14:paraId="70A74DBE" w14:textId="77777777" w:rsidR="00E114BB" w:rsidRDefault="00E114BB">
            <w:pPr>
              <w:spacing w:line="240" w:lineRule="auto"/>
              <w:jc w:val="center"/>
              <w:rPr>
                <w:rFonts w:ascii="Times New Roman" w:eastAsia="Times New Roman" w:hAnsi="Times New Roman" w:cs="Times New Roman"/>
              </w:rPr>
            </w:pPr>
          </w:p>
        </w:tc>
        <w:tc>
          <w:tcPr>
            <w:tcW w:w="5880" w:type="dxa"/>
          </w:tcPr>
          <w:p w14:paraId="5D5E68D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 (1¹), prevederea potrivit căreia alin. (1) „se aplică tuturor persoanelor, atât în sectorul public, cât și în cel privat” este excesiv de largă și nu corespunde obiectului de reglementare al Codului muncii, care vizează în principal raporturile dintre angajatori și salariați sau persoanele care solicită angajarea. Utilizarea expresiei „toate persoanele” poate genera interpretări ce depășesc sfera raporturilor de muncă.</w:t>
            </w:r>
          </w:p>
        </w:tc>
        <w:tc>
          <w:tcPr>
            <w:tcW w:w="5880" w:type="dxa"/>
          </w:tcPr>
          <w:p w14:paraId="09E99D1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23B19D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(nr. 121/2012 cu privire la  cu privire la asigurarea egalității) conform recomandărilor experților UE.</w:t>
            </w:r>
          </w:p>
        </w:tc>
      </w:tr>
      <w:tr w:rsidR="00E114BB" w14:paraId="41832D2E" w14:textId="77777777">
        <w:trPr>
          <w:trHeight w:val="600"/>
        </w:trPr>
        <w:tc>
          <w:tcPr>
            <w:tcW w:w="555" w:type="dxa"/>
            <w:vMerge/>
          </w:tcPr>
          <w:p w14:paraId="78B45D54" w14:textId="77777777" w:rsidR="00E114BB" w:rsidRDefault="00E114BB">
            <w:pPr>
              <w:spacing w:line="240" w:lineRule="auto"/>
              <w:rPr>
                <w:rFonts w:ascii="Times New Roman" w:eastAsia="Times New Roman" w:hAnsi="Times New Roman" w:cs="Times New Roman"/>
                <w:b/>
                <w:bCs/>
              </w:rPr>
            </w:pPr>
          </w:p>
        </w:tc>
        <w:tc>
          <w:tcPr>
            <w:tcW w:w="2700" w:type="dxa"/>
            <w:vMerge/>
          </w:tcPr>
          <w:p w14:paraId="3A6D5022" w14:textId="77777777" w:rsidR="00E114BB" w:rsidRDefault="00E114BB">
            <w:pPr>
              <w:spacing w:line="240" w:lineRule="auto"/>
              <w:jc w:val="center"/>
              <w:rPr>
                <w:rFonts w:ascii="Times New Roman" w:eastAsia="Times New Roman" w:hAnsi="Times New Roman" w:cs="Times New Roman"/>
              </w:rPr>
            </w:pPr>
          </w:p>
        </w:tc>
        <w:tc>
          <w:tcPr>
            <w:tcW w:w="5880" w:type="dxa"/>
          </w:tcPr>
          <w:p w14:paraId="0EA8027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8 alin. (2), cu titlu de recomandare se solicită modificarea sintagmei „cu condiția ca această dispoziție, acest criteriu sau această practică este obiectiv justificată” cu sintagma „cu condiția ca această dispoziție, criteriu sau practică să fie </w:t>
            </w:r>
            <w:r>
              <w:rPr>
                <w:rFonts w:ascii="Times New Roman" w:eastAsia="Times New Roman" w:hAnsi="Times New Roman" w:cs="Times New Roman"/>
                <w:highlight w:val="white"/>
              </w:rPr>
              <w:lastRenderedPageBreak/>
              <w:t>justificată în mod obiectiv de un scop legitim, iar mijloacele de realizare a acestui scop să fie adecvate și necesare”.</w:t>
            </w:r>
          </w:p>
        </w:tc>
        <w:tc>
          <w:tcPr>
            <w:tcW w:w="5880" w:type="dxa"/>
          </w:tcPr>
          <w:p w14:paraId="5E7462F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 xml:space="preserve">Se acceptă </w:t>
            </w:r>
            <w:r>
              <w:rPr>
                <w:rFonts w:ascii="Times New Roman" w:eastAsia="Times New Roman" w:hAnsi="Times New Roman" w:cs="Times New Roman"/>
                <w:highlight w:val="white"/>
              </w:rPr>
              <w:t>în redacția propusă de Consiliul de egalitate.</w:t>
            </w:r>
          </w:p>
          <w:p w14:paraId="320519E9"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8 alin. (2)</w:t>
            </w:r>
            <w:r>
              <w:rPr>
                <w:rFonts w:ascii="Times New Roman" w:eastAsia="Times New Roman" w:hAnsi="Times New Roman" w:cs="Times New Roman"/>
                <w:b/>
                <w:bCs/>
                <w:highlight w:val="white"/>
              </w:rPr>
              <w:t xml:space="preserve"> se propune în următoarea redacție:</w:t>
            </w:r>
          </w:p>
          <w:p w14:paraId="08BFCF5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„Orice diferență de tratament bazată pe o caracteristică legată de unul din criteriile prevăzute la alin. (1) nu constituie o </w:t>
            </w:r>
            <w:r>
              <w:rPr>
                <w:rFonts w:ascii="Times New Roman" w:eastAsia="Times New Roman" w:hAnsi="Times New Roman" w:cs="Times New Roman"/>
                <w:highlight w:val="white"/>
              </w:rPr>
              <w:lastRenderedPageBreak/>
              <w:t>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tc>
      </w:tr>
      <w:tr w:rsidR="00E114BB" w14:paraId="61E525D2" w14:textId="77777777">
        <w:trPr>
          <w:trHeight w:val="600"/>
        </w:trPr>
        <w:tc>
          <w:tcPr>
            <w:tcW w:w="555" w:type="dxa"/>
            <w:vMerge/>
          </w:tcPr>
          <w:p w14:paraId="606903FE" w14:textId="77777777" w:rsidR="00E114BB" w:rsidRDefault="00E114BB">
            <w:pPr>
              <w:spacing w:line="240" w:lineRule="auto"/>
              <w:rPr>
                <w:rFonts w:ascii="Times New Roman" w:eastAsia="Times New Roman" w:hAnsi="Times New Roman" w:cs="Times New Roman"/>
                <w:b/>
                <w:bCs/>
              </w:rPr>
            </w:pPr>
          </w:p>
        </w:tc>
        <w:tc>
          <w:tcPr>
            <w:tcW w:w="2700" w:type="dxa"/>
            <w:vMerge/>
          </w:tcPr>
          <w:p w14:paraId="37CB0FA6" w14:textId="77777777" w:rsidR="00E114BB" w:rsidRDefault="00E114BB">
            <w:pPr>
              <w:spacing w:line="240" w:lineRule="auto"/>
              <w:jc w:val="center"/>
              <w:rPr>
                <w:rFonts w:ascii="Times New Roman" w:eastAsia="Times New Roman" w:hAnsi="Times New Roman" w:cs="Times New Roman"/>
              </w:rPr>
            </w:pPr>
          </w:p>
        </w:tc>
        <w:tc>
          <w:tcPr>
            <w:tcW w:w="5880" w:type="dxa"/>
          </w:tcPr>
          <w:p w14:paraId="04242E1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 </w:t>
            </w:r>
          </w:p>
          <w:p w14:paraId="7B0A146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 (3) se introduce obligația de formulare a unui aviz înainte de adoptarea deciziei de către angajator. Această modificare creează o etapă procedurală suplimentară care nu rezultă din structura actuală a articolului și nu este clar definită. Textul nu precizează natura juridică a avizului și nici dacă acesta are caracter exclusiv consultativ, existând riscul interpretării acestuia ca o condiție pentru adoptarea deciziei angajatorului.</w:t>
            </w:r>
          </w:p>
        </w:tc>
        <w:tc>
          <w:tcPr>
            <w:tcW w:w="5880" w:type="dxa"/>
          </w:tcPr>
          <w:p w14:paraId="4CBEB08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4A86181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completează cu un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în temeiul căruia se stabilește termen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w:t>
            </w:r>
            <w:r>
              <w:rPr>
                <w:rFonts w:ascii="Times New Roman" w:eastAsia="Times New Roman" w:hAnsi="Times New Roman" w:cs="Times New Roman"/>
                <w:b/>
                <w:bCs/>
                <w:highlight w:val="white"/>
              </w:rPr>
              <w:t>și formularea unui aviz înainte de adoptarea deciziei de către angajator;</w:t>
            </w:r>
          </w:p>
          <w:p w14:paraId="1557BC7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w:t>
            </w:r>
            <w:r>
              <w:rPr>
                <w:rFonts w:ascii="Times New Roman" w:eastAsia="Times New Roman" w:hAnsi="Times New Roman" w:cs="Times New Roman"/>
                <w:b/>
                <w:bCs/>
                <w:highlight w:val="white"/>
              </w:rPr>
              <w:t>și formularea unui aviz înainte de adoptarea deciziei de către angajator;</w:t>
            </w:r>
          </w:p>
        </w:tc>
      </w:tr>
      <w:tr w:rsidR="00E114BB" w14:paraId="3B06CCF0" w14:textId="77777777">
        <w:trPr>
          <w:trHeight w:val="600"/>
        </w:trPr>
        <w:tc>
          <w:tcPr>
            <w:tcW w:w="555" w:type="dxa"/>
            <w:vMerge/>
          </w:tcPr>
          <w:p w14:paraId="2EE8E346" w14:textId="77777777" w:rsidR="00E114BB" w:rsidRDefault="00E114BB">
            <w:pPr>
              <w:spacing w:line="240" w:lineRule="auto"/>
              <w:rPr>
                <w:rFonts w:ascii="Times New Roman" w:eastAsia="Times New Roman" w:hAnsi="Times New Roman" w:cs="Times New Roman"/>
                <w:b/>
                <w:bCs/>
              </w:rPr>
            </w:pPr>
          </w:p>
        </w:tc>
        <w:tc>
          <w:tcPr>
            <w:tcW w:w="2700" w:type="dxa"/>
            <w:vMerge/>
          </w:tcPr>
          <w:p w14:paraId="3763C32E" w14:textId="77777777" w:rsidR="00E114BB" w:rsidRDefault="00E114BB">
            <w:pPr>
              <w:spacing w:line="240" w:lineRule="auto"/>
              <w:jc w:val="center"/>
              <w:rPr>
                <w:rFonts w:ascii="Times New Roman" w:eastAsia="Times New Roman" w:hAnsi="Times New Roman" w:cs="Times New Roman"/>
              </w:rPr>
            </w:pPr>
          </w:p>
        </w:tc>
        <w:tc>
          <w:tcPr>
            <w:tcW w:w="5880" w:type="dxa"/>
          </w:tcPr>
          <w:p w14:paraId="094391E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III – Legea securității și sănătății în muncă nr. 186/2008: Art.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(1) conține o referință greșită la „Legea nr. 140/2012”. Corect este „Legea nr. 140/2001”</w:t>
            </w:r>
          </w:p>
        </w:tc>
        <w:tc>
          <w:tcPr>
            <w:tcW w:w="5880" w:type="dxa"/>
          </w:tcPr>
          <w:p w14:paraId="00403A3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6E5E02AB" w14:textId="77777777">
        <w:trPr>
          <w:trHeight w:val="600"/>
        </w:trPr>
        <w:tc>
          <w:tcPr>
            <w:tcW w:w="555" w:type="dxa"/>
            <w:vMerge/>
          </w:tcPr>
          <w:p w14:paraId="0EF0F56C" w14:textId="77777777" w:rsidR="00E114BB" w:rsidRDefault="00E114BB">
            <w:pPr>
              <w:spacing w:line="240" w:lineRule="auto"/>
              <w:rPr>
                <w:rFonts w:ascii="Times New Roman" w:eastAsia="Times New Roman" w:hAnsi="Times New Roman" w:cs="Times New Roman"/>
                <w:b/>
                <w:bCs/>
              </w:rPr>
            </w:pPr>
          </w:p>
        </w:tc>
        <w:tc>
          <w:tcPr>
            <w:tcW w:w="2700" w:type="dxa"/>
            <w:vMerge/>
          </w:tcPr>
          <w:p w14:paraId="4D03F71E" w14:textId="77777777" w:rsidR="00E114BB" w:rsidRDefault="00E114BB">
            <w:pPr>
              <w:spacing w:line="240" w:lineRule="auto"/>
              <w:jc w:val="center"/>
              <w:rPr>
                <w:rFonts w:ascii="Times New Roman" w:eastAsia="Times New Roman" w:hAnsi="Times New Roman" w:cs="Times New Roman"/>
              </w:rPr>
            </w:pPr>
          </w:p>
        </w:tc>
        <w:tc>
          <w:tcPr>
            <w:tcW w:w="5880" w:type="dxa"/>
          </w:tcPr>
          <w:p w14:paraId="2C2C0D4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IV - Codul contravențional nr. 218/2008: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(2) lit. a) și lit. b), sintagma „de către întreprinderilor stabilite” este incorectă din punct de vedere gramatical. Se impune corectarea acesteia pentru asigurarea concordanței gramaticale, după cum urmează: „de către întreprinderile stabilite”.</w:t>
            </w:r>
          </w:p>
        </w:tc>
        <w:tc>
          <w:tcPr>
            <w:tcW w:w="5880" w:type="dxa"/>
          </w:tcPr>
          <w:p w14:paraId="3106D67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37A21C33" w14:textId="77777777">
        <w:trPr>
          <w:trHeight w:val="600"/>
        </w:trPr>
        <w:tc>
          <w:tcPr>
            <w:tcW w:w="555" w:type="dxa"/>
            <w:vMerge/>
          </w:tcPr>
          <w:p w14:paraId="279954DB" w14:textId="77777777" w:rsidR="00E114BB" w:rsidRDefault="00E114BB">
            <w:pPr>
              <w:spacing w:line="240" w:lineRule="auto"/>
              <w:rPr>
                <w:rFonts w:ascii="Times New Roman" w:eastAsia="Times New Roman" w:hAnsi="Times New Roman" w:cs="Times New Roman"/>
                <w:b/>
                <w:bCs/>
              </w:rPr>
            </w:pPr>
          </w:p>
        </w:tc>
        <w:tc>
          <w:tcPr>
            <w:tcW w:w="2700" w:type="dxa"/>
            <w:vMerge/>
          </w:tcPr>
          <w:p w14:paraId="40591D6A" w14:textId="77777777" w:rsidR="00E114BB" w:rsidRDefault="00E114BB">
            <w:pPr>
              <w:spacing w:line="240" w:lineRule="auto"/>
              <w:jc w:val="center"/>
              <w:rPr>
                <w:rFonts w:ascii="Times New Roman" w:eastAsia="Times New Roman" w:hAnsi="Times New Roman" w:cs="Times New Roman"/>
              </w:rPr>
            </w:pPr>
          </w:p>
        </w:tc>
        <w:tc>
          <w:tcPr>
            <w:tcW w:w="5880" w:type="dxa"/>
          </w:tcPr>
          <w:p w14:paraId="35CA4CC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II. La nota de fundamentare: </w:t>
            </w:r>
          </w:p>
          <w:p w14:paraId="2CEFCC34" w14:textId="77777777" w:rsidR="00E114BB" w:rsidRDefault="00000000">
            <w:pPr>
              <w:spacing w:line="240" w:lineRule="auto"/>
              <w:ind w:firstLine="284"/>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Subpct</w:t>
            </w:r>
            <w:proofErr w:type="spellEnd"/>
            <w:r>
              <w:rPr>
                <w:rFonts w:ascii="Times New Roman" w:eastAsia="Times New Roman" w:hAnsi="Times New Roman" w:cs="Times New Roman"/>
                <w:highlight w:val="white"/>
              </w:rPr>
              <w:t xml:space="preserve">. 4.3 prezintă, în mod general, principalele efecte ale proiectului de lege asupra angajatorilor din sectorul privat, indicând domeniile în care aceștia urmează să se conformeze noilor cerințe legislative rezultate din transpunerea acquis-ului Uniunii Europene. Totuși, nota informativă nu conține o analiză </w:t>
            </w:r>
            <w:r>
              <w:rPr>
                <w:rFonts w:ascii="Times New Roman" w:eastAsia="Times New Roman" w:hAnsi="Times New Roman" w:cs="Times New Roman"/>
                <w:highlight w:val="white"/>
              </w:rPr>
              <w:lastRenderedPageBreak/>
              <w:t xml:space="preserve">suficient de detaliată a consecințelor concrete ale intervenției legislative asupra mediului de afaceri. </w:t>
            </w:r>
          </w:p>
          <w:p w14:paraId="0679A7E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particular, descrierea impactului se limitează la menționarea obligației angajatorilor de a respecta noile cerințe legale și la indicarea posibilității aplicării sancțiunilor în cazul neconformării, fără a examina modul în care noile reglementări ar putea influența costurile de conformare, sarcinile administrative sau organizarea internă a activității angajatorilor. </w:t>
            </w:r>
          </w:p>
          <w:p w14:paraId="042C226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 asemenea, nu sunt prezentate estimări privind eventualele costuri administrative suplimentare, necesitatea adaptării procedurilor interne sau impactul diferențiat asupra diferitelor categorii de întreprinderi, inclusiv asupra întreprinderilor mici și mijlocii. Totodată, mențiunea potrivit căreia costurile asociate detașărilor transnaționale ar fi proporționale cu creșterea veniturilor generate de prestarea serviciilor nu este însoțită de argumente sau explicații suplimentare care să fundamenteze această concluzie. </w:t>
            </w:r>
          </w:p>
          <w:p w14:paraId="2C3104E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context, se consideră oportună completarea notei informative cu o analiză mai detaliată a impactului asupra mediului de afaceri.</w:t>
            </w:r>
          </w:p>
        </w:tc>
        <w:tc>
          <w:tcPr>
            <w:tcW w:w="5880" w:type="dxa"/>
          </w:tcPr>
          <w:p w14:paraId="6F95642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512F6D3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237E341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3BA1576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Nota de fundamentare a fost revăzută, după caz.</w:t>
            </w:r>
          </w:p>
        </w:tc>
      </w:tr>
      <w:tr w:rsidR="00E114BB" w14:paraId="5A92463D" w14:textId="77777777">
        <w:trPr>
          <w:trHeight w:val="600"/>
        </w:trPr>
        <w:tc>
          <w:tcPr>
            <w:tcW w:w="555" w:type="dxa"/>
          </w:tcPr>
          <w:p w14:paraId="6120A2F2"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3C1816A0"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Sănătății</w:t>
            </w:r>
          </w:p>
          <w:p w14:paraId="0328C382"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09/945 </w:t>
            </w:r>
          </w:p>
          <w:p w14:paraId="4DE0FB5D"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17.03.2026</w:t>
            </w:r>
          </w:p>
        </w:tc>
        <w:tc>
          <w:tcPr>
            <w:tcW w:w="5880" w:type="dxa"/>
          </w:tcPr>
          <w:p w14:paraId="4B17EDE9" w14:textId="77777777" w:rsidR="00E114BB" w:rsidRDefault="00E114BB">
            <w:pPr>
              <w:spacing w:line="240" w:lineRule="auto"/>
              <w:ind w:firstLine="284"/>
              <w:jc w:val="both"/>
              <w:rPr>
                <w:rFonts w:ascii="Times New Roman" w:eastAsia="Times New Roman" w:hAnsi="Times New Roman" w:cs="Times New Roman"/>
                <w:highlight w:val="white"/>
              </w:rPr>
            </w:pPr>
          </w:p>
          <w:p w14:paraId="700EED4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Lipsă de propuneri și obiecții.</w:t>
            </w:r>
          </w:p>
        </w:tc>
        <w:tc>
          <w:tcPr>
            <w:tcW w:w="5880" w:type="dxa"/>
          </w:tcPr>
          <w:p w14:paraId="07B2346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7C4818C9" w14:textId="77777777">
        <w:trPr>
          <w:trHeight w:val="600"/>
        </w:trPr>
        <w:tc>
          <w:tcPr>
            <w:tcW w:w="555" w:type="dxa"/>
          </w:tcPr>
          <w:p w14:paraId="389D69AD"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09EBF1AF"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Infrastructurii și Dezvoltării Regionale</w:t>
            </w:r>
          </w:p>
          <w:p w14:paraId="3BA3864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21-1310</w:t>
            </w:r>
          </w:p>
          <w:p w14:paraId="0B62A15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din 16.03.2026</w:t>
            </w:r>
          </w:p>
        </w:tc>
        <w:tc>
          <w:tcPr>
            <w:tcW w:w="5880" w:type="dxa"/>
          </w:tcPr>
          <w:p w14:paraId="61D36642" w14:textId="77777777" w:rsidR="00E114BB" w:rsidRDefault="00E114BB">
            <w:pPr>
              <w:spacing w:line="240" w:lineRule="auto"/>
              <w:ind w:firstLine="284"/>
              <w:jc w:val="both"/>
              <w:rPr>
                <w:rFonts w:ascii="Times New Roman" w:eastAsia="Times New Roman" w:hAnsi="Times New Roman" w:cs="Times New Roman"/>
                <w:highlight w:val="white"/>
              </w:rPr>
            </w:pPr>
          </w:p>
          <w:p w14:paraId="0606D6E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Lipsă de propuneri și obiecții.</w:t>
            </w:r>
          </w:p>
        </w:tc>
        <w:tc>
          <w:tcPr>
            <w:tcW w:w="5880" w:type="dxa"/>
          </w:tcPr>
          <w:p w14:paraId="4F6F4F7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11E1FF76" w14:textId="77777777">
        <w:trPr>
          <w:trHeight w:val="600"/>
        </w:trPr>
        <w:tc>
          <w:tcPr>
            <w:tcW w:w="555" w:type="dxa"/>
          </w:tcPr>
          <w:p w14:paraId="74EBDCB0"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177E4DF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Agriculturii și Industriei Alimentare</w:t>
            </w:r>
          </w:p>
          <w:p w14:paraId="6380CFB8"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23-02/758</w:t>
            </w:r>
          </w:p>
          <w:p w14:paraId="5FADB662"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16.03.2026</w:t>
            </w:r>
          </w:p>
        </w:tc>
        <w:tc>
          <w:tcPr>
            <w:tcW w:w="5880" w:type="dxa"/>
          </w:tcPr>
          <w:p w14:paraId="263AC71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37F3752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3820FF38" w14:textId="77777777">
        <w:trPr>
          <w:trHeight w:val="795"/>
        </w:trPr>
        <w:tc>
          <w:tcPr>
            <w:tcW w:w="555" w:type="dxa"/>
          </w:tcPr>
          <w:p w14:paraId="2611FE60"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1B587EA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Mediului </w:t>
            </w:r>
          </w:p>
          <w:p w14:paraId="2D003F23"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13-05/782</w:t>
            </w:r>
          </w:p>
          <w:p w14:paraId="7D82F375"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13.03.2026 </w:t>
            </w:r>
          </w:p>
        </w:tc>
        <w:tc>
          <w:tcPr>
            <w:tcW w:w="5880" w:type="dxa"/>
          </w:tcPr>
          <w:p w14:paraId="23C2D63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04A1395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318760E2" w14:textId="77777777">
        <w:trPr>
          <w:trHeight w:val="600"/>
        </w:trPr>
        <w:tc>
          <w:tcPr>
            <w:tcW w:w="555" w:type="dxa"/>
          </w:tcPr>
          <w:p w14:paraId="64EBC78E"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445385FA"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Educației și Cercetării</w:t>
            </w:r>
          </w:p>
          <w:p w14:paraId="5347972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13/171/26</w:t>
            </w:r>
          </w:p>
          <w:p w14:paraId="7C7F342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12.03.2026 </w:t>
            </w:r>
          </w:p>
        </w:tc>
        <w:tc>
          <w:tcPr>
            <w:tcW w:w="5880" w:type="dxa"/>
          </w:tcPr>
          <w:p w14:paraId="370156E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496E8F9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439971F1" w14:textId="77777777">
        <w:trPr>
          <w:trHeight w:val="290"/>
        </w:trPr>
        <w:tc>
          <w:tcPr>
            <w:tcW w:w="555" w:type="dxa"/>
            <w:vMerge w:val="restart"/>
          </w:tcPr>
          <w:p w14:paraId="319C8D74"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5DEB5C5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Afacerilor Externe </w:t>
            </w:r>
          </w:p>
          <w:p w14:paraId="2941DD68"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DI/3/041.1-2974 </w:t>
            </w:r>
          </w:p>
          <w:p w14:paraId="5ED79EE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13.03.2023</w:t>
            </w:r>
          </w:p>
          <w:p w14:paraId="10F889CC"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29CB043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4, alin. (3), lit. e), introdusă prin art. I, pct. 2 din proiectul de Lege, termenul „acordurilor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va fi substituit cu termenul generic „tratatelor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prevăzut în Legea nr. 595/1999 privind tratatele internaționale ale Republicii Moldova.</w:t>
            </w:r>
          </w:p>
        </w:tc>
        <w:tc>
          <w:tcPr>
            <w:tcW w:w="5880" w:type="dxa"/>
            <w:tcBorders>
              <w:bottom w:val="single" w:sz="4" w:space="0" w:color="000000"/>
            </w:tcBorders>
          </w:tcPr>
          <w:p w14:paraId="6C6D992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14C45A40" w14:textId="77777777">
        <w:trPr>
          <w:trHeight w:val="315"/>
        </w:trPr>
        <w:tc>
          <w:tcPr>
            <w:tcW w:w="555" w:type="dxa"/>
            <w:vMerge/>
          </w:tcPr>
          <w:p w14:paraId="70B4FF4B" w14:textId="77777777" w:rsidR="00E114BB" w:rsidRDefault="00E114BB">
            <w:pPr>
              <w:widowControl w:val="0"/>
              <w:rPr>
                <w:rFonts w:ascii="Times New Roman" w:eastAsia="Times New Roman" w:hAnsi="Times New Roman" w:cs="Times New Roman"/>
                <w:highlight w:val="white"/>
              </w:rPr>
            </w:pPr>
          </w:p>
        </w:tc>
        <w:tc>
          <w:tcPr>
            <w:tcW w:w="2700" w:type="dxa"/>
            <w:vMerge/>
          </w:tcPr>
          <w:p w14:paraId="6AB2CACB"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81AB2F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 alin. (2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introdus prin art. I, pct. 3 din proiectul de Lege, urmează a fi revizuit, deoarece art. 23</w:t>
            </w:r>
            <w:r>
              <w:rPr>
                <w:rFonts w:ascii="Times New Roman" w:eastAsia="Times New Roman" w:hAnsi="Times New Roman" w:cs="Times New Roman"/>
                <w:highlight w:val="white"/>
                <w:vertAlign w:val="superscript"/>
              </w:rPr>
              <w:t xml:space="preserve">2 </w:t>
            </w:r>
            <w:r>
              <w:rPr>
                <w:rFonts w:ascii="Times New Roman" w:eastAsia="Times New Roman" w:hAnsi="Times New Roman" w:cs="Times New Roman"/>
                <w:highlight w:val="white"/>
              </w:rPr>
              <w:t>din Legea securității și sănătății în muncă nr. 186/2008, la care se face referire, nu există.</w:t>
            </w:r>
          </w:p>
        </w:tc>
        <w:tc>
          <w:tcPr>
            <w:tcW w:w="5880" w:type="dxa"/>
            <w:tcBorders>
              <w:top w:val="single" w:sz="4" w:space="0" w:color="000000"/>
              <w:bottom w:val="single" w:sz="4" w:space="0" w:color="000000"/>
            </w:tcBorders>
          </w:tcPr>
          <w:p w14:paraId="6350E38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3134BF0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Art. III din prezentul proiect se modifică Legea nr. 186/2008 securității și sănătății în muncă. Legea în cauză se completează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Acest articol prevede raportarea aplicării  acestei legi și a actelor normative naționale care transpun directivele speciale adoptate în temeiul acesteia.</w:t>
            </w:r>
          </w:p>
          <w:p w14:paraId="4F91505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În temeiul acestui articol ISM va raporta despre aplicarea Legii 186/2008 și actelor normative naționale care transpun directivele speciale.</w:t>
            </w:r>
          </w:p>
        </w:tc>
      </w:tr>
      <w:tr w:rsidR="00E114BB" w14:paraId="0525C51E" w14:textId="77777777">
        <w:trPr>
          <w:trHeight w:val="330"/>
        </w:trPr>
        <w:tc>
          <w:tcPr>
            <w:tcW w:w="555" w:type="dxa"/>
            <w:vMerge/>
          </w:tcPr>
          <w:p w14:paraId="4BC6FCA7" w14:textId="77777777" w:rsidR="00E114BB" w:rsidRDefault="00E114BB">
            <w:pPr>
              <w:widowControl w:val="0"/>
              <w:rPr>
                <w:rFonts w:ascii="Times New Roman" w:eastAsia="Times New Roman" w:hAnsi="Times New Roman" w:cs="Times New Roman"/>
                <w:highlight w:val="white"/>
              </w:rPr>
            </w:pPr>
          </w:p>
        </w:tc>
        <w:tc>
          <w:tcPr>
            <w:tcW w:w="2700" w:type="dxa"/>
            <w:vMerge/>
          </w:tcPr>
          <w:p w14:paraId="2BD75D5F"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0025E30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13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alin. (2) şi (4) şi art.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introduse prin art. I, pct. 4 din proiectul de Lege, se va specifica dacă termenul „acordurile de cooperare” se referă la tratate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sau la acorduri care nu sunt guvernate de normele dreptului internațional public.</w:t>
            </w:r>
          </w:p>
          <w:p w14:paraId="48832B0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context, Inspectoratului de Stat al Muncii i se propune să îi revină competența de a încheia doar acorduri care nu sunt guvernate de normele dreptului internațional public în domeniul său de activitate, </w:t>
            </w:r>
            <w:proofErr w:type="spellStart"/>
            <w:r>
              <w:rPr>
                <w:rFonts w:ascii="Times New Roman" w:eastAsia="Times New Roman" w:hAnsi="Times New Roman" w:cs="Times New Roman"/>
                <w:highlight w:val="white"/>
              </w:rPr>
              <w:t>competenţa</w:t>
            </w:r>
            <w:proofErr w:type="spellEnd"/>
            <w:r>
              <w:rPr>
                <w:rFonts w:ascii="Times New Roman" w:eastAsia="Times New Roman" w:hAnsi="Times New Roman" w:cs="Times New Roman"/>
                <w:highlight w:val="white"/>
              </w:rPr>
              <w:t xml:space="preserve"> de a încheia tratate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în domeniu revenindu-i Ministerului Muncii şi </w:t>
            </w:r>
            <w:proofErr w:type="spellStart"/>
            <w:r>
              <w:rPr>
                <w:rFonts w:ascii="Times New Roman" w:eastAsia="Times New Roman" w:hAnsi="Times New Roman" w:cs="Times New Roman"/>
                <w:highlight w:val="white"/>
              </w:rPr>
              <w:t>Protecţiei</w:t>
            </w:r>
            <w:proofErr w:type="spellEnd"/>
            <w:r>
              <w:rPr>
                <w:rFonts w:ascii="Times New Roman" w:eastAsia="Times New Roman" w:hAnsi="Times New Roman" w:cs="Times New Roman"/>
                <w:highlight w:val="white"/>
              </w:rPr>
              <w:t xml:space="preserve"> Sociale – organ central de specialitate al administrației publice care asigură realizarea politicii guvernamentale în domeniu.</w:t>
            </w:r>
          </w:p>
        </w:tc>
        <w:tc>
          <w:tcPr>
            <w:tcW w:w="5880" w:type="dxa"/>
            <w:tcBorders>
              <w:top w:val="single" w:sz="4" w:space="0" w:color="000000"/>
              <w:bottom w:val="single" w:sz="4" w:space="0" w:color="000000"/>
            </w:tcBorders>
          </w:tcPr>
          <w:p w14:paraId="6B16A12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E3250AE"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alin. (2) şi (4) şi art.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vor avea următoarea redacție:</w:t>
            </w:r>
          </w:p>
          <w:p w14:paraId="4B4DFD80" w14:textId="77777777" w:rsidR="00E114BB" w:rsidRDefault="00E114BB">
            <w:pPr>
              <w:spacing w:line="240" w:lineRule="auto"/>
              <w:jc w:val="both"/>
              <w:rPr>
                <w:rFonts w:ascii="Times New Roman" w:eastAsia="Times New Roman" w:hAnsi="Times New Roman" w:cs="Times New Roman"/>
                <w:highlight w:val="white"/>
              </w:rPr>
            </w:pPr>
          </w:p>
          <w:p w14:paraId="0A02EC9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13/2. Participarea la inspecții comune și concertate</w:t>
            </w:r>
          </w:p>
          <w:p w14:paraId="2D3C506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Inspecțiile comune și concertate se desfășoară cu respectarea legislației Republicii Moldova, precum și a procedurilor stabilite prin </w:t>
            </w:r>
            <w:r>
              <w:rPr>
                <w:rFonts w:ascii="Times New Roman" w:eastAsia="Times New Roman" w:hAnsi="Times New Roman" w:cs="Times New Roman"/>
                <w:b/>
                <w:bCs/>
                <w:highlight w:val="white"/>
              </w:rPr>
              <w:t>acordurile de cooperare interinstituțională care nu sunt guvernate de normele dreptului internațional public</w:t>
            </w:r>
            <w:r>
              <w:rPr>
                <w:rFonts w:ascii="Times New Roman" w:eastAsia="Times New Roman" w:hAnsi="Times New Roman" w:cs="Times New Roman"/>
                <w:highlight w:val="white"/>
              </w:rPr>
              <w:t xml:space="preserve">, încheiate cu Autoritatea Europeană a Muncii. </w:t>
            </w:r>
          </w:p>
          <w:p w14:paraId="7DE6361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Noțiunile de la art. 13/2 alin. (4) vor fi incluse la art. 1/1 al Legii nr. 140/2001. Iar art. 13/2 alin. (4) va fi exclus. </w:t>
            </w:r>
          </w:p>
          <w:p w14:paraId="03B52D8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Articolul 1/1 se completează cu </w:t>
            </w:r>
            <w:proofErr w:type="spellStart"/>
            <w:r>
              <w:rPr>
                <w:rFonts w:ascii="Times New Roman" w:eastAsia="Times New Roman" w:hAnsi="Times New Roman" w:cs="Times New Roman"/>
                <w:highlight w:val="white"/>
              </w:rPr>
              <w:t>cu</w:t>
            </w:r>
            <w:proofErr w:type="spellEnd"/>
            <w:r>
              <w:rPr>
                <w:rFonts w:ascii="Times New Roman" w:eastAsia="Times New Roman" w:hAnsi="Times New Roman" w:cs="Times New Roman"/>
                <w:highlight w:val="white"/>
              </w:rPr>
              <w:t xml:space="preserve"> următorul text:</w:t>
            </w:r>
          </w:p>
          <w:p w14:paraId="58A0578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sensul prezentei legi, următoarele </w:t>
            </w:r>
            <w:proofErr w:type="spellStart"/>
            <w:r>
              <w:rPr>
                <w:rFonts w:ascii="Times New Roman" w:eastAsia="Times New Roman" w:hAnsi="Times New Roman" w:cs="Times New Roman"/>
                <w:highlight w:val="white"/>
              </w:rPr>
              <w:t>noţiuni</w:t>
            </w:r>
            <w:proofErr w:type="spellEnd"/>
            <w:r>
              <w:rPr>
                <w:rFonts w:ascii="Times New Roman" w:eastAsia="Times New Roman" w:hAnsi="Times New Roman" w:cs="Times New Roman"/>
                <w:highlight w:val="white"/>
              </w:rPr>
              <w:t xml:space="preserve"> principale semnifică:</w:t>
            </w:r>
          </w:p>
          <w:p w14:paraId="1A4BAF5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„inspecții concertate” – activități de control desfășurate simultan în Republica Moldova și în unul sau mai multe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privind cazuri conexe, fiecare autoritate competentă operând în propria jurisdicție,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649169E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w:t>
            </w:r>
            <w:r>
              <w:rPr>
                <w:rFonts w:ascii="Times New Roman" w:eastAsia="Times New Roman" w:hAnsi="Times New Roman" w:cs="Times New Roman"/>
                <w:b/>
                <w:bCs/>
                <w:highlight w:val="white"/>
              </w:rPr>
              <w:t>stat membru al Uniunii Europene</w:t>
            </w:r>
            <w:r>
              <w:rPr>
                <w:rFonts w:ascii="Times New Roman" w:eastAsia="Times New Roman" w:hAnsi="Times New Roman" w:cs="Times New Roman"/>
                <w:highlight w:val="white"/>
              </w:rPr>
              <w:t xml:space="preserve">, cu participarea autorităților competente ale unuia sau mai multor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fiecare autoritate operând în limitele propriei jurisdicții,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3998949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13/3. Statutul inspectorilor străini</w:t>
            </w:r>
          </w:p>
          <w:p w14:paraId="2D893E3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Inspectorii desemnați de Autoritatea Europeană a Muncii ori de autoritățile competente ale </w:t>
            </w:r>
            <w:r>
              <w:rPr>
                <w:rFonts w:ascii="Times New Roman" w:eastAsia="Times New Roman" w:hAnsi="Times New Roman" w:cs="Times New Roman"/>
                <w:b/>
                <w:bCs/>
                <w:highlight w:val="white"/>
              </w:rPr>
              <w:t>statelor membre ale Uniunii Europene</w:t>
            </w:r>
            <w:r>
              <w:rPr>
                <w:rFonts w:ascii="Times New Roman" w:eastAsia="Times New Roman" w:hAnsi="Times New Roman" w:cs="Times New Roman"/>
                <w:highlight w:val="white"/>
              </w:rPr>
              <w:t xml:space="preserv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w:t>
            </w:r>
            <w:r>
              <w:rPr>
                <w:rFonts w:ascii="Times New Roman" w:eastAsia="Times New Roman" w:hAnsi="Times New Roman" w:cs="Times New Roman"/>
                <w:b/>
                <w:bCs/>
                <w:highlight w:val="white"/>
              </w:rPr>
              <w:t xml:space="preserve">acordurilor de </w:t>
            </w:r>
            <w:r>
              <w:rPr>
                <w:rFonts w:ascii="Times New Roman" w:eastAsia="Times New Roman" w:hAnsi="Times New Roman" w:cs="Times New Roman"/>
                <w:b/>
                <w:bCs/>
                <w:highlight w:val="white"/>
              </w:rPr>
              <w:lastRenderedPageBreak/>
              <w:t>cooperare interinstituțională încheiate de Inspectoratul de Stat al Muncii</w:t>
            </w:r>
            <w:r>
              <w:rPr>
                <w:rFonts w:ascii="Times New Roman" w:eastAsia="Times New Roman" w:hAnsi="Times New Roman" w:cs="Times New Roman"/>
                <w:highlight w:val="white"/>
              </w:rPr>
              <w:t>.</w:t>
            </w:r>
          </w:p>
        </w:tc>
      </w:tr>
      <w:tr w:rsidR="00E114BB" w14:paraId="5EB92A32" w14:textId="77777777">
        <w:trPr>
          <w:trHeight w:val="546"/>
        </w:trPr>
        <w:tc>
          <w:tcPr>
            <w:tcW w:w="555" w:type="dxa"/>
            <w:vMerge/>
          </w:tcPr>
          <w:p w14:paraId="1507B54A" w14:textId="77777777" w:rsidR="00E114BB" w:rsidRDefault="00E114BB">
            <w:pPr>
              <w:widowControl w:val="0"/>
              <w:rPr>
                <w:rFonts w:ascii="Times New Roman" w:eastAsia="Times New Roman" w:hAnsi="Times New Roman" w:cs="Times New Roman"/>
                <w:highlight w:val="white"/>
              </w:rPr>
            </w:pPr>
          </w:p>
        </w:tc>
        <w:tc>
          <w:tcPr>
            <w:tcW w:w="2700" w:type="dxa"/>
            <w:vMerge/>
          </w:tcPr>
          <w:p w14:paraId="63C2A3DC"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3D150FC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întregul text al proiectului de Lege va fi specificat la care „mai multe state”/„alt stat”/„stat membru”/etc. se face referire.</w:t>
            </w:r>
          </w:p>
        </w:tc>
        <w:tc>
          <w:tcPr>
            <w:tcW w:w="5880" w:type="dxa"/>
            <w:tcBorders>
              <w:top w:val="single" w:sz="4" w:space="0" w:color="000000"/>
              <w:bottom w:val="single" w:sz="4" w:space="0" w:color="000000"/>
            </w:tcBorders>
          </w:tcPr>
          <w:p w14:paraId="6C0C265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292846B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Noțiunile de la art. 13/2 alin. (4) vor fi incluse la art. 1/1 al Legii nr. 140/2001. Iar art. 13/2 alin. (4) va fi exclus. </w:t>
            </w:r>
          </w:p>
          <w:p w14:paraId="092D328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1/1 se completează cu </w:t>
            </w:r>
            <w:proofErr w:type="spellStart"/>
            <w:r>
              <w:rPr>
                <w:rFonts w:ascii="Times New Roman" w:eastAsia="Times New Roman" w:hAnsi="Times New Roman" w:cs="Times New Roman"/>
                <w:highlight w:val="white"/>
              </w:rPr>
              <w:t>cu</w:t>
            </w:r>
            <w:proofErr w:type="spellEnd"/>
            <w:r>
              <w:rPr>
                <w:rFonts w:ascii="Times New Roman" w:eastAsia="Times New Roman" w:hAnsi="Times New Roman" w:cs="Times New Roman"/>
                <w:highlight w:val="white"/>
              </w:rPr>
              <w:t xml:space="preserve"> următorul text:</w:t>
            </w:r>
          </w:p>
          <w:p w14:paraId="25F8DF7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sensul prezentei legi, următoarele </w:t>
            </w:r>
            <w:proofErr w:type="spellStart"/>
            <w:r>
              <w:rPr>
                <w:rFonts w:ascii="Times New Roman" w:eastAsia="Times New Roman" w:hAnsi="Times New Roman" w:cs="Times New Roman"/>
                <w:highlight w:val="white"/>
              </w:rPr>
              <w:t>noţiuni</w:t>
            </w:r>
            <w:proofErr w:type="spellEnd"/>
            <w:r>
              <w:rPr>
                <w:rFonts w:ascii="Times New Roman" w:eastAsia="Times New Roman" w:hAnsi="Times New Roman" w:cs="Times New Roman"/>
                <w:highlight w:val="white"/>
              </w:rPr>
              <w:t xml:space="preserve"> principale semnifică:</w:t>
            </w:r>
          </w:p>
          <w:p w14:paraId="57A140A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„inspecții concertate” – activități de control desfășurate simultan în Republica Moldova și în unul sau mai multe state membre ale Uniunii Europene, privind cazuri conexe, fiecare autoritate competentă operând în propria jurisdicție, cu asistența, după caz, a personalului Autorității Europene a Muncii, în condițiile acordurilor de cooperare interinstituțională încheiate de Inspectoratul de Stat al Muncii;</w:t>
            </w:r>
          </w:p>
          <w:p w14:paraId="6039320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„inspecții comune” – activități de control desfășurate pe teritoriul Republicii Moldova ori, după caz, pe teritoriul unui stat membru al Uniunii Europene, cu participarea autorităților competente ale unuia sau mai multor state membre ale Uniunii Europene, fiecare autoritate operând în limitele propriei jurisdicții, cu asistența, după caz, a personalului Autorității Europene a Muncii, în condițiile acordurilor de cooperare interinstituțională încheiate de Inspectoratul de Stat al Muncii.</w:t>
            </w:r>
          </w:p>
          <w:p w14:paraId="0D40688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„inspecții concertate” – activități de control desfășurate simultan în Republica Moldova și în unul sau mai multe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privind cazuri conexe, fiecare autoritate competentă operând în propria jurisdicție, cu asistența, după caz, a personalului Autorității Europene a Muncii, în </w:t>
            </w:r>
            <w:r>
              <w:rPr>
                <w:rFonts w:ascii="Times New Roman" w:eastAsia="Times New Roman" w:hAnsi="Times New Roman" w:cs="Times New Roman"/>
                <w:highlight w:val="white"/>
              </w:rPr>
              <w:lastRenderedPageBreak/>
              <w:t xml:space="preserve">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7AF772F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w:t>
            </w:r>
            <w:r>
              <w:rPr>
                <w:rFonts w:ascii="Times New Roman" w:eastAsia="Times New Roman" w:hAnsi="Times New Roman" w:cs="Times New Roman"/>
                <w:b/>
                <w:bCs/>
                <w:highlight w:val="white"/>
              </w:rPr>
              <w:t>stat membru al Uniunii Europene</w:t>
            </w:r>
            <w:r>
              <w:rPr>
                <w:rFonts w:ascii="Times New Roman" w:eastAsia="Times New Roman" w:hAnsi="Times New Roman" w:cs="Times New Roman"/>
                <w:highlight w:val="white"/>
              </w:rPr>
              <w:t xml:space="preserve">, cu participarea autorităților competente ale unuia sau mai multor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fiecare autoritate operând în limitele propriei jurisdicții,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020238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13/3 alin. (2) vor avea următoarea redacție:</w:t>
            </w:r>
          </w:p>
          <w:p w14:paraId="2A47576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13/3 alin. (2):</w:t>
            </w:r>
          </w:p>
          <w:p w14:paraId="0DF0820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Inspectorii desemnați de Autoritatea Europeană a Muncii ori de autoritățile competente ale </w:t>
            </w:r>
            <w:r>
              <w:rPr>
                <w:rFonts w:ascii="Times New Roman" w:eastAsia="Times New Roman" w:hAnsi="Times New Roman" w:cs="Times New Roman"/>
                <w:b/>
                <w:bCs/>
                <w:highlight w:val="white"/>
              </w:rPr>
              <w:t>statelor membre ale Uniunii Europene</w:t>
            </w:r>
            <w:r>
              <w:rPr>
                <w:rFonts w:ascii="Times New Roman" w:eastAsia="Times New Roman" w:hAnsi="Times New Roman" w:cs="Times New Roman"/>
                <w:highlight w:val="white"/>
              </w:rPr>
              <w:t xml:space="preserv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tc>
      </w:tr>
      <w:tr w:rsidR="00E114BB" w14:paraId="418A00E6" w14:textId="77777777">
        <w:trPr>
          <w:trHeight w:val="375"/>
        </w:trPr>
        <w:tc>
          <w:tcPr>
            <w:tcW w:w="555" w:type="dxa"/>
            <w:vMerge/>
          </w:tcPr>
          <w:p w14:paraId="0094B056" w14:textId="77777777" w:rsidR="00E114BB" w:rsidRDefault="00E114BB">
            <w:pPr>
              <w:widowControl w:val="0"/>
              <w:rPr>
                <w:rFonts w:ascii="Times New Roman" w:eastAsia="Times New Roman" w:hAnsi="Times New Roman" w:cs="Times New Roman"/>
                <w:highlight w:val="white"/>
              </w:rPr>
            </w:pPr>
          </w:p>
        </w:tc>
        <w:tc>
          <w:tcPr>
            <w:tcW w:w="2700" w:type="dxa"/>
            <w:vMerge/>
          </w:tcPr>
          <w:p w14:paraId="633D837F"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tcBorders>
          </w:tcPr>
          <w:p w14:paraId="49EA781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23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introdus prin art. III, pct. 9 din proiectul de Lege, se recomandă ca denumirea „Comitetul consultativ pentru securitate și sănătate la locul de muncă” să fie redată corect conform art. 16 din Legea securităţii şi sănătăţii în muncă nr. 186/2008.</w:t>
            </w:r>
          </w:p>
        </w:tc>
        <w:tc>
          <w:tcPr>
            <w:tcW w:w="5880" w:type="dxa"/>
            <w:tcBorders>
              <w:top w:val="single" w:sz="4" w:space="0" w:color="000000"/>
            </w:tcBorders>
          </w:tcPr>
          <w:p w14:paraId="430D6D8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r>
              <w:rPr>
                <w:rFonts w:ascii="Times New Roman" w:eastAsia="Times New Roman" w:hAnsi="Times New Roman" w:cs="Times New Roman"/>
                <w:highlight w:val="white"/>
              </w:rPr>
              <w:t xml:space="preserve"> </w:t>
            </w:r>
          </w:p>
          <w:p w14:paraId="752EF0A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vederea asigurării clarității și a unei transpuneri mai fidele a art. 17a alin. (2) din Directiva 89/391/CEE, alin. (2) va fi </w:t>
            </w:r>
            <w:r>
              <w:rPr>
                <w:rFonts w:ascii="Times New Roman" w:eastAsia="Times New Roman" w:hAnsi="Times New Roman" w:cs="Times New Roman"/>
                <w:highlight w:val="white"/>
              </w:rPr>
              <w:lastRenderedPageBreak/>
              <w:t>reformulat astfel încât să rezulte expres că referința vizează comitetul consultativ instituit la nivelul Uniunii Europene.</w:t>
            </w:r>
          </w:p>
          <w:p w14:paraId="24D46F5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23/2 alin. (2) va fi expus în următoarea redacție:</w:t>
            </w:r>
          </w:p>
          <w:p w14:paraId="04BF7F7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(2) Raportul prevăzut la alin. (1) se elaborează în conformitate cu structura și chestionarul stabilite de Comisia Europeană, în colaborare cu </w:t>
            </w:r>
            <w:r>
              <w:rPr>
                <w:rFonts w:ascii="Times New Roman" w:eastAsia="Times New Roman" w:hAnsi="Times New Roman" w:cs="Times New Roman"/>
                <w:b/>
                <w:bCs/>
                <w:highlight w:val="white"/>
              </w:rPr>
              <w:t>Comitetul consultativ pentru securitate și sănătate la locul de muncă al Uniunii Europene</w:t>
            </w:r>
            <w:r>
              <w:rPr>
                <w:rFonts w:ascii="Times New Roman" w:eastAsia="Times New Roman" w:hAnsi="Times New Roman" w:cs="Times New Roman"/>
                <w:highlight w:val="white"/>
              </w:rPr>
              <w:t>.</w:t>
            </w:r>
          </w:p>
        </w:tc>
      </w:tr>
      <w:tr w:rsidR="00E114BB" w14:paraId="76E5CEC7" w14:textId="77777777">
        <w:trPr>
          <w:trHeight w:val="350"/>
        </w:trPr>
        <w:tc>
          <w:tcPr>
            <w:tcW w:w="555" w:type="dxa"/>
            <w:vMerge w:val="restart"/>
          </w:tcPr>
          <w:p w14:paraId="66515D61"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5A784CA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Afacerilor Interne </w:t>
            </w:r>
          </w:p>
          <w:p w14:paraId="542234AE"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42/1019 </w:t>
            </w:r>
          </w:p>
          <w:p w14:paraId="3F4BDB0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16.03.2026</w:t>
            </w:r>
          </w:p>
          <w:p w14:paraId="5C1E0031"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5FA4C8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 parcursul întregului proiect autorul face trimitere la legea privind detașarea salariaților în cadrul prestării de servicii transnaționale. </w:t>
            </w:r>
          </w:p>
          <w:p w14:paraId="6E5723D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context, se menționează că actul normativ respectiv se află, în prezent, la nivel de proiect și este în procedură de consultare publică, motiv pentru care trimiterea la un act normativ care nu este încă adoptat și nu a intrat în vigoare nu poate fi considerată oportună. Prin urmare, acest aspect este necesar de a fi luat în considerare la promovarea proiectului.</w:t>
            </w:r>
          </w:p>
        </w:tc>
        <w:tc>
          <w:tcPr>
            <w:tcW w:w="5880" w:type="dxa"/>
            <w:tcBorders>
              <w:bottom w:val="single" w:sz="4" w:space="0" w:color="000000"/>
            </w:tcBorders>
          </w:tcPr>
          <w:p w14:paraId="2006196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2508CC9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art. 3 alin. (4) lit. a) din Legea nr. 100/2017, actul normativ trebuie să se integreze organic în cadrul normativ în vigoare, scop în care proiectul actului normativ trebuie corelat cu prevederile actelor normative de nivel superior sau de </w:t>
            </w:r>
            <w:proofErr w:type="spellStart"/>
            <w:r>
              <w:rPr>
                <w:rFonts w:ascii="Times New Roman" w:eastAsia="Times New Roman" w:hAnsi="Times New Roman" w:cs="Times New Roman"/>
                <w:highlight w:val="white"/>
              </w:rPr>
              <w:t>acelaşi</w:t>
            </w:r>
            <w:proofErr w:type="spellEnd"/>
            <w:r>
              <w:rPr>
                <w:rFonts w:ascii="Times New Roman" w:eastAsia="Times New Roman" w:hAnsi="Times New Roman" w:cs="Times New Roman"/>
                <w:highlight w:val="white"/>
              </w:rPr>
              <w:t xml:space="preserve"> nivel cu care se află în conexiune.</w:t>
            </w:r>
          </w:p>
          <w:p w14:paraId="5D9DD70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0B502D4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comunicăm că se va monitoriza parcursul legislativ al proiectului vizat pentru a asigura o integrare armonioasă în cadrul normativ.</w:t>
            </w:r>
          </w:p>
          <w:p w14:paraId="1DE498B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65C35B4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Intrarea în vigoare a articolelor din proiect ce vizează prevederi referitoare la detașarea lucrătorilor în cadrul prestării de servicii transnaționale urmează fi sincronizată cu data intrării în vigoare a Legii privind detașarea lucrătorilor în cadrul prestării de servicii.</w:t>
            </w:r>
          </w:p>
          <w:p w14:paraId="12909DF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5109B06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potrivit art. 61 alin. (1) din proiectul de Lege privind detașarea lucrătorilor în cadrul prestării de servicii (NU184/MMPS/2026), </w:t>
            </w:r>
            <w:r>
              <w:rPr>
                <w:rFonts w:ascii="Times New Roman" w:eastAsia="Times New Roman" w:hAnsi="Times New Roman" w:cs="Times New Roman"/>
              </w:rPr>
              <w:t>prezenta lege intră în vigoare la data aderării Republicii Moldova la Uniunea Europeană.</w:t>
            </w:r>
            <w:r>
              <w:rPr>
                <w:rFonts w:ascii="Times New Roman" w:eastAsia="Times New Roman" w:hAnsi="Times New Roman" w:cs="Times New Roman"/>
                <w:highlight w:val="white"/>
              </w:rPr>
              <w:t xml:space="preserve"> </w:t>
            </w:r>
          </w:p>
          <w:p w14:paraId="7BC224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Aceeași situație se regăsește și în cazul prevederilor din proiectul supus avizării, referitoare la detașarea lucrătorilor în cadrul prestării de servicii, care vor intra, de asemenea, în vigoare la data aderării Republicii Moldova la Uniunea Europeană.  </w:t>
            </w:r>
          </w:p>
          <w:p w14:paraId="61F7B4F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614B245F" w14:textId="77777777">
        <w:trPr>
          <w:trHeight w:val="405"/>
        </w:trPr>
        <w:tc>
          <w:tcPr>
            <w:tcW w:w="555" w:type="dxa"/>
            <w:vMerge/>
          </w:tcPr>
          <w:p w14:paraId="693A95D6" w14:textId="77777777" w:rsidR="00E114BB" w:rsidRDefault="00E114BB">
            <w:pPr>
              <w:widowControl w:val="0"/>
              <w:rPr>
                <w:rFonts w:ascii="Times New Roman" w:eastAsia="Times New Roman" w:hAnsi="Times New Roman" w:cs="Times New Roman"/>
                <w:highlight w:val="white"/>
              </w:rPr>
            </w:pPr>
          </w:p>
        </w:tc>
        <w:tc>
          <w:tcPr>
            <w:tcW w:w="2700" w:type="dxa"/>
            <w:vMerge/>
          </w:tcPr>
          <w:p w14:paraId="0793222A"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32925C8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La art. I: 1.1. La pct. 3, autorul completează art. 13 cu alin. (2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 ce va reglementa că rapoartele vor conține și capitole prevăzute la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din Legea nr. 186/2008 securității și sănătății în muncă. </w:t>
            </w:r>
          </w:p>
          <w:p w14:paraId="33F58F6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aceste condiții, se optează pentru trimiterea expresă la alineatul și litera din articol care prevăd acele capitole ce urmează să le conțină raportul anual privind activitatea Inspectoratului de Stat al Muncii.</w:t>
            </w:r>
          </w:p>
        </w:tc>
        <w:tc>
          <w:tcPr>
            <w:tcW w:w="5880" w:type="dxa"/>
            <w:tcBorders>
              <w:top w:val="single" w:sz="4" w:space="0" w:color="000000"/>
              <w:bottom w:val="single" w:sz="4" w:space="0" w:color="000000"/>
            </w:tcBorders>
          </w:tcPr>
          <w:p w14:paraId="6E8A1CE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4383D19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Art. III din prezentul proiect se modifică Legea nr. 186/2008 securității și sănătății în muncă. Legea în cauză se completează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Acest articol prevede raportarea aplicării  acestei legi și a </w:t>
            </w:r>
            <w:r>
              <w:rPr>
                <w:rFonts w:ascii="Times New Roman" w:eastAsia="Times New Roman" w:hAnsi="Times New Roman" w:cs="Times New Roman"/>
                <w:b/>
                <w:bCs/>
                <w:highlight w:val="white"/>
              </w:rPr>
              <w:t>actelor normative naționale care transpun directivele speciale adoptate în temeiul acesteia</w:t>
            </w:r>
            <w:r>
              <w:rPr>
                <w:rFonts w:ascii="Times New Roman" w:eastAsia="Times New Roman" w:hAnsi="Times New Roman" w:cs="Times New Roman"/>
                <w:highlight w:val="white"/>
              </w:rPr>
              <w:t>.</w:t>
            </w:r>
          </w:p>
          <w:p w14:paraId="330D4C1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temeiul acestui articol ISM va raporta despre aplicarea Legii 186/2008 și actelor normative naționale care transpun directivele speciale.</w:t>
            </w:r>
          </w:p>
          <w:p w14:paraId="202C5F2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Mai menționăm că art.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(1) specifică cu suficientă claritate că se va transmite Comisiei Europene un raport unic privind punerea în aplicare a legii în cauză </w:t>
            </w:r>
            <w:r>
              <w:rPr>
                <w:rFonts w:ascii="Times New Roman" w:eastAsia="Times New Roman" w:hAnsi="Times New Roman" w:cs="Times New Roman"/>
                <w:b/>
                <w:bCs/>
                <w:highlight w:val="white"/>
              </w:rPr>
              <w:t>și a actelor normative naționale care transpun directivele speciale adoptate în temeiul acesteia</w:t>
            </w:r>
            <w:r>
              <w:rPr>
                <w:rFonts w:ascii="Times New Roman" w:eastAsia="Times New Roman" w:hAnsi="Times New Roman" w:cs="Times New Roman"/>
                <w:highlight w:val="white"/>
              </w:rPr>
              <w:t xml:space="preserve">.  </w:t>
            </w:r>
          </w:p>
        </w:tc>
      </w:tr>
      <w:tr w:rsidR="00E114BB" w14:paraId="13C20F80" w14:textId="77777777">
        <w:trPr>
          <w:trHeight w:val="285"/>
        </w:trPr>
        <w:tc>
          <w:tcPr>
            <w:tcW w:w="555" w:type="dxa"/>
            <w:vMerge/>
          </w:tcPr>
          <w:p w14:paraId="1ABF3C1D" w14:textId="77777777" w:rsidR="00E114BB" w:rsidRDefault="00E114BB">
            <w:pPr>
              <w:widowControl w:val="0"/>
              <w:rPr>
                <w:rFonts w:ascii="Times New Roman" w:eastAsia="Times New Roman" w:hAnsi="Times New Roman" w:cs="Times New Roman"/>
                <w:highlight w:val="white"/>
              </w:rPr>
            </w:pPr>
          </w:p>
        </w:tc>
        <w:tc>
          <w:tcPr>
            <w:tcW w:w="2700" w:type="dxa"/>
            <w:vMerge/>
          </w:tcPr>
          <w:p w14:paraId="3571D1B8"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A87479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Cu privire la pct. 4, la art. 13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(4) autorul stabilește două definiții care urmează a fi utilizate în cadrul actului normativ. La acest subiect este de menționat că în cadrul Legii nr. 140/2001 privind Inspectoratul de Stat al Muncii este reglementat art. 11 intitulat „Noțiuni”, motiv pentru care este oportună reglementarea noțiunilor propuse în proiect la prezentul articol, astfel fiind respectată o coerență a normelor în cadrul actului.</w:t>
            </w:r>
          </w:p>
        </w:tc>
        <w:tc>
          <w:tcPr>
            <w:tcW w:w="5880" w:type="dxa"/>
            <w:tcBorders>
              <w:top w:val="single" w:sz="4" w:space="0" w:color="000000"/>
              <w:bottom w:val="single" w:sz="4" w:space="0" w:color="000000"/>
            </w:tcBorders>
          </w:tcPr>
          <w:p w14:paraId="62D39F6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B977AA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Noțiunile de la art. 13/2 alin. (4) vor fi incluse la art. 1/1 al Legii nr. 140/2001. Iar art. 13/2 alin. (4) va fi exclus. </w:t>
            </w:r>
          </w:p>
          <w:p w14:paraId="2D48332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1/1 se completează cu </w:t>
            </w:r>
            <w:proofErr w:type="spellStart"/>
            <w:r>
              <w:rPr>
                <w:rFonts w:ascii="Times New Roman" w:eastAsia="Times New Roman" w:hAnsi="Times New Roman" w:cs="Times New Roman"/>
                <w:highlight w:val="white"/>
              </w:rPr>
              <w:t>cu</w:t>
            </w:r>
            <w:proofErr w:type="spellEnd"/>
            <w:r>
              <w:rPr>
                <w:rFonts w:ascii="Times New Roman" w:eastAsia="Times New Roman" w:hAnsi="Times New Roman" w:cs="Times New Roman"/>
                <w:highlight w:val="white"/>
              </w:rPr>
              <w:t xml:space="preserve"> următorul text:</w:t>
            </w:r>
          </w:p>
          <w:p w14:paraId="45DF2FB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sensul prezentei legi, următoarele </w:t>
            </w:r>
            <w:proofErr w:type="spellStart"/>
            <w:r>
              <w:rPr>
                <w:rFonts w:ascii="Times New Roman" w:eastAsia="Times New Roman" w:hAnsi="Times New Roman" w:cs="Times New Roman"/>
                <w:highlight w:val="white"/>
              </w:rPr>
              <w:t>noţiuni</w:t>
            </w:r>
            <w:proofErr w:type="spellEnd"/>
            <w:r>
              <w:rPr>
                <w:rFonts w:ascii="Times New Roman" w:eastAsia="Times New Roman" w:hAnsi="Times New Roman" w:cs="Times New Roman"/>
                <w:highlight w:val="white"/>
              </w:rPr>
              <w:t xml:space="preserve"> principale semnifică:</w:t>
            </w:r>
          </w:p>
          <w:p w14:paraId="1E36637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„inspecții concertate” – activități de control desfășurate simultan în Republica Moldova și în unul sau mai multe state membre ale Uniunii Europene, privind cazuri conexe, fiecare autoritate competentă operând în propria jurisdicție, cu asistența, după caz, a personalului Autorității Europene a Muncii, în condițiile acordurilor de cooperare interinstituțională încheiate de Inspectoratul de Stat al Muncii;</w:t>
            </w:r>
          </w:p>
          <w:p w14:paraId="27917F0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stat </w:t>
            </w:r>
            <w:r>
              <w:rPr>
                <w:rFonts w:ascii="Times New Roman" w:eastAsia="Times New Roman" w:hAnsi="Times New Roman" w:cs="Times New Roman"/>
                <w:highlight w:val="white"/>
              </w:rPr>
              <w:lastRenderedPageBreak/>
              <w:t>membru al Uniunii Europene, cu participarea autorităților competente ale unuia sau mai multor state membre ale Uniunii Europene, fiecare autoritate operând în limitele propriei jurisdicții, cu asistența, după caz, a personalului Autorității Europene a Muncii, în condițiile acordurilor de cooperare interinstituțională încheiate de Inspectoratul de Stat al Muncii.</w:t>
            </w:r>
          </w:p>
        </w:tc>
      </w:tr>
      <w:tr w:rsidR="00E114BB" w14:paraId="0EDA7906" w14:textId="77777777">
        <w:trPr>
          <w:trHeight w:val="3330"/>
        </w:trPr>
        <w:tc>
          <w:tcPr>
            <w:tcW w:w="555" w:type="dxa"/>
            <w:vMerge/>
          </w:tcPr>
          <w:p w14:paraId="16D95594" w14:textId="77777777" w:rsidR="00E114BB" w:rsidRDefault="00E114BB">
            <w:pPr>
              <w:widowControl w:val="0"/>
              <w:rPr>
                <w:rFonts w:ascii="Times New Roman" w:eastAsia="Times New Roman" w:hAnsi="Times New Roman" w:cs="Times New Roman"/>
                <w:highlight w:val="white"/>
              </w:rPr>
            </w:pPr>
          </w:p>
        </w:tc>
        <w:tc>
          <w:tcPr>
            <w:tcW w:w="2700" w:type="dxa"/>
            <w:vMerge/>
          </w:tcPr>
          <w:p w14:paraId="2AB4CB76"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74EE264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La art. II, în vederea uniformizării cadrului normativ se consideră oportun a revedea noțiune de ,,dispensă” prin prisma noțiunii de ,,femeie gravidă” prevăzută de art. 1 din Codul muncii, or, cadrul normativ actual utilizează noțiunea de femeie gravidă. </w:t>
            </w:r>
          </w:p>
          <w:p w14:paraId="6F3FB61A"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context, potrivit noțiunii propuse spre completare, salariatele gravide urmează a fi scutite temporar de la </w:t>
            </w:r>
            <w:proofErr w:type="spellStart"/>
            <w:r>
              <w:rPr>
                <w:rFonts w:ascii="Times New Roman" w:eastAsia="Times New Roman" w:hAnsi="Times New Roman" w:cs="Times New Roman"/>
                <w:highlight w:val="white"/>
              </w:rPr>
              <w:t>indeplinirea</w:t>
            </w:r>
            <w:proofErr w:type="spellEnd"/>
            <w:r>
              <w:rPr>
                <w:rFonts w:ascii="Times New Roman" w:eastAsia="Times New Roman" w:hAnsi="Times New Roman" w:cs="Times New Roman"/>
                <w:highlight w:val="white"/>
              </w:rPr>
              <w:t xml:space="preserve"> obligațiilor de muncă, fără afectarea drepturilor salariale.</w:t>
            </w:r>
          </w:p>
          <w:p w14:paraId="7A39FFC0" w14:textId="77777777" w:rsidR="00E114BB" w:rsidRDefault="00E114BB">
            <w:pPr>
              <w:spacing w:line="240" w:lineRule="auto"/>
              <w:jc w:val="both"/>
              <w:rPr>
                <w:rFonts w:ascii="Times New Roman" w:eastAsia="Times New Roman" w:hAnsi="Times New Roman" w:cs="Times New Roman"/>
                <w:highlight w:val="white"/>
              </w:rPr>
            </w:pPr>
          </w:p>
          <w:p w14:paraId="1E154FC7"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propunerile pentru art. 247</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stabilesc în alin. (2) că pe durata dispenselor, salariatelor gravide li se menține salariul mediu de la locul de muncă. Astfel, se propune a revedea suplimentar prevederile alin. (2) al art. 247</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proiect, astfel încât să fie exclusă orice interpretare.</w:t>
            </w:r>
          </w:p>
        </w:tc>
        <w:tc>
          <w:tcPr>
            <w:tcW w:w="5880" w:type="dxa"/>
            <w:tcBorders>
              <w:top w:val="single" w:sz="4" w:space="0" w:color="000000"/>
              <w:bottom w:val="single" w:sz="4" w:space="0" w:color="000000"/>
            </w:tcBorders>
          </w:tcPr>
          <w:p w14:paraId="32A255D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18C3FD1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 va avea următoarea redacție:</w:t>
            </w:r>
          </w:p>
          <w:p w14:paraId="31D00E2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w:t>
            </w:r>
            <w:r>
              <w:rPr>
                <w:rFonts w:ascii="Times New Roman" w:eastAsia="Times New Roman" w:hAnsi="Times New Roman" w:cs="Times New Roman"/>
                <w:i/>
                <w:iCs/>
                <w:highlight w:val="white"/>
              </w:rPr>
              <w:t>dispensă</w:t>
            </w:r>
            <w:r>
              <w:rPr>
                <w:rFonts w:ascii="Times New Roman" w:eastAsia="Times New Roman" w:hAnsi="Times New Roman" w:cs="Times New Roman"/>
                <w:highlight w:val="white"/>
              </w:rPr>
              <w:t xml:space="preserve"> - scutirea temporară de la îndeplinirea obligațiilor de muncă a </w:t>
            </w:r>
            <w:r>
              <w:rPr>
                <w:rFonts w:ascii="Times New Roman" w:eastAsia="Times New Roman" w:hAnsi="Times New Roman" w:cs="Times New Roman"/>
                <w:b/>
                <w:bCs/>
                <w:highlight w:val="white"/>
              </w:rPr>
              <w:t>femeilor gravide</w:t>
            </w:r>
            <w:r>
              <w:rPr>
                <w:rFonts w:ascii="Times New Roman" w:eastAsia="Times New Roman" w:hAnsi="Times New Roman" w:cs="Times New Roman"/>
                <w:highlight w:val="white"/>
              </w:rPr>
              <w:t xml:space="preserve"> pentru timpul necesar efectuării consultației prenatale, fără afectarea drepturilor salariale.”</w:t>
            </w:r>
          </w:p>
          <w:p w14:paraId="15BACE2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3A8255B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Norma a fost ajustată în sensul includerii noțiunii de ,,femeie gravidă”.</w:t>
            </w:r>
          </w:p>
          <w:p w14:paraId="351E971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asemenea, nu există un risc real de interpretare contradictorie între definirea dispensei ca scutire temporară de la îndeplinirea obligațiilor de muncă fără afectarea drepturilor salariale și prevederea de la art. 247</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(2), care precizează expres că pe durata dispenselor se menține salariul mediu de la locul de muncă.</w:t>
            </w:r>
          </w:p>
          <w:p w14:paraId="7196DF6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4405B6BB" w14:textId="77777777" w:rsidR="00E114BB" w:rsidRDefault="00E114BB">
            <w:pPr>
              <w:spacing w:line="240" w:lineRule="auto"/>
              <w:jc w:val="both"/>
              <w:rPr>
                <w:rFonts w:ascii="Times New Roman" w:eastAsia="Times New Roman" w:hAnsi="Times New Roman" w:cs="Times New Roman"/>
                <w:b/>
                <w:bCs/>
                <w:sz w:val="18"/>
                <w:szCs w:val="18"/>
                <w:highlight w:val="yellow"/>
              </w:rPr>
            </w:pPr>
          </w:p>
          <w:p w14:paraId="2A3FF9E1" w14:textId="77777777" w:rsidR="00E114BB" w:rsidRDefault="00E114BB">
            <w:pPr>
              <w:spacing w:line="240" w:lineRule="auto"/>
              <w:ind w:firstLine="705"/>
              <w:jc w:val="both"/>
              <w:rPr>
                <w:rFonts w:ascii="Times New Roman" w:eastAsia="Times New Roman" w:hAnsi="Times New Roman" w:cs="Times New Roman"/>
                <w:highlight w:val="white"/>
              </w:rPr>
            </w:pPr>
          </w:p>
          <w:p w14:paraId="7361ED53" w14:textId="77777777" w:rsidR="00E114BB" w:rsidRDefault="00E114BB">
            <w:pPr>
              <w:spacing w:line="240" w:lineRule="auto"/>
              <w:ind w:firstLine="705"/>
              <w:jc w:val="both"/>
              <w:rPr>
                <w:rFonts w:ascii="Times New Roman" w:eastAsia="Times New Roman" w:hAnsi="Times New Roman" w:cs="Times New Roman"/>
                <w:b/>
                <w:bCs/>
                <w:highlight w:val="white"/>
              </w:rPr>
            </w:pPr>
          </w:p>
        </w:tc>
      </w:tr>
      <w:tr w:rsidR="00E114BB" w14:paraId="0502A6C9" w14:textId="77777777">
        <w:trPr>
          <w:trHeight w:val="360"/>
        </w:trPr>
        <w:tc>
          <w:tcPr>
            <w:tcW w:w="555" w:type="dxa"/>
            <w:vMerge/>
          </w:tcPr>
          <w:p w14:paraId="6E6195FF" w14:textId="77777777" w:rsidR="00E114BB" w:rsidRDefault="00E114BB">
            <w:pPr>
              <w:widowControl w:val="0"/>
              <w:rPr>
                <w:rFonts w:ascii="Times New Roman" w:eastAsia="Times New Roman" w:hAnsi="Times New Roman" w:cs="Times New Roman"/>
                <w:highlight w:val="white"/>
              </w:rPr>
            </w:pPr>
          </w:p>
        </w:tc>
        <w:tc>
          <w:tcPr>
            <w:tcW w:w="2700" w:type="dxa"/>
            <w:vMerge/>
          </w:tcPr>
          <w:p w14:paraId="30C44808"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750C201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La art. III, din cadrul mai multor articole din Legea securității și sănătății în muncă nr. 186/2008, se propune excluderea cuvântului „profesionale”, acesta </w:t>
            </w:r>
            <w:proofErr w:type="spellStart"/>
            <w:r>
              <w:rPr>
                <w:rFonts w:ascii="Times New Roman" w:eastAsia="Times New Roman" w:hAnsi="Times New Roman" w:cs="Times New Roman"/>
                <w:highlight w:val="white"/>
              </w:rPr>
              <w:t>referindu-se</w:t>
            </w:r>
            <w:proofErr w:type="spellEnd"/>
            <w:r>
              <w:rPr>
                <w:rFonts w:ascii="Times New Roman" w:eastAsia="Times New Roman" w:hAnsi="Times New Roman" w:cs="Times New Roman"/>
                <w:highlight w:val="white"/>
              </w:rPr>
              <w:t xml:space="preserve"> la sintagma „riscurile profesionale”. </w:t>
            </w:r>
          </w:p>
          <w:p w14:paraId="6D36F8C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context, se atrage atenție la faptul că în nota de fundamentare, autorul menționează că reglementarea națională nu reflectă în mod expres aplicarea principiilor generale de prevenire asupra tuturor riscurilor pentru securitatea și sănătatea lucrătorilor la locul de muncă, fiind utilizată o terminologie </w:t>
            </w:r>
            <w:r>
              <w:rPr>
                <w:rFonts w:ascii="Times New Roman" w:eastAsia="Times New Roman" w:hAnsi="Times New Roman" w:cs="Times New Roman"/>
                <w:highlight w:val="white"/>
              </w:rPr>
              <w:lastRenderedPageBreak/>
              <w:t xml:space="preserve">susceptibilă de a restrânge domeniul de aplicare la riscuri de natură profesională. </w:t>
            </w:r>
          </w:p>
          <w:p w14:paraId="70F1D02A" w14:textId="77777777" w:rsidR="00E114BB" w:rsidRDefault="00E114BB">
            <w:pPr>
              <w:spacing w:line="240" w:lineRule="auto"/>
              <w:jc w:val="both"/>
              <w:rPr>
                <w:rFonts w:ascii="Times New Roman" w:eastAsia="Times New Roman" w:hAnsi="Times New Roman" w:cs="Times New Roman"/>
                <w:highlight w:val="white"/>
              </w:rPr>
            </w:pPr>
          </w:p>
          <w:p w14:paraId="07CBC33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Analizând acest aspect, se conchide că eliminarea acestui atribut lasă loc unei interpretări majore care ar putea include riscuri din afara competențelor de control ale angajatorului (ex: riscuri sociale sau de mediu general), generând incertitudine în evaluarea riscurilor la locul de muncă. </w:t>
            </w:r>
          </w:p>
          <w:p w14:paraId="2F0BB98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Drept urmare, se consideră necesară examinarea oportunității excluderii sau neexcluderii acestui cuvânt din textul legii și anticipării eventualelor efecte/urmări ale acestei modificări. </w:t>
            </w:r>
          </w:p>
          <w:p w14:paraId="6FD8D5D1" w14:textId="77777777" w:rsidR="00E114BB" w:rsidRDefault="00E114BB">
            <w:pPr>
              <w:spacing w:line="240" w:lineRule="auto"/>
              <w:jc w:val="both"/>
              <w:rPr>
                <w:rFonts w:ascii="Times New Roman" w:eastAsia="Times New Roman" w:hAnsi="Times New Roman" w:cs="Times New Roman"/>
                <w:highlight w:val="white"/>
              </w:rPr>
            </w:pPr>
          </w:p>
          <w:p w14:paraId="6C8F9D1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pct. 9, se recomandă ca denumirea „Comitetul consultativ pentru securitate și sănătate la locul de muncă” să fie redată în conformitate cu art. 16 din Legea securităţii şi sănătăţii în muncă nr. 186/2008. </w:t>
            </w:r>
          </w:p>
          <w:p w14:paraId="5C8AB0C1" w14:textId="77777777" w:rsidR="00E114BB" w:rsidRDefault="00E114BB">
            <w:pPr>
              <w:spacing w:line="240" w:lineRule="auto"/>
              <w:jc w:val="both"/>
              <w:rPr>
                <w:rFonts w:ascii="Times New Roman" w:eastAsia="Times New Roman" w:hAnsi="Times New Roman" w:cs="Times New Roman"/>
                <w:highlight w:val="white"/>
              </w:rPr>
            </w:pPr>
          </w:p>
          <w:p w14:paraId="4FABD2E0" w14:textId="77777777" w:rsidR="00E114BB" w:rsidRDefault="00000000">
            <w:pPr>
              <w:spacing w:line="240" w:lineRule="auto"/>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Avînd</w:t>
            </w:r>
            <w:proofErr w:type="spellEnd"/>
            <w:r>
              <w:rPr>
                <w:rFonts w:ascii="Times New Roman" w:eastAsia="Times New Roman" w:hAnsi="Times New Roman" w:cs="Times New Roman"/>
                <w:highlight w:val="white"/>
              </w:rPr>
              <w:t xml:space="preserve"> în vedere specificul activității angajaților cu statut special din cadrul autoritățile cu atribuții în domeniul ordinii și securității publice, se propune spre examinare posibilitatea reglementării unui mecanism de monitorizare medicală </w:t>
            </w:r>
            <w:proofErr w:type="spellStart"/>
            <w:r>
              <w:rPr>
                <w:rFonts w:ascii="Times New Roman" w:eastAsia="Times New Roman" w:hAnsi="Times New Roman" w:cs="Times New Roman"/>
                <w:highlight w:val="white"/>
              </w:rPr>
              <w:t>postexpunere</w:t>
            </w:r>
            <w:proofErr w:type="spellEnd"/>
            <w:r>
              <w:rPr>
                <w:rFonts w:ascii="Times New Roman" w:eastAsia="Times New Roman" w:hAnsi="Times New Roman" w:cs="Times New Roman"/>
                <w:highlight w:val="white"/>
              </w:rPr>
              <w:t xml:space="preserve"> la riscurile biologice și chimice, precum și acordarea asistenței psihologice post-incident a personalului.</w:t>
            </w:r>
          </w:p>
        </w:tc>
        <w:tc>
          <w:tcPr>
            <w:tcW w:w="5880" w:type="dxa"/>
            <w:tcBorders>
              <w:top w:val="single" w:sz="4" w:space="0" w:color="000000"/>
              <w:bottom w:val="single" w:sz="4" w:space="0" w:color="000000"/>
            </w:tcBorders>
          </w:tcPr>
          <w:p w14:paraId="0DC5B16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7433373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asigură transpunerea fidelă a Directivei 81/391/CEE.</w:t>
            </w:r>
          </w:p>
          <w:p w14:paraId="6BDB57A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2 din Legea nr 186/2008 securității și sănătății în muncă stabileşte principiile generale privind prevenirea </w:t>
            </w:r>
            <w:r>
              <w:rPr>
                <w:rFonts w:ascii="Times New Roman" w:eastAsia="Times New Roman" w:hAnsi="Times New Roman" w:cs="Times New Roman"/>
                <w:b/>
                <w:bCs/>
                <w:highlight w:val="white"/>
              </w:rPr>
              <w:t>riscurilor profesionale,</w:t>
            </w:r>
            <w:r>
              <w:rPr>
                <w:rFonts w:ascii="Times New Roman" w:eastAsia="Times New Roman" w:hAnsi="Times New Roman" w:cs="Times New Roman"/>
                <w:highlight w:val="white"/>
              </w:rPr>
              <w:t xml:space="preserve"> protecția lucrătorilor și a lucrătorilor independenți la locul de muncă, </w:t>
            </w:r>
            <w:r>
              <w:rPr>
                <w:rFonts w:ascii="Times New Roman" w:eastAsia="Times New Roman" w:hAnsi="Times New Roman" w:cs="Times New Roman"/>
                <w:b/>
                <w:bCs/>
                <w:highlight w:val="white"/>
              </w:rPr>
              <w:t>eli­minarea factorilor de risc</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şi de accidentare</w:t>
            </w:r>
            <w:r>
              <w:rPr>
                <w:rFonts w:ascii="Times New Roman" w:eastAsia="Times New Roman" w:hAnsi="Times New Roman" w:cs="Times New Roman"/>
                <w:highlight w:val="white"/>
              </w:rPr>
              <w:t xml:space="preserve">, informarea, consultarea, participarea </w:t>
            </w:r>
            <w:r>
              <w:rPr>
                <w:rFonts w:ascii="Times New Roman" w:eastAsia="Times New Roman" w:hAnsi="Times New Roman" w:cs="Times New Roman"/>
                <w:highlight w:val="white"/>
              </w:rPr>
              <w:lastRenderedPageBreak/>
              <w:t xml:space="preserve">echilibrată, instruirea lucrătorilor, a lucrătorilor independenți și a reprezentanților acestora, precum şi liniile directoare generale privind aplicarea principiilor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w:t>
            </w:r>
          </w:p>
          <w:p w14:paraId="58BDC37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context excluderea cuvântului „profesionale” nu va conduce la abordarea altor riscuri </w:t>
            </w:r>
            <w:proofErr w:type="spellStart"/>
            <w:r>
              <w:rPr>
                <w:rFonts w:ascii="Times New Roman" w:eastAsia="Times New Roman" w:hAnsi="Times New Roman" w:cs="Times New Roman"/>
                <w:highlight w:val="white"/>
              </w:rPr>
              <w:t>riscuri</w:t>
            </w:r>
            <w:proofErr w:type="spellEnd"/>
            <w:r>
              <w:rPr>
                <w:rFonts w:ascii="Times New Roman" w:eastAsia="Times New Roman" w:hAnsi="Times New Roman" w:cs="Times New Roman"/>
                <w:highlight w:val="white"/>
              </w:rPr>
              <w:t xml:space="preserve"> decât a celor generate de sistemul de lucru (om - sarcină de muncă - mediu de lucru - echipament de muncă), la care salariatul poate fi expus în afara exercitării profesiei sale.  Spre exemplu un lucrător poate fi expus riscului comportamental generat de alt lucrător, sau poate fi expus unor riscuri generate de echipamente care nu sunt utilizate nemijlocit de acesta. În această situație, pentru a lua în considerare și interferența riscurilor care pentru unii salariați nu sunt caracteristice propriei lor profesie, excluderea cuvântului „profesionale” din anumite articole este justificată.</w:t>
            </w:r>
          </w:p>
          <w:p w14:paraId="0301399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propunerea cu referire la recomandarea de a redenumi Comitetul Consultativ pentru securitatea și sănătate la locul de muncă</w:t>
            </w:r>
            <w:r>
              <w:rPr>
                <w:rFonts w:ascii="Times New Roman" w:eastAsia="Times New Roman" w:hAnsi="Times New Roman" w:cs="Times New Roman"/>
                <w:b/>
                <w:bCs/>
                <w:highlight w:val="white"/>
              </w:rPr>
              <w:t>.</w:t>
            </w:r>
          </w:p>
          <w:p w14:paraId="610B7C5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rPr>
              <w:t>Punctul 10. din Art. III din proiect completează Legea 186/2008 cu articolul 23</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 Acest articol reglementează raportarea către Comisia Europeană despre aplicarea legii nr. 186/2008 și a actelor normative naționale care transpun Directive UE speciale în domeniul securității și sănătății în muncă. În alin. (2) din acest articol este specificat C</w:t>
            </w:r>
            <w:r>
              <w:rPr>
                <w:rFonts w:ascii="Times New Roman" w:eastAsia="Times New Roman" w:hAnsi="Times New Roman" w:cs="Times New Roman"/>
                <w:highlight w:val="white"/>
              </w:rPr>
              <w:t>omitetul consultativ pentru securitate și sănătate la locul de muncă (instituție europeană), creat prin  Decizia Consiliului din 22 iulie 2003 (2003/C 218/01).</w:t>
            </w:r>
          </w:p>
          <w:p w14:paraId="10AE2D0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propunerea Cu referire la monitorizarea medicală post expunere a angajaților cu statut special din autoritățile cu atribuții în domeniul ordinii publice …. acesta fiind un subiect de reglementare prin legi speciale, aplicabile acestor categorii de angajați.</w:t>
            </w:r>
          </w:p>
        </w:tc>
      </w:tr>
      <w:tr w:rsidR="00E114BB" w14:paraId="782EC853" w14:textId="77777777">
        <w:trPr>
          <w:trHeight w:val="420"/>
        </w:trPr>
        <w:tc>
          <w:tcPr>
            <w:tcW w:w="555" w:type="dxa"/>
            <w:vMerge/>
          </w:tcPr>
          <w:p w14:paraId="51C531CE" w14:textId="77777777" w:rsidR="00E114BB" w:rsidRDefault="00E114BB">
            <w:pPr>
              <w:widowControl w:val="0"/>
              <w:rPr>
                <w:rFonts w:ascii="Times New Roman" w:eastAsia="Times New Roman" w:hAnsi="Times New Roman" w:cs="Times New Roman"/>
                <w:highlight w:val="white"/>
              </w:rPr>
            </w:pPr>
          </w:p>
        </w:tc>
        <w:tc>
          <w:tcPr>
            <w:tcW w:w="2700" w:type="dxa"/>
            <w:vMerge/>
          </w:tcPr>
          <w:p w14:paraId="15147BF0"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4DE36055"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Cu referire la art. IV se atrage atenție la faptul că în cadrul procesului de reglementare a unor fapte contravenționale noi, este important ca la stabilirea sancțiunilor să fie respectat principiul proporționalități.</w:t>
            </w:r>
          </w:p>
        </w:tc>
        <w:tc>
          <w:tcPr>
            <w:tcW w:w="5880" w:type="dxa"/>
            <w:tcBorders>
              <w:top w:val="single" w:sz="4" w:space="0" w:color="000000"/>
              <w:bottom w:val="single" w:sz="4" w:space="0" w:color="000000"/>
            </w:tcBorders>
          </w:tcPr>
          <w:p w14:paraId="26F374E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64D9459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urma reexaminării textului art. 55/6, s-a constatat că sancțiunile prevăzute la alin. (1) și alin. (2), în cuantum de la 1000 la 1500 unități convenționale, se încadrează în limitele generale prevăzute de Codul contravențional. </w:t>
            </w:r>
          </w:p>
          <w:p w14:paraId="7E50ADF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sancțiunea prevăzută la alin. (3), în cuantum de la 1500 la 2000 unități convenționale, urmează a fi revizuită, întrucât depășește plafonul general admis de art. 34 din Codul contravențional pentru categoriile de subiecți vizați. În consecință, textul va fi ajustat în vederea corelării cu prevederile părții generale a Codului contravențional.</w:t>
            </w:r>
          </w:p>
        </w:tc>
      </w:tr>
      <w:tr w:rsidR="00E114BB" w14:paraId="5EA6238F" w14:textId="77777777">
        <w:trPr>
          <w:trHeight w:val="315"/>
        </w:trPr>
        <w:tc>
          <w:tcPr>
            <w:tcW w:w="555" w:type="dxa"/>
            <w:vMerge/>
          </w:tcPr>
          <w:p w14:paraId="35C81210" w14:textId="77777777" w:rsidR="00E114BB" w:rsidRDefault="00E114BB">
            <w:pPr>
              <w:widowControl w:val="0"/>
              <w:rPr>
                <w:rFonts w:ascii="Times New Roman" w:eastAsia="Times New Roman" w:hAnsi="Times New Roman" w:cs="Times New Roman"/>
                <w:highlight w:val="white"/>
              </w:rPr>
            </w:pPr>
          </w:p>
        </w:tc>
        <w:tc>
          <w:tcPr>
            <w:tcW w:w="2700" w:type="dxa"/>
            <w:vMerge/>
          </w:tcPr>
          <w:p w14:paraId="5769B7AB"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tcBorders>
          </w:tcPr>
          <w:p w14:paraId="0DB7FC62"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5. Într-o altă ordine de idei, se menționează că în nota de fundamentare lipsește justificarea termenului de intrare în vigoare a actului amendat or, potrivit art. 56 din Legea nr. 100/2017 cu privire la actele normative, actele normative intră în vigoare peste o lună de la data publicării în Monitorul Oficial al Republicii Moldova sau la data indicată în textul actului normativ, care nu poate fi anterioară datei publicării. </w:t>
            </w:r>
          </w:p>
          <w:p w14:paraId="6659E63C"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Intrarea în vigoare a actelor normative poate fi stabilită pentru o altă dată doar în cazul în care se </w:t>
            </w:r>
            <w:proofErr w:type="spellStart"/>
            <w:r>
              <w:rPr>
                <w:rFonts w:ascii="Times New Roman" w:eastAsia="Times New Roman" w:hAnsi="Times New Roman" w:cs="Times New Roman"/>
                <w:highlight w:val="white"/>
              </w:rPr>
              <w:t>urmăreşte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protecţia</w:t>
            </w:r>
            <w:proofErr w:type="spellEnd"/>
            <w:r>
              <w:rPr>
                <w:rFonts w:ascii="Times New Roman" w:eastAsia="Times New Roman" w:hAnsi="Times New Roman" w:cs="Times New Roman"/>
                <w:highlight w:val="white"/>
              </w:rPr>
              <w:t xml:space="preserve"> drepturilor şi </w:t>
            </w:r>
            <w:proofErr w:type="spellStart"/>
            <w:r>
              <w:rPr>
                <w:rFonts w:ascii="Times New Roman" w:eastAsia="Times New Roman" w:hAnsi="Times New Roman" w:cs="Times New Roman"/>
                <w:highlight w:val="white"/>
              </w:rPr>
              <w:t>libertăţilor</w:t>
            </w:r>
            <w:proofErr w:type="spellEnd"/>
            <w:r>
              <w:rPr>
                <w:rFonts w:ascii="Times New Roman" w:eastAsia="Times New Roman" w:hAnsi="Times New Roman" w:cs="Times New Roman"/>
                <w:highlight w:val="white"/>
              </w:rPr>
              <w:t xml:space="preserve"> fundamentale ale omului, realizarea angajamentelor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ale Republicii Moldova, conformarea cadrului normativ </w:t>
            </w:r>
            <w:proofErr w:type="spellStart"/>
            <w:r>
              <w:rPr>
                <w:rFonts w:ascii="Times New Roman" w:eastAsia="Times New Roman" w:hAnsi="Times New Roman" w:cs="Times New Roman"/>
                <w:highlight w:val="white"/>
              </w:rPr>
              <w:t>hotărîrilor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Curţii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Constituţionale</w:t>
            </w:r>
            <w:proofErr w:type="spellEnd"/>
            <w:r>
              <w:rPr>
                <w:rFonts w:ascii="Times New Roman" w:eastAsia="Times New Roman" w:hAnsi="Times New Roman" w:cs="Times New Roman"/>
                <w:highlight w:val="white"/>
              </w:rPr>
              <w:t xml:space="preserve">, eliminarea unor lacune din legislație sau </w:t>
            </w:r>
            <w:proofErr w:type="spellStart"/>
            <w:r>
              <w:rPr>
                <w:rFonts w:ascii="Times New Roman" w:eastAsia="Times New Roman" w:hAnsi="Times New Roman" w:cs="Times New Roman"/>
                <w:highlight w:val="white"/>
              </w:rPr>
              <w:t>contradicţii</w:t>
            </w:r>
            <w:proofErr w:type="spellEnd"/>
            <w:r>
              <w:rPr>
                <w:rFonts w:ascii="Times New Roman" w:eastAsia="Times New Roman" w:hAnsi="Times New Roman" w:cs="Times New Roman"/>
                <w:highlight w:val="white"/>
              </w:rPr>
              <w:t xml:space="preserve"> între actele normative, ori dacă există alte </w:t>
            </w:r>
            <w:proofErr w:type="spellStart"/>
            <w:r>
              <w:rPr>
                <w:rFonts w:ascii="Times New Roman" w:eastAsia="Times New Roman" w:hAnsi="Times New Roman" w:cs="Times New Roman"/>
                <w:highlight w:val="white"/>
              </w:rPr>
              <w:t>circumstanţe</w:t>
            </w:r>
            <w:proofErr w:type="spellEnd"/>
            <w:r>
              <w:rPr>
                <w:rFonts w:ascii="Times New Roman" w:eastAsia="Times New Roman" w:hAnsi="Times New Roman" w:cs="Times New Roman"/>
                <w:highlight w:val="white"/>
              </w:rPr>
              <w:t xml:space="preserve"> obiective.</w:t>
            </w:r>
          </w:p>
        </w:tc>
        <w:tc>
          <w:tcPr>
            <w:tcW w:w="5880" w:type="dxa"/>
            <w:tcBorders>
              <w:top w:val="single" w:sz="4" w:space="0" w:color="000000"/>
            </w:tcBorders>
          </w:tcPr>
          <w:p w14:paraId="21E2733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076A387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conține la Art. VI.  – Dispoziții finale și tranzitorii, următoarea reglementare.</w:t>
            </w:r>
          </w:p>
          <w:p w14:paraId="11058F1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Prezenta lege intră în vigoare la data publicării în Monitorul Oficial al Republicii Moldova, cu excepția Art. I pct. 2, Art. II pct. 7, Art. IV pct. 3 și Art. V, care intră în vigoare la data aderării Republicii Moldova la Uniunea Europeană.</w:t>
            </w:r>
          </w:p>
          <w:p w14:paraId="1D4E447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este menționat expres data intrării în vigoare a proiectului de legea și a normelor specifice. </w:t>
            </w:r>
          </w:p>
        </w:tc>
      </w:tr>
      <w:tr w:rsidR="00E114BB" w14:paraId="6B892EB1" w14:textId="77777777">
        <w:trPr>
          <w:trHeight w:val="352"/>
        </w:trPr>
        <w:tc>
          <w:tcPr>
            <w:tcW w:w="555" w:type="dxa"/>
            <w:vMerge w:val="restart"/>
          </w:tcPr>
          <w:p w14:paraId="26AF0EFA"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24DE411F"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Energiei</w:t>
            </w:r>
          </w:p>
          <w:p w14:paraId="7D7513D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10-642 </w:t>
            </w:r>
          </w:p>
          <w:p w14:paraId="0F87B159" w14:textId="77777777" w:rsidR="00E114BB"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            din 17.03.2026 </w:t>
            </w:r>
          </w:p>
          <w:p w14:paraId="63AB4F50" w14:textId="77777777" w:rsidR="00E114BB" w:rsidRDefault="00E114BB">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E0EA1CE"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1. La art. II, pct. 2, propunem redefinirea noțiunii de „dispensă” ca: „scutirea temporară de la îndeplinirea obligațiilor de muncă, acordată cu titlu de excepție sau autorizație, fără afectarea drepturilor salariale”. Menționăm că, în proiectul de act normativ, noțiunea de „dispensă” este definită ca „scutirea temporară de la îndeplinirea obligațiilor de muncă a salariatelor gravide pentru timpul necesar </w:t>
            </w:r>
            <w:r>
              <w:rPr>
                <w:rFonts w:ascii="Times New Roman" w:eastAsia="Times New Roman" w:hAnsi="Times New Roman" w:cs="Times New Roman"/>
                <w:b/>
                <w:bCs/>
                <w:highlight w:val="white"/>
              </w:rPr>
              <w:lastRenderedPageBreak/>
              <w:t xml:space="preserve">efectuării consultației prenatale, fără afectarea drepturilor salariale”. </w:t>
            </w:r>
          </w:p>
          <w:p w14:paraId="52622B5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Considerăm că noțiunea propusă limitează dispensa exclusiv la situația salariatelor gravide și la efectuarea consultațiilor prenatale. Totuși, din perspectiva legislației muncii, dispensa reprezintă, în esență, o scutire temporară de la îndeplinirea obligațiilor de muncă, acordată cu titlu de excepție sau autorizație, aplicabilă și în alte situații justificate. Limitarea definiției la un caz particular poate reduce flexibilitatea normei și poate genera interpretări restrictive. </w:t>
            </w:r>
          </w:p>
          <w:p w14:paraId="1B25515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Formularea propusă prezintă următoarele avantaje: </w:t>
            </w:r>
          </w:p>
          <w:p w14:paraId="01AF55C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menține caracterul general și flexibil al noțiunii de dispensă; </w:t>
            </w:r>
          </w:p>
          <w:p w14:paraId="3E7B33F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permite aplicarea acesteia și în alte situații justificate (de exemplu: motive medicale, formare profesională, proceduri legale etc.); </w:t>
            </w:r>
          </w:p>
          <w:p w14:paraId="1786A30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evită limitările și eventualele confuzii generate de definirea noțiunii doar prin raportare la salariatele gravide; </w:t>
            </w:r>
          </w:p>
          <w:p w14:paraId="2328B81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asigură coerența cu terminologia utilizată în legislația muncii și cu bunele practici de tehnică legislativă.</w:t>
            </w:r>
          </w:p>
        </w:tc>
        <w:tc>
          <w:tcPr>
            <w:tcW w:w="5880" w:type="dxa"/>
            <w:tcBorders>
              <w:bottom w:val="single" w:sz="4" w:space="0" w:color="000000"/>
            </w:tcBorders>
          </w:tcPr>
          <w:p w14:paraId="6C2AB91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3E0CBCA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Noțiunea de „dispensă” este introdusă în proiect în scopul de reglementarea scutirii temporare de la îndeplinirea obligațiilor de muncă acordate salariatei gravide pentru timpul necesar efectuării consultațiilor prenatale. </w:t>
            </w:r>
          </w:p>
          <w:p w14:paraId="09ADCC7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Extinderea definiției la o formulare generală, aplicabilă unor ipoteze nereglementate de proiect, ar depăși obiectul intervenției legislative și ar putea genera interpretări excesiv de largi cu privire la sfera de aplicare a instituției. </w:t>
            </w:r>
          </w:p>
        </w:tc>
      </w:tr>
      <w:tr w:rsidR="00E114BB" w14:paraId="6E1B3C97" w14:textId="77777777">
        <w:trPr>
          <w:trHeight w:val="283"/>
        </w:trPr>
        <w:tc>
          <w:tcPr>
            <w:tcW w:w="555" w:type="dxa"/>
            <w:vMerge/>
          </w:tcPr>
          <w:p w14:paraId="08D1311E" w14:textId="77777777" w:rsidR="00E114BB" w:rsidRDefault="00E114BB">
            <w:pPr>
              <w:widowControl w:val="0"/>
              <w:rPr>
                <w:rFonts w:ascii="Times New Roman" w:eastAsia="Times New Roman" w:hAnsi="Times New Roman" w:cs="Times New Roman"/>
                <w:highlight w:val="white"/>
              </w:rPr>
            </w:pPr>
          </w:p>
        </w:tc>
        <w:tc>
          <w:tcPr>
            <w:tcW w:w="2700" w:type="dxa"/>
            <w:vMerge/>
          </w:tcPr>
          <w:p w14:paraId="5C560644"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B3B4BA6"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2. Completarea art. 103 din Codul muncii cu prevederi de derogare corespunzătoare, care să asigure flexibilitatea operațională a sectorului energetic și, totodată, să mențină conformitatea cu legislația națională și europeană în domeniul organizării timpului de muncă. Reținem că, în cadrul ședinței din 10.03.2026, desfășurate pe platforma Ministerului Muncii și Protecției Sociale, a fost analizată problematica aplicării prevederilor art. 103 din Codul muncii, referitoare la munca de noapte, în special în cazul angajaților din sectorul energetic, unde activitatea are caracter continuu. Aplicarea actuală a alin. (1¹), (1²) și (2) ale art. 103 din Codul muncii generează dificultăți practice pentru angajatorii din sectorul energetic, întrucât activitatea desfășurată în regim continuu nu poate fi întreruptă. </w:t>
            </w:r>
          </w:p>
          <w:p w14:paraId="5CD1FD3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Respectarea strictă a prevederilor în forma actuală poate crea riscuri operaționale și organizatorice. În aceste condiții, o soluție viabilă pentru eliminarea dificultăților menționate și pentru asigurarea conformității cu legislația europeană ar fi completarea art. 103 din Codul muncii cu o prevedere expresă privind posibilitatea derogării de la alin. (1¹), (1²) și (2) pentru activitățile din sectorul energetic. </w:t>
            </w:r>
          </w:p>
          <w:p w14:paraId="7EEB0B3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O asemenea soluție este susținută și de art. 17 din Directiva 2003/88/CE a Parlamentului European și a Consiliului din 4 noiembrie 2003 privind anumite aspecte ale organizării timpului de lucru, care prevede posibilitatea instituirii unor derogări pentru activitățile cu caracter continuu.</w:t>
            </w:r>
          </w:p>
        </w:tc>
        <w:tc>
          <w:tcPr>
            <w:tcW w:w="5880" w:type="dxa"/>
            <w:tcBorders>
              <w:top w:val="single" w:sz="4" w:space="0" w:color="000000"/>
              <w:bottom w:val="single" w:sz="4" w:space="0" w:color="000000"/>
            </w:tcBorders>
          </w:tcPr>
          <w:p w14:paraId="1A19B1E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w:t>
            </w:r>
          </w:p>
          <w:p w14:paraId="66CA562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103 din Codul muncii al Republicii Moldova                      nr. 154/2003 (Monitorul Oficial al Republicii Moldova, 2003, nr. 159-162, art. 648), cu modificările ulterioare, alineatul (3) va avea următorul cuprins:</w:t>
            </w:r>
          </w:p>
          <w:p w14:paraId="7B585708" w14:textId="77777777" w:rsidR="00E114BB" w:rsidRDefault="00000000">
            <w:pPr>
              <w:spacing w:line="240" w:lineRule="auto"/>
              <w:jc w:val="both"/>
              <w:rPr>
                <w:rFonts w:ascii="Times New Roman" w:eastAsia="Times New Roman" w:hAnsi="Times New Roman" w:cs="Times New Roman"/>
                <w:sz w:val="18"/>
                <w:szCs w:val="18"/>
                <w:highlight w:val="white"/>
              </w:rPr>
            </w:pPr>
            <w:r>
              <w:rPr>
                <w:rFonts w:ascii="Times New Roman" w:eastAsia="Times New Roman" w:hAnsi="Times New Roman" w:cs="Times New Roman"/>
              </w:rPr>
              <w:t>”(3) Prevederile alineatelor (1</w:t>
            </w:r>
            <w:r>
              <w:rPr>
                <w:rFonts w:ascii="Times New Roman" w:eastAsia="Times New Roman" w:hAnsi="Times New Roman" w:cs="Times New Roman"/>
                <w:vertAlign w:val="superscript"/>
              </w:rPr>
              <w:t>1</w:t>
            </w:r>
            <w:r>
              <w:rPr>
                <w:rFonts w:ascii="Times New Roman" w:eastAsia="Times New Roman" w:hAnsi="Times New Roman" w:cs="Times New Roman"/>
              </w:rPr>
              <w:t>), (1</w:t>
            </w:r>
            <w:r>
              <w:rPr>
                <w:rFonts w:ascii="Times New Roman" w:eastAsia="Times New Roman" w:hAnsi="Times New Roman" w:cs="Times New Roman"/>
                <w:vertAlign w:val="superscript"/>
              </w:rPr>
              <w:t>2</w:t>
            </w:r>
            <w:r>
              <w:rPr>
                <w:rFonts w:ascii="Times New Roman" w:eastAsia="Times New Roman" w:hAnsi="Times New Roman" w:cs="Times New Roman"/>
              </w:rPr>
              <w:t>) și (2),</w:t>
            </w:r>
            <w:r>
              <w:t xml:space="preserve"> </w:t>
            </w:r>
            <w:r>
              <w:rPr>
                <w:rFonts w:ascii="Times New Roman" w:eastAsia="Times New Roman" w:hAnsi="Times New Roman" w:cs="Times New Roman"/>
              </w:rPr>
              <w:t xml:space="preserve">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w:t>
            </w:r>
            <w:r>
              <w:rPr>
                <w:rFonts w:ascii="Times New Roman" w:eastAsia="Times New Roman" w:hAnsi="Times New Roman" w:cs="Times New Roman"/>
              </w:rPr>
              <w:lastRenderedPageBreak/>
              <w:t>cu flux continuu și în cazul muncii în schimburi, dacă contractul colectiv de muncă nu prevede altfel.”</w:t>
            </w:r>
          </w:p>
          <w:p w14:paraId="070FBC94" w14:textId="77777777" w:rsidR="00E114BB" w:rsidRDefault="00E114BB">
            <w:pPr>
              <w:spacing w:line="240" w:lineRule="auto"/>
              <w:ind w:firstLine="705"/>
              <w:jc w:val="both"/>
              <w:rPr>
                <w:rFonts w:ascii="Times New Roman" w:eastAsia="Times New Roman" w:hAnsi="Times New Roman" w:cs="Times New Roman"/>
                <w:sz w:val="26"/>
                <w:szCs w:val="26"/>
                <w:highlight w:val="white"/>
              </w:rPr>
            </w:pPr>
          </w:p>
          <w:p w14:paraId="01C2382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12F2225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13E33D3C" w14:textId="77777777">
        <w:trPr>
          <w:trHeight w:val="330"/>
        </w:trPr>
        <w:tc>
          <w:tcPr>
            <w:tcW w:w="555" w:type="dxa"/>
            <w:vMerge/>
          </w:tcPr>
          <w:p w14:paraId="25F0626B" w14:textId="77777777" w:rsidR="00E114BB" w:rsidRDefault="00E114BB">
            <w:pPr>
              <w:widowControl w:val="0"/>
              <w:rPr>
                <w:rFonts w:ascii="Times New Roman" w:eastAsia="Times New Roman" w:hAnsi="Times New Roman" w:cs="Times New Roman"/>
                <w:highlight w:val="white"/>
              </w:rPr>
            </w:pPr>
          </w:p>
        </w:tc>
        <w:tc>
          <w:tcPr>
            <w:tcW w:w="2700" w:type="dxa"/>
            <w:vMerge/>
          </w:tcPr>
          <w:p w14:paraId="11FC7C90"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1E43640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Modificarea art. 86 alin. (1) lit. y</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Codul muncii prin substituirea sintagmei „deținerea statutului de pensionar pentru limită de vârstă” cu sintagma „atingerea vârstei de pensionare stabilite de legislație”. Articolul 86 alin. (1) lit. y</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Codul muncii al Republicii Moldova prevede posibilitatea încetării contractului individual de muncă în legătură cu deținerea de către salariat a statutului de pensionar pentru limită de vârstă. </w:t>
            </w:r>
          </w:p>
          <w:p w14:paraId="1A6201F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practică, aplicarea acestei prevederi generează dificultăți, deoarece statutul de pensionar pentru limită de vârstă se dobândește doar în urma depunerii unei cereri la autoritatea competentă și a stabilirii pensiei, confirmată prin eliberarea legitimației de pensionar. </w:t>
            </w:r>
          </w:p>
          <w:p w14:paraId="3CF33AC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există situații în care persoane care au atins vârsta de pensionare stabilită de legislație nu solicită stabilirea pensiei și, respectiv, nu dobândesc oficial statutul de pensionar. </w:t>
            </w:r>
          </w:p>
          <w:p w14:paraId="5A21AA8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asemenea cazuri, angajatorul nu poate aplica prevederile art. 86 alin. (1) lit. y</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deși persoana a atins vârsta legală de pensionare. Această situație creează incertitudine juridică și dificultăți în aplicarea uniformă a normei, deoarece încetarea raporturilor de muncă depinde de o acțiune voluntară a salariatului (depunerea cererii de stabilire a pensiei). </w:t>
            </w:r>
          </w:p>
          <w:p w14:paraId="58988BA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 asemenea modificare ar permite: </w:t>
            </w:r>
          </w:p>
          <w:p w14:paraId="6F3395B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 eliminarea dependenței aplicării normei de voința salariatului de a solicita sau nu stabilirea pensiei; </w:t>
            </w:r>
          </w:p>
          <w:p w14:paraId="2903387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asigurarea unei aplicări clare și uniforme a cadrului normativ; </w:t>
            </w:r>
          </w:p>
          <w:p w14:paraId="7B9AF77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evitarea situațiilor în care raporturile de muncă nu pot fi încetate din cauza lipsei formale a statutului de pensionar, deși persoana a atins vârsta legală de pensionare. </w:t>
            </w:r>
          </w:p>
          <w:p w14:paraId="0313705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Propunerea de a substitui „deținerea statutului” cu „atingerea vârstei” este în deplin acord cu raționamentele expuse de Curtea Constituțională în Hotărârea nr. 27 din 22 noiembrie 2018 și confirmată prin decizii ulterioare ( DCC nr. 61/2018). Curtea a statuat că dreptul la muncă nu este un drept absolut, iar încetarea contractului de muncă la atingerea vârstei de pensionare nu constituie o încălcare a art. 43 din Constituție, deoarece persoana nu este privată de dreptul de a munci în general, ci doar de dreptul de a menține un anumit raport juridic de muncă specific (care poate fi renegociat ulterior prin contract pe durată determinată conform art. 55 lit. f)).</w:t>
            </w:r>
          </w:p>
          <w:p w14:paraId="1BC9556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această soluție este conformă cadrului juridic european, în special art. 6 din Directiva 2000/78/CE a Consiliului din 27 noiembrie 2000 de creare a unui cadru general în favoarea egalității de tratament în ceea ce privește încadrarea în muncă și ocuparea forței de muncă care prevede că diferențele de tratament pe criteriu de vârstă pot fi admise dacă sunt justificate de obiective legitime ale politicii de ocupare a forței de muncă. Prin urmare, în baza acestei directive, statele membre pot prevedea în legislația lor încetarea raporturilor de muncă la atingerea vârstei de pensionare.</w:t>
            </w:r>
          </w:p>
        </w:tc>
        <w:tc>
          <w:tcPr>
            <w:tcW w:w="5880" w:type="dxa"/>
            <w:tcBorders>
              <w:top w:val="single" w:sz="4" w:space="0" w:color="000000"/>
              <w:bottom w:val="single" w:sz="4" w:space="0" w:color="000000"/>
            </w:tcBorders>
          </w:tcPr>
          <w:p w14:paraId="15DE392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094414E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Substituirea sintagmei „deținerea statutului de pensionar pentru limită de vârstă” cu sintagma „atingerea vârstei de pensionare stabilite de legislație” ar modifica substanțial conținutul actual al temeiului de încetare a contractului individual de muncă și ar extinde sfera de aplicare a normei dincolo de situația juridică a persoanei care a dobândit efectiv statutul de pensionar pentru limită de vârstă. </w:t>
            </w:r>
          </w:p>
        </w:tc>
      </w:tr>
      <w:tr w:rsidR="00E114BB" w14:paraId="78DBFC48" w14:textId="77777777">
        <w:trPr>
          <w:trHeight w:val="358"/>
        </w:trPr>
        <w:tc>
          <w:tcPr>
            <w:tcW w:w="555" w:type="dxa"/>
            <w:vMerge/>
          </w:tcPr>
          <w:p w14:paraId="0FB0F3AD" w14:textId="77777777" w:rsidR="00E114BB" w:rsidRDefault="00E114BB">
            <w:pPr>
              <w:widowControl w:val="0"/>
              <w:rPr>
                <w:rFonts w:ascii="Times New Roman" w:eastAsia="Times New Roman" w:hAnsi="Times New Roman" w:cs="Times New Roman"/>
                <w:highlight w:val="white"/>
              </w:rPr>
            </w:pPr>
          </w:p>
        </w:tc>
        <w:tc>
          <w:tcPr>
            <w:tcW w:w="2700" w:type="dxa"/>
            <w:vMerge/>
          </w:tcPr>
          <w:p w14:paraId="1280F543" w14:textId="77777777" w:rsidR="00E114BB" w:rsidRDefault="00E114BB">
            <w:pPr>
              <w:widowControl w:val="0"/>
              <w:rPr>
                <w:rFonts w:ascii="Times New Roman" w:eastAsia="Times New Roman" w:hAnsi="Times New Roman" w:cs="Times New Roman"/>
                <w:highlight w:val="white"/>
              </w:rPr>
            </w:pPr>
          </w:p>
        </w:tc>
        <w:tc>
          <w:tcPr>
            <w:tcW w:w="5880" w:type="dxa"/>
            <w:vMerge w:val="restart"/>
            <w:tcBorders>
              <w:top w:val="single" w:sz="4" w:space="0" w:color="000000"/>
            </w:tcBorders>
          </w:tcPr>
          <w:p w14:paraId="784DD4C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4. </w:t>
            </w:r>
            <w:r>
              <w:rPr>
                <w:rFonts w:ascii="Times New Roman" w:eastAsia="Times New Roman" w:hAnsi="Times New Roman" w:cs="Times New Roman"/>
                <w:highlight w:val="white"/>
              </w:rPr>
              <w:t xml:space="preserve">La art. II, pct. 5 din proiect se propune expunerea alin. (71) al art. 421 din Codul Muncii al Republicii Moldova în următoarea redacție: „(71)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 </w:t>
            </w:r>
            <w:r>
              <w:rPr>
                <w:rFonts w:ascii="Times New Roman" w:eastAsia="Times New Roman" w:hAnsi="Times New Roman" w:cs="Times New Roman"/>
                <w:highlight w:val="white"/>
              </w:rPr>
              <w:lastRenderedPageBreak/>
              <w:t>cu excepția situațiilor în care: a) angajatorul, în condițiile alin. (10), nu este obligat să comunice informații sau să inițieze consultări; b) salariaților; decizia angajatorului nu afectează direct sau indirect drepturile sau interesele c) decizia angajatorului are ca efect îmbunătățirea condițiilor de muncă, a drepturilor sau a garanțiilor salariaților.” Nulitatea deciziei angajatorului trebuie analizată prin prisma caracterului său excepțional.</w:t>
            </w:r>
          </w:p>
          <w:p w14:paraId="5CE863B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Introducerea acestor excepții este necesară pentru a asigura aplicarea proporțională și rezonabilă a sancțiunii nulității, deoarece aplicarea automată a acesteia în orice situație ar putea genera consecințe excesive.</w:t>
            </w:r>
          </w:p>
          <w:p w14:paraId="5A45DE0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Excepțiile prevăzute sunt justificate prin necesitatea asigurării coerenței și aplicării corecte a normei, astfel încât, prima excepție, reglementată deja la alin. (10), este necesară întrucât angajatorul nu poate realiza informarea sau consultarea în situațiile în care există riscul divulgării unui secret de stat sau comercial; a doua excepție are rolul de a delimita clar cazurile în care consultarea este obligatorie, evitând extinderea nejustificată a acestei obligații asupra unor măsuri care nu produc un impact real asupra raporturilor de muncă; iar a treia excepție urmărește să prevină sancționarea angajatorului pentru adoptarea unor măsuri favorabile salariaților, având în vedere că procedura de consultare este instituită pentru a preveni înrăutățirea situației acestora, și nu pentru a împiedica îmbunătățirea drepturilor lor.</w:t>
            </w:r>
          </w:p>
          <w:p w14:paraId="4562E8F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concluzie, excepțiile propuse permit aplicarea echilibrată a sancțiunii nulității, protejând drepturile salariaților fără a afecta exercitarea prerogativelor angajatorului.</w:t>
            </w:r>
          </w:p>
        </w:tc>
        <w:tc>
          <w:tcPr>
            <w:tcW w:w="5880" w:type="dxa"/>
            <w:tcBorders>
              <w:top w:val="single" w:sz="4" w:space="0" w:color="000000"/>
              <w:bottom w:val="single" w:sz="4" w:space="0" w:color="000000"/>
            </w:tcBorders>
          </w:tcPr>
          <w:p w14:paraId="7E90175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tc>
      </w:tr>
      <w:tr w:rsidR="00E114BB" w14:paraId="2D2D065C" w14:textId="77777777">
        <w:trPr>
          <w:trHeight w:val="360"/>
        </w:trPr>
        <w:tc>
          <w:tcPr>
            <w:tcW w:w="555" w:type="dxa"/>
            <w:vMerge/>
          </w:tcPr>
          <w:p w14:paraId="2A6A3F48" w14:textId="77777777" w:rsidR="00E114BB" w:rsidRDefault="00E114BB">
            <w:pPr>
              <w:widowControl w:val="0"/>
              <w:rPr>
                <w:rFonts w:ascii="Times New Roman" w:eastAsia="Times New Roman" w:hAnsi="Times New Roman" w:cs="Times New Roman"/>
                <w:highlight w:val="white"/>
              </w:rPr>
            </w:pPr>
          </w:p>
        </w:tc>
        <w:tc>
          <w:tcPr>
            <w:tcW w:w="2700" w:type="dxa"/>
            <w:vMerge/>
          </w:tcPr>
          <w:p w14:paraId="490A8100" w14:textId="77777777" w:rsidR="00E114BB" w:rsidRDefault="00E114BB">
            <w:pPr>
              <w:widowControl w:val="0"/>
              <w:rPr>
                <w:rFonts w:ascii="Times New Roman" w:eastAsia="Times New Roman" w:hAnsi="Times New Roman" w:cs="Times New Roman"/>
                <w:highlight w:val="white"/>
              </w:rPr>
            </w:pPr>
          </w:p>
        </w:tc>
        <w:tc>
          <w:tcPr>
            <w:tcW w:w="5880" w:type="dxa"/>
            <w:vMerge/>
            <w:tcBorders>
              <w:top w:val="single" w:sz="4" w:space="0" w:color="000000"/>
            </w:tcBorders>
          </w:tcPr>
          <w:p w14:paraId="3303C0A8"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tcBorders>
          </w:tcPr>
          <w:p w14:paraId="3202B6D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Se exclude prevederea propusă.</w:t>
            </w:r>
          </w:p>
        </w:tc>
      </w:tr>
      <w:tr w:rsidR="00E114BB" w14:paraId="0DEF3397" w14:textId="77777777">
        <w:trPr>
          <w:trHeight w:val="600"/>
        </w:trPr>
        <w:tc>
          <w:tcPr>
            <w:tcW w:w="555" w:type="dxa"/>
          </w:tcPr>
          <w:p w14:paraId="3359D05D"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179B4A9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Casa Națională de Asigurări Sociale</w:t>
            </w:r>
          </w:p>
          <w:p w14:paraId="3B885AC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4153</w:t>
            </w:r>
          </w:p>
          <w:p w14:paraId="790FE779"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13.03.2026 </w:t>
            </w:r>
          </w:p>
          <w:p w14:paraId="723002F7"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5880" w:type="dxa"/>
          </w:tcPr>
          <w:p w14:paraId="36EEC13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0077C5E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ia act.</w:t>
            </w:r>
          </w:p>
        </w:tc>
      </w:tr>
      <w:tr w:rsidR="00E114BB" w14:paraId="02174B56" w14:textId="77777777">
        <w:trPr>
          <w:trHeight w:val="600"/>
        </w:trPr>
        <w:tc>
          <w:tcPr>
            <w:tcW w:w="555" w:type="dxa"/>
          </w:tcPr>
          <w:p w14:paraId="2C9ADC15"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4BF9E7C2"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Centrul Național pentru Protecția Datelor cu Caracter Personal</w:t>
            </w:r>
          </w:p>
          <w:p w14:paraId="4D3CE2A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04-01/991 </w:t>
            </w:r>
          </w:p>
          <w:p w14:paraId="33D08C8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18.03.2026 </w:t>
            </w:r>
          </w:p>
        </w:tc>
        <w:tc>
          <w:tcPr>
            <w:tcW w:w="5880" w:type="dxa"/>
          </w:tcPr>
          <w:p w14:paraId="62AC82D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0F2463D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ia act.</w:t>
            </w:r>
          </w:p>
        </w:tc>
      </w:tr>
      <w:tr w:rsidR="00E114BB" w14:paraId="0366CA72" w14:textId="77777777">
        <w:trPr>
          <w:trHeight w:val="600"/>
        </w:trPr>
        <w:tc>
          <w:tcPr>
            <w:tcW w:w="555" w:type="dxa"/>
          </w:tcPr>
          <w:p w14:paraId="52B1CB01"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09C5B80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Biroul Național de Statistică </w:t>
            </w:r>
          </w:p>
          <w:p w14:paraId="013122F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19-06/12 din 10.03.2026</w:t>
            </w:r>
          </w:p>
        </w:tc>
        <w:tc>
          <w:tcPr>
            <w:tcW w:w="5880" w:type="dxa"/>
          </w:tcPr>
          <w:p w14:paraId="5517D37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III, pct.9,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alineatul (1), sintagma ,,informații detaliate pe genuri” se propune a fi expusă în redacție nouă cu următorul cuprins: ”informații detaliate dezagregate pe sexe”, întrucât poate crea confuzie, nefiind clar dacă se referă la date dezagregate pe sexe sau pe genuri de activitate.</w:t>
            </w:r>
          </w:p>
        </w:tc>
        <w:tc>
          <w:tcPr>
            <w:tcW w:w="5880" w:type="dxa"/>
          </w:tcPr>
          <w:p w14:paraId="0E19809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tc>
      </w:tr>
      <w:tr w:rsidR="00E114BB" w14:paraId="1D0DB423" w14:textId="77777777">
        <w:trPr>
          <w:trHeight w:val="816"/>
        </w:trPr>
        <w:tc>
          <w:tcPr>
            <w:tcW w:w="555" w:type="dxa"/>
            <w:vMerge w:val="restart"/>
          </w:tcPr>
          <w:p w14:paraId="197123A0"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24706B0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Oficiul Avocatului Poporului</w:t>
            </w:r>
          </w:p>
          <w:p w14:paraId="07C76E80"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04-3/13-551</w:t>
            </w:r>
          </w:p>
          <w:p w14:paraId="08E6CE63"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12.03.2026</w:t>
            </w:r>
          </w:p>
        </w:tc>
        <w:tc>
          <w:tcPr>
            <w:tcW w:w="5880" w:type="dxa"/>
            <w:tcBorders>
              <w:bottom w:val="single" w:sz="4" w:space="0" w:color="000000"/>
            </w:tcBorders>
          </w:tcPr>
          <w:p w14:paraId="1988740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urma examinării conținutului proiectului de lege Avocatul Poporului vine cu următoarele observații și recomandări:</w:t>
            </w:r>
          </w:p>
          <w:p w14:paraId="22D8C02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Proiectul de lege face trimitere la Legea privind detașarea salariaților în cadrul prestării de servicii, însă acest proiect de act normativ se află în prezent în proces de consultări publice. În acest context, se recomandă corelarea prevederilor proiectului analizat cu evoluția și forma finală a proiectului de lege menționat, pentru a evita eventuale incoerențe sau dificultăți de aplicare.</w:t>
            </w:r>
          </w:p>
          <w:p w14:paraId="7050A987"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Borders>
              <w:bottom w:val="single" w:sz="4" w:space="0" w:color="000000"/>
            </w:tcBorders>
          </w:tcPr>
          <w:p w14:paraId="6184889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34780B8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art. 3 alin. (4) lit. a) din Legea nr. 100/2017, actul normativ trebuie să se integreze organic în cadrul normativ în vigoare, scop în care proiectul actului normativ trebuie corelat cu prevederile actelor normative de nivel superior sau de </w:t>
            </w:r>
            <w:proofErr w:type="spellStart"/>
            <w:r>
              <w:rPr>
                <w:rFonts w:ascii="Times New Roman" w:eastAsia="Times New Roman" w:hAnsi="Times New Roman" w:cs="Times New Roman"/>
                <w:highlight w:val="white"/>
              </w:rPr>
              <w:t>acelaşi</w:t>
            </w:r>
            <w:proofErr w:type="spellEnd"/>
            <w:r>
              <w:rPr>
                <w:rFonts w:ascii="Times New Roman" w:eastAsia="Times New Roman" w:hAnsi="Times New Roman" w:cs="Times New Roman"/>
                <w:highlight w:val="white"/>
              </w:rPr>
              <w:t xml:space="preserve"> nivel cu care se află în conexiune.</w:t>
            </w:r>
          </w:p>
          <w:p w14:paraId="7C5E0BC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3EF5FEA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comunicăm că se va monitoriza parcursul legislativ și corelarea terminologiei al proiectului vizat pentru a asigura o integrare armonioasă în cadrul normativ.</w:t>
            </w:r>
          </w:p>
          <w:p w14:paraId="7E36F2C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tc>
      </w:tr>
      <w:tr w:rsidR="00E114BB" w14:paraId="2A1B805E" w14:textId="77777777">
        <w:trPr>
          <w:trHeight w:val="756"/>
        </w:trPr>
        <w:tc>
          <w:tcPr>
            <w:tcW w:w="555" w:type="dxa"/>
            <w:vMerge/>
          </w:tcPr>
          <w:p w14:paraId="31C45A63" w14:textId="77777777" w:rsidR="00E114BB" w:rsidRDefault="00E114BB">
            <w:pPr>
              <w:widowControl w:val="0"/>
              <w:rPr>
                <w:rFonts w:ascii="Times New Roman" w:eastAsia="Times New Roman" w:hAnsi="Times New Roman" w:cs="Times New Roman"/>
                <w:highlight w:val="white"/>
              </w:rPr>
            </w:pPr>
          </w:p>
        </w:tc>
        <w:tc>
          <w:tcPr>
            <w:tcW w:w="2700" w:type="dxa"/>
            <w:vMerge/>
          </w:tcPr>
          <w:p w14:paraId="54CC603B"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3F94903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Art. II. – Codul muncii al Republicii Moldova 2) Se recomandă clarificarea și uniformizarea terminologiei utilizate în ceea ce privește categoria „salariatelor gravide” utilizată de Directivele UE. În legislația muncii, în special în Codul muncii, este utilizat termenul de „femeie gravidă”. În vederea asigurării coerenței terminologice și a aplicării unitare a normelor juridice, se propune alinierea terminologiei din proiectul de lege la cea utilizată în Codul muncii sau armonizarea la terminologia Directivelor UE.</w:t>
            </w:r>
          </w:p>
        </w:tc>
        <w:tc>
          <w:tcPr>
            <w:tcW w:w="5880" w:type="dxa"/>
            <w:tcBorders>
              <w:top w:val="single" w:sz="4" w:space="0" w:color="000000"/>
              <w:bottom w:val="single" w:sz="4" w:space="0" w:color="000000"/>
            </w:tcBorders>
          </w:tcPr>
          <w:p w14:paraId="416DBDE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3B4D520D" w14:textId="77777777">
        <w:trPr>
          <w:trHeight w:val="756"/>
        </w:trPr>
        <w:tc>
          <w:tcPr>
            <w:tcW w:w="555" w:type="dxa"/>
            <w:vMerge/>
          </w:tcPr>
          <w:p w14:paraId="7C185F20" w14:textId="77777777" w:rsidR="00E114BB" w:rsidRDefault="00E114BB">
            <w:pPr>
              <w:widowControl w:val="0"/>
              <w:rPr>
                <w:rFonts w:ascii="Times New Roman" w:eastAsia="Times New Roman" w:hAnsi="Times New Roman" w:cs="Times New Roman"/>
                <w:highlight w:val="white"/>
              </w:rPr>
            </w:pPr>
          </w:p>
        </w:tc>
        <w:tc>
          <w:tcPr>
            <w:tcW w:w="2700" w:type="dxa"/>
            <w:vMerge/>
          </w:tcPr>
          <w:p w14:paraId="4E064BAE"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292323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Modificarea propusă la articolul 5 lit. b¹), e) și g) din Codul Muncii ridică probleme de tehnică legislativă și de coerență normativă. În primul rând, utilizarea formulării „după cum este descris la art. 8 din prezentul Cod” nu este specifică limbajului juridic utilizat în actele normative. În legislația națională, </w:t>
            </w:r>
            <w:r>
              <w:rPr>
                <w:rFonts w:ascii="Times New Roman" w:eastAsia="Times New Roman" w:hAnsi="Times New Roman" w:cs="Times New Roman"/>
                <w:highlight w:val="white"/>
              </w:rPr>
              <w:lastRenderedPageBreak/>
              <w:t>trimiterea la alte norme se realizează, de regulă, prin formule consacrate precum „în condițiile art. …”, „în conformitate cu art. …” sau „potrivit art. …”, iar utilizarea termenului „descris” este improprie și poate afecta claritatea normei. În al doilea rând, includerea repetată a trimiterii la art. 8 în mai multe litere ale aceluiași articol creează o redundanță normativă, întrucât articolul 5 consacră principii generale ale raporturilor de muncă, iar detalierea criteriilor de discriminare este deja reglementată în mod expres la art. 8. Reiterarea acestei trimiteri în fiecare principiu nu este necesară și poate afecta coerența textului normativ. În aceste condiții, se impune revizuirea formulării propuse, fie prin utilizarea unei formule juridice adecvate de trimitere la art. 8, fie prin eliminarea repetării acestei trimiteri, pentru a asigura claritatea, concizia și coerența reglementării.</w:t>
            </w:r>
          </w:p>
        </w:tc>
        <w:tc>
          <w:tcPr>
            <w:tcW w:w="5880" w:type="dxa"/>
            <w:tcBorders>
              <w:top w:val="single" w:sz="4" w:space="0" w:color="000000"/>
              <w:bottom w:val="single" w:sz="4" w:space="0" w:color="000000"/>
            </w:tcBorders>
          </w:tcPr>
          <w:p w14:paraId="1D9C75CB"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165FA71E"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5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se propune în următoarea redacție „interzicerea discriminării în temeiul criteriilor protejate, a violenței și a </w:t>
            </w:r>
            <w:r>
              <w:rPr>
                <w:rFonts w:ascii="Times New Roman" w:eastAsia="Times New Roman" w:hAnsi="Times New Roman" w:cs="Times New Roman"/>
                <w:highlight w:val="white"/>
              </w:rPr>
              <w:lastRenderedPageBreak/>
              <w:t>hărțuirii de orice natură în cadrul  raporturilor de muncă și a altor raporturi legate nemijlocit de acestea;</w:t>
            </w:r>
          </w:p>
          <w:p w14:paraId="6E9AF07A"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 egalitatea în drepturi şi în </w:t>
            </w:r>
            <w:proofErr w:type="spellStart"/>
            <w:r>
              <w:rPr>
                <w:rFonts w:ascii="Times New Roman" w:eastAsia="Times New Roman" w:hAnsi="Times New Roman" w:cs="Times New Roman"/>
                <w:highlight w:val="white"/>
              </w:rPr>
              <w:t>posibilităţi</w:t>
            </w:r>
            <w:proofErr w:type="spellEnd"/>
            <w:r>
              <w:rPr>
                <w:rFonts w:ascii="Times New Roman" w:eastAsia="Times New Roman" w:hAnsi="Times New Roman" w:cs="Times New Roman"/>
                <w:highlight w:val="white"/>
              </w:rPr>
              <w:t xml:space="preserve"> a salariaţilor în cadrul raporturilor de muncă și a altor raporturi legate nemijlocit de acestea;</w:t>
            </w:r>
          </w:p>
          <w:p w14:paraId="49087C92"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se renunță la modificarea art. 5 lit. g </w:t>
            </w:r>
          </w:p>
          <w:p w14:paraId="659FB77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27B1A641" w14:textId="77777777">
        <w:trPr>
          <w:trHeight w:val="1774"/>
        </w:trPr>
        <w:tc>
          <w:tcPr>
            <w:tcW w:w="555" w:type="dxa"/>
            <w:vMerge/>
          </w:tcPr>
          <w:p w14:paraId="20519B0F" w14:textId="77777777" w:rsidR="00E114BB" w:rsidRDefault="00E114BB">
            <w:pPr>
              <w:widowControl w:val="0"/>
              <w:rPr>
                <w:rFonts w:ascii="Times New Roman" w:eastAsia="Times New Roman" w:hAnsi="Times New Roman" w:cs="Times New Roman"/>
                <w:highlight w:val="white"/>
              </w:rPr>
            </w:pPr>
          </w:p>
        </w:tc>
        <w:tc>
          <w:tcPr>
            <w:tcW w:w="2700" w:type="dxa"/>
            <w:vMerge/>
          </w:tcPr>
          <w:p w14:paraId="75B65C39"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FFCE56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4) Art. 247¹ alin. (3): „Pentru a beneficia de dispensa prevăzută la alin. (1), salariatele gravide informează angajatorul și prezintă un document justificativ eliberat de instituția medico-sanitară competentă.” </w:t>
            </w:r>
          </w:p>
          <w:p w14:paraId="53F878A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Pentru ca aceste articole să fie aplicate în spiritul respectării dreptului la viață privată și a evita o interpretare abuzivă, ar fi util de concretizat, fie prin o prevedere suplimentară la acest articol, fie prin Regulamentele de punere în aplicare, ce se înțelege prin „document justificativ” (ex. certificat medical standardizat), care să </w:t>
            </w:r>
            <w:proofErr w:type="spellStart"/>
            <w:r>
              <w:rPr>
                <w:rFonts w:ascii="Times New Roman" w:eastAsia="Times New Roman" w:hAnsi="Times New Roman" w:cs="Times New Roman"/>
                <w:highlight w:val="white"/>
              </w:rPr>
              <w:t>conțnă</w:t>
            </w:r>
            <w:proofErr w:type="spellEnd"/>
            <w:r>
              <w:rPr>
                <w:rFonts w:ascii="Times New Roman" w:eastAsia="Times New Roman" w:hAnsi="Times New Roman" w:cs="Times New Roman"/>
                <w:highlight w:val="white"/>
              </w:rPr>
              <w:t xml:space="preserve"> o informație limitată. Această concretizare o considerăm importantă pentru a preveni situații în care angajatorul solicită documente care să conțină detalii clinice, diagnostice specifice medicale și pentru a proteja confidențialitatea datelor medicale ale angajatei. </w:t>
            </w:r>
          </w:p>
          <w:p w14:paraId="7E39845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Clarificarea modului în care se face „informarea angajatorului”. Pentru a evita hărțuirea sau blocajele administrative, se recomandă ca informarea să poată fi făcută prin orice mijloc de comunicare (inclusiv electronic), urmând ca documentul justificativ să fie prezentat ulterior.</w:t>
            </w:r>
          </w:p>
        </w:tc>
        <w:tc>
          <w:tcPr>
            <w:tcW w:w="5880" w:type="dxa"/>
            <w:tcBorders>
              <w:top w:val="single" w:sz="4" w:space="0" w:color="000000"/>
              <w:bottom w:val="single" w:sz="4" w:space="0" w:color="000000"/>
            </w:tcBorders>
          </w:tcPr>
          <w:p w14:paraId="7F97107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15F7FA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231DF81F" w14:textId="77777777">
        <w:trPr>
          <w:trHeight w:val="4350"/>
        </w:trPr>
        <w:tc>
          <w:tcPr>
            <w:tcW w:w="555" w:type="dxa"/>
            <w:vMerge/>
          </w:tcPr>
          <w:p w14:paraId="6543CB00" w14:textId="77777777" w:rsidR="00E114BB" w:rsidRDefault="00E114BB">
            <w:pPr>
              <w:widowControl w:val="0"/>
              <w:rPr>
                <w:rFonts w:ascii="Times New Roman" w:eastAsia="Times New Roman" w:hAnsi="Times New Roman" w:cs="Times New Roman"/>
                <w:highlight w:val="white"/>
              </w:rPr>
            </w:pPr>
          </w:p>
        </w:tc>
        <w:tc>
          <w:tcPr>
            <w:tcW w:w="2700" w:type="dxa"/>
            <w:vMerge/>
          </w:tcPr>
          <w:p w14:paraId="74CFB276" w14:textId="77777777" w:rsidR="00E114BB" w:rsidRDefault="00E114BB">
            <w:pPr>
              <w:widowControl w:val="0"/>
              <w:rPr>
                <w:rFonts w:ascii="Times New Roman" w:eastAsia="Times New Roman" w:hAnsi="Times New Roman" w:cs="Times New Roman"/>
                <w:highlight w:val="white"/>
              </w:rPr>
            </w:pPr>
          </w:p>
        </w:tc>
        <w:tc>
          <w:tcPr>
            <w:tcW w:w="5880" w:type="dxa"/>
            <w:tcBorders>
              <w:top w:val="single" w:sz="4" w:space="0" w:color="000000"/>
            </w:tcBorders>
          </w:tcPr>
          <w:p w14:paraId="5EFE558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IV. – Codul contravențional al Republicii Moldova 5). Proiectul propune introducerea unei contravenții noi prin articolul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Codului contravențional, însă nu se reglementează autoritatea competentă care să constate contravenția și să aplice sancțiunea contravențională.</w:t>
            </w:r>
          </w:p>
          <w:p w14:paraId="5E24BF4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Or, în materie contravențională este esențial ca norma juridică să stabilească în mod clar nu doar fapta contravențională și sancțiunea, ci și organul competent să constate și să sancționeze contravenția, pentru a asigura previzibilitatea și aplicarea efectivă a legii. </w:t>
            </w:r>
          </w:p>
          <w:p w14:paraId="42CB552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Lipsa unei asemenea precizări poate genera incertitudine în practică cu privire la competența autorităților, precum și riscul contestării </w:t>
            </w:r>
            <w:proofErr w:type="spellStart"/>
            <w:r>
              <w:rPr>
                <w:rFonts w:ascii="Times New Roman" w:eastAsia="Times New Roman" w:hAnsi="Times New Roman" w:cs="Times New Roman"/>
                <w:highlight w:val="white"/>
              </w:rPr>
              <w:t>proceselorverbale</w:t>
            </w:r>
            <w:proofErr w:type="spellEnd"/>
            <w:r>
              <w:rPr>
                <w:rFonts w:ascii="Times New Roman" w:eastAsia="Times New Roman" w:hAnsi="Times New Roman" w:cs="Times New Roman"/>
                <w:highlight w:val="white"/>
              </w:rPr>
              <w:t xml:space="preserve"> de contravenție pentru lipsa competenței agentului constatator. </w:t>
            </w:r>
          </w:p>
          <w:p w14:paraId="0D8E4F6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aceste condiții, se impune clarificarea expresă a autorității competente, astfel încât aplicarea normei contravenționale să fie clară și conformă principiilor securității juridice.</w:t>
            </w:r>
          </w:p>
        </w:tc>
        <w:tc>
          <w:tcPr>
            <w:tcW w:w="5880" w:type="dxa"/>
            <w:tcBorders>
              <w:top w:val="single" w:sz="4" w:space="0" w:color="000000"/>
            </w:tcBorders>
          </w:tcPr>
          <w:p w14:paraId="2789BA0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69B35A1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la Art. I pct. 2, prevede următoarele:</w:t>
            </w:r>
          </w:p>
          <w:p w14:paraId="209313B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 se completează cu alin. (3) cu următorul cuprins:</w:t>
            </w:r>
          </w:p>
          <w:p w14:paraId="45694A7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salariaților în cadrul prestării de servicii, Inspectoratul de Stat al Muncii exercită, în special, următoarele atribuții:</w:t>
            </w:r>
          </w:p>
          <w:p w14:paraId="735BC83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 constată contravențiile pentru încălcarea prevederilor Legii privind detașarea salariaților în cadrul prestării de servicii transnaționale;</w:t>
            </w:r>
          </w:p>
        </w:tc>
      </w:tr>
      <w:tr w:rsidR="00E114BB" w14:paraId="1BA2109A" w14:textId="77777777">
        <w:trPr>
          <w:trHeight w:val="7695"/>
        </w:trPr>
        <w:tc>
          <w:tcPr>
            <w:tcW w:w="555" w:type="dxa"/>
            <w:vMerge w:val="restart"/>
          </w:tcPr>
          <w:p w14:paraId="4FC49201"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43221AE9"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Consiliul pentru egalitate </w:t>
            </w:r>
          </w:p>
          <w:p w14:paraId="0E6F41BA"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04/439 </w:t>
            </w:r>
          </w:p>
          <w:p w14:paraId="5D393152"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19.03.2026</w:t>
            </w:r>
          </w:p>
        </w:tc>
        <w:tc>
          <w:tcPr>
            <w:tcW w:w="5880" w:type="dxa"/>
          </w:tcPr>
          <w:p w14:paraId="7625EBD4" w14:textId="77777777" w:rsidR="00E114BB" w:rsidRDefault="00000000">
            <w:pPr>
              <w:spacing w:line="240" w:lineRule="auto"/>
              <w:jc w:val="both"/>
              <w:rPr>
                <w:rFonts w:ascii="Times New Roman" w:eastAsia="Times New Roman" w:hAnsi="Times New Roman" w:cs="Times New Roman"/>
                <w:highlight w:val="white"/>
                <w:u w:val="single"/>
              </w:rPr>
            </w:pPr>
            <w:r>
              <w:rPr>
                <w:rFonts w:ascii="Times New Roman" w:eastAsia="Times New Roman" w:hAnsi="Times New Roman" w:cs="Times New Roman"/>
                <w:b/>
                <w:bCs/>
                <w:highlight w:val="white"/>
              </w:rPr>
              <w:t>1)</w:t>
            </w:r>
            <w:r>
              <w:rPr>
                <w:rFonts w:ascii="Times New Roman" w:eastAsia="Times New Roman" w:hAnsi="Times New Roman" w:cs="Times New Roman"/>
                <w:highlight w:val="white"/>
              </w:rPr>
              <w:t xml:space="preserve"> Consiliul reține că la Art. II pct. 3 al proiectului, se propune modificarea literelor b1 ), e) și g) din cadrul art. 5 al Codului muncii. În această privință, Consiliul atrage atenția asupra faptului că textul literelor e) și g), așa cum este expus în proiect, se dublează reciproc, or textul lit. e) prevede </w:t>
            </w:r>
            <w:r>
              <w:rPr>
                <w:rFonts w:ascii="Times New Roman" w:eastAsia="Times New Roman" w:hAnsi="Times New Roman" w:cs="Times New Roman"/>
                <w:highlight w:val="white"/>
                <w:u w:val="single"/>
              </w:rPr>
              <w:t>egalitatea în drepturi şi în posibilități a salariaților în cadrul raporturilor de muncă și a altor raporturi legate nemijlocit de acestea după cum este descris la art. 8 din prezentul Cod</w:t>
            </w:r>
            <w:r>
              <w:rPr>
                <w:rFonts w:ascii="Times New Roman" w:eastAsia="Times New Roman" w:hAnsi="Times New Roman" w:cs="Times New Roman"/>
                <w:highlight w:val="white"/>
              </w:rPr>
              <w:t xml:space="preserve">; în timp ce textul lit. g) reiterează drept principiu </w:t>
            </w:r>
            <w:r>
              <w:rPr>
                <w:rFonts w:ascii="Times New Roman" w:eastAsia="Times New Roman" w:hAnsi="Times New Roman" w:cs="Times New Roman"/>
                <w:highlight w:val="white"/>
                <w:u w:val="single"/>
              </w:rPr>
              <w:t>asigurarea egalității de tratament după cum este descris la art. 8 din prezentul Cod.</w:t>
            </w:r>
          </w:p>
          <w:p w14:paraId="27D52A70"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În context, Consiliul notează că potrivit art. 2 alin. (1) al Directivei 2000/78/CE a Consiliului din 27 noiembrie 2000 de creare a unui cadru general în favoarea egalității de tratament în ceea ce privește încadrarea în muncă și ocuparea forței de muncă, </w:t>
            </w:r>
            <w:r>
              <w:rPr>
                <w:rFonts w:ascii="Times New Roman" w:eastAsia="Times New Roman" w:hAnsi="Times New Roman" w:cs="Times New Roman"/>
                <w:highlight w:val="white"/>
                <w:u w:val="single"/>
              </w:rPr>
              <w:t>prin principiul egalității de tratament se înțelege absența oricărei discriminări directe sau indirecte, bazate pe unul din motivele menționate la articolul 1</w:t>
            </w:r>
            <w:r>
              <w:rPr>
                <w:rFonts w:ascii="Times New Roman" w:eastAsia="Times New Roman" w:hAnsi="Times New Roman" w:cs="Times New Roman"/>
                <w:highlight w:val="white"/>
              </w:rPr>
              <w:t xml:space="preserve"> (al Directivei). Pornind de la aceste prevederi de referință, notăm că interzicerea discriminării, în temeiul criteriilor și circumstanțelor descrise la art. 8 din prezentul Cod, este prevăzută la lit.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a art. 5 în redacția proiectului, fapt din care rezultă consacrarea principiului egalității de tratament, fără a fi necesară o mențiune repetată în acest sens. Din aceste considerente, precum și având în vedere că principiile prevăzute la lit.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și e) ale art. 5 din Codul muncii, în redacția proiectului, prevăd atât interzicerea oricărei discriminări bazate pe criteriile prevăzute la art. 8, cât și egalitatea în drepturi şi în </w:t>
            </w:r>
            <w:proofErr w:type="spellStart"/>
            <w:r>
              <w:rPr>
                <w:rFonts w:ascii="Times New Roman" w:eastAsia="Times New Roman" w:hAnsi="Times New Roman" w:cs="Times New Roman"/>
                <w:highlight w:val="white"/>
              </w:rPr>
              <w:t>posibilităţi</w:t>
            </w:r>
            <w:proofErr w:type="spellEnd"/>
            <w:r>
              <w:rPr>
                <w:rFonts w:ascii="Times New Roman" w:eastAsia="Times New Roman" w:hAnsi="Times New Roman" w:cs="Times New Roman"/>
                <w:highlight w:val="white"/>
              </w:rPr>
              <w:t xml:space="preserve"> a salariaţilor în cadrul raporturilor de muncă și a altor raporturi legate nemijlocit de acestea, </w:t>
            </w:r>
            <w:r>
              <w:rPr>
                <w:rFonts w:ascii="Times New Roman" w:eastAsia="Times New Roman" w:hAnsi="Times New Roman" w:cs="Times New Roman"/>
                <w:b/>
                <w:bCs/>
                <w:highlight w:val="white"/>
              </w:rPr>
              <w:t>Consiliul propune abrogarea lit. g) din cadrul art. 5 al Codului muncii nr. 154/2003.</w:t>
            </w:r>
          </w:p>
        </w:tc>
        <w:tc>
          <w:tcPr>
            <w:tcW w:w="5880" w:type="dxa"/>
          </w:tcPr>
          <w:p w14:paraId="37C9DF6F"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respinge</w:t>
            </w:r>
          </w:p>
          <w:p w14:paraId="568D6982" w14:textId="77777777" w:rsidR="00E114BB" w:rsidRDefault="00E114BB">
            <w:pPr>
              <w:shd w:val="clear" w:color="auto" w:fill="FFFFFF"/>
              <w:jc w:val="both"/>
              <w:rPr>
                <w:rFonts w:ascii="Times New Roman" w:eastAsia="Times New Roman" w:hAnsi="Times New Roman" w:cs="Times New Roman"/>
                <w:highlight w:val="white"/>
              </w:rPr>
            </w:pPr>
          </w:p>
          <w:p w14:paraId="0A15854F"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observațiile formulate de Consiliu cu privire la posibila suprapunere între dispozițiile art. 5 lit. e) și lit. g) din Codul muncii al Republicii Moldova. În acest context, se precizează că, în cadrul definitivării proiectului, s-a renunțat la modificarea lit. g), aceasta urmând să rămână în redactarea actuală.</w:t>
            </w:r>
          </w:p>
          <w:p w14:paraId="76A7DC72"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aceste condiții, intervenția legislativă nu mai generează riscul unei eventuale dublări normative, întrucât textul lit. g) nu </w:t>
            </w:r>
            <w:proofErr w:type="spellStart"/>
            <w:r>
              <w:rPr>
                <w:rFonts w:ascii="Times New Roman" w:eastAsia="Times New Roman" w:hAnsi="Times New Roman" w:cs="Times New Roman"/>
                <w:highlight w:val="white"/>
              </w:rPr>
              <w:t>bazaeste</w:t>
            </w:r>
            <w:proofErr w:type="spellEnd"/>
            <w:r>
              <w:rPr>
                <w:rFonts w:ascii="Times New Roman" w:eastAsia="Times New Roman" w:hAnsi="Times New Roman" w:cs="Times New Roman"/>
                <w:highlight w:val="white"/>
              </w:rPr>
              <w:t xml:space="preserve"> afectat de modificările propuse, iar coerența internă a art. 5 se menține în forma existentă. Totodată, menținerea acestei dispoziții permite păstrarea unei formulări distincte a principiului egalității de tratament, în linie cu sensul consacrat de Directiva 2000/78/CE.</w:t>
            </w:r>
          </w:p>
          <w:p w14:paraId="20C0FCD3"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urmare, având în vedere ajustările operate asupra proiectului, se apreciază că obiecția formulată nu mai subzistă.</w:t>
            </w:r>
          </w:p>
          <w:p w14:paraId="26AFE46D" w14:textId="77777777" w:rsidR="00E114BB" w:rsidRDefault="00E114BB">
            <w:pPr>
              <w:shd w:val="clear" w:color="auto" w:fill="FFFFFF"/>
              <w:jc w:val="both"/>
              <w:rPr>
                <w:rFonts w:ascii="Times New Roman" w:eastAsia="Times New Roman" w:hAnsi="Times New Roman" w:cs="Times New Roman"/>
                <w:highlight w:val="white"/>
              </w:rPr>
            </w:pPr>
          </w:p>
          <w:p w14:paraId="44DADEC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sz w:val="28"/>
                <w:szCs w:val="28"/>
                <w:highlight w:val="white"/>
              </w:rPr>
            </w:pPr>
          </w:p>
        </w:tc>
      </w:tr>
      <w:tr w:rsidR="00E114BB" w14:paraId="73D928D1" w14:textId="77777777">
        <w:trPr>
          <w:trHeight w:val="600"/>
        </w:trPr>
        <w:tc>
          <w:tcPr>
            <w:tcW w:w="555" w:type="dxa"/>
            <w:vMerge/>
          </w:tcPr>
          <w:p w14:paraId="3363AB47" w14:textId="77777777" w:rsidR="00E114BB" w:rsidRDefault="00E114BB">
            <w:pPr>
              <w:spacing w:line="240" w:lineRule="auto"/>
              <w:ind w:left="360" w:hanging="338"/>
              <w:rPr>
                <w:rFonts w:ascii="Times New Roman" w:eastAsia="Times New Roman" w:hAnsi="Times New Roman" w:cs="Times New Roman"/>
                <w:b/>
                <w:bCs/>
              </w:rPr>
            </w:pPr>
          </w:p>
        </w:tc>
        <w:tc>
          <w:tcPr>
            <w:tcW w:w="2700" w:type="dxa"/>
            <w:vMerge/>
          </w:tcPr>
          <w:p w14:paraId="11AE99A3" w14:textId="77777777" w:rsidR="00E114BB" w:rsidRDefault="00E114BB">
            <w:pPr>
              <w:spacing w:line="240" w:lineRule="auto"/>
              <w:jc w:val="center"/>
              <w:rPr>
                <w:rFonts w:ascii="Times New Roman" w:eastAsia="Times New Roman" w:hAnsi="Times New Roman" w:cs="Times New Roman"/>
              </w:rPr>
            </w:pPr>
          </w:p>
        </w:tc>
        <w:tc>
          <w:tcPr>
            <w:tcW w:w="5880" w:type="dxa"/>
          </w:tcPr>
          <w:p w14:paraId="7248C9B2"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2.</w:t>
            </w:r>
            <w:r>
              <w:rPr>
                <w:rFonts w:ascii="Times New Roman" w:eastAsia="Times New Roman" w:hAnsi="Times New Roman" w:cs="Times New Roman"/>
                <w:highlight w:val="white"/>
              </w:rPr>
              <w:t xml:space="preserve"> În continuare, la Art. II pct. 4 al proiectului, se propune modificarea art. 8 din Codul Muncii nr. 154/2003. Potrivit alin. (1) al art. 8 în redacția proiectului, „În cadrul raporturilor de muncă și a altor raporturi legate nemijlocit de acestea se aplică principiul egalității de tratament. Orice discriminare, directă sau </w:t>
            </w:r>
            <w:r>
              <w:rPr>
                <w:rFonts w:ascii="Times New Roman" w:eastAsia="Times New Roman" w:hAnsi="Times New Roman" w:cs="Times New Roman"/>
                <w:highlight w:val="white"/>
              </w:rPr>
              <w:lastRenderedPageBreak/>
              <w:t xml:space="preserve">indirectă, a salariatului pe criterii de sex, vârstă sau orientare sexuală, rasă, culoare a pielii, etnie, apartenență religioasă sau convingeri, </w:t>
            </w:r>
            <w:proofErr w:type="spellStart"/>
            <w:r>
              <w:rPr>
                <w:rFonts w:ascii="Times New Roman" w:eastAsia="Times New Roman" w:hAnsi="Times New Roman" w:cs="Times New Roman"/>
                <w:highlight w:val="white"/>
              </w:rPr>
              <w:t>opţiune</w:t>
            </w:r>
            <w:proofErr w:type="spellEnd"/>
            <w:r>
              <w:rPr>
                <w:rFonts w:ascii="Times New Roman" w:eastAsia="Times New Roman" w:hAnsi="Times New Roman" w:cs="Times New Roman"/>
                <w:highlight w:val="white"/>
              </w:rPr>
              <w:t xml:space="preserve"> politică, origine socială, domiciliu, dizabilitate, infectare cu HIV/SIDA, </w:t>
            </w:r>
            <w:proofErr w:type="spellStart"/>
            <w:r>
              <w:rPr>
                <w:rFonts w:ascii="Times New Roman" w:eastAsia="Times New Roman" w:hAnsi="Times New Roman" w:cs="Times New Roman"/>
                <w:highlight w:val="white"/>
              </w:rPr>
              <w:t>apartenenţă</w:t>
            </w:r>
            <w:proofErr w:type="spellEnd"/>
            <w:r>
              <w:rPr>
                <w:rFonts w:ascii="Times New Roman" w:eastAsia="Times New Roman" w:hAnsi="Times New Roman" w:cs="Times New Roman"/>
                <w:highlight w:val="white"/>
              </w:rPr>
              <w:t xml:space="preserve"> sau activitate sindicală și criteriile stabilite prin Legea nr. 121/2012 cu privire la asigurarea egalității, precum şi pe alte criterii nelegate de calitățile sale profesionale, este interzisă.</w:t>
            </w:r>
          </w:p>
          <w:p w14:paraId="6D6E9671"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această privință, Consiliul atrage atenția asupra faptului că modificarea propusă interzice doar discriminarea directă și indirectă a salariatului, în timp ce potrivit art. 2 alin. (3) și (4) al Directivei 2000/78/CE de creare a unui cadru general în favoarea egalității de tratament în ceea ce privește încadrarea în muncă și ocuparea forței de muncă, hărțuirea și ordinul de a discrimina (instigarea la discriminare) sunt considerate în egală măsură forme ale discriminării și urmează a fi interzise. </w:t>
            </w:r>
          </w:p>
          <w:p w14:paraId="468E52BA"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în vederea asigurării protecției salariaților împotriva tuturor formelor discriminării, nu doar discriminării directe sau indirecte, Consiliul propune excluderea textului “,directă sau indirectă,” din conținutul art. 8 alin. (1) în redacția proiectului.</w:t>
            </w:r>
          </w:p>
          <w:p w14:paraId="5D089624"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De asemenea, Consiliul reține că majoritatea criteriilor protejate enumerate în conținutul art. 8 alin. (1) în redacția proiectului se regăsesc deja în conținutul art. 1 al Legii nr. 121/2012, motiv pentru care nu este clară indicarea expresă selectivă a criteriilor protejate în baza cărora este interzisă discriminarea. Având în vedere considerentele expuse mai sus, Consiliul propune expunerea art. 8 alin. (1) după cum urmează: </w:t>
            </w:r>
            <w:r>
              <w:rPr>
                <w:rFonts w:ascii="Times New Roman" w:eastAsia="Times New Roman" w:hAnsi="Times New Roman" w:cs="Times New Roman"/>
                <w:b/>
                <w:bCs/>
                <w:highlight w:val="white"/>
              </w:rPr>
              <w:t xml:space="preserve">„În cadrul raporturilor de muncă și a altor raporturi legate nemijlocit de acestea se aplică principiul egalității de tratament. Orice discriminare a salariatului pe criteriile stabilite prin Legea nr. 121/2012 cu privire la asigurarea egalității, precum şi pe criterii de domiciliu, opțiune politică, apartenență sau activitate sindicală sau alte criterii nelegate de calitățile sale profesionale este interzisă. </w:t>
            </w:r>
          </w:p>
        </w:tc>
        <w:tc>
          <w:tcPr>
            <w:tcW w:w="5880" w:type="dxa"/>
          </w:tcPr>
          <w:p w14:paraId="2D74C47D"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 xml:space="preserve">Se acceptă </w:t>
            </w:r>
            <w:r>
              <w:rPr>
                <w:rFonts w:ascii="Times New Roman" w:eastAsia="Times New Roman" w:hAnsi="Times New Roman" w:cs="Times New Roman"/>
                <w:highlight w:val="white"/>
              </w:rPr>
              <w:t>expunerea art. 8 alin. (1) după cum urmează</w:t>
            </w:r>
          </w:p>
          <w:p w14:paraId="73A2A7FA" w14:textId="77777777" w:rsidR="00E114BB"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cadrul raporturilor de muncă </w:t>
            </w:r>
            <w:r>
              <w:rPr>
                <w:rFonts w:ascii="Times New Roman" w:eastAsia="Times New Roman" w:hAnsi="Times New Roman" w:cs="Times New Roman"/>
                <w:b/>
                <w:bCs/>
                <w:highlight w:val="white"/>
              </w:rPr>
              <w:t xml:space="preserve">și a altor raporturi legate nemijlocit de acestea se aplică principiul egalității de tratament. Orice discriminare a salariatului pe criteriile protejate, stabilite prin Legea nr. 121/2012 cu privire la </w:t>
            </w:r>
            <w:r>
              <w:rPr>
                <w:rFonts w:ascii="Times New Roman" w:eastAsia="Times New Roman" w:hAnsi="Times New Roman" w:cs="Times New Roman"/>
                <w:b/>
                <w:bCs/>
                <w:highlight w:val="white"/>
              </w:rPr>
              <w:lastRenderedPageBreak/>
              <w:t xml:space="preserve">asigurarea egalității, precum şi pe criterii de domiciliu, opțiune politică, </w:t>
            </w:r>
            <w:r>
              <w:rPr>
                <w:rFonts w:ascii="Times New Roman" w:eastAsia="Times New Roman" w:hAnsi="Times New Roman" w:cs="Times New Roman"/>
                <w:highlight w:val="white"/>
              </w:rPr>
              <w:t>apartenență sau activitate sindicală sau alte criterii nelegate de calitățile sale profesionale, este interzisă.”</w:t>
            </w:r>
          </w:p>
          <w:p w14:paraId="42132758" w14:textId="77777777" w:rsidR="00E114BB" w:rsidRDefault="00E114BB">
            <w:pPr>
              <w:spacing w:line="240" w:lineRule="auto"/>
              <w:jc w:val="both"/>
              <w:rPr>
                <w:rFonts w:ascii="Times New Roman" w:eastAsia="Times New Roman" w:hAnsi="Times New Roman" w:cs="Times New Roman"/>
                <w:highlight w:val="white"/>
              </w:rPr>
            </w:pPr>
          </w:p>
        </w:tc>
      </w:tr>
      <w:tr w:rsidR="00E114BB" w14:paraId="7766E496" w14:textId="77777777">
        <w:trPr>
          <w:trHeight w:val="600"/>
        </w:trPr>
        <w:tc>
          <w:tcPr>
            <w:tcW w:w="555" w:type="dxa"/>
            <w:vMerge/>
          </w:tcPr>
          <w:p w14:paraId="6CFFCF90" w14:textId="77777777" w:rsidR="00E114BB" w:rsidRDefault="00E114BB">
            <w:pPr>
              <w:spacing w:line="240" w:lineRule="auto"/>
              <w:ind w:left="360" w:hanging="338"/>
              <w:rPr>
                <w:rFonts w:ascii="Times New Roman" w:eastAsia="Times New Roman" w:hAnsi="Times New Roman" w:cs="Times New Roman"/>
                <w:b/>
                <w:bCs/>
              </w:rPr>
            </w:pPr>
          </w:p>
        </w:tc>
        <w:tc>
          <w:tcPr>
            <w:tcW w:w="2700" w:type="dxa"/>
            <w:vMerge/>
          </w:tcPr>
          <w:p w14:paraId="2CCAA80C" w14:textId="77777777" w:rsidR="00E114BB" w:rsidRDefault="00E114BB">
            <w:pPr>
              <w:spacing w:line="240" w:lineRule="auto"/>
              <w:jc w:val="center"/>
              <w:rPr>
                <w:rFonts w:ascii="Times New Roman" w:eastAsia="Times New Roman" w:hAnsi="Times New Roman" w:cs="Times New Roman"/>
              </w:rPr>
            </w:pPr>
          </w:p>
        </w:tc>
        <w:tc>
          <w:tcPr>
            <w:tcW w:w="5880" w:type="dxa"/>
          </w:tcPr>
          <w:p w14:paraId="759D9B0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3.</w:t>
            </w:r>
            <w:r>
              <w:rPr>
                <w:rFonts w:ascii="Times New Roman" w:eastAsia="Times New Roman" w:hAnsi="Times New Roman" w:cs="Times New Roman"/>
                <w:highlight w:val="white"/>
              </w:rPr>
              <w:t xml:space="preserve"> În continuare, potrivit prevederilor 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în redacția propusă de proiect, prevederile alineatului (1) se aplică tuturor persoanelor, atât în sectorul public, cât și în cel privat. În privința extinderii domeniului de aplicare a principiului egalității de tratament asupra salariaților din sectorul public, urmează a se lua în considerare faptul că modificările propuse sunt în contradicție cu prevederile art. 3 ale Codului muncii nr. 154/2003, care stabilesc domeniul de aplicare a Codului muncii. De menționat că salariații din sectorul public, care sunt angajați printr-un act administrativ de numire, nu se regăsesc printre categoriile de salariați enumerați la art. 3. </w:t>
            </w:r>
          </w:p>
          <w:p w14:paraId="3A50CD4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altfel, Consiliul consideră inoportună stabilirea prin 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în redacția proiectului, a unei liste exhaustive a aspectelor în legătură cu care se aplică principiul egalității de tratament și interdicția oricărei discriminări. Or, prin această abordare, există riscul neacoperirii unor aspecte reglementate de Codul muncii prin omiterea includerii acestora în lista prevăzută la art. 8 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De altfel, dispozițiile art. 8 alin. (1) în redacția proiectului stabilește aplicarea principiului egalității și interdicția oricărei discriminări în cadrul raporturilor de muncă și a altor raporturi legate nemijlocit de acestea. De asemenea, urmează a fi luat în considerare faptul că Curtea de Justiție a Uniunii Europene poate extinde domeniul material de aplicare al directivelor europene. În ceea ce privește art. 3 din Directiva 2000/78/CE, un exemplu relevant este cauza C-81/12 Asociația Accept împotriva Consiliului Național pentru Combaterea Discriminării, în care Curtea a clarificat faptul că noțiunea de „condiții de acces la încadrare în muncă” de la articolul 3 alineatul (1) litera (a) poate include declarațiile publice ale unui angajator, chiar și în absența unei proceduri de recrutare, cu condiția ca acestea să se refere, de fapt, la politica de recrutare a unei întreprinderi.</w:t>
            </w:r>
          </w:p>
        </w:tc>
        <w:tc>
          <w:tcPr>
            <w:tcW w:w="5880" w:type="dxa"/>
          </w:tcPr>
          <w:p w14:paraId="48E1160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7E18066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(nr. 121/2012 cu privire la  cu privire la asigurarea egalității) conform recomandărilor experților UE.</w:t>
            </w:r>
          </w:p>
          <w:p w14:paraId="7ABB80A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64366A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2C5E25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C8A17D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are rolul de a prelua și transpune în mod fidel art. 3 alin. (1) din Directiva 2000/78/CE, care utilizează o enumerare a principalelor domenii de aplicare ale principiului egalității de tratament în materie de muncă și ocupare a forței de muncă.</w:t>
            </w:r>
          </w:p>
          <w:p w14:paraId="38C1C8A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D3BB34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65A0B0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53FBAC9D" w14:textId="77777777">
        <w:trPr>
          <w:trHeight w:val="600"/>
        </w:trPr>
        <w:tc>
          <w:tcPr>
            <w:tcW w:w="555" w:type="dxa"/>
            <w:vMerge/>
          </w:tcPr>
          <w:p w14:paraId="415C39DD" w14:textId="77777777" w:rsidR="00E114BB" w:rsidRDefault="00E114BB">
            <w:pPr>
              <w:spacing w:line="240" w:lineRule="auto"/>
              <w:rPr>
                <w:rFonts w:ascii="Times New Roman" w:eastAsia="Times New Roman" w:hAnsi="Times New Roman" w:cs="Times New Roman"/>
                <w:b/>
                <w:bCs/>
              </w:rPr>
            </w:pPr>
          </w:p>
        </w:tc>
        <w:tc>
          <w:tcPr>
            <w:tcW w:w="2700" w:type="dxa"/>
            <w:vMerge/>
          </w:tcPr>
          <w:p w14:paraId="0A24B85E" w14:textId="77777777" w:rsidR="00E114BB" w:rsidRDefault="00E114BB">
            <w:pPr>
              <w:spacing w:line="240" w:lineRule="auto"/>
              <w:jc w:val="center"/>
              <w:rPr>
                <w:rFonts w:ascii="Times New Roman" w:eastAsia="Times New Roman" w:hAnsi="Times New Roman" w:cs="Times New Roman"/>
              </w:rPr>
            </w:pPr>
          </w:p>
        </w:tc>
        <w:tc>
          <w:tcPr>
            <w:tcW w:w="5880" w:type="dxa"/>
          </w:tcPr>
          <w:p w14:paraId="3DC1A2E6"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4.</w:t>
            </w:r>
            <w:r>
              <w:rPr>
                <w:rFonts w:ascii="Times New Roman" w:eastAsia="Times New Roman" w:hAnsi="Times New Roman" w:cs="Times New Roman"/>
                <w:highlight w:val="white"/>
              </w:rPr>
              <w:t xml:space="preserve"> În continuare, Consiliul reține că potrivit art. 8 alin. (2) în redacția proiectului „Nu constituie discriminare stabilirea unor </w:t>
            </w:r>
            <w:proofErr w:type="spellStart"/>
            <w:r>
              <w:rPr>
                <w:rFonts w:ascii="Times New Roman" w:eastAsia="Times New Roman" w:hAnsi="Times New Roman" w:cs="Times New Roman"/>
                <w:highlight w:val="white"/>
              </w:rPr>
              <w:t>diferenţieri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excepţii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preferinţe</w:t>
            </w:r>
            <w:proofErr w:type="spellEnd"/>
            <w:r>
              <w:rPr>
                <w:rFonts w:ascii="Times New Roman" w:eastAsia="Times New Roman" w:hAnsi="Times New Roman" w:cs="Times New Roman"/>
                <w:highlight w:val="white"/>
              </w:rPr>
              <w:t xml:space="preserve"> determinate de o cerință profesională esențială și determinantă, cu condiția ca această </w:t>
            </w:r>
            <w:r>
              <w:rPr>
                <w:rFonts w:ascii="Times New Roman" w:eastAsia="Times New Roman" w:hAnsi="Times New Roman" w:cs="Times New Roman"/>
                <w:highlight w:val="white"/>
              </w:rPr>
              <w:lastRenderedPageBreak/>
              <w:t>dispoziție, acest criteriu sau această practică este obiectiv justificată de un obiectiv legitim, iar mijloacele de realizare a acestui obiectiv nu sunt adecvate și necesare.”</w:t>
            </w:r>
          </w:p>
          <w:p w14:paraId="4893269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această privință, art. 4 alin. (1) al Directivei 2000/78/CE stabilește că statele membre pot să prevadă că un tratament diferențiat bazat pe o caracteristică legată de unul dintre motivele prevăzute la articolul 1 nu constituie o discriminare atunci când, având în vedere natura unei activități profesionale sau condițiile de exercitare a acesteia, caracteristica în cauză constituie o cerință profesională esențială și determinantă, astfel încât obiectivul să fie legitim, iar cerința să fie proporțională. </w:t>
            </w:r>
          </w:p>
          <w:p w14:paraId="503C9BA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pentru o mai bună aliniere cu prevederile Directivei, Consiliul propune expunerea art. 8 alin. (2) după cum urmează: “(2) Orice diferență de tratament bazată pe o caracteristică legată de unul din criteriile prevăzute la alin. (1) nu constituie o discriminare atunci când, având în vedere natura unei activități profesionale sau condițiile de exercitare a acesteia, caracteristica în cauză constituie o cerință profesională esențială și determinantă, astfel încât obiectivul să fie legitim, iar cerința să fie proporțională.” </w:t>
            </w:r>
          </w:p>
        </w:tc>
        <w:tc>
          <w:tcPr>
            <w:tcW w:w="5880" w:type="dxa"/>
            <w:tcMar>
              <w:top w:w="0" w:type="dxa"/>
              <w:left w:w="180" w:type="dxa"/>
              <w:bottom w:w="0" w:type="dxa"/>
              <w:right w:w="180" w:type="dxa"/>
            </w:tcMar>
          </w:tcPr>
          <w:p w14:paraId="402BB72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w:t>
            </w:r>
          </w:p>
          <w:p w14:paraId="681EEF9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Propunerea asigură transpunerea fidelă a art. 4 alin. (1) din Directiva 2000/78/CE, prin preluarea structurii și a </w:t>
            </w:r>
            <w:r>
              <w:rPr>
                <w:rFonts w:ascii="Times New Roman" w:eastAsia="Times New Roman" w:hAnsi="Times New Roman" w:cs="Times New Roman"/>
                <w:highlight w:val="white"/>
              </w:rPr>
              <w:lastRenderedPageBreak/>
              <w:t>terminologiei acesteia, în special referirea la tratamentul diferențiat bazat pe o caracteristică și corelarea cu cerința profesională esențială și determinantă.</w:t>
            </w:r>
          </w:p>
          <w:p w14:paraId="05DA878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r>
              <w:rPr>
                <w:rFonts w:ascii="Times New Roman" w:eastAsia="Times New Roman" w:hAnsi="Times New Roman" w:cs="Times New Roman"/>
                <w:highlight w:val="white"/>
              </w:rPr>
              <w:t xml:space="preserve"> expunerea art. 8 alin. (2) după cum urmează: </w:t>
            </w:r>
          </w:p>
          <w:p w14:paraId="2B8E937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17BD4B3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p>
        </w:tc>
      </w:tr>
      <w:tr w:rsidR="00E114BB" w14:paraId="1049F06C" w14:textId="77777777">
        <w:trPr>
          <w:trHeight w:val="600"/>
        </w:trPr>
        <w:tc>
          <w:tcPr>
            <w:tcW w:w="555" w:type="dxa"/>
            <w:vMerge w:val="restart"/>
          </w:tcPr>
          <w:p w14:paraId="7919D3E1" w14:textId="77777777" w:rsidR="00E114BB" w:rsidRDefault="00E114BB">
            <w:pPr>
              <w:spacing w:line="240" w:lineRule="auto"/>
              <w:rPr>
                <w:rFonts w:ascii="Times New Roman" w:eastAsia="Times New Roman" w:hAnsi="Times New Roman" w:cs="Times New Roman"/>
                <w:b/>
                <w:bCs/>
              </w:rPr>
            </w:pPr>
          </w:p>
        </w:tc>
        <w:tc>
          <w:tcPr>
            <w:tcW w:w="2700" w:type="dxa"/>
            <w:vMerge/>
          </w:tcPr>
          <w:p w14:paraId="6EE25E90" w14:textId="77777777" w:rsidR="00E114BB" w:rsidRDefault="00E114BB">
            <w:pPr>
              <w:spacing w:line="240" w:lineRule="auto"/>
              <w:jc w:val="center"/>
              <w:rPr>
                <w:rFonts w:ascii="Times New Roman" w:eastAsia="Times New Roman" w:hAnsi="Times New Roman" w:cs="Times New Roman"/>
              </w:rPr>
            </w:pPr>
          </w:p>
        </w:tc>
        <w:tc>
          <w:tcPr>
            <w:tcW w:w="5880" w:type="dxa"/>
          </w:tcPr>
          <w:p w14:paraId="7D52B60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5. </w:t>
            </w:r>
            <w:r>
              <w:rPr>
                <w:rFonts w:ascii="Times New Roman" w:eastAsia="Times New Roman" w:hAnsi="Times New Roman" w:cs="Times New Roman"/>
                <w:highlight w:val="white"/>
              </w:rPr>
              <w:t xml:space="preserve">Totodată, Consiliul consideră oportună completarea art. 8 în redacția proiectului cu un nou alineat, care ar servi drept temei general pentru menținerea sau instituirea reglementărilor privind protecția sănătății și a securității la locul de muncă față de anumite grupuri de persoane care necesită o protecție socială şi juridică sporită în conformitate cu art. 7 alin. (2) Directivei 2000/78/CE. Având în vedere că legislația actuală a muncii prevede asemenea măsuri specifice (de exemplu durata redusă a timpului de muncă în conformitate cu art. 96 al Codului muncii, adoptate în temeiul dispozițiilor art. 8 alin. (2) din Codul muncii în redacția în vigoare, considerăm oportună completarea art. 8 în redacția proiectului cu un nou alineat după cum urmează: „(3) Nu constituie discriminare stabilirea unor facilități sau drepturi ale salariaților, care au drept scop protecția sănătății și a securității la locul de muncă sau încurajarea integrării în câmpul </w:t>
            </w:r>
            <w:r>
              <w:rPr>
                <w:rFonts w:ascii="Times New Roman" w:eastAsia="Times New Roman" w:hAnsi="Times New Roman" w:cs="Times New Roman"/>
                <w:highlight w:val="white"/>
              </w:rPr>
              <w:lastRenderedPageBreak/>
              <w:t xml:space="preserve">muncii a persoanelor care necesită o protecție socială şi juridică sporită.” </w:t>
            </w:r>
          </w:p>
        </w:tc>
        <w:tc>
          <w:tcPr>
            <w:tcW w:w="5880" w:type="dxa"/>
          </w:tcPr>
          <w:p w14:paraId="691DB37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337A810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8 alin se completează cu alin. (3) Nu constituie discriminare stabilirea unor facilități sau drepturi ale salariaților, care au drept scop protecția sănătății și a securității la locul de muncă sau încurajarea integrării în câmpul muncii a persoanelor care necesită o protecție socială şi juridică sporită.</w:t>
            </w:r>
          </w:p>
          <w:p w14:paraId="7DB47DC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5641D8C8" w14:textId="77777777">
        <w:trPr>
          <w:trHeight w:val="600"/>
        </w:trPr>
        <w:tc>
          <w:tcPr>
            <w:tcW w:w="555" w:type="dxa"/>
            <w:vMerge/>
          </w:tcPr>
          <w:p w14:paraId="7F990A77" w14:textId="77777777" w:rsidR="00E114BB" w:rsidRDefault="00E114BB">
            <w:pPr>
              <w:spacing w:line="240" w:lineRule="auto"/>
              <w:rPr>
                <w:rFonts w:ascii="Times New Roman" w:eastAsia="Times New Roman" w:hAnsi="Times New Roman" w:cs="Times New Roman"/>
                <w:b/>
                <w:bCs/>
              </w:rPr>
            </w:pPr>
          </w:p>
        </w:tc>
        <w:tc>
          <w:tcPr>
            <w:tcW w:w="2700" w:type="dxa"/>
            <w:vMerge/>
          </w:tcPr>
          <w:p w14:paraId="2D337004" w14:textId="77777777" w:rsidR="00E114BB" w:rsidRDefault="00E114BB">
            <w:pPr>
              <w:spacing w:line="240" w:lineRule="auto"/>
              <w:jc w:val="center"/>
              <w:rPr>
                <w:rFonts w:ascii="Times New Roman" w:eastAsia="Times New Roman" w:hAnsi="Times New Roman" w:cs="Times New Roman"/>
              </w:rPr>
            </w:pPr>
          </w:p>
        </w:tc>
        <w:tc>
          <w:tcPr>
            <w:tcW w:w="5880" w:type="dxa"/>
          </w:tcPr>
          <w:p w14:paraId="295D1BCD"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6.</w:t>
            </w:r>
            <w:r>
              <w:rPr>
                <w:rFonts w:ascii="Times New Roman" w:eastAsia="Times New Roman" w:hAnsi="Times New Roman" w:cs="Times New Roman"/>
                <w:highlight w:val="white"/>
              </w:rPr>
              <w:t xml:space="preserve"> În altă ordine de idei, Consiliul atrage atenția asupra necesității uniformizării prevederilor Codului muncii în ceea ce privește interzicerea discriminării. Dat fiind faptul că, Codul muncii conține la art. 47 alin.(2) și art. 128 alin.(2) conțin o listă de criterii protejate, care nu corespund art. 8, drept urmare Consiliul propune revizuirea art. 47 alin. (2), potrivit căruia se interzice orice limitare, directă sau indirectă, în drepturi ori stabilirea unor avantaje, directe sau indirecte, la încheierea contractului individual de muncă în </w:t>
            </w:r>
            <w:proofErr w:type="spellStart"/>
            <w:r>
              <w:rPr>
                <w:rFonts w:ascii="Times New Roman" w:eastAsia="Times New Roman" w:hAnsi="Times New Roman" w:cs="Times New Roman"/>
                <w:highlight w:val="white"/>
              </w:rPr>
              <w:t>dependenţă</w:t>
            </w:r>
            <w:proofErr w:type="spellEnd"/>
            <w:r>
              <w:rPr>
                <w:rFonts w:ascii="Times New Roman" w:eastAsia="Times New Roman" w:hAnsi="Times New Roman" w:cs="Times New Roman"/>
                <w:highlight w:val="white"/>
              </w:rPr>
              <w:t xml:space="preserve"> de sex, rasă, etnie, religie, domiciliu, opțiune politică sau origine socială, în vederea asigurării concordanței dintre acestea și noile prevederi ale art. 8. Astfel, Consiliul propune expunerea art. 47 alin. (2) după cum urmează: “(2) Se interzice orice limitare, directă sau indirectă, în drepturi ori stabilirea unor avantaje, directe sau indirecte, la încheierea contractului individual de muncă în baza criteriilor prevăzute la art. 8 alin. (1) din prezentul Cod.” </w:t>
            </w:r>
          </w:p>
          <w:p w14:paraId="740052D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Aceeași recomandare este valabilă și în privința prevederilor art. 128 alin. (2). Astfel, Consiliul propune expunerea art. 128 alin. (2) după cum urmează: „(2) La stabilirea şi achitarea salariului nu se admite nici o discriminare pe criteriile prevăzute la art. 8 alin. (1) din prezentul Cod.”</w:t>
            </w:r>
          </w:p>
        </w:tc>
        <w:tc>
          <w:tcPr>
            <w:tcW w:w="5880" w:type="dxa"/>
          </w:tcPr>
          <w:p w14:paraId="4B7744B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39932FD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propune în redacție nouă Articolul 7</w:t>
            </w:r>
            <w:r>
              <w:rPr>
                <w:rFonts w:ascii="Times New Roman" w:eastAsia="Times New Roman" w:hAnsi="Times New Roman" w:cs="Times New Roman"/>
                <w:b/>
                <w:bCs/>
                <w:highlight w:val="white"/>
              </w:rPr>
              <w:t xml:space="preserve"> </w:t>
            </w:r>
            <w:r>
              <w:rPr>
                <w:rFonts w:ascii="Times New Roman" w:eastAsia="Times New Roman" w:hAnsi="Times New Roman" w:cs="Times New Roman"/>
                <w:highlight w:val="white"/>
              </w:rPr>
              <w:t xml:space="preserve">lit. e) Interzicerea muncii </w:t>
            </w:r>
            <w:proofErr w:type="spellStart"/>
            <w:r>
              <w:rPr>
                <w:rFonts w:ascii="Times New Roman" w:eastAsia="Times New Roman" w:hAnsi="Times New Roman" w:cs="Times New Roman"/>
                <w:highlight w:val="white"/>
              </w:rPr>
              <w:t>forţate</w:t>
            </w:r>
            <w:proofErr w:type="spellEnd"/>
            <w:r>
              <w:rPr>
                <w:rFonts w:ascii="Times New Roman" w:eastAsia="Times New Roman" w:hAnsi="Times New Roman" w:cs="Times New Roman"/>
                <w:highlight w:val="white"/>
              </w:rPr>
              <w:t xml:space="preserve"> (obligatorii)</w:t>
            </w:r>
          </w:p>
          <w:p w14:paraId="5EA00AE6" w14:textId="77777777" w:rsidR="00E114BB" w:rsidRDefault="00000000">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 mijloc de discriminare pe </w:t>
            </w:r>
            <w:proofErr w:type="spellStart"/>
            <w:r>
              <w:rPr>
                <w:rFonts w:ascii="Times New Roman" w:eastAsia="Times New Roman" w:hAnsi="Times New Roman" w:cs="Times New Roman"/>
                <w:b/>
                <w:bCs/>
                <w:highlight w:val="white"/>
              </w:rPr>
              <w:t>pe</w:t>
            </w:r>
            <w:proofErr w:type="spellEnd"/>
            <w:r>
              <w:rPr>
                <w:rFonts w:ascii="Times New Roman" w:eastAsia="Times New Roman" w:hAnsi="Times New Roman" w:cs="Times New Roman"/>
                <w:b/>
                <w:bCs/>
                <w:highlight w:val="white"/>
              </w:rPr>
              <w:t xml:space="preserve"> criteriile protejate, stabilite prin Legea nr. 121/2012 cu privire la asigurarea egalității, precum şi pe criterii de domiciliu, opțiune politică, apartenență sau activitate sindicală.”</w:t>
            </w:r>
          </w:p>
          <w:p w14:paraId="3CCEFCA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propune în redacție nouă Articolul 47 alin. (2) Interzicerea muncii </w:t>
            </w:r>
            <w:proofErr w:type="spellStart"/>
            <w:r>
              <w:rPr>
                <w:rFonts w:ascii="Times New Roman" w:eastAsia="Times New Roman" w:hAnsi="Times New Roman" w:cs="Times New Roman"/>
                <w:highlight w:val="white"/>
              </w:rPr>
              <w:t>forţate</w:t>
            </w:r>
            <w:proofErr w:type="spellEnd"/>
            <w:r>
              <w:rPr>
                <w:rFonts w:ascii="Times New Roman" w:eastAsia="Times New Roman" w:hAnsi="Times New Roman" w:cs="Times New Roman"/>
                <w:highlight w:val="white"/>
              </w:rPr>
              <w:t xml:space="preserve"> (obligatorii):</w:t>
            </w:r>
          </w:p>
          <w:p w14:paraId="6BC0AB53"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„(2) Se interzice orice</w:t>
            </w:r>
            <w:r>
              <w:rPr>
                <w:rFonts w:ascii="Times New Roman" w:eastAsia="Times New Roman" w:hAnsi="Times New Roman" w:cs="Times New Roman"/>
                <w:b/>
                <w:bCs/>
                <w:highlight w:val="white"/>
              </w:rPr>
              <w:t xml:space="preserve"> discriminare, </w:t>
            </w:r>
            <w:r>
              <w:rPr>
                <w:rFonts w:ascii="Times New Roman" w:eastAsia="Times New Roman" w:hAnsi="Times New Roman" w:cs="Times New Roman"/>
                <w:highlight w:val="white"/>
              </w:rPr>
              <w:t>la încheierea contractului individual de muncă</w:t>
            </w:r>
            <w:r>
              <w:rPr>
                <w:rFonts w:ascii="Times New Roman" w:eastAsia="Times New Roman" w:hAnsi="Times New Roman" w:cs="Times New Roman"/>
                <w:b/>
                <w:bCs/>
                <w:highlight w:val="white"/>
              </w:rPr>
              <w:t xml:space="preserve"> pe criteriile protejate, stabilite prin Legea nr. 121/2012 cu privire la asigurarea egalității, precum şi pe criterii de domiciliu, opțiune politică, apartenență sau activitate sindicală.”</w:t>
            </w:r>
          </w:p>
          <w:p w14:paraId="5979829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propune în redacție nouă articolul 128 Salarizarea alin. 2 </w:t>
            </w:r>
          </w:p>
          <w:p w14:paraId="2594BDCB" w14:textId="77777777" w:rsidR="00E114BB" w:rsidRDefault="00000000">
            <w:pPr>
              <w:shd w:val="clear" w:color="auto" w:fill="FFFFFF"/>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La stabilirea şi achitarea salariului nu se admite nici o discriminare pe </w:t>
            </w:r>
            <w:r>
              <w:rPr>
                <w:rFonts w:ascii="Times New Roman" w:eastAsia="Times New Roman" w:hAnsi="Times New Roman" w:cs="Times New Roman"/>
                <w:b/>
                <w:bCs/>
                <w:highlight w:val="white"/>
              </w:rPr>
              <w:t>criteriile protejate, stabilite prin Legea nr. 121/2012 cu privire la asigurarea egalității, precum şi pe criterii de domiciliu, opțiune politică, apartenență sau activitate sindicală.”</w:t>
            </w:r>
          </w:p>
        </w:tc>
      </w:tr>
      <w:tr w:rsidR="00E114BB" w14:paraId="3D74C7F3" w14:textId="77777777">
        <w:trPr>
          <w:trHeight w:val="600"/>
        </w:trPr>
        <w:tc>
          <w:tcPr>
            <w:tcW w:w="555" w:type="dxa"/>
            <w:vMerge/>
          </w:tcPr>
          <w:p w14:paraId="372647CC" w14:textId="77777777" w:rsidR="00E114BB" w:rsidRDefault="00E114BB">
            <w:pPr>
              <w:spacing w:line="240" w:lineRule="auto"/>
              <w:rPr>
                <w:rFonts w:ascii="Times New Roman" w:eastAsia="Times New Roman" w:hAnsi="Times New Roman" w:cs="Times New Roman"/>
                <w:b/>
                <w:bCs/>
              </w:rPr>
            </w:pPr>
          </w:p>
        </w:tc>
        <w:tc>
          <w:tcPr>
            <w:tcW w:w="2700" w:type="dxa"/>
            <w:vMerge/>
          </w:tcPr>
          <w:p w14:paraId="529D4077" w14:textId="77777777" w:rsidR="00E114BB" w:rsidRDefault="00E114BB">
            <w:pPr>
              <w:spacing w:line="240" w:lineRule="auto"/>
              <w:jc w:val="center"/>
              <w:rPr>
                <w:rFonts w:ascii="Times New Roman" w:eastAsia="Times New Roman" w:hAnsi="Times New Roman" w:cs="Times New Roman"/>
              </w:rPr>
            </w:pPr>
          </w:p>
        </w:tc>
        <w:tc>
          <w:tcPr>
            <w:tcW w:w="5880" w:type="dxa"/>
          </w:tcPr>
          <w:p w14:paraId="75BEE986"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7.</w:t>
            </w:r>
            <w:r>
              <w:rPr>
                <w:rFonts w:ascii="Times New Roman" w:eastAsia="Times New Roman" w:hAnsi="Times New Roman" w:cs="Times New Roman"/>
                <w:highlight w:val="white"/>
              </w:rPr>
              <w:t xml:space="preserve"> În cadrul analizei Tabelului de concordanță al Directivei 2000/78/CE la art. 3, experții Comisiei Europene au avut întrebări privind indicarea în mod expres a criteriului de orientare sexuală în art. 7 alin.(1) din Legea 121/2012, deși se regăsește în art. 1 alin.(1) din Legea nr. 121/2012, pentru a elimina aceasta </w:t>
            </w:r>
            <w:r>
              <w:rPr>
                <w:rFonts w:ascii="Times New Roman" w:eastAsia="Times New Roman" w:hAnsi="Times New Roman" w:cs="Times New Roman"/>
                <w:highlight w:val="white"/>
              </w:rPr>
              <w:lastRenderedPageBreak/>
              <w:t>neînțelegere, Consiliul vine cu propunerea de a exclude din art. 7 alin.(1) din Legea 121/2012 ultima propoziție.</w:t>
            </w:r>
          </w:p>
        </w:tc>
        <w:tc>
          <w:tcPr>
            <w:tcW w:w="5880" w:type="dxa"/>
          </w:tcPr>
          <w:p w14:paraId="3811A0C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Se ia act.</w:t>
            </w:r>
          </w:p>
          <w:p w14:paraId="1751F01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lastRenderedPageBreak/>
              <w:t>propunere nu ține de obiectul de reglementare a proiectului în cauză (se recomandă Consiliului să remită propunerea în adresa MJ)</w:t>
            </w:r>
          </w:p>
        </w:tc>
      </w:tr>
      <w:tr w:rsidR="00E114BB" w14:paraId="4208A549" w14:textId="77777777">
        <w:trPr>
          <w:trHeight w:val="600"/>
        </w:trPr>
        <w:tc>
          <w:tcPr>
            <w:tcW w:w="555" w:type="dxa"/>
            <w:vMerge/>
          </w:tcPr>
          <w:p w14:paraId="44277916" w14:textId="77777777" w:rsidR="00E114BB" w:rsidRDefault="00E114BB">
            <w:pPr>
              <w:spacing w:line="240" w:lineRule="auto"/>
              <w:rPr>
                <w:rFonts w:ascii="Times New Roman" w:eastAsia="Times New Roman" w:hAnsi="Times New Roman" w:cs="Times New Roman"/>
                <w:b/>
                <w:bCs/>
              </w:rPr>
            </w:pPr>
          </w:p>
        </w:tc>
        <w:tc>
          <w:tcPr>
            <w:tcW w:w="2700" w:type="dxa"/>
            <w:vMerge/>
          </w:tcPr>
          <w:p w14:paraId="395D2998" w14:textId="77777777" w:rsidR="00E114BB" w:rsidRDefault="00E114BB">
            <w:pPr>
              <w:spacing w:line="240" w:lineRule="auto"/>
              <w:jc w:val="center"/>
              <w:rPr>
                <w:rFonts w:ascii="Times New Roman" w:eastAsia="Times New Roman" w:hAnsi="Times New Roman" w:cs="Times New Roman"/>
              </w:rPr>
            </w:pPr>
          </w:p>
        </w:tc>
        <w:tc>
          <w:tcPr>
            <w:tcW w:w="5880" w:type="dxa"/>
          </w:tcPr>
          <w:p w14:paraId="4611759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8.</w:t>
            </w:r>
            <w:r>
              <w:rPr>
                <w:rFonts w:ascii="Times New Roman" w:eastAsia="Times New Roman" w:hAnsi="Times New Roman" w:cs="Times New Roman"/>
                <w:highlight w:val="white"/>
              </w:rPr>
              <w:t xml:space="preserve"> O altă problemă invocată în Tabelul de concordanță al Directivei 2000/78/CE de către Comisia Europeană constituie necorespunderea alin.(1 1 ) art. 7 din Legea 121/2012 cu prevederile art. 3 alin.(1) lit. d) din Directivă, drept urmare, Consiliul propune expunerea alin.(1 1 ) art. 7 din Legea 121/2012 în următoarea redacție: „Se interzice orice deosebire, excludere, restricție sau preferință pe baza criteriilor protejate, care au drept scop sau efect limitarea ori subminarea egalității la afilierea la și angajarea într-o organizație a lucrătorilor sau patronatului, sau orice organizație ai cărei membri exercită o anumită profesie, inclusiv beneficiile oferite de asemenea organizații.”. </w:t>
            </w:r>
          </w:p>
        </w:tc>
        <w:tc>
          <w:tcPr>
            <w:tcW w:w="5880" w:type="dxa"/>
          </w:tcPr>
          <w:p w14:paraId="26D85B9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553DE1B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E114BB" w14:paraId="2046F97D" w14:textId="77777777">
        <w:trPr>
          <w:trHeight w:val="600"/>
        </w:trPr>
        <w:tc>
          <w:tcPr>
            <w:tcW w:w="555" w:type="dxa"/>
          </w:tcPr>
          <w:p w14:paraId="60B9B4C3" w14:textId="77777777" w:rsidR="00E114BB" w:rsidRDefault="00E114BB">
            <w:pPr>
              <w:spacing w:line="240" w:lineRule="auto"/>
              <w:rPr>
                <w:rFonts w:ascii="Times New Roman" w:eastAsia="Times New Roman" w:hAnsi="Times New Roman" w:cs="Times New Roman"/>
                <w:b/>
                <w:bCs/>
              </w:rPr>
            </w:pPr>
          </w:p>
        </w:tc>
        <w:tc>
          <w:tcPr>
            <w:tcW w:w="2700" w:type="dxa"/>
            <w:vMerge/>
          </w:tcPr>
          <w:p w14:paraId="4F589579" w14:textId="77777777" w:rsidR="00E114BB" w:rsidRDefault="00E114BB">
            <w:pPr>
              <w:spacing w:line="240" w:lineRule="auto"/>
              <w:jc w:val="center"/>
              <w:rPr>
                <w:rFonts w:ascii="Times New Roman" w:eastAsia="Times New Roman" w:hAnsi="Times New Roman" w:cs="Times New Roman"/>
              </w:rPr>
            </w:pPr>
          </w:p>
        </w:tc>
        <w:tc>
          <w:tcPr>
            <w:tcW w:w="5880" w:type="dxa"/>
          </w:tcPr>
          <w:p w14:paraId="146B2DBC"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9.</w:t>
            </w:r>
            <w:r>
              <w:rPr>
                <w:rFonts w:ascii="Times New Roman" w:eastAsia="Times New Roman" w:hAnsi="Times New Roman" w:cs="Times New Roman"/>
                <w:highlight w:val="white"/>
              </w:rPr>
              <w:t xml:space="preserve"> În contextul transpunerii art. 17 din Directiva 2000/78/CE, Consiliul vine cu propunerea de a modifica art. 542 Cod contravențional. Consiliul atrage atenția asupra faptului că enumerarea acțiunilor prin care se poate manifesta o faptă de discriminare în câmpul muncii, la lit. a)-e) din textul articolului 542 alin. (1) al Codului Contravențional, conferă normei un caracter limitativ care contravine prevederilor Directivei 2000/78/CE a Consiliului din 27 noiembrie 2000 de creare a unui cadru general în favoarea egalității de tratament în ceea ce privește încadrarea în muncă și ocuparea forței de muncă. Or, în cadrul analizei Tabelului de concordanță al directivei menționate, experții Comisiei Europene au subliniat, cu referire la acțiunile enumerate în cadrul art. 7 alin. (2) al Legii nr. 121/2012 cu privire la asigurarea egalității, că o asemenea enumerare poate fi făcută cu titlu ilustrativ, dar nu exhaustiv, deoarece Directiva 2000/78/CE se referă la interdicția oricărei discriminări în ceea ce privește încadrarea în muncă și ocuparea forței de muncă, dar nu la interzicerea unei liste exhaustive de acțiuni care sunt considerate ca fiind discriminatorii. Din această perspectivă, </w:t>
            </w:r>
            <w:r>
              <w:rPr>
                <w:rFonts w:ascii="Times New Roman" w:eastAsia="Times New Roman" w:hAnsi="Times New Roman" w:cs="Times New Roman"/>
                <w:b/>
                <w:bCs/>
                <w:highlight w:val="white"/>
              </w:rPr>
              <w:t xml:space="preserve">Consiliul consideră necesară înlocuirea </w:t>
            </w:r>
            <w:r>
              <w:rPr>
                <w:rFonts w:ascii="Times New Roman" w:eastAsia="Times New Roman" w:hAnsi="Times New Roman" w:cs="Times New Roman"/>
                <w:b/>
                <w:bCs/>
                <w:highlight w:val="white"/>
              </w:rPr>
              <w:lastRenderedPageBreak/>
              <w:t>sintagmei „</w:t>
            </w:r>
            <w:proofErr w:type="spellStart"/>
            <w:r>
              <w:rPr>
                <w:rFonts w:ascii="Times New Roman" w:eastAsia="Times New Roman" w:hAnsi="Times New Roman" w:cs="Times New Roman"/>
                <w:b/>
                <w:bCs/>
                <w:highlight w:val="white"/>
              </w:rPr>
              <w:t>săvârşită</w:t>
            </w:r>
            <w:proofErr w:type="spellEnd"/>
            <w:r>
              <w:rPr>
                <w:rFonts w:ascii="Times New Roman" w:eastAsia="Times New Roman" w:hAnsi="Times New Roman" w:cs="Times New Roman"/>
                <w:b/>
                <w:bCs/>
                <w:highlight w:val="white"/>
              </w:rPr>
              <w:t xml:space="preserve"> prin:”, din textul alin. (1) al art. 54</w:t>
            </w:r>
            <w:r>
              <w:rPr>
                <w:b/>
                <w:bCs/>
                <w:sz w:val="24"/>
                <w:szCs w:val="24"/>
                <w:highlight w:val="white"/>
                <w:vertAlign w:val="superscript"/>
              </w:rPr>
              <w:t>2</w:t>
            </w:r>
            <w:r>
              <w:rPr>
                <w:rFonts w:ascii="Times New Roman" w:eastAsia="Times New Roman" w:hAnsi="Times New Roman" w:cs="Times New Roman"/>
                <w:b/>
                <w:bCs/>
                <w:highlight w:val="white"/>
              </w:rPr>
              <w:t xml:space="preserve"> din Codul Contravențional, cu cuvântul „precum”. Această modificare va permite sancționare faptelor de discriminare care iau alte forme decât cele enumerate la lit. a)-e) din textul articolului 54</w:t>
            </w:r>
            <w:r>
              <w:rPr>
                <w:b/>
                <w:bCs/>
                <w:sz w:val="24"/>
                <w:szCs w:val="24"/>
                <w:highlight w:val="white"/>
                <w:vertAlign w:val="superscript"/>
              </w:rPr>
              <w:t>2</w:t>
            </w:r>
            <w:r>
              <w:rPr>
                <w:rFonts w:ascii="Times New Roman" w:eastAsia="Times New Roman" w:hAnsi="Times New Roman" w:cs="Times New Roman"/>
                <w:b/>
                <w:bCs/>
                <w:highlight w:val="white"/>
              </w:rPr>
              <w:t xml:space="preserve"> alin. (1) al Codului Contravențional.</w:t>
            </w:r>
          </w:p>
        </w:tc>
        <w:tc>
          <w:tcPr>
            <w:tcW w:w="5880" w:type="dxa"/>
          </w:tcPr>
          <w:p w14:paraId="6EC6328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Se ia act.</w:t>
            </w:r>
          </w:p>
          <w:p w14:paraId="448E405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E114BB" w14:paraId="2467C809" w14:textId="77777777">
        <w:trPr>
          <w:trHeight w:val="600"/>
        </w:trPr>
        <w:tc>
          <w:tcPr>
            <w:tcW w:w="555" w:type="dxa"/>
          </w:tcPr>
          <w:p w14:paraId="5DDDE682" w14:textId="77777777" w:rsidR="00E114BB" w:rsidRDefault="00E114BB">
            <w:pPr>
              <w:spacing w:line="240" w:lineRule="auto"/>
              <w:ind w:left="360" w:hanging="338"/>
              <w:rPr>
                <w:rFonts w:ascii="Times New Roman" w:eastAsia="Times New Roman" w:hAnsi="Times New Roman" w:cs="Times New Roman"/>
                <w:b/>
                <w:bCs/>
              </w:rPr>
            </w:pPr>
          </w:p>
        </w:tc>
        <w:tc>
          <w:tcPr>
            <w:tcW w:w="2700" w:type="dxa"/>
            <w:vMerge/>
          </w:tcPr>
          <w:p w14:paraId="24E0E89D" w14:textId="77777777" w:rsidR="00E114BB" w:rsidRDefault="00E114BB">
            <w:pPr>
              <w:spacing w:line="240" w:lineRule="auto"/>
              <w:jc w:val="center"/>
              <w:rPr>
                <w:rFonts w:ascii="Times New Roman" w:eastAsia="Times New Roman" w:hAnsi="Times New Roman" w:cs="Times New Roman"/>
              </w:rPr>
            </w:pPr>
          </w:p>
        </w:tc>
        <w:tc>
          <w:tcPr>
            <w:tcW w:w="5880" w:type="dxa"/>
          </w:tcPr>
          <w:p w14:paraId="63488B47"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10.</w:t>
            </w:r>
            <w:r>
              <w:rPr>
                <w:rFonts w:ascii="Times New Roman" w:eastAsia="Times New Roman" w:hAnsi="Times New Roman" w:cs="Times New Roman"/>
                <w:highlight w:val="white"/>
              </w:rPr>
              <w:t xml:space="preserve">  Dat fiind faptul că la domeniul de aplicare prevăzut de art. 3 alin.(1) lit. d) din Directiva 2000/78/CE este indicată și afilierea la și angajarea într-o organizație a lucrătorilor sau patronatului sau în orice organizație ai cărei membri aparțin unei anumite profesii, inclusiv beneficiile oferite de asemenea organizații, Consiliul propune completarea art. </w:t>
            </w:r>
            <w:r>
              <w:rPr>
                <w:rFonts w:ascii="Times New Roman" w:eastAsia="Times New Roman" w:hAnsi="Times New Roman" w:cs="Times New Roman"/>
                <w:b/>
                <w:bCs/>
                <w:highlight w:val="white"/>
              </w:rPr>
              <w:t>54</w:t>
            </w:r>
            <w:r>
              <w:rPr>
                <w:b/>
                <w:bCs/>
                <w:sz w:val="24"/>
                <w:szCs w:val="24"/>
                <w:highlight w:val="white"/>
                <w:vertAlign w:val="superscript"/>
              </w:rPr>
              <w:t>2</w:t>
            </w:r>
            <w:r>
              <w:rPr>
                <w:rFonts w:ascii="Times New Roman" w:eastAsia="Times New Roman" w:hAnsi="Times New Roman" w:cs="Times New Roman"/>
                <w:highlight w:val="white"/>
              </w:rPr>
              <w:t xml:space="preserve">al Codului Contravențional cu norme care să sancționeze discriminarea și în exercitarea unei profesii sau afilierea la și angajarea într-o organizație a lucrătorilor sau patronatului. Din această perspectivă Consiliul propune completarea art. </w:t>
            </w:r>
            <w:r>
              <w:rPr>
                <w:rFonts w:ascii="Times New Roman" w:eastAsia="Times New Roman" w:hAnsi="Times New Roman" w:cs="Times New Roman"/>
                <w:b/>
                <w:bCs/>
                <w:highlight w:val="white"/>
              </w:rPr>
              <w:t>54</w:t>
            </w:r>
            <w:r>
              <w:rPr>
                <w:b/>
                <w:bCs/>
                <w:sz w:val="24"/>
                <w:szCs w:val="24"/>
                <w:highlight w:val="white"/>
                <w:vertAlign w:val="superscript"/>
              </w:rPr>
              <w:t>2</w:t>
            </w:r>
            <w:r>
              <w:rPr>
                <w:rFonts w:ascii="Times New Roman" w:eastAsia="Times New Roman" w:hAnsi="Times New Roman" w:cs="Times New Roman"/>
                <w:highlight w:val="white"/>
              </w:rPr>
              <w:t xml:space="preserve"> Cod contravențional cu următorul alineat: „(2) Se interzice orice deosebire, excludere, restricție sau preferință pe baza criteriilor protejate, care au drept scop sau efect limitarea ori subminarea egalității la afilierea la și angajarea într-o organizație a lucrătorilor sau patronatului, sau orice organizație ai cărei membri exercită o anumită profesie, inclusiv beneficiile oferite de asemenea organizații.”. </w:t>
            </w:r>
          </w:p>
        </w:tc>
        <w:tc>
          <w:tcPr>
            <w:tcW w:w="5880" w:type="dxa"/>
          </w:tcPr>
          <w:p w14:paraId="7113FE2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270921F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E114BB" w14:paraId="3882CAB9" w14:textId="77777777">
        <w:trPr>
          <w:trHeight w:val="600"/>
        </w:trPr>
        <w:tc>
          <w:tcPr>
            <w:tcW w:w="555" w:type="dxa"/>
          </w:tcPr>
          <w:p w14:paraId="3C71BE90" w14:textId="77777777" w:rsidR="00E114BB" w:rsidRDefault="00E114BB">
            <w:pPr>
              <w:spacing w:line="240" w:lineRule="auto"/>
              <w:ind w:left="360" w:hanging="338"/>
              <w:rPr>
                <w:rFonts w:ascii="Times New Roman" w:eastAsia="Times New Roman" w:hAnsi="Times New Roman" w:cs="Times New Roman"/>
                <w:b/>
                <w:bCs/>
              </w:rPr>
            </w:pPr>
          </w:p>
        </w:tc>
        <w:tc>
          <w:tcPr>
            <w:tcW w:w="2700" w:type="dxa"/>
            <w:vMerge/>
          </w:tcPr>
          <w:p w14:paraId="72A8641D" w14:textId="77777777" w:rsidR="00E114BB" w:rsidRDefault="00E114BB">
            <w:pPr>
              <w:spacing w:line="240" w:lineRule="auto"/>
              <w:jc w:val="center"/>
              <w:rPr>
                <w:rFonts w:ascii="Times New Roman" w:eastAsia="Times New Roman" w:hAnsi="Times New Roman" w:cs="Times New Roman"/>
              </w:rPr>
            </w:pPr>
          </w:p>
        </w:tc>
        <w:tc>
          <w:tcPr>
            <w:tcW w:w="5880" w:type="dxa"/>
          </w:tcPr>
          <w:p w14:paraId="4115A98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11.</w:t>
            </w:r>
            <w:r>
              <w:rPr>
                <w:rFonts w:ascii="Times New Roman" w:eastAsia="Times New Roman" w:hAnsi="Times New Roman" w:cs="Times New Roman"/>
                <w:highlight w:val="white"/>
              </w:rPr>
              <w:t xml:space="preserve"> De asemenea, având în vedere modificările propuse la Legea nr. 121/2012 prin proiectul de lege pentru modificarea unor acte normative (aplicarea principiului egalității de tratament între bărbații și femeile care desfășoară o activitate independentă) (Nr. unic 821/MMPS/2025)2 , potrivit cărora art. 7 al Legii nr. 121/2012 se completează cu alineatul (1</w:t>
            </w:r>
            <w:r>
              <w:rPr>
                <w:b/>
                <w:bCs/>
                <w:sz w:val="24"/>
                <w:szCs w:val="24"/>
                <w:highlight w:val="white"/>
                <w:vertAlign w:val="superscript"/>
              </w:rPr>
              <w:t>2</w:t>
            </w:r>
            <w:r>
              <w:rPr>
                <w:rFonts w:ascii="Times New Roman" w:eastAsia="Times New Roman" w:hAnsi="Times New Roman" w:cs="Times New Roman"/>
                <w:highlight w:val="white"/>
              </w:rPr>
              <w:t>) cu următorul cuprins: “(1</w:t>
            </w:r>
            <w:r>
              <w:rPr>
                <w:b/>
                <w:bCs/>
                <w:sz w:val="24"/>
                <w:szCs w:val="24"/>
                <w:highlight w:val="white"/>
                <w:vertAlign w:val="superscript"/>
              </w:rPr>
              <w:t>2</w:t>
            </w:r>
            <w:r>
              <w:rPr>
                <w:rFonts w:ascii="Times New Roman" w:eastAsia="Times New Roman" w:hAnsi="Times New Roman" w:cs="Times New Roman"/>
                <w:highlight w:val="white"/>
              </w:rPr>
              <w:t xml:space="preserve">) Se interzice orice deosebire, excludere, </w:t>
            </w:r>
            <w:proofErr w:type="spellStart"/>
            <w:r>
              <w:rPr>
                <w:rFonts w:ascii="Times New Roman" w:eastAsia="Times New Roman" w:hAnsi="Times New Roman" w:cs="Times New Roman"/>
                <w:highlight w:val="white"/>
              </w:rPr>
              <w:t>restricţie</w:t>
            </w:r>
            <w:proofErr w:type="spellEnd"/>
            <w:r>
              <w:rPr>
                <w:rFonts w:ascii="Times New Roman" w:eastAsia="Times New Roman" w:hAnsi="Times New Roman" w:cs="Times New Roman"/>
                <w:highlight w:val="white"/>
              </w:rPr>
              <w:t xml:space="preserve"> sau </w:t>
            </w:r>
            <w:proofErr w:type="spellStart"/>
            <w:r>
              <w:rPr>
                <w:rFonts w:ascii="Times New Roman" w:eastAsia="Times New Roman" w:hAnsi="Times New Roman" w:cs="Times New Roman"/>
                <w:highlight w:val="white"/>
              </w:rPr>
              <w:t>preferinţă</w:t>
            </w:r>
            <w:proofErr w:type="spellEnd"/>
            <w:r>
              <w:rPr>
                <w:rFonts w:ascii="Times New Roman" w:eastAsia="Times New Roman" w:hAnsi="Times New Roman" w:cs="Times New Roman"/>
                <w:highlight w:val="white"/>
              </w:rPr>
              <w:t xml:space="preserve"> pe baza criteriilor protejate, care au drept scop sau efect limitarea sau subminarea </w:t>
            </w:r>
            <w:proofErr w:type="spellStart"/>
            <w:r>
              <w:rPr>
                <w:rFonts w:ascii="Times New Roman" w:eastAsia="Times New Roman" w:hAnsi="Times New Roman" w:cs="Times New Roman"/>
                <w:highlight w:val="white"/>
              </w:rPr>
              <w:t>egalităţii</w:t>
            </w:r>
            <w:proofErr w:type="spellEnd"/>
            <w:r>
              <w:rPr>
                <w:rFonts w:ascii="Times New Roman" w:eastAsia="Times New Roman" w:hAnsi="Times New Roman" w:cs="Times New Roman"/>
                <w:highlight w:val="white"/>
              </w:rPr>
              <w:t xml:space="preserve">, în mod direct sau indirect, la constituirea, echiparea sau extinderea unei întreprinderi sau începerea sau extinderea oricărei alte forme de activitate independentă.”, </w:t>
            </w:r>
            <w:r>
              <w:rPr>
                <w:rFonts w:ascii="Times New Roman" w:eastAsia="Times New Roman" w:hAnsi="Times New Roman" w:cs="Times New Roman"/>
                <w:b/>
                <w:bCs/>
                <w:highlight w:val="white"/>
              </w:rPr>
              <w:t>se impune completarea art. 54</w:t>
            </w:r>
            <w:r>
              <w:rPr>
                <w:b/>
                <w:bCs/>
                <w:sz w:val="24"/>
                <w:szCs w:val="24"/>
                <w:highlight w:val="white"/>
                <w:vertAlign w:val="superscript"/>
              </w:rPr>
              <w:t>2</w:t>
            </w:r>
            <w:r>
              <w:rPr>
                <w:rFonts w:ascii="Times New Roman" w:eastAsia="Times New Roman" w:hAnsi="Times New Roman" w:cs="Times New Roman"/>
                <w:b/>
                <w:bCs/>
                <w:highlight w:val="white"/>
              </w:rPr>
              <w:t xml:space="preserve"> al </w:t>
            </w:r>
            <w:r>
              <w:rPr>
                <w:rFonts w:ascii="Times New Roman" w:eastAsia="Times New Roman" w:hAnsi="Times New Roman" w:cs="Times New Roman"/>
                <w:b/>
                <w:bCs/>
                <w:highlight w:val="white"/>
              </w:rPr>
              <w:lastRenderedPageBreak/>
              <w:t>Codului Contravențional cu norme care să sancționeze discriminarea la constituirea, echiparea sau extinderea unei întreprinderi sau începerea sau extinderea oricărei alte forme de activitate independentă.</w:t>
            </w:r>
          </w:p>
        </w:tc>
        <w:tc>
          <w:tcPr>
            <w:tcW w:w="5880" w:type="dxa"/>
          </w:tcPr>
          <w:p w14:paraId="771505E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Se ia act.</w:t>
            </w:r>
          </w:p>
          <w:p w14:paraId="7C8FECF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E114BB" w14:paraId="18BD2ED6" w14:textId="77777777">
        <w:trPr>
          <w:trHeight w:val="600"/>
        </w:trPr>
        <w:tc>
          <w:tcPr>
            <w:tcW w:w="555" w:type="dxa"/>
            <w:vMerge w:val="restart"/>
          </w:tcPr>
          <w:p w14:paraId="0CA7F2F4" w14:textId="77777777" w:rsidR="00E114BB" w:rsidRDefault="00000000">
            <w:pPr>
              <w:spacing w:line="240" w:lineRule="auto"/>
              <w:ind w:left="360" w:hanging="338"/>
              <w:rPr>
                <w:rFonts w:ascii="Times New Roman" w:eastAsia="Times New Roman" w:hAnsi="Times New Roman" w:cs="Times New Roman"/>
                <w:b/>
                <w:bCs/>
              </w:rPr>
            </w:pPr>
            <w:r>
              <w:rPr>
                <w:rFonts w:ascii="Times New Roman" w:eastAsia="Times New Roman" w:hAnsi="Times New Roman" w:cs="Times New Roman"/>
                <w:b/>
                <w:bCs/>
              </w:rPr>
              <w:t>1</w:t>
            </w:r>
          </w:p>
        </w:tc>
        <w:tc>
          <w:tcPr>
            <w:tcW w:w="2700" w:type="dxa"/>
            <w:vMerge w:val="restart"/>
          </w:tcPr>
          <w:p w14:paraId="222022A8"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Confederația Națională a Sindicatelor din Moldova</w:t>
            </w:r>
          </w:p>
          <w:p w14:paraId="45DE3A5B"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04-17/148</w:t>
            </w:r>
          </w:p>
          <w:p w14:paraId="79719F27"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16.03.2026</w:t>
            </w:r>
          </w:p>
        </w:tc>
        <w:tc>
          <w:tcPr>
            <w:tcW w:w="5880" w:type="dxa"/>
          </w:tcPr>
          <w:p w14:paraId="16F3A32A" w14:textId="77777777" w:rsidR="00E114BB" w:rsidRDefault="00000000">
            <w:pPr>
              <w:spacing w:line="240" w:lineRule="auto"/>
              <w:ind w:firstLine="284"/>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u w:val="single"/>
              </w:rPr>
              <w:t>Referitor la modificările propuse la Legea nr. 140/2001 privind Inspectoratul de Stat al Muncii</w:t>
            </w:r>
          </w:p>
          <w:p w14:paraId="1BC74FD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Constatăm că definițiile noțiunilor de „inspecții concertate” și „inspecții comune”, prevăzute la alin. (4) al art. 13², sunt aproape identice din punct de vedere al conținutului. Or, ambele definiții vizează activități de control desfășurate în Republica Moldova și, după caz, în unul sau mai multe state și prevăd că fiecare autoritate competentă acționează în limitele propriei jurisdicții și permit implicarea personalului Autorității Europene a Muncii în condițiile acordurilor de cooperare aplicabile. Din această perspectivă, similitudinea aproape totală a acestor două definiții poate genera confuzii conceptuale și dificultăți în aplicarea practică a normei. În lipsa unor elemente clare de diferențiere, există riscul unor interpretări divergente cu privire la natura și modul de desfășurare a acestor tipuri de inspecții. Prin urmare, propunem clarificarea și delimitarea mai exactă a noțiunilor respective, astfel încât cadrul normativ să fie mai coerent și mai ușor de aplicat în practică.</w:t>
            </w:r>
          </w:p>
        </w:tc>
        <w:tc>
          <w:tcPr>
            <w:tcW w:w="5880" w:type="dxa"/>
          </w:tcPr>
          <w:p w14:paraId="484D91F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62E57B6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Noțiunile nu sunt identice și sunt deja delimitate prin conținutul lor normativ. „Inspecțiile concertate” presupun desfășurarea simultană a activităților de control în jurisdicții diferite, iar „inspecțiile comune” presupun desfășurarea activităților de control pe teritoriul unui anumit stat, cu participarea autorităților competente din alte state. Prin urmare, proiectul reglementează două forme distincte de cooperare administrativă.</w:t>
            </w:r>
          </w:p>
        </w:tc>
      </w:tr>
      <w:tr w:rsidR="00E114BB" w14:paraId="6EC6C715" w14:textId="77777777">
        <w:trPr>
          <w:trHeight w:val="600"/>
        </w:trPr>
        <w:tc>
          <w:tcPr>
            <w:tcW w:w="555" w:type="dxa"/>
            <w:vMerge/>
          </w:tcPr>
          <w:p w14:paraId="2CBA9598" w14:textId="77777777" w:rsidR="00E114BB" w:rsidRDefault="00E114BB">
            <w:pPr>
              <w:spacing w:line="240" w:lineRule="auto"/>
              <w:rPr>
                <w:rFonts w:ascii="Times New Roman" w:eastAsia="Times New Roman" w:hAnsi="Times New Roman" w:cs="Times New Roman"/>
                <w:b/>
                <w:bCs/>
              </w:rPr>
            </w:pPr>
          </w:p>
        </w:tc>
        <w:tc>
          <w:tcPr>
            <w:tcW w:w="2700" w:type="dxa"/>
            <w:vMerge/>
          </w:tcPr>
          <w:p w14:paraId="0D09B77F" w14:textId="77777777" w:rsidR="00E114BB" w:rsidRDefault="00E114BB">
            <w:pPr>
              <w:spacing w:line="240" w:lineRule="auto"/>
              <w:jc w:val="center"/>
              <w:rPr>
                <w:rFonts w:ascii="Times New Roman" w:eastAsia="Times New Roman" w:hAnsi="Times New Roman" w:cs="Times New Roman"/>
              </w:rPr>
            </w:pPr>
          </w:p>
        </w:tc>
        <w:tc>
          <w:tcPr>
            <w:tcW w:w="5880" w:type="dxa"/>
          </w:tcPr>
          <w:p w14:paraId="48D13D5B" w14:textId="77777777" w:rsidR="00E114BB" w:rsidRDefault="00000000">
            <w:pPr>
              <w:spacing w:line="240" w:lineRule="auto"/>
              <w:ind w:firstLine="284"/>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u w:val="single"/>
              </w:rPr>
              <w:t>2. Referitor la modificările propuse la Codul muncii nr. 154/2003</w:t>
            </w:r>
          </w:p>
          <w:p w14:paraId="1E2BAB1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Autorul proiectului propune completarea art. 1 cu noțiunea de „dispensă”, definită ca scutirea temporară de la îndeplinirea obligațiilor de muncă a salariatelor gravide pentru timpul necesar efectuării consultației prenatale, fără afectarea drepturilor salariale. Or, din punct de vedere terminologic, termenul „dispensă” are un caracter excesiv de formal și poate fi mai puțin accesibil publicului larg. De asemenea, acest termen nu este utilizat în mod curent în alte acte normative din domeniul legislației muncii. În aceste condiții, pentru a asigura o mai bună claritate și accesibilitatea normei, considerăm necesar și propunem înlocuirea termenului „dispensă” cu sintagma </w:t>
            </w:r>
            <w:r>
              <w:rPr>
                <w:rFonts w:ascii="Times New Roman" w:eastAsia="Times New Roman" w:hAnsi="Times New Roman" w:cs="Times New Roman"/>
                <w:highlight w:val="white"/>
              </w:rPr>
              <w:lastRenderedPageBreak/>
              <w:t>„permisiune pentru consultație medicală prenatală”, care reflectă mai clar scopul reglementării și este mai ușor de înțeles pentru destinatarii legii. În același timp, considerăm mai potrivită formularea „fără diminuarea drepturilor salariale” decât „fără afectarea drepturilor salariale”, deoarece aceasta este deja utilizată în alte dispoziții ale Codului muncii și asigură o mai bună coerență terminologică a actului normativ.</w:t>
            </w:r>
          </w:p>
        </w:tc>
        <w:tc>
          <w:tcPr>
            <w:tcW w:w="5880" w:type="dxa"/>
          </w:tcPr>
          <w:p w14:paraId="0C4E91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Nu se acceptă.</w:t>
            </w:r>
            <w:r>
              <w:rPr>
                <w:rFonts w:ascii="Times New Roman" w:eastAsia="Times New Roman" w:hAnsi="Times New Roman" w:cs="Times New Roman"/>
                <w:highlight w:val="white"/>
              </w:rPr>
              <w:t xml:space="preserve"> </w:t>
            </w:r>
          </w:p>
          <w:p w14:paraId="3D2926E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Termenul „dispensă” exprimă corect natura juridică a instituției, respectiv scutirea temporară de la executarea obligațiilor de muncă în temeiul legii, și nu o simplă permisiune acordată de angajator. Totodată, formularea „fără afectarea drepturilor salariale” este adecvată și oferă o protecție mai largă decât sintagma propusă în aviz.</w:t>
            </w:r>
          </w:p>
        </w:tc>
      </w:tr>
      <w:tr w:rsidR="00E114BB" w14:paraId="2CA05BBD" w14:textId="77777777">
        <w:trPr>
          <w:trHeight w:val="600"/>
        </w:trPr>
        <w:tc>
          <w:tcPr>
            <w:tcW w:w="555" w:type="dxa"/>
            <w:vMerge/>
          </w:tcPr>
          <w:p w14:paraId="5AD055EE" w14:textId="77777777" w:rsidR="00E114BB" w:rsidRDefault="00E114BB">
            <w:pPr>
              <w:spacing w:line="240" w:lineRule="auto"/>
              <w:rPr>
                <w:rFonts w:ascii="Times New Roman" w:eastAsia="Times New Roman" w:hAnsi="Times New Roman" w:cs="Times New Roman"/>
                <w:b/>
                <w:bCs/>
              </w:rPr>
            </w:pPr>
          </w:p>
        </w:tc>
        <w:tc>
          <w:tcPr>
            <w:tcW w:w="2700" w:type="dxa"/>
            <w:vMerge/>
          </w:tcPr>
          <w:p w14:paraId="057D7B7C" w14:textId="77777777" w:rsidR="00E114BB" w:rsidRDefault="00E114BB">
            <w:pPr>
              <w:spacing w:line="240" w:lineRule="auto"/>
              <w:jc w:val="center"/>
              <w:rPr>
                <w:rFonts w:ascii="Times New Roman" w:eastAsia="Times New Roman" w:hAnsi="Times New Roman" w:cs="Times New Roman"/>
              </w:rPr>
            </w:pPr>
          </w:p>
        </w:tc>
        <w:tc>
          <w:tcPr>
            <w:tcW w:w="5880" w:type="dxa"/>
          </w:tcPr>
          <w:p w14:paraId="39F6E65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În privința modificării propuse la lit. b¹) din art. 5 al Codului muncii, aceasta face referire la interzicerea discriminării în temeiul „criteriilor și circumstanțelor” descrise la art. 8 din Cod. Cu toate acestea, art. 8 operează exclusiv cu noțiunea de „criterii de discriminare”, fără a utiliza termenul „circumstanțe”. O astfel de inconsecvență terminologică poate genera incertitudine juridică și interpretări divergente în aplicarea normei.</w:t>
            </w:r>
          </w:p>
          <w:p w14:paraId="4FF05EF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Din acest considerent, pentru menținerea coerenței terminologice a Codului muncii, propunem excluderea din textul propus a cuvintelor „și circumstanțelor”.</w:t>
            </w:r>
          </w:p>
          <w:p w14:paraId="53781A1F" w14:textId="77777777" w:rsidR="00E114BB" w:rsidRDefault="00E114BB">
            <w:pPr>
              <w:spacing w:line="240" w:lineRule="auto"/>
              <w:ind w:firstLine="284"/>
              <w:jc w:val="both"/>
              <w:rPr>
                <w:rFonts w:ascii="Times New Roman" w:eastAsia="Times New Roman" w:hAnsi="Times New Roman" w:cs="Times New Roman"/>
                <w:highlight w:val="white"/>
              </w:rPr>
            </w:pPr>
          </w:p>
          <w:p w14:paraId="418F02C9" w14:textId="77777777" w:rsidR="00E114BB" w:rsidRDefault="00E114BB">
            <w:pPr>
              <w:spacing w:line="240" w:lineRule="auto"/>
              <w:ind w:firstLine="284"/>
              <w:jc w:val="both"/>
              <w:rPr>
                <w:rFonts w:ascii="Times New Roman" w:eastAsia="Times New Roman" w:hAnsi="Times New Roman" w:cs="Times New Roman"/>
                <w:highlight w:val="white"/>
              </w:rPr>
            </w:pPr>
          </w:p>
          <w:p w14:paraId="266AA59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același context, trebuie menționat că alin. (2) al art. 8 din Codul muncii, în redacția actuală, prevede că nu constituie discriminare stabilirea unor diferențieri, excepții sau preferințe determinate de cerințele specifice unei munci sau de grija deosebită a statului față de persoanele care necesită o protecție socială și juridică sporită. Această normă este clar formulată, este ușor de înțeles și nu a generat, de-a lungul timpului, dificultăți în aplicarea sa practică. Mai mult, nu există indicii că aceasta ar contraveni standardelor europene în domeniu. În schimb, noua redacție propusă introduce o serie de noțiuni precum „cerință profesională esențială și determinantă”, „obiectiv legitim” sau „mijloace adecvate și necesare”, care nu sunt definite în legislația muncii și nu sunt utilizate în mod constant în cadrul acesteia. Introducerea unor asemenea concepte, fără clarificări suplimentare, riscă să complice interpretarea normei și să </w:t>
            </w:r>
            <w:r>
              <w:rPr>
                <w:rFonts w:ascii="Times New Roman" w:eastAsia="Times New Roman" w:hAnsi="Times New Roman" w:cs="Times New Roman"/>
                <w:highlight w:val="white"/>
              </w:rPr>
              <w:lastRenderedPageBreak/>
              <w:t>genereze incertitudine juridică. Din această perspectivă, considerăm că modificarea propusă nu contribuie la îmbunătățirea cadrului normativ existent și, prin urmare, este susținută.</w:t>
            </w:r>
          </w:p>
          <w:p w14:paraId="645FAA7C" w14:textId="77777777" w:rsidR="00E114BB" w:rsidRDefault="00E114BB">
            <w:pPr>
              <w:spacing w:line="240" w:lineRule="auto"/>
              <w:jc w:val="both"/>
              <w:rPr>
                <w:rFonts w:ascii="Times New Roman" w:eastAsia="Times New Roman" w:hAnsi="Times New Roman" w:cs="Times New Roman"/>
                <w:highlight w:val="white"/>
              </w:rPr>
            </w:pPr>
          </w:p>
        </w:tc>
        <w:tc>
          <w:tcPr>
            <w:tcW w:w="5880" w:type="dxa"/>
          </w:tcPr>
          <w:p w14:paraId="451C30F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b/>
                <w:bCs/>
                <w:highlight w:val="white"/>
              </w:rPr>
              <w:lastRenderedPageBreak/>
              <w:t>Se acceptă parțial</w:t>
            </w:r>
          </w:p>
          <w:p w14:paraId="658F260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în redacția propusă de Consiliul pentru egalitate</w:t>
            </w:r>
          </w:p>
          <w:p w14:paraId="3FB1EFF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5 literele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și e) vor avea următorul cuprins:</w:t>
            </w:r>
          </w:p>
          <w:p w14:paraId="2850D83D"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interzicerea discriminării în temeiul criteriilor protejate, a violenței și a hărțuirii de orice natură în cadrul  raporturilor de muncă și a altor raporturi legate nemijlocit de acestea;</w:t>
            </w:r>
          </w:p>
          <w:p w14:paraId="40846464" w14:textId="77777777" w:rsidR="00E114BB" w:rsidRDefault="00E114BB">
            <w:pPr>
              <w:shd w:val="clear" w:color="auto" w:fill="FFFFFF"/>
              <w:jc w:val="both"/>
              <w:rPr>
                <w:rFonts w:ascii="Times New Roman" w:eastAsia="Times New Roman" w:hAnsi="Times New Roman" w:cs="Times New Roman"/>
                <w:sz w:val="24"/>
                <w:szCs w:val="24"/>
                <w:highlight w:val="white"/>
              </w:rPr>
            </w:pPr>
          </w:p>
          <w:p w14:paraId="320C2E11" w14:textId="77777777" w:rsidR="00E114BB" w:rsidRDefault="00E114BB">
            <w:pPr>
              <w:shd w:val="clear" w:color="auto" w:fill="FFFFFF"/>
              <w:jc w:val="both"/>
              <w:rPr>
                <w:rFonts w:ascii="Times New Roman" w:eastAsia="Times New Roman" w:hAnsi="Times New Roman" w:cs="Times New Roman"/>
                <w:sz w:val="24"/>
                <w:szCs w:val="24"/>
                <w:highlight w:val="white"/>
              </w:rPr>
            </w:pPr>
          </w:p>
          <w:p w14:paraId="184FFE92" w14:textId="77777777" w:rsidR="00E114BB" w:rsidRDefault="00E114BB">
            <w:pPr>
              <w:shd w:val="clear" w:color="auto" w:fill="FFFFFF"/>
              <w:jc w:val="both"/>
              <w:rPr>
                <w:rFonts w:ascii="Times New Roman" w:eastAsia="Times New Roman" w:hAnsi="Times New Roman" w:cs="Times New Roman"/>
                <w:sz w:val="24"/>
                <w:szCs w:val="24"/>
                <w:highlight w:val="white"/>
              </w:rPr>
            </w:pPr>
          </w:p>
          <w:p w14:paraId="4FE5E9F3" w14:textId="77777777" w:rsidR="00E114BB" w:rsidRDefault="00E114BB">
            <w:pPr>
              <w:shd w:val="clear" w:color="auto" w:fill="FFFFFF"/>
              <w:jc w:val="both"/>
              <w:rPr>
                <w:rFonts w:ascii="Times New Roman" w:eastAsia="Times New Roman" w:hAnsi="Times New Roman" w:cs="Times New Roman"/>
                <w:sz w:val="24"/>
                <w:szCs w:val="24"/>
                <w:highlight w:val="white"/>
              </w:rPr>
            </w:pPr>
          </w:p>
          <w:p w14:paraId="424CF0FC" w14:textId="77777777" w:rsidR="00E114BB" w:rsidRDefault="00E114BB">
            <w:pPr>
              <w:shd w:val="clear" w:color="auto" w:fill="FFFFFF"/>
              <w:jc w:val="both"/>
              <w:rPr>
                <w:rFonts w:ascii="Times New Roman" w:eastAsia="Times New Roman" w:hAnsi="Times New Roman" w:cs="Times New Roman"/>
                <w:sz w:val="24"/>
                <w:szCs w:val="24"/>
                <w:highlight w:val="white"/>
              </w:rPr>
            </w:pPr>
          </w:p>
          <w:p w14:paraId="1CC5C7F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6A9629F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în redacția propusă de Consiliul pentru egalitate</w:t>
            </w:r>
          </w:p>
          <w:p w14:paraId="1DD41E7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art. 8 alin. (2) se propune în redacția următoare: </w:t>
            </w:r>
          </w:p>
          <w:p w14:paraId="6DA207E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7C173EF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p>
          <w:p w14:paraId="22D6FC7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5F28B07F" w14:textId="77777777">
        <w:trPr>
          <w:trHeight w:val="600"/>
        </w:trPr>
        <w:tc>
          <w:tcPr>
            <w:tcW w:w="555" w:type="dxa"/>
            <w:vMerge/>
          </w:tcPr>
          <w:p w14:paraId="1EEC3AD4" w14:textId="77777777" w:rsidR="00E114BB" w:rsidRDefault="00E114BB">
            <w:pPr>
              <w:spacing w:line="240" w:lineRule="auto"/>
              <w:rPr>
                <w:rFonts w:ascii="Times New Roman" w:eastAsia="Times New Roman" w:hAnsi="Times New Roman" w:cs="Times New Roman"/>
                <w:b/>
                <w:bCs/>
              </w:rPr>
            </w:pPr>
          </w:p>
        </w:tc>
        <w:tc>
          <w:tcPr>
            <w:tcW w:w="2700" w:type="dxa"/>
            <w:vMerge/>
          </w:tcPr>
          <w:p w14:paraId="67999055" w14:textId="77777777" w:rsidR="00E114BB" w:rsidRDefault="00E114BB">
            <w:pPr>
              <w:spacing w:line="240" w:lineRule="auto"/>
              <w:jc w:val="center"/>
              <w:rPr>
                <w:rFonts w:ascii="Times New Roman" w:eastAsia="Times New Roman" w:hAnsi="Times New Roman" w:cs="Times New Roman"/>
              </w:rPr>
            </w:pPr>
          </w:p>
        </w:tc>
        <w:tc>
          <w:tcPr>
            <w:tcW w:w="5880" w:type="dxa"/>
          </w:tcPr>
          <w:p w14:paraId="09430B5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Cu referire la propunere autorului privind completarea art. 49 din Codul muncii, care reglementează conținutul contractului individual de muncă, cu o clauză referitoare la interzicerea discriminării în temeiul criteriilor și circumstanțelor descrise la art. 8 din Cod, menționăm că această completare nu este necesară. Sau, interdicția discriminării este deja stabilită în mod expres prin art. 8 din Codul muncii și se aplică direct tuturor raporturilor de muncă. Această obligație are caracter imperativ și nu depinde de includerea sa în contractul individual de muncă. În consecință, repetarea acestei norme legale în contractele individuale de muncă nu produce efecte juridice suplimentare și nu aduce o valoare normativă reală. Mai mult decât atât, și în acest caz apare aceeași inconsecvență terminologică, prin utilizarea noțiunilor de „criterii și circumstanțe”, în timp ce art. 8 face referire doar la „</w:t>
            </w:r>
            <w:r>
              <w:rPr>
                <w:rFonts w:ascii="Times New Roman" w:eastAsia="Times New Roman" w:hAnsi="Times New Roman" w:cs="Times New Roman"/>
                <w:i/>
                <w:iCs/>
                <w:highlight w:val="white"/>
              </w:rPr>
              <w:t>criterii de discriminare</w:t>
            </w:r>
            <w:r>
              <w:rPr>
                <w:rFonts w:ascii="Times New Roman" w:eastAsia="Times New Roman" w:hAnsi="Times New Roman" w:cs="Times New Roman"/>
                <w:highlight w:val="white"/>
              </w:rPr>
              <w:t>”. Având în vedere considerentele expuse, completarea propusă nu este susținută.</w:t>
            </w:r>
          </w:p>
        </w:tc>
        <w:tc>
          <w:tcPr>
            <w:tcW w:w="5880" w:type="dxa"/>
          </w:tcPr>
          <w:p w14:paraId="6C17934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F79CFE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29A69775" w14:textId="77777777">
        <w:trPr>
          <w:trHeight w:val="600"/>
        </w:trPr>
        <w:tc>
          <w:tcPr>
            <w:tcW w:w="555" w:type="dxa"/>
            <w:vMerge/>
          </w:tcPr>
          <w:p w14:paraId="3707D619" w14:textId="77777777" w:rsidR="00E114BB" w:rsidRDefault="00E114BB">
            <w:pPr>
              <w:spacing w:line="240" w:lineRule="auto"/>
              <w:rPr>
                <w:rFonts w:ascii="Times New Roman" w:eastAsia="Times New Roman" w:hAnsi="Times New Roman" w:cs="Times New Roman"/>
                <w:b/>
                <w:bCs/>
              </w:rPr>
            </w:pPr>
          </w:p>
        </w:tc>
        <w:tc>
          <w:tcPr>
            <w:tcW w:w="2700" w:type="dxa"/>
            <w:vMerge/>
          </w:tcPr>
          <w:p w14:paraId="42AD4E61" w14:textId="77777777" w:rsidR="00E114BB" w:rsidRDefault="00E114BB">
            <w:pPr>
              <w:spacing w:line="240" w:lineRule="auto"/>
              <w:jc w:val="center"/>
              <w:rPr>
                <w:rFonts w:ascii="Times New Roman" w:eastAsia="Times New Roman" w:hAnsi="Times New Roman" w:cs="Times New Roman"/>
              </w:rPr>
            </w:pPr>
          </w:p>
        </w:tc>
        <w:tc>
          <w:tcPr>
            <w:tcW w:w="5880" w:type="dxa"/>
          </w:tcPr>
          <w:p w14:paraId="0DA4BC27"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4) Privitor la propunerea de a completa Codul muncii cu art. 2471, considerăm oportună reformularea acestuia pentru a asigura o mai bună claritate și coerență cu alte prevederi ale Codului muncii. Astfel, ținând cont de propunerile înaintate la pct. 2 din Art. II al proiectului de lege avizat, de definiția noțiunii de „femeie gravidă” prevăzută la art. 1 din Codul muncii, precum și de necesitatea simplificării și concretizării conținutului normativ al acestei reglementări, propunem expunerea articolului în următoarea redacție:</w:t>
            </w:r>
          </w:p>
          <w:p w14:paraId="03D2E0A4"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„Articolul 247</w:t>
            </w:r>
            <w:r>
              <w:rPr>
                <w:rFonts w:ascii="Times New Roman" w:eastAsia="Times New Roman" w:hAnsi="Times New Roman" w:cs="Times New Roman"/>
                <w:vertAlign w:val="superscript"/>
              </w:rPr>
              <w:t>1</w:t>
            </w:r>
            <w:r>
              <w:rPr>
                <w:rFonts w:ascii="Times New Roman" w:eastAsia="Times New Roman" w:hAnsi="Times New Roman" w:cs="Times New Roman"/>
              </w:rPr>
              <w:t>. Permisiuni pentru consultații medicale prenatale</w:t>
            </w:r>
          </w:p>
          <w:p w14:paraId="4C009718"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(1) Salariatele gravide beneficiază de permisiuni pentru efectuarea consultațiilor medicale prenatale, dacă acestea au loc în timpul programului de muncă.</w:t>
            </w:r>
          </w:p>
          <w:p w14:paraId="4DB1514E"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lastRenderedPageBreak/>
              <w:t>(2) Pentru a beneficia de permisiune pentru efectuarea consultației medicale prenatale, salariatele gravide anunță în scris angajatorul, iar ulterior prezintă un document medical justificativ (certificat/adeverință/act etc.), eliberat de instituția medico-sanitară competentă, de medicul de familie sau de medicul specialist.</w:t>
            </w:r>
          </w:p>
          <w:p w14:paraId="2688F228"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(3) Permisiunile pentru efectuarea consultațiilor medicale prenatale se acordă salariatelor gravide fără diminuarea drepturilor salariale și a altor drepturi prevăzute de legislația în vigoare.”.</w:t>
            </w:r>
          </w:p>
        </w:tc>
        <w:tc>
          <w:tcPr>
            <w:tcW w:w="5880" w:type="dxa"/>
          </w:tcPr>
          <w:p w14:paraId="6EBEB3A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2500218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În vederea asigurării unei mai bune clarități și coerențe normative, art. 247¹ va fi reformulat, ținând cont de necesitatea simplificării conținutului său, de definiția noțiunii de „femeie gravidă” prevăzută la art. 1 din Codul muncii și de corelarea cu celelalte dispoziții ale proiectului. Vor fi preluate soluțiile ce vizează consacrarea expresă a dreptului la permisiuni pentru consultații medicale prenatale, notificarea angajatorului și prezentarea confirmărilor, cu ajustările redacționale necesare.</w:t>
            </w:r>
          </w:p>
          <w:p w14:paraId="11133A0C" w14:textId="77777777" w:rsidR="00E114BB" w:rsidRDefault="00E114BB">
            <w:pPr>
              <w:spacing w:line="240" w:lineRule="auto"/>
              <w:jc w:val="both"/>
              <w:rPr>
                <w:rFonts w:ascii="Times New Roman" w:eastAsia="Times New Roman" w:hAnsi="Times New Roman" w:cs="Times New Roman"/>
                <w:highlight w:val="white"/>
              </w:rPr>
            </w:pPr>
          </w:p>
        </w:tc>
      </w:tr>
      <w:tr w:rsidR="00E114BB" w14:paraId="7214BF11" w14:textId="77777777">
        <w:trPr>
          <w:trHeight w:val="600"/>
        </w:trPr>
        <w:tc>
          <w:tcPr>
            <w:tcW w:w="555" w:type="dxa"/>
            <w:vMerge/>
          </w:tcPr>
          <w:p w14:paraId="770D26B6" w14:textId="77777777" w:rsidR="00E114BB" w:rsidRDefault="00E114BB">
            <w:pPr>
              <w:spacing w:line="240" w:lineRule="auto"/>
              <w:rPr>
                <w:rFonts w:ascii="Times New Roman" w:eastAsia="Times New Roman" w:hAnsi="Times New Roman" w:cs="Times New Roman"/>
                <w:b/>
                <w:bCs/>
              </w:rPr>
            </w:pPr>
          </w:p>
        </w:tc>
        <w:tc>
          <w:tcPr>
            <w:tcW w:w="2700" w:type="dxa"/>
            <w:vMerge/>
          </w:tcPr>
          <w:p w14:paraId="4E9311B2" w14:textId="77777777" w:rsidR="00E114BB" w:rsidRDefault="00E114BB">
            <w:pPr>
              <w:spacing w:line="240" w:lineRule="auto"/>
              <w:jc w:val="center"/>
              <w:rPr>
                <w:rFonts w:ascii="Times New Roman" w:eastAsia="Times New Roman" w:hAnsi="Times New Roman" w:cs="Times New Roman"/>
              </w:rPr>
            </w:pPr>
          </w:p>
        </w:tc>
        <w:tc>
          <w:tcPr>
            <w:tcW w:w="5880" w:type="dxa"/>
          </w:tcPr>
          <w:p w14:paraId="7B1AC3F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considerăm că durata acestor permisiuni trebuie să fie inclusă în timpul de muncă, în vederea corelării cu prevederile Convenției colective la nivel național nr. 2 din 9 iulie 2004, care stabilește obligația angajatorului de a acorda femeilor însărcinate timp liber pentru efectuarea examenelor medicale prenatale, acest timp fiind inclus în timpul de muncă. O asemenea soluție va asigura claritate atât pentru angajatori, cât și pentru salariați, garantând menținerea aceluiași nivel de salarizare pe durata efectuării consultațiilor medicale. În același timp, această formulare va elimina necesitatea unor calcule suplimentare pentru determinarea salariului mediu conform Hotărârii Guvernului nr. 426/2004 privind aprobarea Modului de calculare a salariului mediu, având în vedere că aceste permisiuni pot avea o durată redusă și o frecvență variabilă.</w:t>
            </w:r>
          </w:p>
        </w:tc>
        <w:tc>
          <w:tcPr>
            <w:tcW w:w="5880" w:type="dxa"/>
          </w:tcPr>
          <w:p w14:paraId="4CDD911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6B13BA41" w14:textId="77777777" w:rsidR="00E114BB"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247¹. Dispense pentru consultații prenatale</w:t>
            </w:r>
          </w:p>
          <w:p w14:paraId="6EDD3178" w14:textId="77777777" w:rsidR="00E114BB" w:rsidRDefault="00000000">
            <w:pPr>
              <w:spacing w:line="240" w:lineRule="auto"/>
              <w:ind w:firstLine="705"/>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(2) Pe durata dispenselor prevăzute la alin. (1), </w:t>
            </w:r>
            <w:r>
              <w:rPr>
                <w:rFonts w:ascii="Times New Roman" w:eastAsia="Times New Roman" w:hAnsi="Times New Roman" w:cs="Times New Roman"/>
                <w:b/>
                <w:bCs/>
                <w:highlight w:val="white"/>
              </w:rPr>
              <w:t>femeilor gravide li se menține salariul mediu de la locul de muncă. Timpul acordat pentru dispense se include în timpul de muncă și nu constituie absență de la serviciu.</w:t>
            </w:r>
          </w:p>
          <w:p w14:paraId="36BFAB2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039F9B1D" w14:textId="77777777">
        <w:trPr>
          <w:trHeight w:val="600"/>
        </w:trPr>
        <w:tc>
          <w:tcPr>
            <w:tcW w:w="555" w:type="dxa"/>
            <w:vMerge w:val="restart"/>
          </w:tcPr>
          <w:p w14:paraId="20F2E437"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2129E155"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Confederația Națională a Patronatului din Republica Moldova</w:t>
            </w:r>
          </w:p>
          <w:p w14:paraId="5EB63B1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05/1-22 </w:t>
            </w:r>
          </w:p>
          <w:p w14:paraId="1004D61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17.03.206</w:t>
            </w:r>
          </w:p>
        </w:tc>
        <w:tc>
          <w:tcPr>
            <w:tcW w:w="5880" w:type="dxa"/>
          </w:tcPr>
          <w:p w14:paraId="24950A5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II, pct. 5 din proiect,</w:t>
            </w:r>
          </w:p>
          <w:p w14:paraId="04B98B7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Codul muncii, alin. (3) se completează în final cu textul „și formularea unui aviz înainte de adoptarea deciziei de către angajator”. Această propunere creează o etapă procedurală suplimentară care nu rezultă din structura actuală a articolului. Norma actuală prevede doar procedura de informare și nu obligă reprezentanții salariaților să emită un document formal și nici nu condiționează adoptarea deciziei angajatorului de existența unui aviz. Nu este clară natura juridică a acestui aviz și nici dacă acesta are caracter strict consultativ. În lipsa acestor clarificări, există riscul ca avizul să fie interpretat ca o condiție </w:t>
            </w:r>
            <w:r>
              <w:rPr>
                <w:rFonts w:ascii="Times New Roman" w:eastAsia="Times New Roman" w:hAnsi="Times New Roman" w:cs="Times New Roman"/>
                <w:highlight w:val="white"/>
              </w:rPr>
              <w:lastRenderedPageBreak/>
              <w:t>pentru adoptarea deciziei angajatorului. Și ce se întâmplă în cazul în care reprezentanții salariaților nu formulează acest aviz? Este el obligatoriu?</w:t>
            </w:r>
          </w:p>
          <w:p w14:paraId="5D28E784"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05469A2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0093C26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ia act de obiecțiile formulate, în special în ceea ce privește necesitatea clarificării naturii juridice a avizului și evitarea instituirii unei obligații excesive în sarcina părților. În consecință, prevederile supuse sintezei au fost revizuite în conformitate cu recomandările Centrului de Armonizare a Legislației, fiind precizate atât caracterul consultativ al avizului, cât și termenul în care acesta poate fi exprimat. Astfel, dispozițiile art. 42 și art. 42¹ din Codul muncii al Republicii Moldova vor avea redactarea ajustată, menită să asigure </w:t>
            </w:r>
            <w:r>
              <w:rPr>
                <w:rFonts w:ascii="Times New Roman" w:eastAsia="Times New Roman" w:hAnsi="Times New Roman" w:cs="Times New Roman"/>
                <w:highlight w:val="white"/>
              </w:rPr>
              <w:lastRenderedPageBreak/>
              <w:t>echilibrul între dreptul la consultare al salariaților și prerogativa decizională a angajatorului.</w:t>
            </w:r>
          </w:p>
          <w:p w14:paraId="3F9597CD" w14:textId="77777777" w:rsidR="00E114BB"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highlight w:val="white"/>
              </w:rPr>
              <w:t xml:space="preserve"> alineatul (2) lit. b) se completează în final cu textul</w:t>
            </w:r>
          </w:p>
          <w:p w14:paraId="68ED57A8" w14:textId="77777777" w:rsidR="00E114BB"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Participarea salariaţilor la administrarea unităţii poate fi realizată prin:</w:t>
            </w:r>
          </w:p>
          <w:p w14:paraId="7448B892" w14:textId="77777777" w:rsidR="00E114BB"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informarea şi consultarea salariaţilor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24DDB280" w14:textId="77777777" w:rsidR="00E114BB" w:rsidRDefault="00E114BB">
            <w:pPr>
              <w:spacing w:line="240" w:lineRule="auto"/>
              <w:ind w:firstLine="20"/>
              <w:jc w:val="both"/>
              <w:rPr>
                <w:rFonts w:ascii="Times New Roman" w:eastAsia="Times New Roman" w:hAnsi="Times New Roman" w:cs="Times New Roman"/>
                <w:highlight w:val="white"/>
              </w:rPr>
            </w:pPr>
          </w:p>
          <w:p w14:paraId="68159CE8"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w:t>
            </w:r>
            <w:r>
              <w:rPr>
                <w:rFonts w:ascii="Times New Roman" w:eastAsia="Times New Roman" w:hAnsi="Times New Roman" w:cs="Times New Roman"/>
                <w:highlight w:val="white"/>
              </w:rPr>
              <w:t xml:space="preserve"> alin. (1) din Codul muncii va fi expus în următoarea redacție:</w:t>
            </w:r>
          </w:p>
          <w:p w14:paraId="20316A44" w14:textId="77777777" w:rsidR="00E114BB" w:rsidRDefault="00E114BB">
            <w:pPr>
              <w:shd w:val="clear" w:color="auto" w:fill="FFFFFF"/>
              <w:ind w:firstLine="680"/>
              <w:jc w:val="both"/>
              <w:rPr>
                <w:rFonts w:ascii="Times New Roman" w:eastAsia="Times New Roman" w:hAnsi="Times New Roman" w:cs="Times New Roman"/>
                <w:highlight w:val="white"/>
              </w:rPr>
            </w:pPr>
          </w:p>
          <w:p w14:paraId="22C68174" w14:textId="77777777" w:rsidR="00E114BB"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În sensul prezentului articol prin informare se înțelege transmiterea de date de către angajator salariaților/reprezentanților salariaților pentru a le permite să se familiarizeze cu subiectul și să-l examineze, iar prin consultare se înțelege schimbul de păreri și stabilirea unui dialog între salariați/reprezentanții salariaților</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și angajator.”</w:t>
            </w:r>
          </w:p>
          <w:p w14:paraId="3461154F" w14:textId="77777777" w:rsidR="00E114BB" w:rsidRDefault="00E114BB">
            <w:pPr>
              <w:shd w:val="clear" w:color="auto" w:fill="FFFFFF"/>
              <w:ind w:firstLine="680"/>
              <w:jc w:val="both"/>
              <w:rPr>
                <w:rFonts w:ascii="Times New Roman" w:eastAsia="Times New Roman" w:hAnsi="Times New Roman" w:cs="Times New Roman"/>
                <w:b/>
                <w:bCs/>
                <w:highlight w:val="white"/>
              </w:rPr>
            </w:pPr>
          </w:p>
          <w:p w14:paraId="0B7B4D32"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(3) din Codul muncii va fi expus în următoarea redacție:</w:t>
            </w:r>
          </w:p>
          <w:p w14:paraId="144D344F"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 xml:space="preserve">(3) </w:t>
            </w:r>
            <w:r>
              <w:rPr>
                <w:rFonts w:ascii="Times New Roman" w:eastAsia="Times New Roman" w:hAnsi="Times New Roman" w:cs="Times New Roman"/>
                <w:highlight w:val="white"/>
              </w:rPr>
              <w:t xml:space="preserve">Informarea se face prin transmiterea, în forma scrisă, către reprezentanții salariaților a datelor relevante, complete și veridice privind subiectele enumerate la alin. (2), în timp util, care le-ar permite reprezentanților salariaților să pregătească, în </w:t>
            </w:r>
            <w:r>
              <w:rPr>
                <w:rFonts w:ascii="Times New Roman" w:eastAsia="Times New Roman" w:hAnsi="Times New Roman" w:cs="Times New Roman"/>
                <w:highlight w:val="white"/>
              </w:rPr>
              <w:lastRenderedPageBreak/>
              <w:t>caz de necesitate, consultarea și formularea unui aviz înainte de adoptarea deciziei de către angajator;</w:t>
            </w:r>
          </w:p>
          <w:p w14:paraId="70DC7690" w14:textId="77777777" w:rsidR="00E114BB" w:rsidRDefault="00E114BB">
            <w:pPr>
              <w:shd w:val="clear" w:color="auto" w:fill="FFFFFF"/>
              <w:ind w:firstLine="680"/>
              <w:jc w:val="both"/>
              <w:rPr>
                <w:rFonts w:ascii="Times New Roman" w:eastAsia="Times New Roman" w:hAnsi="Times New Roman" w:cs="Times New Roman"/>
                <w:highlight w:val="white"/>
              </w:rPr>
            </w:pPr>
          </w:p>
          <w:p w14:paraId="54BD7789"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Suplimentar se completează cu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w:t>
            </w:r>
          </w:p>
        </w:tc>
      </w:tr>
      <w:tr w:rsidR="00E114BB" w14:paraId="2F8AEF8E" w14:textId="77777777">
        <w:trPr>
          <w:trHeight w:val="600"/>
        </w:trPr>
        <w:tc>
          <w:tcPr>
            <w:tcW w:w="555" w:type="dxa"/>
            <w:vMerge/>
          </w:tcPr>
          <w:p w14:paraId="1D0E60EF" w14:textId="77777777" w:rsidR="00E114BB" w:rsidRDefault="00E114BB">
            <w:pPr>
              <w:spacing w:line="240" w:lineRule="auto"/>
              <w:rPr>
                <w:rFonts w:ascii="Times New Roman" w:eastAsia="Times New Roman" w:hAnsi="Times New Roman" w:cs="Times New Roman"/>
                <w:b/>
                <w:bCs/>
              </w:rPr>
            </w:pPr>
          </w:p>
        </w:tc>
        <w:tc>
          <w:tcPr>
            <w:tcW w:w="2700" w:type="dxa"/>
            <w:vMerge/>
          </w:tcPr>
          <w:p w14:paraId="4BA9698B" w14:textId="77777777" w:rsidR="00E114BB" w:rsidRDefault="00E114BB">
            <w:pPr>
              <w:spacing w:line="240" w:lineRule="auto"/>
              <w:jc w:val="center"/>
              <w:rPr>
                <w:rFonts w:ascii="Times New Roman" w:eastAsia="Times New Roman" w:hAnsi="Times New Roman" w:cs="Times New Roman"/>
              </w:rPr>
            </w:pPr>
          </w:p>
        </w:tc>
        <w:tc>
          <w:tcPr>
            <w:tcW w:w="5880" w:type="dxa"/>
          </w:tcPr>
          <w:p w14:paraId="3D42E69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alin. (7) din cod, prin introducerea formulării „în vederea obținerii unui acord asupra deciziilor” și substituirea termenului „consens” cu „acord” poate fi interpretată ca o extindere a rolului reprezentanților salariaților în procesul decizional. În actuala redacție, opinia salariaților are caracter consultativ, iar decizia finală aparține angajatorului. Utilizarea noțiunii de „acord” poate sugera că reprezentanții salariaților dispun de dreptul de VETO, iar adoptarea deciziei ar depinde de acceptul reprezentanților salariaților, ceea ce ar putea limita ca angajatorul să-și realizeze drepturile și obligațiile legale.</w:t>
            </w:r>
          </w:p>
        </w:tc>
        <w:tc>
          <w:tcPr>
            <w:tcW w:w="5880" w:type="dxa"/>
          </w:tcPr>
          <w:p w14:paraId="4A951AAD"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52D474C"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reține că observația formulată vizează posibila interpretare extensivă a noțiunii de „acord”, însă se impune precizarea că alinierea terminologică este necesară pentru asigurarea conformității cu Directiva 2002/14/CE, care utilizează expres conceptul de consultare „în vederea ajungerii la un acord”, fără a conferi reprezentanților salariaților un drept de veto asupra deciziei angajatorului.</w:t>
            </w:r>
          </w:p>
          <w:p w14:paraId="45151064"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constată că în redacția anterioară a fost utilizat termenul „consens”, care, deși apropiat ca sens de noțiunea de „acord”, nu este consacrat de directivă și poate genera incertitudini interpretative suplimentare. În acest context, substituirea termenului respectiv urmărește uniformizarea terminologiei cu cea europeană, fără a modifica natura juridică a procedurii de consultare, care rămâne una consultativă.</w:t>
            </w:r>
          </w:p>
          <w:p w14:paraId="5422A7BD"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acceptă parțial obiecția, iar art. 42¹ alin. (7) lit. c) din Codul muncii al Republicii Moldova va avea următoarea redactare: </w:t>
            </w:r>
          </w:p>
          <w:p w14:paraId="5089EE94" w14:textId="77777777" w:rsidR="00E114BB" w:rsidRDefault="00E114BB">
            <w:pPr>
              <w:shd w:val="clear" w:color="auto" w:fill="FFFFFF"/>
              <w:jc w:val="both"/>
              <w:rPr>
                <w:rFonts w:ascii="Times New Roman" w:eastAsia="Times New Roman" w:hAnsi="Times New Roman" w:cs="Times New Roman"/>
                <w:b/>
                <w:bCs/>
                <w:highlight w:val="white"/>
              </w:rPr>
            </w:pPr>
          </w:p>
          <w:p w14:paraId="56927357"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4B5FA6B3"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tc>
      </w:tr>
      <w:tr w:rsidR="00E114BB" w14:paraId="32C34922" w14:textId="77777777">
        <w:trPr>
          <w:trHeight w:val="600"/>
        </w:trPr>
        <w:tc>
          <w:tcPr>
            <w:tcW w:w="555" w:type="dxa"/>
            <w:vMerge/>
          </w:tcPr>
          <w:p w14:paraId="0014DBDA" w14:textId="77777777" w:rsidR="00E114BB" w:rsidRDefault="00E114BB">
            <w:pPr>
              <w:spacing w:line="240" w:lineRule="auto"/>
              <w:rPr>
                <w:rFonts w:ascii="Times New Roman" w:eastAsia="Times New Roman" w:hAnsi="Times New Roman" w:cs="Times New Roman"/>
                <w:b/>
                <w:bCs/>
              </w:rPr>
            </w:pPr>
          </w:p>
        </w:tc>
        <w:tc>
          <w:tcPr>
            <w:tcW w:w="2700" w:type="dxa"/>
            <w:vMerge/>
          </w:tcPr>
          <w:p w14:paraId="3B42F5B0" w14:textId="77777777" w:rsidR="00E114BB" w:rsidRDefault="00E114BB">
            <w:pPr>
              <w:spacing w:line="240" w:lineRule="auto"/>
              <w:jc w:val="center"/>
              <w:rPr>
                <w:rFonts w:ascii="Times New Roman" w:eastAsia="Times New Roman" w:hAnsi="Times New Roman" w:cs="Times New Roman"/>
              </w:rPr>
            </w:pPr>
          </w:p>
        </w:tc>
        <w:tc>
          <w:tcPr>
            <w:tcW w:w="5880" w:type="dxa"/>
          </w:tcPr>
          <w:p w14:paraId="12D8435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Completarea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cu alineatul (7¹), care stabilește nulitatea deciziei adoptate fără informarea și consultarea reprezentanților salariaților sau înainte de finalizarea procedurii</w:t>
            </w:r>
          </w:p>
          <w:p w14:paraId="0D9B74DD"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consultare, reprezintă o sancțiune foarte severă, care nu are suport juridic și explicație. Deși scopul este de a asigura respectarea procedurii de informare și consultare, textul nu precizează clar momentul în care procedura se consideră finalizată și nici modul în care această prevedere se corelează cu termenul de 10 zile lucrătoare prevăzut în prezent pentru prezentarea opiniei consultative. În lipsa unor clarificări de procedură există riscul apariției unor litigii privind validitatea deciziilor angajatorului.</w:t>
            </w:r>
          </w:p>
        </w:tc>
        <w:tc>
          <w:tcPr>
            <w:tcW w:w="5880" w:type="dxa"/>
          </w:tcPr>
          <w:p w14:paraId="1FDEEE1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661D8B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3FC5A557" w14:textId="77777777">
        <w:trPr>
          <w:trHeight w:val="600"/>
        </w:trPr>
        <w:tc>
          <w:tcPr>
            <w:tcW w:w="555" w:type="dxa"/>
            <w:vMerge/>
          </w:tcPr>
          <w:p w14:paraId="08D96BBB" w14:textId="77777777" w:rsidR="00E114BB" w:rsidRDefault="00E114BB">
            <w:pPr>
              <w:spacing w:line="240" w:lineRule="auto"/>
              <w:rPr>
                <w:rFonts w:ascii="Times New Roman" w:eastAsia="Times New Roman" w:hAnsi="Times New Roman" w:cs="Times New Roman"/>
                <w:b/>
                <w:bCs/>
              </w:rPr>
            </w:pPr>
          </w:p>
        </w:tc>
        <w:tc>
          <w:tcPr>
            <w:tcW w:w="2700" w:type="dxa"/>
            <w:vMerge/>
          </w:tcPr>
          <w:p w14:paraId="18069843" w14:textId="77777777" w:rsidR="00E114BB" w:rsidRDefault="00E114BB">
            <w:pPr>
              <w:spacing w:line="240" w:lineRule="auto"/>
              <w:jc w:val="center"/>
              <w:rPr>
                <w:rFonts w:ascii="Times New Roman" w:eastAsia="Times New Roman" w:hAnsi="Times New Roman" w:cs="Times New Roman"/>
              </w:rPr>
            </w:pPr>
          </w:p>
        </w:tc>
        <w:tc>
          <w:tcPr>
            <w:tcW w:w="5880" w:type="dxa"/>
          </w:tcPr>
          <w:p w14:paraId="500C061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III din proiect considerăm că sancțiunile prevăzute de Codul Contravențional sunt prea dure și, din punctul nostru de vedere, necesită a fi revizuite.</w:t>
            </w:r>
          </w:p>
        </w:tc>
        <w:tc>
          <w:tcPr>
            <w:tcW w:w="5880" w:type="dxa"/>
          </w:tcPr>
          <w:p w14:paraId="7851E88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abordează sancțiuni în Art. IV</w:t>
            </w:r>
          </w:p>
          <w:p w14:paraId="79529D3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71674CD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Includerea lit. k) în cadrul art. 55 este justificată prin faptul că fapta incriminată – nerespectarea obligației de informare și consultare a salariaților – prezintă un pericol social comparabil cu celelalte încălcări prevăzute de același articol, toate afectând buna desfășurare a relațiilor de muncă. Această obligație are un rol esențial în asigurarea echilibrului dintre părți și în garantarea exercitării efective a drepturilor colective ale salariaților.</w:t>
            </w:r>
          </w:p>
          <w:p w14:paraId="22FB643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sancțiunile stabilite pentru lit. k) sunt integrate în același regim sancționator aplicabil celorlalte încălcări din domeniul muncii, ceea ce asigură coerența și tratamentul egal al faptelor de natură similară. O eventuală diferențiere în sensul diminuării sancțiunilor nu este justificată, întrucât toate faptele </w:t>
            </w:r>
            <w:r>
              <w:rPr>
                <w:rFonts w:ascii="Times New Roman" w:eastAsia="Times New Roman" w:hAnsi="Times New Roman" w:cs="Times New Roman"/>
                <w:highlight w:val="white"/>
              </w:rPr>
              <w:lastRenderedPageBreak/>
              <w:t>prevăzute de art. 55 protejează același obiect juridic, respectiv relațiile de muncă.</w:t>
            </w:r>
          </w:p>
          <w:p w14:paraId="21406DE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menținerea unui nivel uniform al sancțiunilor reflectă necesitatea de a asigura protecția efectivă a tuturor componentelor esențiale ale raporturilor de muncă, inclusiv a drepturilor procedurale ale salariaților, care nu pot fi considerate de o importanță inferioară.</w:t>
            </w:r>
          </w:p>
        </w:tc>
      </w:tr>
      <w:tr w:rsidR="00E114BB" w14:paraId="2342997D" w14:textId="77777777">
        <w:trPr>
          <w:trHeight w:val="600"/>
        </w:trPr>
        <w:tc>
          <w:tcPr>
            <w:tcW w:w="555" w:type="dxa"/>
          </w:tcPr>
          <w:p w14:paraId="1C64D3B3" w14:textId="77777777" w:rsidR="00E114BB" w:rsidRDefault="00E114BB">
            <w:pPr>
              <w:numPr>
                <w:ilvl w:val="0"/>
                <w:numId w:val="4"/>
              </w:numPr>
              <w:spacing w:line="240" w:lineRule="auto"/>
              <w:ind w:hanging="338"/>
              <w:rPr>
                <w:rFonts w:ascii="Times New Roman" w:eastAsia="Times New Roman" w:hAnsi="Times New Roman" w:cs="Times New Roman"/>
                <w:b/>
                <w:bCs/>
              </w:rPr>
            </w:pPr>
          </w:p>
        </w:tc>
        <w:tc>
          <w:tcPr>
            <w:tcW w:w="2700" w:type="dxa"/>
          </w:tcPr>
          <w:p w14:paraId="631A2C61"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Agenția Feroviară</w:t>
            </w:r>
          </w:p>
          <w:p w14:paraId="7E256179"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01-47 </w:t>
            </w:r>
          </w:p>
          <w:p w14:paraId="7B194FC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06.03.2026</w:t>
            </w:r>
          </w:p>
        </w:tc>
        <w:tc>
          <w:tcPr>
            <w:tcW w:w="5880" w:type="dxa"/>
          </w:tcPr>
          <w:p w14:paraId="1517343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propuneri de modificare, menținând formatul proiectului prezentat.</w:t>
            </w:r>
          </w:p>
        </w:tc>
        <w:tc>
          <w:tcPr>
            <w:tcW w:w="5880" w:type="dxa"/>
          </w:tcPr>
          <w:p w14:paraId="363B7D4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62676351" w14:textId="77777777">
        <w:trPr>
          <w:trHeight w:val="1579"/>
        </w:trPr>
        <w:tc>
          <w:tcPr>
            <w:tcW w:w="555" w:type="dxa"/>
            <w:vMerge w:val="restart"/>
          </w:tcPr>
          <w:p w14:paraId="4D0711D2" w14:textId="77777777" w:rsidR="00E114BB" w:rsidRDefault="00000000">
            <w:pPr>
              <w:spacing w:line="240" w:lineRule="auto"/>
              <w:ind w:left="360" w:hanging="338"/>
              <w:rPr>
                <w:rFonts w:ascii="Times New Roman" w:eastAsia="Times New Roman" w:hAnsi="Times New Roman" w:cs="Times New Roman"/>
                <w:b/>
                <w:bCs/>
              </w:rPr>
            </w:pPr>
            <w:r>
              <w:rPr>
                <w:rFonts w:ascii="Times New Roman" w:eastAsia="Times New Roman" w:hAnsi="Times New Roman" w:cs="Times New Roman"/>
                <w:b/>
                <w:bCs/>
              </w:rPr>
              <w:t>20.</w:t>
            </w:r>
          </w:p>
        </w:tc>
        <w:tc>
          <w:tcPr>
            <w:tcW w:w="2700" w:type="dxa"/>
            <w:vMerge w:val="restart"/>
          </w:tcPr>
          <w:p w14:paraId="23439516"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Grupului de lucru al Comisiei de stat pentru reglementarea activității de întreprinzător</w:t>
            </w:r>
          </w:p>
          <w:p w14:paraId="72BB20C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38-78-3138</w:t>
            </w:r>
          </w:p>
          <w:p w14:paraId="0FE4ECC0"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19.03.2026</w:t>
            </w:r>
          </w:p>
        </w:tc>
        <w:tc>
          <w:tcPr>
            <w:tcW w:w="5880" w:type="dxa"/>
          </w:tcPr>
          <w:p w14:paraId="5C5B4AC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Decizia Grupului de lucru în privința proiectului de act normativ și notei de fundamentare/Analizei impactului de reglementare:</w:t>
            </w:r>
          </w:p>
          <w:p w14:paraId="35519E7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Nu se susține proiectul de lege și nota de fundamentare</w:t>
            </w:r>
          </w:p>
        </w:tc>
        <w:tc>
          <w:tcPr>
            <w:tcW w:w="5880" w:type="dxa"/>
          </w:tcPr>
          <w:p w14:paraId="173A49E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232D02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Proiectul revăzut se prezintă repetat </w:t>
            </w:r>
            <w:r>
              <w:rPr>
                <w:rFonts w:ascii="Times New Roman" w:eastAsia="Times New Roman" w:hAnsi="Times New Roman" w:cs="Times New Roman"/>
              </w:rPr>
              <w:t>Grupului de lucru al Comisiei de stat pentru reglementarea activității de întreprinzător (concomitent, cu derularea expertizei MJ și CNA).</w:t>
            </w:r>
          </w:p>
        </w:tc>
      </w:tr>
      <w:tr w:rsidR="00E114BB" w14:paraId="702717FF" w14:textId="77777777">
        <w:trPr>
          <w:trHeight w:val="600"/>
        </w:trPr>
        <w:tc>
          <w:tcPr>
            <w:tcW w:w="555" w:type="dxa"/>
            <w:vMerge/>
          </w:tcPr>
          <w:p w14:paraId="335A18C2" w14:textId="77777777" w:rsidR="00E114BB" w:rsidRDefault="00E114BB">
            <w:pPr>
              <w:spacing w:line="240" w:lineRule="auto"/>
              <w:rPr>
                <w:rFonts w:ascii="Times New Roman" w:eastAsia="Times New Roman" w:hAnsi="Times New Roman" w:cs="Times New Roman"/>
                <w:b/>
                <w:bCs/>
              </w:rPr>
            </w:pPr>
          </w:p>
        </w:tc>
        <w:tc>
          <w:tcPr>
            <w:tcW w:w="2700" w:type="dxa"/>
            <w:vMerge/>
          </w:tcPr>
          <w:p w14:paraId="22748765" w14:textId="77777777" w:rsidR="00E114BB" w:rsidRDefault="00E114BB">
            <w:pPr>
              <w:spacing w:line="240" w:lineRule="auto"/>
              <w:jc w:val="center"/>
              <w:rPr>
                <w:rFonts w:ascii="Times New Roman" w:eastAsia="Times New Roman" w:hAnsi="Times New Roman" w:cs="Times New Roman"/>
              </w:rPr>
            </w:pPr>
          </w:p>
        </w:tc>
        <w:tc>
          <w:tcPr>
            <w:tcW w:w="5880" w:type="dxa"/>
          </w:tcPr>
          <w:p w14:paraId="6B7AFB04"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Legea nr.140/2001, Art. 4 alin. (3): </w:t>
            </w:r>
          </w:p>
          <w:p w14:paraId="67FCB3A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prevede că „Inspectoratul de Stat al Muncii exercită, în special, următoarele atribuții”. Sintagma „în special” face ca lista atribuțiilor să fie neexhaustivă, ceea ce permite extinderea și aplicare discreționară a competențelor inspectorilor. </w:t>
            </w:r>
          </w:p>
        </w:tc>
        <w:tc>
          <w:tcPr>
            <w:tcW w:w="5880" w:type="dxa"/>
          </w:tcPr>
          <w:p w14:paraId="6485CAF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7BC92F4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Sintagma va fi exclusă. </w:t>
            </w:r>
          </w:p>
        </w:tc>
      </w:tr>
      <w:tr w:rsidR="00E114BB" w14:paraId="1ACBE8A9" w14:textId="77777777">
        <w:trPr>
          <w:trHeight w:val="600"/>
        </w:trPr>
        <w:tc>
          <w:tcPr>
            <w:tcW w:w="555" w:type="dxa"/>
            <w:vMerge/>
          </w:tcPr>
          <w:p w14:paraId="26D078D1" w14:textId="77777777" w:rsidR="00E114BB" w:rsidRDefault="00E114BB">
            <w:pPr>
              <w:spacing w:line="240" w:lineRule="auto"/>
              <w:rPr>
                <w:rFonts w:ascii="Times New Roman" w:eastAsia="Times New Roman" w:hAnsi="Times New Roman" w:cs="Times New Roman"/>
                <w:b/>
                <w:bCs/>
              </w:rPr>
            </w:pPr>
          </w:p>
        </w:tc>
        <w:tc>
          <w:tcPr>
            <w:tcW w:w="2700" w:type="dxa"/>
            <w:vMerge/>
          </w:tcPr>
          <w:p w14:paraId="26B7A20D" w14:textId="77777777" w:rsidR="00E114BB" w:rsidRDefault="00E114BB">
            <w:pPr>
              <w:spacing w:line="240" w:lineRule="auto"/>
              <w:jc w:val="center"/>
              <w:rPr>
                <w:rFonts w:ascii="Times New Roman" w:eastAsia="Times New Roman" w:hAnsi="Times New Roman" w:cs="Times New Roman"/>
              </w:rPr>
            </w:pPr>
          </w:p>
        </w:tc>
        <w:tc>
          <w:tcPr>
            <w:tcW w:w="5880" w:type="dxa"/>
          </w:tcPr>
          <w:p w14:paraId="6DD0821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w:t>
            </w:r>
            <w:proofErr w:type="spellStart"/>
            <w:r>
              <w:rPr>
                <w:rFonts w:ascii="Times New Roman" w:eastAsia="Times New Roman" w:hAnsi="Times New Roman" w:cs="Times New Roman"/>
                <w:highlight w:val="white"/>
              </w:rPr>
              <w:t>lit.a</w:t>
            </w:r>
            <w:proofErr w:type="spellEnd"/>
            <w:r>
              <w:rPr>
                <w:rFonts w:ascii="Times New Roman" w:eastAsia="Times New Roman" w:hAnsi="Times New Roman" w:cs="Times New Roman"/>
                <w:highlight w:val="white"/>
              </w:rPr>
              <w:t xml:space="preserve">) se prevede că ISM „primește, înregistrează și gestionează notificările prevăzute de Legea privind detașarea salariaților…”. Termenul „gestionează” nu este clar din punct de vedere juridic și nu este clar dacă acesta presupune verificare formală, validare, respingere, evaluare de fond?! Această formulare poate permite respingerea notificărilor și instituirea unui mecanism de act permisiv. Se recomandă următoarea redacție „primește și înregistrează notificările prevăzute de lege și asigură evidența acestora”. tot la lit. a) se prevede că ISM „verifică îndeplinirea cerințelor administrative stabilite de lege”, însă, lipsesc sau nu se precizează procedura verificării și limitele verificării. Chiar dacă ISM deja a fost exclus de sub incidența </w:t>
            </w:r>
            <w:r>
              <w:rPr>
                <w:rFonts w:ascii="Times New Roman" w:eastAsia="Times New Roman" w:hAnsi="Times New Roman" w:cs="Times New Roman"/>
                <w:highlight w:val="white"/>
              </w:rPr>
              <w:lastRenderedPageBreak/>
              <w:t xml:space="preserve">legislației privind controlul de stat asupra activității de întreprinzător, cerințe față modul si forma controlului este prevăzută de Legea nr.140/2001. Prin urmare se recomandă indicarea sintagmei ”verifică, în condițiile </w:t>
            </w:r>
            <w:proofErr w:type="spellStart"/>
            <w:r>
              <w:rPr>
                <w:rFonts w:ascii="Times New Roman" w:eastAsia="Times New Roman" w:hAnsi="Times New Roman" w:cs="Times New Roman"/>
                <w:highlight w:val="white"/>
              </w:rPr>
              <w:t>art.XX</w:t>
            </w:r>
            <w:proofErr w:type="spellEnd"/>
            <w:r>
              <w:rPr>
                <w:rFonts w:ascii="Times New Roman" w:eastAsia="Times New Roman" w:hAnsi="Times New Roman" w:cs="Times New Roman"/>
                <w:highlight w:val="white"/>
              </w:rPr>
              <w:t xml:space="preserve"> din prezenta lege, îndeplinirea cerințelor administrative stabilite de Legea…,”.</w:t>
            </w:r>
          </w:p>
        </w:tc>
        <w:tc>
          <w:tcPr>
            <w:tcW w:w="5880" w:type="dxa"/>
          </w:tcPr>
          <w:p w14:paraId="731AD2F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parțial. </w:t>
            </w:r>
          </w:p>
          <w:p w14:paraId="671C334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a) va fi expus în următoarea redacție:</w:t>
            </w:r>
          </w:p>
          <w:p w14:paraId="3FE7499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salariaților în cadrul prestării de servicii, Inspectoratul de Stat al Muncii exercită, următoarele atribuții:</w:t>
            </w:r>
          </w:p>
          <w:p w14:paraId="26FFCF5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primește și înregistrează notificările prevăzute la art. 40 din Legea privind detașarea salariaților în cadrul prestării de servicii transnaționale, asigură evidența acestora, inclusiv a </w:t>
            </w:r>
            <w:r>
              <w:rPr>
                <w:rFonts w:ascii="Times New Roman" w:eastAsia="Times New Roman" w:hAnsi="Times New Roman" w:cs="Times New Roman"/>
                <w:highlight w:val="white"/>
              </w:rPr>
              <w:lastRenderedPageBreak/>
              <w:t>actualizărilor, și verifică, în condițiile legii menționate, îndeplinirea cerințelor administrative și a măsurilor de control aferente;</w:t>
            </w:r>
          </w:p>
          <w:p w14:paraId="3EC15AF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486C8CDD" w14:textId="77777777">
        <w:trPr>
          <w:trHeight w:val="600"/>
        </w:trPr>
        <w:tc>
          <w:tcPr>
            <w:tcW w:w="555" w:type="dxa"/>
            <w:vMerge/>
          </w:tcPr>
          <w:p w14:paraId="1BA96BF2" w14:textId="77777777" w:rsidR="00E114BB" w:rsidRDefault="00E114BB">
            <w:pPr>
              <w:spacing w:line="240" w:lineRule="auto"/>
              <w:rPr>
                <w:rFonts w:ascii="Times New Roman" w:eastAsia="Times New Roman" w:hAnsi="Times New Roman" w:cs="Times New Roman"/>
                <w:b/>
                <w:bCs/>
              </w:rPr>
            </w:pPr>
          </w:p>
        </w:tc>
        <w:tc>
          <w:tcPr>
            <w:tcW w:w="2700" w:type="dxa"/>
            <w:vMerge/>
          </w:tcPr>
          <w:p w14:paraId="4D9EE081" w14:textId="77777777" w:rsidR="00E114BB" w:rsidRDefault="00E114BB">
            <w:pPr>
              <w:spacing w:line="240" w:lineRule="auto"/>
              <w:jc w:val="center"/>
              <w:rPr>
                <w:rFonts w:ascii="Times New Roman" w:eastAsia="Times New Roman" w:hAnsi="Times New Roman" w:cs="Times New Roman"/>
              </w:rPr>
            </w:pPr>
          </w:p>
        </w:tc>
        <w:tc>
          <w:tcPr>
            <w:tcW w:w="5880" w:type="dxa"/>
          </w:tcPr>
          <w:p w14:paraId="63179A8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lit. b) prevede dreptul inspecției de a ”solicita angajatorilor, beneficiarilor și altor persoane vizate informații și documente relevante..”. Sintagma „alte persoane vizate” este neclară și nedeterminată. Se recomandă excluderea.</w:t>
            </w:r>
          </w:p>
          <w:p w14:paraId="1B908CA2"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136FD6E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4495252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Sintagma „alte persoane vizate” este necesară pentru a nu restrânge sfera persoanelor de la care pot fi solicitate informații și documente relevante pentru verificarea respectării cadrului normativ privind detașarea salariaților. În practică, constatarea respectării prevederilor legale nu poate fi realizată exclusiv pe baza informațiilor deținute de angajator sau beneficiar, fiind posibil ca date relevante să fie deținute și de alte persoane aflate în legătură cu situația verificată.</w:t>
            </w:r>
          </w:p>
          <w:p w14:paraId="28BF27F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de persoane pot include, după caz, prestatori de servicii, prestatori de cazare, persoane care dețin evidențe sau documente relevante privind cheltuielile specifice detașării, precum și alte persoane care pot confirma ori infirma împrejurări de fapt relevante pentru constatarea respectării prevederilor legale.</w:t>
            </w:r>
          </w:p>
        </w:tc>
      </w:tr>
      <w:tr w:rsidR="00E114BB" w14:paraId="45433928" w14:textId="77777777">
        <w:trPr>
          <w:trHeight w:val="600"/>
        </w:trPr>
        <w:tc>
          <w:tcPr>
            <w:tcW w:w="555" w:type="dxa"/>
            <w:vMerge/>
          </w:tcPr>
          <w:p w14:paraId="0764D03B" w14:textId="77777777" w:rsidR="00E114BB" w:rsidRDefault="00E114BB">
            <w:pPr>
              <w:spacing w:line="240" w:lineRule="auto"/>
              <w:rPr>
                <w:rFonts w:ascii="Times New Roman" w:eastAsia="Times New Roman" w:hAnsi="Times New Roman" w:cs="Times New Roman"/>
                <w:b/>
                <w:bCs/>
              </w:rPr>
            </w:pPr>
          </w:p>
        </w:tc>
        <w:tc>
          <w:tcPr>
            <w:tcW w:w="2700" w:type="dxa"/>
            <w:vMerge/>
          </w:tcPr>
          <w:p w14:paraId="41952806" w14:textId="77777777" w:rsidR="00E114BB" w:rsidRDefault="00E114BB">
            <w:pPr>
              <w:spacing w:line="240" w:lineRule="auto"/>
              <w:jc w:val="center"/>
              <w:rPr>
                <w:rFonts w:ascii="Times New Roman" w:eastAsia="Times New Roman" w:hAnsi="Times New Roman" w:cs="Times New Roman"/>
              </w:rPr>
            </w:pPr>
          </w:p>
        </w:tc>
        <w:tc>
          <w:tcPr>
            <w:tcW w:w="5880" w:type="dxa"/>
          </w:tcPr>
          <w:p w14:paraId="122D37B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lit. c) prevede dreptul inspecției de a „dispune, după caz, măsuri obligatorii de remediere”. Aici la fel ridică semne de întrebare privind actul administrativ prin care sunt dispuse măsurile, care este procedura, dacă acestea sunt prescripții sau alte acte. Se recomandă următoarea redacție „emite prescripții obligatorii de remediere, în condițiile legii”. În orice caz pentru orice redacție aleasă de autori este obligatoriu indicare unei prevederi de trimitere cum ar fi - ”în condițiile legii” (Legea nr.140/2001) sau „conform art…din prezenta lege„.</w:t>
            </w:r>
          </w:p>
          <w:p w14:paraId="6BBE15AE"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76529DA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A763F9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571974A"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c) din Legea nr. 140/2001 va fi expus în următoarea redacție:</w:t>
            </w:r>
          </w:p>
          <w:p w14:paraId="71C59DC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c) efectuează controlul de stat asupra respectării condițiilor de muncă aplicabile salariaților detașați pe teritoriul Republicii Moldova și emite prescripții obligatorii de remediere, în condițiile legii;</w:t>
            </w:r>
          </w:p>
        </w:tc>
      </w:tr>
      <w:tr w:rsidR="00E114BB" w14:paraId="571AB381" w14:textId="77777777">
        <w:trPr>
          <w:trHeight w:val="600"/>
        </w:trPr>
        <w:tc>
          <w:tcPr>
            <w:tcW w:w="555" w:type="dxa"/>
            <w:vMerge/>
          </w:tcPr>
          <w:p w14:paraId="3EF4873A" w14:textId="77777777" w:rsidR="00E114BB" w:rsidRDefault="00E114BB">
            <w:pPr>
              <w:spacing w:line="240" w:lineRule="auto"/>
              <w:rPr>
                <w:rFonts w:ascii="Times New Roman" w:eastAsia="Times New Roman" w:hAnsi="Times New Roman" w:cs="Times New Roman"/>
                <w:b/>
                <w:bCs/>
              </w:rPr>
            </w:pPr>
          </w:p>
        </w:tc>
        <w:tc>
          <w:tcPr>
            <w:tcW w:w="2700" w:type="dxa"/>
            <w:vMerge/>
          </w:tcPr>
          <w:p w14:paraId="45F491CA" w14:textId="77777777" w:rsidR="00E114BB" w:rsidRDefault="00E114BB">
            <w:pPr>
              <w:spacing w:line="240" w:lineRule="auto"/>
              <w:jc w:val="center"/>
              <w:rPr>
                <w:rFonts w:ascii="Times New Roman" w:eastAsia="Times New Roman" w:hAnsi="Times New Roman" w:cs="Times New Roman"/>
              </w:rPr>
            </w:pPr>
          </w:p>
        </w:tc>
        <w:tc>
          <w:tcPr>
            <w:tcW w:w="5880" w:type="dxa"/>
          </w:tcPr>
          <w:p w14:paraId="5289C46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w:t>
            </w:r>
            <w:proofErr w:type="spellStart"/>
            <w:r>
              <w:rPr>
                <w:rFonts w:ascii="Times New Roman" w:eastAsia="Times New Roman" w:hAnsi="Times New Roman" w:cs="Times New Roman"/>
                <w:highlight w:val="white"/>
              </w:rPr>
              <w:t>lit.d</w:t>
            </w:r>
            <w:proofErr w:type="spellEnd"/>
            <w:r>
              <w:rPr>
                <w:rFonts w:ascii="Times New Roman" w:eastAsia="Times New Roman" w:hAnsi="Times New Roman" w:cs="Times New Roman"/>
                <w:highlight w:val="white"/>
              </w:rPr>
              <w:t>) formularea „constată contravențiile pentru încălcarea prevederilor Legii privind detașarea salariaților în cadrul prestării de servicii transnaționale” este problematică deoarece face trimitere la întreaga lege, iar o lege poate conține numeroase norme de natură diferită: norme organizatorice, procedurale, informative sau de competență, nu doar norme care instituie obligații a căror încălcare constituie contravenție. Prin urmare, simpla trimitere generică la „încălcarea prevederilor legii” poate crea impresia că orice încălcare a oricărei norme din acea lege ar constitui contravenție, ceea ce ar fi contrar principiilor dreptului contravențional.</w:t>
            </w:r>
          </w:p>
          <w:p w14:paraId="0A4185D5"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0EB7F60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2652BA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d) din Legea nr. 140/2001 va fi expus în următoarea redacție:</w:t>
            </w:r>
          </w:p>
          <w:p w14:paraId="3E4779D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„d) constată contravențiile și aplică sancțiunile contravenționale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 contravențional pentru încălcarea obligațiilor stabilite de Legea privind detașarea salariaților în cadrul prestării de servicii transnaționale;”</w:t>
            </w:r>
          </w:p>
        </w:tc>
      </w:tr>
      <w:tr w:rsidR="00E114BB" w14:paraId="0F858F3E" w14:textId="77777777">
        <w:trPr>
          <w:trHeight w:val="600"/>
        </w:trPr>
        <w:tc>
          <w:tcPr>
            <w:tcW w:w="555" w:type="dxa"/>
            <w:vMerge/>
          </w:tcPr>
          <w:p w14:paraId="366539C0" w14:textId="77777777" w:rsidR="00E114BB" w:rsidRDefault="00E114BB">
            <w:pPr>
              <w:spacing w:line="240" w:lineRule="auto"/>
              <w:rPr>
                <w:rFonts w:ascii="Times New Roman" w:eastAsia="Times New Roman" w:hAnsi="Times New Roman" w:cs="Times New Roman"/>
                <w:b/>
                <w:bCs/>
              </w:rPr>
            </w:pPr>
          </w:p>
        </w:tc>
        <w:tc>
          <w:tcPr>
            <w:tcW w:w="2700" w:type="dxa"/>
            <w:vMerge/>
          </w:tcPr>
          <w:p w14:paraId="64654514" w14:textId="77777777" w:rsidR="00E114BB" w:rsidRDefault="00E114BB">
            <w:pPr>
              <w:spacing w:line="240" w:lineRule="auto"/>
              <w:jc w:val="center"/>
              <w:rPr>
                <w:rFonts w:ascii="Times New Roman" w:eastAsia="Times New Roman" w:hAnsi="Times New Roman" w:cs="Times New Roman"/>
              </w:rPr>
            </w:pPr>
          </w:p>
        </w:tc>
        <w:tc>
          <w:tcPr>
            <w:tcW w:w="5880" w:type="dxa"/>
          </w:tcPr>
          <w:p w14:paraId="1C17F14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Codul Muncii, Articolul 8: - alineatul (1) prevede o listă extinsă de criterii de discriminare și include, pe lângă acestea, formularea „și criteriile stabilite prin Legea nr. 121/2012 cu privire la asigurarea egalității, precum şi pe alte criterii nelegate de </w:t>
            </w:r>
            <w:proofErr w:type="spellStart"/>
            <w:r>
              <w:rPr>
                <w:rFonts w:ascii="Times New Roman" w:eastAsia="Times New Roman" w:hAnsi="Times New Roman" w:cs="Times New Roman"/>
                <w:highlight w:val="white"/>
              </w:rPr>
              <w:t>calităţile</w:t>
            </w:r>
            <w:proofErr w:type="spellEnd"/>
            <w:r>
              <w:rPr>
                <w:rFonts w:ascii="Times New Roman" w:eastAsia="Times New Roman" w:hAnsi="Times New Roman" w:cs="Times New Roman"/>
                <w:highlight w:val="white"/>
              </w:rPr>
              <w:t xml:space="preserve"> sale profesionale”. Din perspectiva mediului de afaceri, această formulare poate genera incertitudine juridică deoarece extinde în mod deschis sfera criteriilor de discriminare. Angajatorii nu pot determina toate situațiile care ar putea fi considerate discriminatorii, în special atunci când norma face trimitere la criterii prevăzute într-o altă lege sau la „alte criterii” nedefinite.</w:t>
            </w:r>
          </w:p>
          <w:p w14:paraId="5D90D310"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17FE009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0668F99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observațiile formulate de mediul de afaceri cu privire la caracterul deschis al enumerării criteriilor de discriminare prevăzute la art. 8 alin. (1) din Codul muncii al Republicii Moldova. În acest context, se acceptă parțial propunerea, în varianta susținută de Consiliul pentru egalitate.</w:t>
            </w:r>
          </w:p>
          <w:p w14:paraId="043C0F2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reține că sintagma „alte criterii” face parte din redactarea actuală a art. 8, care a fost menținută în mod constant și nu a generat, până în prezent, dificultăți reale de interpretare sau aplicare. În aceste condiții, menținerea acestei formulări nu este de natură să creeze incertitudine juridică, ci asigură flexibilitatea necesară pentru a acoperi situații de discriminare neprevăzute expres.</w:t>
            </w:r>
          </w:p>
          <w:p w14:paraId="0F1E9B0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8 alin (1) din Codul Muncii se propune în următoarea redacție:</w:t>
            </w:r>
          </w:p>
          <w:p w14:paraId="242DE3B6" w14:textId="77777777" w:rsidR="00E114BB" w:rsidRDefault="00000000">
            <w:pPr>
              <w:spacing w:line="240" w:lineRule="auto"/>
              <w:ind w:firstLine="705"/>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cadrul raporturilor de muncă </w:t>
            </w:r>
            <w:r>
              <w:rPr>
                <w:rFonts w:ascii="Times New Roman" w:eastAsia="Times New Roman" w:hAnsi="Times New Roman" w:cs="Times New Roman"/>
                <w:b/>
                <w:bCs/>
                <w:highlight w:val="white"/>
              </w:rPr>
              <w:t xml:space="preserve">și a altor raporturi legate nemijlocit de acestea se aplică principiul egalității de tratament. Orice discriminare a salariatului pe criteriile protejate, stabilite prin Legea nr. 121/2012 cu privire la </w:t>
            </w:r>
            <w:r>
              <w:rPr>
                <w:rFonts w:ascii="Times New Roman" w:eastAsia="Times New Roman" w:hAnsi="Times New Roman" w:cs="Times New Roman"/>
                <w:b/>
                <w:bCs/>
                <w:highlight w:val="white"/>
              </w:rPr>
              <w:lastRenderedPageBreak/>
              <w:t xml:space="preserve">asigurarea egalității, precum şi pe criterii de domiciliu, opțiune politică, </w:t>
            </w:r>
            <w:r>
              <w:rPr>
                <w:rFonts w:ascii="Times New Roman" w:eastAsia="Times New Roman" w:hAnsi="Times New Roman" w:cs="Times New Roman"/>
                <w:highlight w:val="white"/>
              </w:rPr>
              <w:t>apartenență sau activitate sindicală sau alte criterii nelegate de calitățile sale profesionale, este interzisă.</w:t>
            </w:r>
          </w:p>
        </w:tc>
      </w:tr>
      <w:tr w:rsidR="00E114BB" w14:paraId="5DAC976C" w14:textId="77777777">
        <w:trPr>
          <w:trHeight w:val="600"/>
        </w:trPr>
        <w:tc>
          <w:tcPr>
            <w:tcW w:w="555" w:type="dxa"/>
            <w:vMerge/>
          </w:tcPr>
          <w:p w14:paraId="11D4F400" w14:textId="77777777" w:rsidR="00E114BB" w:rsidRDefault="00E114BB">
            <w:pPr>
              <w:spacing w:line="240" w:lineRule="auto"/>
              <w:rPr>
                <w:rFonts w:ascii="Times New Roman" w:eastAsia="Times New Roman" w:hAnsi="Times New Roman" w:cs="Times New Roman"/>
                <w:b/>
                <w:bCs/>
              </w:rPr>
            </w:pPr>
          </w:p>
        </w:tc>
        <w:tc>
          <w:tcPr>
            <w:tcW w:w="2700" w:type="dxa"/>
            <w:vMerge/>
          </w:tcPr>
          <w:p w14:paraId="31A15980" w14:textId="77777777" w:rsidR="00E114BB" w:rsidRDefault="00E114BB">
            <w:pPr>
              <w:spacing w:line="240" w:lineRule="auto"/>
              <w:jc w:val="center"/>
              <w:rPr>
                <w:rFonts w:ascii="Times New Roman" w:eastAsia="Times New Roman" w:hAnsi="Times New Roman" w:cs="Times New Roman"/>
              </w:rPr>
            </w:pPr>
          </w:p>
        </w:tc>
        <w:tc>
          <w:tcPr>
            <w:tcW w:w="5880" w:type="dxa"/>
          </w:tcPr>
          <w:p w14:paraId="15F3518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alin. (1/1) prevede că alineatul (1) „se aplică tuturor persoanelor, atât în sectorul public, cât și în cel privat…„ Astfel de formulare este largă și poate crea confuzie, deoarece Codul muncii reglementează în principal raporturile dintre angajatori și salariați sau persoanele care solicită angajarea. Utilizarea expresiei „toate persoanele” poate genera interpretarea că norma se aplică și unor categorii care nu intră în sfera raporturilor de muncă.</w:t>
            </w:r>
          </w:p>
          <w:p w14:paraId="328A78B6"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0545B67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E75864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(nr. 121/2012 cu privire la  cu privire la asigurarea egalității) conform recomandărilor experților UE.</w:t>
            </w:r>
          </w:p>
        </w:tc>
      </w:tr>
      <w:tr w:rsidR="00E114BB" w14:paraId="64DB6FB2" w14:textId="77777777">
        <w:trPr>
          <w:trHeight w:val="600"/>
        </w:trPr>
        <w:tc>
          <w:tcPr>
            <w:tcW w:w="555" w:type="dxa"/>
            <w:vMerge/>
          </w:tcPr>
          <w:p w14:paraId="4139F755" w14:textId="77777777" w:rsidR="00E114BB" w:rsidRDefault="00E114BB">
            <w:pPr>
              <w:spacing w:line="240" w:lineRule="auto"/>
              <w:rPr>
                <w:rFonts w:ascii="Times New Roman" w:eastAsia="Times New Roman" w:hAnsi="Times New Roman" w:cs="Times New Roman"/>
                <w:b/>
                <w:bCs/>
              </w:rPr>
            </w:pPr>
          </w:p>
        </w:tc>
        <w:tc>
          <w:tcPr>
            <w:tcW w:w="2700" w:type="dxa"/>
            <w:vMerge/>
          </w:tcPr>
          <w:p w14:paraId="67D23D56" w14:textId="77777777" w:rsidR="00E114BB" w:rsidRDefault="00E114BB">
            <w:pPr>
              <w:spacing w:line="240" w:lineRule="auto"/>
              <w:jc w:val="center"/>
              <w:rPr>
                <w:rFonts w:ascii="Times New Roman" w:eastAsia="Times New Roman" w:hAnsi="Times New Roman" w:cs="Times New Roman"/>
              </w:rPr>
            </w:pPr>
          </w:p>
        </w:tc>
        <w:tc>
          <w:tcPr>
            <w:tcW w:w="5880" w:type="dxa"/>
          </w:tcPr>
          <w:p w14:paraId="0787F4B2"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Articolul 42/1: </w:t>
            </w:r>
          </w:p>
          <w:p w14:paraId="05C30C1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alin. (3) se completează cu obligația de „formulare a unui aviz înainte de adoptarea deciziei de către angajator” prin care se creează o etapă procedurală suplimentară care nu rezultă din structura actuală a articolului. Norma actuală prevede doar procedura de informare și nu obligă reprezentanții salariaților să emită un document formal și nici nu condiționează adoptarea deciziei angajatorului de existența unui aviz. Nu este clară natura juridică a acestui aviz și nici dacă acesta are caracter strict consultativ. În lipsa acestor clarificări, există riscul ca avizul să fie interpretat ca o condiție pentru adoptarea deciziei angajatorului.</w:t>
            </w:r>
          </w:p>
          <w:p w14:paraId="26B35D0B"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4A05398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457DA5C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obiecțiile formulate, în special în ceea ce privește necesitatea clarificării naturii juridice a avizului și evitarea instituirii unei obligații excesive în sarcina părților. În consecință, prevederile supuse sintezei au fost revizuite în conformitate cu recomandările Centrului de Armonizare a Legislației, fiind precizate atât caracterul consultativ al avizului, cât și termenul în care acesta poate fi exprimat. Astfel, dispozițiile art. 42 și art. 42¹ din Codul muncii al Republicii Moldova vor avea redactarea ajustată, menită să asigure echilibrul între dreptul la consultare al salariaților și prerogativa decizională a angajatorului.</w:t>
            </w:r>
          </w:p>
          <w:p w14:paraId="004E5935" w14:textId="77777777" w:rsidR="00E114BB"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highlight w:val="white"/>
              </w:rPr>
              <w:t xml:space="preserve"> alineatul (2) lit. b) se completează în final cu textul</w:t>
            </w:r>
          </w:p>
          <w:p w14:paraId="58C0EE6A" w14:textId="77777777" w:rsidR="00E114BB"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Participarea salariaţilor la administrarea unităţii poate fi realizată prin:</w:t>
            </w:r>
          </w:p>
          <w:p w14:paraId="7C874022" w14:textId="77777777" w:rsidR="00E114BB" w:rsidRDefault="00000000">
            <w:pPr>
              <w:spacing w:line="240" w:lineRule="auto"/>
              <w:ind w:firstLine="20"/>
              <w:jc w:val="both"/>
              <w:rPr>
                <w:rFonts w:ascii="Times New Roman" w:eastAsia="Times New Roman" w:hAnsi="Times New Roman" w:cs="Times New Roman"/>
                <w:sz w:val="18"/>
                <w:szCs w:val="18"/>
                <w:highlight w:val="white"/>
              </w:rPr>
            </w:pPr>
            <w:r>
              <w:rPr>
                <w:rFonts w:ascii="Times New Roman" w:eastAsia="Times New Roman" w:hAnsi="Times New Roman" w:cs="Times New Roman"/>
                <w:highlight w:val="white"/>
              </w:rPr>
              <w:t xml:space="preserve">b) informarea şi consultarea salariaţilor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6BB44898"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w:t>
            </w:r>
            <w:r>
              <w:rPr>
                <w:rFonts w:ascii="Times New Roman" w:eastAsia="Times New Roman" w:hAnsi="Times New Roman" w:cs="Times New Roman"/>
                <w:highlight w:val="white"/>
              </w:rPr>
              <w:t xml:space="preserve"> alin. (1) din Codul muncii va fi expus în următoarea redacție:</w:t>
            </w:r>
          </w:p>
          <w:p w14:paraId="7E51CCF3" w14:textId="77777777" w:rsidR="00E114BB" w:rsidRDefault="00E114BB">
            <w:pPr>
              <w:shd w:val="clear" w:color="auto" w:fill="FFFFFF"/>
              <w:ind w:firstLine="680"/>
              <w:jc w:val="both"/>
              <w:rPr>
                <w:rFonts w:ascii="Times New Roman" w:eastAsia="Times New Roman" w:hAnsi="Times New Roman" w:cs="Times New Roman"/>
                <w:highlight w:val="white"/>
              </w:rPr>
            </w:pPr>
          </w:p>
          <w:p w14:paraId="23308F79" w14:textId="77777777" w:rsidR="00E114BB"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În sensul prezentului articol prin informare se înțelege transmiterea de date de către angajator salariaților/reprezentanților salariaților pentru a le permite să se familiarizeze cu subiectul și să-l examineze, iar prin consultare se înțelege schimbul de păreri și stabilirea unui dialog între salariați/reprezentanții salariaților</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și angajator.”</w:t>
            </w:r>
          </w:p>
          <w:p w14:paraId="18FCDEEA" w14:textId="77777777" w:rsidR="00E114BB" w:rsidRDefault="00E114BB">
            <w:pPr>
              <w:shd w:val="clear" w:color="auto" w:fill="FFFFFF"/>
              <w:ind w:firstLine="680"/>
              <w:jc w:val="both"/>
              <w:rPr>
                <w:rFonts w:ascii="Times New Roman" w:eastAsia="Times New Roman" w:hAnsi="Times New Roman" w:cs="Times New Roman"/>
                <w:b/>
                <w:bCs/>
                <w:highlight w:val="white"/>
              </w:rPr>
            </w:pPr>
          </w:p>
          <w:p w14:paraId="38007533"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(3) din Codul muncii va fi expus în următoarea redacție:</w:t>
            </w:r>
          </w:p>
          <w:p w14:paraId="049CF63B"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 xml:space="preserve">(3) </w:t>
            </w:r>
            <w:r>
              <w:rPr>
                <w:rFonts w:ascii="Times New Roman" w:eastAsia="Times New Roman" w:hAnsi="Times New Roman" w:cs="Times New Roman"/>
                <w:highlight w:val="white"/>
              </w:rPr>
              <w:t>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și formularea unui aviz înainte de adoptarea deciziei de către angajator;</w:t>
            </w:r>
          </w:p>
          <w:p w14:paraId="149EDA9A" w14:textId="77777777" w:rsidR="00E114BB" w:rsidRDefault="00E114BB">
            <w:pPr>
              <w:shd w:val="clear" w:color="auto" w:fill="FFFFFF"/>
              <w:ind w:firstLine="680"/>
              <w:jc w:val="both"/>
              <w:rPr>
                <w:rFonts w:ascii="Times New Roman" w:eastAsia="Times New Roman" w:hAnsi="Times New Roman" w:cs="Times New Roman"/>
                <w:highlight w:val="white"/>
              </w:rPr>
            </w:pPr>
          </w:p>
          <w:p w14:paraId="2D34FD05"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Suplimentar se completează cu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w:t>
            </w:r>
          </w:p>
        </w:tc>
      </w:tr>
      <w:tr w:rsidR="00E114BB" w14:paraId="0031BECD" w14:textId="77777777">
        <w:trPr>
          <w:trHeight w:val="600"/>
        </w:trPr>
        <w:tc>
          <w:tcPr>
            <w:tcW w:w="555" w:type="dxa"/>
            <w:vMerge/>
          </w:tcPr>
          <w:p w14:paraId="5158F96C" w14:textId="77777777" w:rsidR="00E114BB" w:rsidRDefault="00E114BB">
            <w:pPr>
              <w:spacing w:line="240" w:lineRule="auto"/>
              <w:rPr>
                <w:rFonts w:ascii="Times New Roman" w:eastAsia="Times New Roman" w:hAnsi="Times New Roman" w:cs="Times New Roman"/>
                <w:b/>
                <w:bCs/>
              </w:rPr>
            </w:pPr>
          </w:p>
        </w:tc>
        <w:tc>
          <w:tcPr>
            <w:tcW w:w="2700" w:type="dxa"/>
            <w:vMerge/>
          </w:tcPr>
          <w:p w14:paraId="5D658471" w14:textId="77777777" w:rsidR="00E114BB" w:rsidRDefault="00E114BB">
            <w:pPr>
              <w:spacing w:line="240" w:lineRule="auto"/>
              <w:jc w:val="center"/>
              <w:rPr>
                <w:rFonts w:ascii="Times New Roman" w:eastAsia="Times New Roman" w:hAnsi="Times New Roman" w:cs="Times New Roman"/>
              </w:rPr>
            </w:pPr>
          </w:p>
        </w:tc>
        <w:tc>
          <w:tcPr>
            <w:tcW w:w="5880" w:type="dxa"/>
          </w:tcPr>
          <w:p w14:paraId="1A96C59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alin. (7) prin introducerea formulării „în vederea obținerii unui acord asupra deciziilor” și substituirea termenului „consens” cu „acord” poate fi interpretată ca o extindere a rolului reprezentanților salariaților în procesul decizional. În actuala redacție, consultarea are caracter consultativ, iar decizia finală aparține angajatorului. Utilizarea noțiunii de „acord” poate </w:t>
            </w:r>
            <w:r>
              <w:rPr>
                <w:rFonts w:ascii="Times New Roman" w:eastAsia="Times New Roman" w:hAnsi="Times New Roman" w:cs="Times New Roman"/>
                <w:highlight w:val="white"/>
              </w:rPr>
              <w:lastRenderedPageBreak/>
              <w:t>sugera că adoptarea deciziei ar depinde de acceptul reprezentanților salariaților, ceea ce ar putea limita prerogativa managerială a angajatorului.</w:t>
            </w:r>
          </w:p>
          <w:p w14:paraId="2526B980"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59A72B35" w14:textId="77777777" w:rsidR="00E114BB"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7D316392"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reține că observația formulată vizează posibila interpretare extensivă a noțiunii de „acord”, însă se impune precizarea că alinierea terminologică este necesară pentru asigurarea conformității cu Directiva 2002/14/CE, care utilizează expres </w:t>
            </w:r>
            <w:r>
              <w:rPr>
                <w:rFonts w:ascii="Times New Roman" w:eastAsia="Times New Roman" w:hAnsi="Times New Roman" w:cs="Times New Roman"/>
                <w:highlight w:val="white"/>
              </w:rPr>
              <w:lastRenderedPageBreak/>
              <w:t>conceptul de consultare „în vederea ajungerii la un acord”, fără a conferi reprezentanților salariaților un drept de veto asupra deciziei angajatorului.</w:t>
            </w:r>
          </w:p>
          <w:p w14:paraId="6AC5D7A4"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constată că în redacția anterioară a fost utilizat termenul „consens”, care, deși apropiat ca sens de noțiunea de „acord”, nu este consacrat de directivă și poate genera incertitudini interpretative suplimentare. În acest context, substituirea termenului respectiv urmărește uniformizarea terminologiei cu cea europeană, fără a modifica natura juridică a procedurii de consultare, care rămâne una consultativă.</w:t>
            </w:r>
          </w:p>
          <w:p w14:paraId="42EE954E"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acceptă parțial obiecția, iar art. 42¹ alin. (7) lit. c) din Codul muncii al Republicii Moldova va avea următoarea redactare: </w:t>
            </w:r>
          </w:p>
          <w:p w14:paraId="55E2AC5F" w14:textId="77777777" w:rsidR="00E114BB" w:rsidRDefault="00E114BB">
            <w:pPr>
              <w:shd w:val="clear" w:color="auto" w:fill="FFFFFF"/>
              <w:jc w:val="both"/>
              <w:rPr>
                <w:rFonts w:ascii="Times New Roman" w:eastAsia="Times New Roman" w:hAnsi="Times New Roman" w:cs="Times New Roman"/>
                <w:b/>
                <w:bCs/>
                <w:highlight w:val="white"/>
              </w:rPr>
            </w:pPr>
          </w:p>
          <w:p w14:paraId="73FBACF3"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1926CA76" w14:textId="77777777" w:rsidR="00E114BB"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tc>
      </w:tr>
      <w:tr w:rsidR="00E114BB" w14:paraId="0658F443" w14:textId="77777777">
        <w:trPr>
          <w:trHeight w:val="600"/>
        </w:trPr>
        <w:tc>
          <w:tcPr>
            <w:tcW w:w="555" w:type="dxa"/>
            <w:vMerge/>
          </w:tcPr>
          <w:p w14:paraId="0F717F37" w14:textId="77777777" w:rsidR="00E114BB" w:rsidRDefault="00E114BB">
            <w:pPr>
              <w:spacing w:line="240" w:lineRule="auto"/>
              <w:rPr>
                <w:rFonts w:ascii="Times New Roman" w:eastAsia="Times New Roman" w:hAnsi="Times New Roman" w:cs="Times New Roman"/>
                <w:b/>
                <w:bCs/>
              </w:rPr>
            </w:pPr>
          </w:p>
        </w:tc>
        <w:tc>
          <w:tcPr>
            <w:tcW w:w="2700" w:type="dxa"/>
            <w:vMerge/>
          </w:tcPr>
          <w:p w14:paraId="102A1210" w14:textId="77777777" w:rsidR="00E114BB" w:rsidRDefault="00E114BB">
            <w:pPr>
              <w:spacing w:line="240" w:lineRule="auto"/>
              <w:jc w:val="center"/>
              <w:rPr>
                <w:rFonts w:ascii="Times New Roman" w:eastAsia="Times New Roman" w:hAnsi="Times New Roman" w:cs="Times New Roman"/>
              </w:rPr>
            </w:pPr>
          </w:p>
        </w:tc>
        <w:tc>
          <w:tcPr>
            <w:tcW w:w="5880" w:type="dxa"/>
          </w:tcPr>
          <w:p w14:paraId="3903B0A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introducerea alin. (7¹), care stabilește nulitatea deciziei adoptate fără informarea și consultarea reprezentanților salariaților sau înainte de finalizarea procedurii de consultare, reprezintă o sancțiune severă. Deși scopul este de a asigura respectarea procedurii de informare și consultare, textul nu precizează clar momentul în care procedura se consideră finalizată și nici modul în care această prevedere se corelează cu termenul de 10 zile lucrătoare prevăzut în prezent pentru prezentarea opiniei consultative. În lipsa unor clarificări de </w:t>
            </w:r>
            <w:r>
              <w:rPr>
                <w:rFonts w:ascii="Times New Roman" w:eastAsia="Times New Roman" w:hAnsi="Times New Roman" w:cs="Times New Roman"/>
                <w:highlight w:val="white"/>
              </w:rPr>
              <w:lastRenderedPageBreak/>
              <w:t>procedură, există riscul apariției unor litigii privind validitatea deciziilor angajatorului.</w:t>
            </w:r>
          </w:p>
          <w:p w14:paraId="5D9DF070"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0F1DD3F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tc>
      </w:tr>
      <w:tr w:rsidR="00E114BB" w14:paraId="6FC90194" w14:textId="77777777">
        <w:trPr>
          <w:trHeight w:val="600"/>
        </w:trPr>
        <w:tc>
          <w:tcPr>
            <w:tcW w:w="555" w:type="dxa"/>
            <w:vMerge/>
          </w:tcPr>
          <w:p w14:paraId="1D9F5FCC" w14:textId="77777777" w:rsidR="00E114BB" w:rsidRDefault="00E114BB">
            <w:pPr>
              <w:spacing w:line="240" w:lineRule="auto"/>
              <w:rPr>
                <w:rFonts w:ascii="Times New Roman" w:eastAsia="Times New Roman" w:hAnsi="Times New Roman" w:cs="Times New Roman"/>
                <w:b/>
                <w:bCs/>
              </w:rPr>
            </w:pPr>
          </w:p>
        </w:tc>
        <w:tc>
          <w:tcPr>
            <w:tcW w:w="2700" w:type="dxa"/>
            <w:vMerge/>
          </w:tcPr>
          <w:p w14:paraId="062AC418" w14:textId="77777777" w:rsidR="00E114BB" w:rsidRDefault="00E114BB">
            <w:pPr>
              <w:spacing w:line="240" w:lineRule="auto"/>
              <w:jc w:val="center"/>
              <w:rPr>
                <w:rFonts w:ascii="Times New Roman" w:eastAsia="Times New Roman" w:hAnsi="Times New Roman" w:cs="Times New Roman"/>
              </w:rPr>
            </w:pPr>
          </w:p>
        </w:tc>
        <w:tc>
          <w:tcPr>
            <w:tcW w:w="5880" w:type="dxa"/>
          </w:tcPr>
          <w:p w14:paraId="31B17BED"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Codul contravențional, articol 55/6: </w:t>
            </w:r>
          </w:p>
          <w:p w14:paraId="00EBF73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alin. (2) lit. b) stabilește răspunderea pentru încălcarea drepturilor salariaților detașați de către întreprinderi stabilite în alte state, însă nu este clar în ce măsură sancțiunile contravenționale pot fi efectiv aplicate și executate în raport cu angajatori stabiliți în afara Republicii Moldova, în lipsa unor mecanisme procedurale clare de cooperare și executare transfrontalieră. sancțiunile prevăzute la alin. (3), de până la 2000 unități convenționale (aproximativ 100 000 lei), se aplică inclusiv pentru abateri de natură administrativă, precum prezentarea tardivă a notificării sau neprezentarea unor documente. Din perspectiva principiului proporționalității sancțiunilor, aplicarea unor amenzi de asemenea nivel pentru încălcări procedurale sunt excesive și necesita o revizuire și diferențiere mai clară a sancțiunilor în funcție de gravitatea faptelor</w:t>
            </w:r>
          </w:p>
        </w:tc>
        <w:tc>
          <w:tcPr>
            <w:tcW w:w="5880" w:type="dxa"/>
          </w:tcPr>
          <w:p w14:paraId="77778A5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4003F10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urma reexaminării textului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s-a constatat că sancțiunile prevăzute la alin. (1) și alin. (2), în cuantum de la 1000 la 1500 unități convenționale, se încadrează în limitele generale prevăzute de Codul contravențional. </w:t>
            </w:r>
          </w:p>
          <w:p w14:paraId="72422D1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Totodată, sancțiunea prevăzută la alin. (3), în cuantum de la 1500 la 2000 unități convenționale, urmează a fi revizuită, întrucât depășește plafonul general admis de art. 34 din Codul contravențional pentru categoriile de subiecți vizați. În consecință, textul va fi ajustat în vederea corelării cu prevederile părții generale a Codului contravențional.</w:t>
            </w:r>
          </w:p>
        </w:tc>
      </w:tr>
      <w:tr w:rsidR="00E114BB" w14:paraId="06863133" w14:textId="77777777">
        <w:trPr>
          <w:trHeight w:val="600"/>
        </w:trPr>
        <w:tc>
          <w:tcPr>
            <w:tcW w:w="555" w:type="dxa"/>
            <w:vMerge/>
          </w:tcPr>
          <w:p w14:paraId="0D4E8161" w14:textId="77777777" w:rsidR="00E114BB" w:rsidRDefault="00E114BB">
            <w:pPr>
              <w:spacing w:line="240" w:lineRule="auto"/>
              <w:rPr>
                <w:rFonts w:ascii="Times New Roman" w:eastAsia="Times New Roman" w:hAnsi="Times New Roman" w:cs="Times New Roman"/>
                <w:b/>
                <w:bCs/>
              </w:rPr>
            </w:pPr>
          </w:p>
        </w:tc>
        <w:tc>
          <w:tcPr>
            <w:tcW w:w="2700" w:type="dxa"/>
            <w:vMerge/>
          </w:tcPr>
          <w:p w14:paraId="17C62E66" w14:textId="77777777" w:rsidR="00E114BB" w:rsidRDefault="00E114BB">
            <w:pPr>
              <w:spacing w:line="240" w:lineRule="auto"/>
              <w:jc w:val="center"/>
              <w:rPr>
                <w:rFonts w:ascii="Times New Roman" w:eastAsia="Times New Roman" w:hAnsi="Times New Roman" w:cs="Times New Roman"/>
              </w:rPr>
            </w:pPr>
          </w:p>
        </w:tc>
        <w:tc>
          <w:tcPr>
            <w:tcW w:w="5880" w:type="dxa"/>
          </w:tcPr>
          <w:p w14:paraId="28EEAF76"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Evaluarea notei de fundamentare (analizei impactului de reglementare) </w:t>
            </w:r>
          </w:p>
          <w:p w14:paraId="67CE026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Concluzia: Nota de fundamentare nu se susține </w:t>
            </w:r>
          </w:p>
          <w:p w14:paraId="653E2C2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Proiectul este unul de armonizare cu legislația UE, respectiv Metodologia AIR aprobată prin HG nr. 574/2024 prevede expres că, în cazul actelor normative cu relevanță UE, în secțiunea 2.2. nu este obligatorie argumentarea oportunității intervenției statului și nici examinarea detaliată a cauzelor problemelor care au stat la baza adoptării normelor europene. Aici este suficient de prezentat succint problemele identificate în analiza de impact realizată la nivelul instituțiilor UE sau a celor menționate în preambulul actului european. La fel, metodologia stabilește o cerință esențială – NF trebuie să examineze situația națională curentă în raport cu persoanele, fenomenele sociale și procesele economice vizate de reglementarea UE, astfel încât să fie determinat nivelul de pregătire și de conformare al cadrului </w:t>
            </w:r>
            <w:r>
              <w:rPr>
                <w:rFonts w:ascii="Times New Roman" w:eastAsia="Times New Roman" w:hAnsi="Times New Roman" w:cs="Times New Roman"/>
                <w:highlight w:val="white"/>
              </w:rPr>
              <w:lastRenderedPageBreak/>
              <w:t>național la cerințele legislației europene care urmează a fi transpusă. În secțiunea dată se indică ce acte normative transpun directivele respective și ce deficiențe legislative au fost identificate, însă nu evidențiază în mod explicit nivelul de pregătire și conformare al sistemului național la cerințele legislației europene. De exemplu, ar fi utilă o prezentare succintă a modului în care normele existente sunt aplicate în practică, a principalelor dificultăți identificate de autoritățile de control sau a eventualelor neconformități constatate în domeniile vizate de directive. De asemenea, urmează a fi indicate categoriile principale de actori afectați de aceste reglementări, cum ar fi angajatorii, salariații, lucrătorii temporari sau instituțiile responsabile de control și aplicare a legislației.</w:t>
            </w:r>
          </w:p>
        </w:tc>
        <w:tc>
          <w:tcPr>
            <w:tcW w:w="5880" w:type="dxa"/>
            <w:vMerge w:val="restart"/>
          </w:tcPr>
          <w:p w14:paraId="1D301FF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5A46499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Nota de fundamentare a fost revăzută în partea în care nu corespundea cu comentariile formulate în avizul Grupului de lucru</w:t>
            </w:r>
            <w:r>
              <w:rPr>
                <w:rFonts w:ascii="Times New Roman" w:eastAsia="Times New Roman" w:hAnsi="Times New Roman" w:cs="Times New Roman"/>
                <w:highlight w:val="white"/>
              </w:rPr>
              <w:t xml:space="preserve">, inclusiv luând în considerare prevederile </w:t>
            </w:r>
            <w:proofErr w:type="spellStart"/>
            <w:r>
              <w:rPr>
                <w:rFonts w:ascii="Times New Roman" w:eastAsia="Times New Roman" w:hAnsi="Times New Roman" w:cs="Times New Roman"/>
                <w:highlight w:val="white"/>
              </w:rPr>
              <w:t>pct</w:t>
            </w:r>
            <w:proofErr w:type="spellEnd"/>
            <w:r>
              <w:rPr>
                <w:rFonts w:ascii="Times New Roman" w:eastAsia="Times New Roman" w:hAnsi="Times New Roman" w:cs="Times New Roman"/>
                <w:highlight w:val="white"/>
              </w:rPr>
              <w:t xml:space="preserve"> 4. din Metodologia de analiză a impactului de reglementare, aprobată prin Hotărârea Guvernului nr.574/2024, care dispun:</w:t>
            </w:r>
          </w:p>
          <w:p w14:paraId="558265BF" w14:textId="77777777" w:rsidR="00E114BB" w:rsidRDefault="00000000">
            <w:pPr>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în  cazul proiectelor de acte normative cu relevanță UE, cu excepția reglementărilor care nu sunt prevăzute expres în actul juridic european, analiza impactului de reglementare se efectuează în formă simplificată, accentul fiind pus pe evaluarea situației curente, identificarea nivelului de pregătire a tuturor părților interesate (economică, socială, normativă etc.), evidențierea necesităților și estimarea costurilor pentru transpunerea și implementarea legislației UE.</w:t>
            </w:r>
          </w:p>
        </w:tc>
      </w:tr>
      <w:tr w:rsidR="00E114BB" w14:paraId="2925F301" w14:textId="77777777">
        <w:trPr>
          <w:trHeight w:val="600"/>
        </w:trPr>
        <w:tc>
          <w:tcPr>
            <w:tcW w:w="555" w:type="dxa"/>
            <w:vMerge/>
          </w:tcPr>
          <w:p w14:paraId="651A18B7" w14:textId="77777777" w:rsidR="00E114BB" w:rsidRDefault="00E114BB">
            <w:pPr>
              <w:spacing w:line="240" w:lineRule="auto"/>
              <w:rPr>
                <w:rFonts w:ascii="Times New Roman" w:eastAsia="Times New Roman" w:hAnsi="Times New Roman" w:cs="Times New Roman"/>
                <w:b/>
                <w:bCs/>
              </w:rPr>
            </w:pPr>
          </w:p>
        </w:tc>
        <w:tc>
          <w:tcPr>
            <w:tcW w:w="2700" w:type="dxa"/>
            <w:vMerge/>
          </w:tcPr>
          <w:p w14:paraId="3532FE3F" w14:textId="77777777" w:rsidR="00E114BB" w:rsidRDefault="00E114BB">
            <w:pPr>
              <w:spacing w:line="240" w:lineRule="auto"/>
              <w:jc w:val="center"/>
              <w:rPr>
                <w:rFonts w:ascii="Times New Roman" w:eastAsia="Times New Roman" w:hAnsi="Times New Roman" w:cs="Times New Roman"/>
              </w:rPr>
            </w:pPr>
          </w:p>
        </w:tc>
        <w:tc>
          <w:tcPr>
            <w:tcW w:w="5880" w:type="dxa"/>
          </w:tcPr>
          <w:p w14:paraId="0050819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Secțiunea 3 din perspectiva cerințelor metodologiei AIR nu evidențiază clar obiectivele generale și obiectivele specifice ale intervenției normative. Metodologia AIR prevede că obiectivele trebuie formulate ca schimbări urmărite în situația existentă și trebuie corelate cu problemele identificate anterior. Obiectivele obligatoriu trebuie formulate chiar și într-o formă succintă, având în vedere caracterul de armonizare cu legislația UE ceea ce ar contribui la evidențierea schimbărilor urmărite în situația existentă la nivel național. P.3.1 se axează mai mult pe enumerarea modificărilor legislative, fără a evidenția întotdeauna în mod explicit legătura dintre problemele identificate în secțiunea anterioară și soluțiile legislative propuse.</w:t>
            </w:r>
          </w:p>
        </w:tc>
        <w:tc>
          <w:tcPr>
            <w:tcW w:w="5880" w:type="dxa"/>
            <w:vMerge/>
          </w:tcPr>
          <w:p w14:paraId="2B885B5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E114BB" w14:paraId="2278871F" w14:textId="77777777">
        <w:trPr>
          <w:trHeight w:val="600"/>
        </w:trPr>
        <w:tc>
          <w:tcPr>
            <w:tcW w:w="555" w:type="dxa"/>
            <w:vMerge/>
          </w:tcPr>
          <w:p w14:paraId="2FE824A9" w14:textId="77777777" w:rsidR="00E114BB" w:rsidRDefault="00E114BB">
            <w:pPr>
              <w:spacing w:line="240" w:lineRule="auto"/>
              <w:rPr>
                <w:rFonts w:ascii="Times New Roman" w:eastAsia="Times New Roman" w:hAnsi="Times New Roman" w:cs="Times New Roman"/>
                <w:b/>
                <w:bCs/>
              </w:rPr>
            </w:pPr>
          </w:p>
        </w:tc>
        <w:tc>
          <w:tcPr>
            <w:tcW w:w="2700" w:type="dxa"/>
            <w:vMerge/>
          </w:tcPr>
          <w:p w14:paraId="77D3432E" w14:textId="77777777" w:rsidR="00E114BB" w:rsidRDefault="00E114BB">
            <w:pPr>
              <w:spacing w:line="240" w:lineRule="auto"/>
              <w:jc w:val="center"/>
              <w:rPr>
                <w:rFonts w:ascii="Times New Roman" w:eastAsia="Times New Roman" w:hAnsi="Times New Roman" w:cs="Times New Roman"/>
              </w:rPr>
            </w:pPr>
          </w:p>
        </w:tc>
        <w:tc>
          <w:tcPr>
            <w:tcW w:w="5880" w:type="dxa"/>
          </w:tcPr>
          <w:p w14:paraId="7EC5291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Secțiunea 4.3 prezintă la general principalele efecte ale proiectului de lege asupra angajatorilor din sectorul privat și evidențiază domeniile în care aceștia vor trebui să se conformeze noilor cerințe legislative rezultate din transpunerea acquis-ului Uniunii Europene. Totuși, nota nu examinează în mod suficient consecințele concrete ale intervenției legislative asupra mediului privat. Descrierea impactului se limitează la afirmarea obligației angajatorilor de a respecta noile cerințe legale și la menționarea posibilității aplicării sancțiunilor în cazul neconformării, fără a </w:t>
            </w:r>
            <w:r>
              <w:rPr>
                <w:rFonts w:ascii="Times New Roman" w:eastAsia="Times New Roman" w:hAnsi="Times New Roman" w:cs="Times New Roman"/>
                <w:highlight w:val="white"/>
              </w:rPr>
              <w:lastRenderedPageBreak/>
              <w:t>analiza în mod detaliat modul în care noile reglementări ar putea influența costurile de conformare, sarcinile administrative sau organizarea internă a activității angajatorilor. De exemplu, nu sunt prezentate estimări privind eventualele costuri administrative suplimentare, necesitatea adaptării procedurilor interne sau impactul asupra diferitelor categorii de întreprinderi, cum ar fi ÎMM. Mențiunea potrivit căreia costurile asociate detașărilor transnaționale ar fi proporționale cu creșterea veniturilor generate de prestarea serviciilor nu este însoțită de explicații sau argumente suplimentare care să susțină această concluzie.</w:t>
            </w:r>
          </w:p>
        </w:tc>
        <w:tc>
          <w:tcPr>
            <w:tcW w:w="5880" w:type="dxa"/>
            <w:vMerge/>
          </w:tcPr>
          <w:p w14:paraId="6CC6D22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E114BB" w14:paraId="116877A4" w14:textId="77777777">
        <w:trPr>
          <w:trHeight w:val="600"/>
        </w:trPr>
        <w:tc>
          <w:tcPr>
            <w:tcW w:w="555" w:type="dxa"/>
            <w:vMerge/>
          </w:tcPr>
          <w:p w14:paraId="04E4743A" w14:textId="77777777" w:rsidR="00E114BB" w:rsidRDefault="00E114BB">
            <w:pPr>
              <w:spacing w:line="240" w:lineRule="auto"/>
              <w:rPr>
                <w:rFonts w:ascii="Times New Roman" w:eastAsia="Times New Roman" w:hAnsi="Times New Roman" w:cs="Times New Roman"/>
                <w:b/>
                <w:bCs/>
              </w:rPr>
            </w:pPr>
          </w:p>
        </w:tc>
        <w:tc>
          <w:tcPr>
            <w:tcW w:w="2700" w:type="dxa"/>
            <w:vMerge/>
          </w:tcPr>
          <w:p w14:paraId="4B4B7EE1" w14:textId="77777777" w:rsidR="00E114BB" w:rsidRDefault="00E114BB">
            <w:pPr>
              <w:spacing w:line="240" w:lineRule="auto"/>
              <w:jc w:val="center"/>
              <w:rPr>
                <w:rFonts w:ascii="Times New Roman" w:eastAsia="Times New Roman" w:hAnsi="Times New Roman" w:cs="Times New Roman"/>
              </w:rPr>
            </w:pPr>
          </w:p>
        </w:tc>
        <w:tc>
          <w:tcPr>
            <w:tcW w:w="5880" w:type="dxa"/>
          </w:tcPr>
          <w:p w14:paraId="2A4F653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Secțiunea 6 se indică faptul că inițiativa legislativă a fost supusă procedurilor de transparență decizională prin publicarea anunțului de inițiere pe portalul guvernamental particip.gov.md și prin organizarea unor discuții preliminare cu reprezentanți ai autorităților publice, ai partenerilor sociali și ai mediului de afaceri. Totuși, descrierea procesului de consultare este relativ succintă și nu oferă suficiente informații privind conținutul și rezultatele consultărilor desfășurate. Deși în secțiunea dată se menționează organizarea unor discuții și participarea unor categorii generale de actori - nu sunt prezentate detalii privind propunerile sau observațiile formulate de participanți, modul în care acestea au fost analizate sau eventualele modificări operate în proiectul de lege ca urmare a procesului de consultare.</w:t>
            </w:r>
          </w:p>
        </w:tc>
        <w:tc>
          <w:tcPr>
            <w:tcW w:w="5880" w:type="dxa"/>
          </w:tcPr>
          <w:p w14:paraId="42EAC2E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343DC2E" w14:textId="77777777" w:rsidR="00E114BB"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Pentru respectarea prevederilor Legii nr. 239/2008 privind transparența în procesul decizional, materialele aferente proiectului de lege au fost publicate pentru consultări publice pe portalul guvernamental </w:t>
            </w:r>
            <w:hyperlink r:id="rId7">
              <w:r>
                <w:rPr>
                  <w:rFonts w:ascii="Times New Roman" w:eastAsia="Times New Roman" w:hAnsi="Times New Roman" w:cs="Times New Roman"/>
                  <w:color w:val="1155CC"/>
                  <w:u w:val="single"/>
                </w:rPr>
                <w:t>www.particip.gov.md</w:t>
              </w:r>
            </w:hyperlink>
            <w:r>
              <w:rPr>
                <w:rFonts w:ascii="Times New Roman" w:eastAsia="Times New Roman" w:hAnsi="Times New Roman" w:cs="Times New Roman"/>
              </w:rPr>
              <w:t xml:space="preserve"> și poate fi accesat la următorul link:  </w:t>
            </w:r>
            <w:hyperlink r:id="rId8">
              <w:r>
                <w:rPr>
                  <w:rFonts w:ascii="Times New Roman" w:eastAsia="Times New Roman" w:hAnsi="Times New Roman" w:cs="Times New Roman"/>
                  <w:color w:val="1155CC"/>
                  <w:u w:val="single"/>
                </w:rPr>
                <w:t>https://particip.gov.md/ro/document/stages/*/16085</w:t>
              </w:r>
            </w:hyperlink>
            <w:r>
              <w:rPr>
                <w:rFonts w:ascii="Times New Roman" w:eastAsia="Times New Roman" w:hAnsi="Times New Roman" w:cs="Times New Roman"/>
              </w:rPr>
              <w:t>.</w:t>
            </w:r>
          </w:p>
          <w:p w14:paraId="1D629666" w14:textId="77777777" w:rsidR="00E114BB"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Discuții prealabile asupra inițiativei de transpunere a acestor acte UE din domeniul muncii, securității și sănătății în muncă și egalității de tratament au fost organizate la sediul Ministerului Muncii și Protecției Sociale, </w:t>
            </w:r>
            <w:r>
              <w:rPr>
                <w:rFonts w:ascii="Times New Roman" w:eastAsia="Times New Roman" w:hAnsi="Times New Roman" w:cs="Times New Roman"/>
                <w:b/>
                <w:bCs/>
              </w:rPr>
              <w:t>la data de 24 februarie 2026</w:t>
            </w:r>
            <w:r>
              <w:rPr>
                <w:rFonts w:ascii="Times New Roman" w:eastAsia="Times New Roman" w:hAnsi="Times New Roman" w:cs="Times New Roman"/>
              </w:rPr>
              <w:t xml:space="preserve">, la care au participat reprezentanți ai autorităților publice, ai partenerilor sociali și ai mediului de afaceri </w:t>
            </w:r>
            <w:hyperlink r:id="rId9">
              <w:r>
                <w:rPr>
                  <w:rFonts w:ascii="Times New Roman" w:eastAsia="Times New Roman" w:hAnsi="Times New Roman" w:cs="Times New Roman"/>
                  <w:color w:val="1155CC"/>
                  <w:u w:val="single"/>
                </w:rPr>
                <w:t>(link)</w:t>
              </w:r>
            </w:hyperlink>
            <w:r>
              <w:rPr>
                <w:rFonts w:ascii="Times New Roman" w:eastAsia="Times New Roman" w:hAnsi="Times New Roman" w:cs="Times New Roman"/>
              </w:rPr>
              <w:t xml:space="preserve">. </w:t>
            </w:r>
          </w:p>
          <w:p w14:paraId="6A3077AE" w14:textId="77777777" w:rsidR="00E114BB" w:rsidRDefault="00000000">
            <w:pPr>
              <w:spacing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Conform celor </w:t>
            </w:r>
            <w:proofErr w:type="spellStart"/>
            <w:r>
              <w:rPr>
                <w:rFonts w:ascii="Times New Roman" w:eastAsia="Times New Roman" w:hAnsi="Times New Roman" w:cs="Times New Roman"/>
              </w:rPr>
              <w:t>protocolate</w:t>
            </w:r>
            <w:proofErr w:type="spellEnd"/>
            <w:r>
              <w:rPr>
                <w:rFonts w:ascii="Times New Roman" w:eastAsia="Times New Roman" w:hAnsi="Times New Roman" w:cs="Times New Roman"/>
              </w:rPr>
              <w:t>,</w:t>
            </w:r>
            <w:r>
              <w:rPr>
                <w:rFonts w:ascii="Times New Roman" w:eastAsia="Times New Roman" w:hAnsi="Times New Roman" w:cs="Times New Roman"/>
                <w:b/>
                <w:bCs/>
                <w:highlight w:val="white"/>
              </w:rPr>
              <w:t xml:space="preserve"> </w:t>
            </w:r>
            <w:r>
              <w:rPr>
                <w:rFonts w:ascii="Times New Roman" w:eastAsia="Times New Roman" w:hAnsi="Times New Roman" w:cs="Times New Roman"/>
              </w:rPr>
              <w:t>urmare a discuțiilor purtate, autorul a luat în considerare cele ce s-au decis:</w:t>
            </w:r>
          </w:p>
          <w:p w14:paraId="606C49FE" w14:textId="77777777" w:rsidR="00E114BB" w:rsidRDefault="00000000">
            <w:pPr>
              <w:jc w:val="both"/>
              <w:rPr>
                <w:rFonts w:ascii="Times New Roman" w:eastAsia="Times New Roman" w:hAnsi="Times New Roman" w:cs="Times New Roman"/>
                <w:i/>
                <w:iCs/>
              </w:rPr>
            </w:pPr>
            <w:r>
              <w:rPr>
                <w:rFonts w:ascii="Times New Roman" w:eastAsia="Times New Roman" w:hAnsi="Times New Roman" w:cs="Times New Roman"/>
                <w:i/>
                <w:iCs/>
              </w:rPr>
              <w:t xml:space="preserve">-  Omiterea din proiect a părții ce ține de executarea </w:t>
            </w:r>
            <w:r>
              <w:rPr>
                <w:rFonts w:ascii="Times New Roman" w:eastAsia="Times New Roman" w:hAnsi="Times New Roman" w:cs="Times New Roman"/>
                <w:i/>
                <w:iCs/>
                <w:u w:val="single"/>
              </w:rPr>
              <w:t>Hotărârii Curții Constituționale nr. 9/2025 (Art.90 al.(2), lit. a) privind plafonarea despăgubirii acordate de angajator în cazul concedierii ilegale a salariatului</w:t>
            </w:r>
            <w:r>
              <w:rPr>
                <w:rFonts w:ascii="Times New Roman" w:eastAsia="Times New Roman" w:hAnsi="Times New Roman" w:cs="Times New Roman"/>
                <w:i/>
                <w:iCs/>
              </w:rPr>
              <w:t>, aceasta urmând a fi discutată separat, prin inițierea și promovarea unui proiect de lege distinct;</w:t>
            </w:r>
          </w:p>
          <w:p w14:paraId="355F71D0" w14:textId="77777777" w:rsidR="00E114BB" w:rsidRDefault="00000000">
            <w:pPr>
              <w:jc w:val="both"/>
              <w:rPr>
                <w:rFonts w:ascii="Times New Roman" w:eastAsia="Times New Roman" w:hAnsi="Times New Roman" w:cs="Times New Roman"/>
                <w:i/>
                <w:iCs/>
              </w:rPr>
            </w:pPr>
            <w:r>
              <w:rPr>
                <w:rFonts w:ascii="Times New Roman" w:eastAsia="Times New Roman" w:hAnsi="Times New Roman" w:cs="Times New Roman"/>
                <w:i/>
                <w:iCs/>
              </w:rPr>
              <w:lastRenderedPageBreak/>
              <w:t>-  Corectarea omisiunilor tehnice admise în textul proiectului;</w:t>
            </w:r>
          </w:p>
          <w:p w14:paraId="299DF88E" w14:textId="77777777" w:rsidR="00E114BB" w:rsidRDefault="00000000">
            <w:pPr>
              <w:jc w:val="both"/>
              <w:rPr>
                <w:rFonts w:ascii="Times New Roman" w:eastAsia="Times New Roman" w:hAnsi="Times New Roman" w:cs="Times New Roman"/>
              </w:rPr>
            </w:pPr>
            <w:r>
              <w:rPr>
                <w:rFonts w:ascii="Times New Roman" w:eastAsia="Times New Roman" w:hAnsi="Times New Roman" w:cs="Times New Roman"/>
                <w:i/>
                <w:iCs/>
              </w:rPr>
              <w:t xml:space="preserve">-  Transmiterea </w:t>
            </w:r>
            <w:r>
              <w:rPr>
                <w:rFonts w:ascii="Times New Roman" w:eastAsia="Times New Roman" w:hAnsi="Times New Roman" w:cs="Times New Roman"/>
                <w:i/>
                <w:iCs/>
                <w:u w:val="single"/>
              </w:rPr>
              <w:t>proiectului de lege pentru modificarea</w:t>
            </w:r>
            <w:r>
              <w:rPr>
                <w:rFonts w:ascii="Times New Roman" w:eastAsia="Times New Roman" w:hAnsi="Times New Roman" w:cs="Times New Roman"/>
                <w:i/>
                <w:iCs/>
              </w:rPr>
              <w:t xml:space="preserve"> </w:t>
            </w:r>
            <w:r>
              <w:rPr>
                <w:rFonts w:ascii="Times New Roman" w:eastAsia="Times New Roman" w:hAnsi="Times New Roman" w:cs="Times New Roman"/>
                <w:i/>
                <w:iCs/>
                <w:u w:val="single"/>
              </w:rPr>
              <w:t>Codului muncii și a unor acte normative</w:t>
            </w:r>
            <w:r>
              <w:rPr>
                <w:rFonts w:ascii="Times New Roman" w:eastAsia="Times New Roman" w:hAnsi="Times New Roman" w:cs="Times New Roman"/>
                <w:i/>
                <w:iCs/>
              </w:rPr>
              <w:t xml:space="preserve"> în ședința secretarilor generali și, ulterior, pentru avizare autorităților de resort și consultare publică.</w:t>
            </w:r>
          </w:p>
          <w:p w14:paraId="2C5517B5" w14:textId="77777777" w:rsidR="00E114BB" w:rsidRDefault="00000000">
            <w:pPr>
              <w:spacing w:before="200" w:after="200" w:line="240" w:lineRule="auto"/>
              <w:ind w:firstLine="720"/>
              <w:jc w:val="both"/>
              <w:rPr>
                <w:rFonts w:ascii="Times New Roman" w:eastAsia="Times New Roman" w:hAnsi="Times New Roman" w:cs="Times New Roman"/>
                <w:b/>
                <w:bCs/>
                <w:highlight w:val="white"/>
              </w:rPr>
            </w:pPr>
            <w:r>
              <w:rPr>
                <w:rFonts w:ascii="Times New Roman" w:eastAsia="Times New Roman" w:hAnsi="Times New Roman" w:cs="Times New Roman"/>
              </w:rPr>
              <w:t xml:space="preserve">De asemenea, </w:t>
            </w:r>
            <w:r>
              <w:rPr>
                <w:rFonts w:ascii="Times New Roman" w:eastAsia="Times New Roman" w:hAnsi="Times New Roman" w:cs="Times New Roman"/>
                <w:b/>
                <w:bCs/>
              </w:rPr>
              <w:t>la data de 10 martie 2026</w:t>
            </w:r>
            <w:r>
              <w:rPr>
                <w:rFonts w:ascii="Times New Roman" w:eastAsia="Times New Roman" w:hAnsi="Times New Roman" w:cs="Times New Roman"/>
              </w:rPr>
              <w:t>, a fost organizată o ședință de lucru extinsă cu părțile interesate referitoare la aplicarea prevederilor Articolul 103. Munca de noapte din Codul muncii nr.154/2003. Propunerile formulate în cadrul ședinței se regăsesc în proiectul de lege.</w:t>
            </w:r>
          </w:p>
          <w:p w14:paraId="577B5677" w14:textId="77777777" w:rsidR="00E114BB"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Subsidiar, discuții prealabile privind inițiativa de transpunere a </w:t>
            </w:r>
            <w:r>
              <w:rPr>
                <w:rFonts w:ascii="Times New Roman" w:eastAsia="Times New Roman" w:hAnsi="Times New Roman" w:cs="Times New Roman"/>
                <w:b/>
                <w:bCs/>
              </w:rPr>
              <w:t>Directivei 96/71/CE</w:t>
            </w:r>
            <w:r>
              <w:rPr>
                <w:rFonts w:ascii="Times New Roman" w:eastAsia="Times New Roman" w:hAnsi="Times New Roman" w:cs="Times New Roman"/>
              </w:rPr>
              <w:t xml:space="preserve"> și a </w:t>
            </w:r>
            <w:r>
              <w:rPr>
                <w:rFonts w:ascii="Times New Roman" w:eastAsia="Times New Roman" w:hAnsi="Times New Roman" w:cs="Times New Roman"/>
                <w:b/>
                <w:bCs/>
              </w:rPr>
              <w:t>Directivei 2014/67/CE</w:t>
            </w:r>
            <w:r>
              <w:rPr>
                <w:rFonts w:ascii="Times New Roman" w:eastAsia="Times New Roman" w:hAnsi="Times New Roman" w:cs="Times New Roman"/>
              </w:rPr>
              <w:t xml:space="preserve"> au avut loc </w:t>
            </w:r>
            <w:r>
              <w:rPr>
                <w:rFonts w:ascii="Times New Roman" w:eastAsia="Times New Roman" w:hAnsi="Times New Roman" w:cs="Times New Roman"/>
                <w:b/>
                <w:bCs/>
              </w:rPr>
              <w:t xml:space="preserve">la data de 13 februarie 2026 </w:t>
            </w:r>
            <w:hyperlink r:id="rId10">
              <w:r>
                <w:rPr>
                  <w:rFonts w:ascii="Times New Roman" w:eastAsia="Times New Roman" w:hAnsi="Times New Roman" w:cs="Times New Roman"/>
                  <w:color w:val="1155CC"/>
                  <w:u w:val="single"/>
                </w:rPr>
                <w:t>(link)</w:t>
              </w:r>
            </w:hyperlink>
            <w:r>
              <w:rPr>
                <w:rFonts w:ascii="Times New Roman" w:eastAsia="Times New Roman" w:hAnsi="Times New Roman" w:cs="Times New Roman"/>
              </w:rPr>
              <w:t xml:space="preserve">, la sediul Ministerului Muncii și Protecției Sociale, precum și </w:t>
            </w:r>
            <w:r>
              <w:rPr>
                <w:rFonts w:ascii="Times New Roman" w:eastAsia="Times New Roman" w:hAnsi="Times New Roman" w:cs="Times New Roman"/>
                <w:b/>
                <w:bCs/>
              </w:rPr>
              <w:t>la data de 20 februarie 2026</w:t>
            </w:r>
            <w:r>
              <w:rPr>
                <w:rFonts w:ascii="Times New Roman" w:eastAsia="Times New Roman" w:hAnsi="Times New Roman" w:cs="Times New Roman"/>
              </w:rPr>
              <w:t>, în format online. În procesul de consultare au fost implicați reprezentanți ai autorităților publice, ai partenerilor sociali și ai mediului de afaceri.</w:t>
            </w:r>
          </w:p>
          <w:p w14:paraId="31B0F9A9" w14:textId="77777777" w:rsidR="00E114BB"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Observațiile formulate au vizat, în principal, claritatea normelor privind notificarea detașării, delimitarea competențelor autorităților, impactul asupra sectorului privat, precum și necesitatea ajustării unor soluții redacționale și de tehnică legislativă. Propunerile relevante au fost analizate și, după caz, valorificate prin ajustarea textului proiectului și a Notei de fundamentare.</w:t>
            </w:r>
          </w:p>
          <w:p w14:paraId="6D66877B" w14:textId="77777777" w:rsidR="00E114BB"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Proiectul de lege a parcurs etapa avizării cu autoritățile publice interesate și partenerii sociali, de obiecțiile și propunerile cărora s-a ținut cont, în măsura relevanței, la etapa de definitivare a proiectului de lege.</w:t>
            </w:r>
          </w:p>
        </w:tc>
      </w:tr>
      <w:tr w:rsidR="00E114BB" w14:paraId="15F84E42" w14:textId="77777777">
        <w:trPr>
          <w:trHeight w:val="345"/>
        </w:trPr>
        <w:tc>
          <w:tcPr>
            <w:tcW w:w="15015" w:type="dxa"/>
            <w:gridSpan w:val="4"/>
          </w:tcPr>
          <w:p w14:paraId="6FC28F17" w14:textId="77777777" w:rsidR="00E114BB" w:rsidRDefault="00000000">
            <w:pPr>
              <w:spacing w:line="24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lastRenderedPageBreak/>
              <w:t>Expertizare</w:t>
            </w:r>
          </w:p>
        </w:tc>
      </w:tr>
      <w:tr w:rsidR="00E114BB" w14:paraId="5A5E3ECA" w14:textId="77777777">
        <w:trPr>
          <w:trHeight w:val="600"/>
        </w:trPr>
        <w:tc>
          <w:tcPr>
            <w:tcW w:w="555" w:type="dxa"/>
            <w:vMerge w:val="restart"/>
          </w:tcPr>
          <w:p w14:paraId="71DEF8D7" w14:textId="77777777" w:rsidR="00E114BB"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21.</w:t>
            </w:r>
          </w:p>
        </w:tc>
        <w:tc>
          <w:tcPr>
            <w:tcW w:w="2700" w:type="dxa"/>
            <w:vMerge w:val="restart"/>
          </w:tcPr>
          <w:p w14:paraId="11FD3928" w14:textId="77777777" w:rsidR="00E114BB"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Centrul de Armonizare a legislației</w:t>
            </w:r>
          </w:p>
          <w:p w14:paraId="3A86807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31/02-69-3912</w:t>
            </w:r>
          </w:p>
          <w:p w14:paraId="54FBDD6D"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06.04.2026)</w:t>
            </w:r>
          </w:p>
        </w:tc>
        <w:tc>
          <w:tcPr>
            <w:tcW w:w="5880" w:type="dxa"/>
          </w:tcPr>
          <w:p w14:paraId="5D6A8A4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 urmare a expertizei de compatibilitate a versiunii inițiale a proiectului (Declarația de compatibilitate nr. 31/02-126-3296 din 23.03.2026), Centrul de armonizare a legislației a constatat că proiectul național asigură transpunerea parțială a: Directivei 89/391/CEE a Consiliului din 12 iunie 1989 privind punerea în aplicare de măsuri pentru promovarea îmbunătățirii securității și sănătății lucrătorilor la locul de muncă; Directivei 91/383/CEE Consiliului din 25 iunie 1991 de completare a măsurilor destinate să promoveze îmbunătățirea securității și sănătății la locul de muncă în cazul lucrătorilor care au un raport de muncă pe durată determinată sau un raport de muncă temporară; Directivei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Directivei 2000/43/CE a Consiliului din 29 iunie 2000 de punere în aplicare a principiului egalității de tratament între persoane, fără deosebire de rasă sau origine etnică Directiva 2000/78/CE a Consiliului din 27 noiembrie 2000 de creare a unui cadru general în favoarea egalității de tratament în ceea ce privește încadrarea în muncă și ocuparea forței de muncă; Directivei 2002/14/CE a Parlamentului European și a Consiliului din 11 martie 2002 de stabilire a unui cadru general de informare și consultare a lucrătorilor din Comunitatea Europeană; Directivei 2008/104/CE a Parlamentului European și a Consiliului din 19 noiembrie 2008 privind munca prin agent de muncă temporară; Directivei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și creează cadrul necesar aplicării Regulamentului (UE) 2019/1149 al Parlamentului European și al </w:t>
            </w:r>
            <w:r>
              <w:rPr>
                <w:rFonts w:ascii="Times New Roman" w:eastAsia="Times New Roman" w:hAnsi="Times New Roman" w:cs="Times New Roman"/>
                <w:highlight w:val="white"/>
              </w:rPr>
              <w:lastRenderedPageBreak/>
              <w:t>Consiliului din 20 iunie 2019 de instituire a unei Autorități Europene a Muncii, de modificare a Regulamentului (CE) nr 883/2004, a Regulamentului (UE) nr. 492/2011 și a Regulamentului (UE) 2016/589 și de abrogare a Deciziei (UE) 2016/344.</w:t>
            </w:r>
          </w:p>
        </w:tc>
        <w:tc>
          <w:tcPr>
            <w:tcW w:w="5880" w:type="dxa"/>
          </w:tcPr>
          <w:p w14:paraId="5B47539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ia act</w:t>
            </w:r>
          </w:p>
        </w:tc>
      </w:tr>
      <w:tr w:rsidR="00E114BB" w14:paraId="6E396533" w14:textId="77777777">
        <w:trPr>
          <w:trHeight w:val="600"/>
        </w:trPr>
        <w:tc>
          <w:tcPr>
            <w:tcW w:w="555" w:type="dxa"/>
            <w:vMerge/>
          </w:tcPr>
          <w:p w14:paraId="6C9BA60B" w14:textId="77777777" w:rsidR="00E114BB" w:rsidRDefault="00E114BB">
            <w:pPr>
              <w:spacing w:line="240" w:lineRule="auto"/>
              <w:rPr>
                <w:rFonts w:ascii="Times New Roman" w:eastAsia="Times New Roman" w:hAnsi="Times New Roman" w:cs="Times New Roman"/>
                <w:b/>
                <w:bCs/>
              </w:rPr>
            </w:pPr>
          </w:p>
        </w:tc>
        <w:tc>
          <w:tcPr>
            <w:tcW w:w="2700" w:type="dxa"/>
            <w:vMerge/>
          </w:tcPr>
          <w:p w14:paraId="2A3DEBF5" w14:textId="77777777" w:rsidR="00E114BB" w:rsidRDefault="00E114BB">
            <w:pPr>
              <w:spacing w:line="240" w:lineRule="auto"/>
              <w:jc w:val="center"/>
              <w:rPr>
                <w:rFonts w:ascii="Times New Roman" w:eastAsia="Times New Roman" w:hAnsi="Times New Roman" w:cs="Times New Roman"/>
              </w:rPr>
            </w:pPr>
          </w:p>
        </w:tc>
        <w:tc>
          <w:tcPr>
            <w:tcW w:w="5880" w:type="dxa"/>
          </w:tcPr>
          <w:p w14:paraId="2491E88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Cu referire la versiunea actuală a proiectului, expunem următoarele: </w:t>
            </w:r>
          </w:p>
          <w:p w14:paraId="0C914FD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1. </w:t>
            </w:r>
            <w:r>
              <w:rPr>
                <w:rFonts w:ascii="Times New Roman" w:eastAsia="Times New Roman" w:hAnsi="Times New Roman" w:cs="Times New Roman"/>
                <w:highlight w:val="white"/>
              </w:rPr>
              <w:t xml:space="preserve">Se mențin observațiile cu privire la necesitatea transpunerii în proiectul național a art. 17 (1) din Directiva 2000/43/CE și a art. 19 (1) din Directiva 2000/78/CE, care prevăd obligația statelor membre de a raporta periodic, din 5 în 5 ani, Comisiei Europene măsurile adoptate, stadiul implementării prevederilor directivelor, precum și toate informațiile necesare pentru evaluarea aplicării acestora. Normele naționale urmează a fi puse în aplicare din data intrării în vigoare a Tratatului de aderare a RM la UE, cu menționarea acestui fapt în dispozițiile finale și tranzitorii ale proiectului național. Argumentele invocate în Sinteză confirmă necesitatea transpunerii ambelor obligații de raportare într-un cadru normativ adecvat domeniului lor material extins. </w:t>
            </w:r>
          </w:p>
          <w:p w14:paraId="3DAFCC2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în situația neacceptării prezentei observații, în vederea asigurării transpunerii complete a Directivei 2000/43/CE și a Directivei 2000/78/CE, se impune planificarea obligatorie a modificărilor în actul normativ necesar în cadrul Programului național de aderare 2025–2029. În lipsa adoptării și publicării unui astfel de act normativ, gradul general de compatibilitate al proiectului față de cele două directive va rămâne ca fiind „Parțial compatibil”;</w:t>
            </w:r>
          </w:p>
        </w:tc>
        <w:tc>
          <w:tcPr>
            <w:tcW w:w="5880" w:type="dxa"/>
          </w:tcPr>
          <w:p w14:paraId="1C38F6F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respinge </w:t>
            </w:r>
          </w:p>
          <w:p w14:paraId="506693E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0A44032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Solicitarea nu poate fi reținută, întrucât cadrul normativ adecvat pentru instituirea obligațiilor de raportare îl constituie Legea nr. 121/2012, în calitatea sa de lege specială care reglementează atribuțiile autorității competente în domeniul egalității. Inserarea acestor obligații în Codul muncii ar conduce la o reglementare fragmentată și limitată la domeniul raporturilor de muncă, contrar caracterului transversal al obligațiilor de raportare prevăzute de directive. Or, obligațiile respective vizează toate criteriile protejate și toate domeniile de aplicare ale principiului egalității, depășind sfera strictă a dreptului muncii. În consecință, acestea urmează a fi reglementate unitar în Legea nr. 121/2012, asigurând o transpunere coerentă și completă.</w:t>
            </w:r>
          </w:p>
        </w:tc>
      </w:tr>
      <w:tr w:rsidR="00E114BB" w14:paraId="0FF210D0" w14:textId="77777777">
        <w:trPr>
          <w:trHeight w:val="600"/>
        </w:trPr>
        <w:tc>
          <w:tcPr>
            <w:tcW w:w="555" w:type="dxa"/>
            <w:vMerge/>
          </w:tcPr>
          <w:p w14:paraId="2AEC4FA9" w14:textId="77777777" w:rsidR="00E114BB" w:rsidRDefault="00E114BB">
            <w:pPr>
              <w:spacing w:line="240" w:lineRule="auto"/>
              <w:rPr>
                <w:rFonts w:ascii="Times New Roman" w:eastAsia="Times New Roman" w:hAnsi="Times New Roman" w:cs="Times New Roman"/>
                <w:b/>
                <w:bCs/>
              </w:rPr>
            </w:pPr>
          </w:p>
        </w:tc>
        <w:tc>
          <w:tcPr>
            <w:tcW w:w="2700" w:type="dxa"/>
            <w:vMerge/>
          </w:tcPr>
          <w:p w14:paraId="46B8E33B" w14:textId="77777777" w:rsidR="00E114BB" w:rsidRDefault="00E114BB">
            <w:pPr>
              <w:spacing w:line="240" w:lineRule="auto"/>
              <w:jc w:val="center"/>
              <w:rPr>
                <w:rFonts w:ascii="Times New Roman" w:eastAsia="Times New Roman" w:hAnsi="Times New Roman" w:cs="Times New Roman"/>
              </w:rPr>
            </w:pPr>
          </w:p>
        </w:tc>
        <w:tc>
          <w:tcPr>
            <w:tcW w:w="5880" w:type="dxa"/>
          </w:tcPr>
          <w:p w14:paraId="3DF22A4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2.</w:t>
            </w:r>
            <w:r>
              <w:rPr>
                <w:rFonts w:ascii="Times New Roman" w:eastAsia="Times New Roman" w:hAnsi="Times New Roman" w:cs="Times New Roman"/>
                <w:highlight w:val="white"/>
              </w:rPr>
              <w:t xml:space="preserve"> Se constată că, nici proiectul național și nici Codul Muncii nu asigură transpunerea expresă a noțiunilor de „informare” și „consultare”, astfel cum sunt definite la art. 2 lit. f) și g) din Directiva 2002/14/CE. Deși, aceste concepte sunt utilizate în cuprinsul actelor normative naționale, ele nu sunt enunțate ca termeni definiți în compartimentul dedicat „Noțiunilor principale” (art. 1 din Codul Muncii), ci sunt absorbite implicit </w:t>
            </w:r>
            <w:r>
              <w:rPr>
                <w:rFonts w:ascii="Times New Roman" w:eastAsia="Times New Roman" w:hAnsi="Times New Roman" w:cs="Times New Roman"/>
                <w:highlight w:val="white"/>
              </w:rPr>
              <w:lastRenderedPageBreak/>
              <w:t xml:space="preserve">în norme procedurale sau de conduită (art. 421 din Codul Muncii), ceea ce nu echivalează cu o transpunere expresă și autonomă a definițiilor din directivă. </w:t>
            </w:r>
          </w:p>
          <w:p w14:paraId="0E4D739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prin urmare, introducerea definițiilor exprese ale noțiunilor de „informare” și „consultare” în art.1 „Noțiuni principale” din Codul Muncii pentru asigurarea certitudinii juridice, cât și pentru alinierea terminologică deplină cu Directiva 2002/14/CE;</w:t>
            </w:r>
          </w:p>
        </w:tc>
        <w:tc>
          <w:tcPr>
            <w:tcW w:w="5880" w:type="dxa"/>
          </w:tcPr>
          <w:p w14:paraId="4C5904E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respinge </w:t>
            </w:r>
          </w:p>
          <w:p w14:paraId="0E1D2A7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Propunerea nu poate fi acceptată, întrucât noțiunile de „informare” și „consultare” au, în dreptul intern, un caracter contextual și funcțional, fiind utilizate în mai multe dispoziții ale Codului muncii cu semnificații adaptate fiecărei situații juridice </w:t>
            </w:r>
            <w:r>
              <w:rPr>
                <w:rFonts w:ascii="Times New Roman" w:eastAsia="Times New Roman" w:hAnsi="Times New Roman" w:cs="Times New Roman"/>
                <w:highlight w:val="white"/>
              </w:rPr>
              <w:lastRenderedPageBreak/>
              <w:t xml:space="preserve">concrete. Astfel, „informarea” nu este limitată la mecanismul prevăzut la art. 42¹, ci apare și în alte contexte, cum ar fi art. 48 din Codul muncii, unde sensul său diferă de cel consacrat de Directiva 2002/14/CE. În mod similar, „consultarea” este reglementată prin norme procedurale distincte, a căror finalitate și întindere variază în funcție de materia reglementată, neputând fi redusă la o definiție unică și abstractă. În aceste condiții, preluarea </w:t>
            </w:r>
            <w:r>
              <w:rPr>
                <w:rFonts w:ascii="Times New Roman" w:eastAsia="Times New Roman" w:hAnsi="Times New Roman" w:cs="Times New Roman"/>
                <w:i/>
                <w:iCs/>
                <w:highlight w:val="white"/>
              </w:rPr>
              <w:t>ad litteram</w:t>
            </w:r>
            <w:r>
              <w:rPr>
                <w:rFonts w:ascii="Times New Roman" w:eastAsia="Times New Roman" w:hAnsi="Times New Roman" w:cs="Times New Roman"/>
                <w:highlight w:val="white"/>
              </w:rPr>
              <w:t xml:space="preserve"> a definițiilor din directivă în art. 1 ar genera incoerențe terminologice și ar afecta aplicarea unitară a normelor naționale.</w:t>
            </w:r>
          </w:p>
        </w:tc>
      </w:tr>
      <w:tr w:rsidR="00E114BB" w14:paraId="1EFB9F41" w14:textId="77777777">
        <w:trPr>
          <w:trHeight w:val="600"/>
        </w:trPr>
        <w:tc>
          <w:tcPr>
            <w:tcW w:w="555" w:type="dxa"/>
            <w:vMerge/>
          </w:tcPr>
          <w:p w14:paraId="547BB448" w14:textId="77777777" w:rsidR="00E114BB" w:rsidRDefault="00E114BB">
            <w:pPr>
              <w:spacing w:line="240" w:lineRule="auto"/>
              <w:rPr>
                <w:rFonts w:ascii="Times New Roman" w:eastAsia="Times New Roman" w:hAnsi="Times New Roman" w:cs="Times New Roman"/>
                <w:b/>
                <w:bCs/>
              </w:rPr>
            </w:pPr>
          </w:p>
        </w:tc>
        <w:tc>
          <w:tcPr>
            <w:tcW w:w="2700" w:type="dxa"/>
            <w:vMerge/>
          </w:tcPr>
          <w:p w14:paraId="28C01B41" w14:textId="77777777" w:rsidR="00E114BB" w:rsidRDefault="00E114BB">
            <w:pPr>
              <w:spacing w:line="240" w:lineRule="auto"/>
              <w:jc w:val="center"/>
              <w:rPr>
                <w:rFonts w:ascii="Times New Roman" w:eastAsia="Times New Roman" w:hAnsi="Times New Roman" w:cs="Times New Roman"/>
              </w:rPr>
            </w:pPr>
          </w:p>
        </w:tc>
        <w:tc>
          <w:tcPr>
            <w:tcW w:w="5880" w:type="dxa"/>
          </w:tcPr>
          <w:p w14:paraId="6CE2521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Se constată că Art. III, pct. 9 din proiectul național, care instituie obligația de raportare către Comisia Europeană, nu este inclus în lista prevederilor a căror intrare în vigoare este condiționată de data aderării Republicii Moldova la Uniunea Europeană, prevăzută la Art. VI alin. (1). Având în vedere că, această obligație devine operațională exclusiv după obținerea calității de stat membru al UE, se impune includerea sa expresă în lista respectivă.</w:t>
            </w:r>
          </w:p>
        </w:tc>
        <w:tc>
          <w:tcPr>
            <w:tcW w:w="5880" w:type="dxa"/>
          </w:tcPr>
          <w:p w14:paraId="417364F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2F61FD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Art.VI din proiect este inclusă propunerea.</w:t>
            </w:r>
          </w:p>
          <w:p w14:paraId="3730647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Mai mult decât atât, în Art III punctul 10 din proiect prevede  completarea articolului 24 din Legea nr. 186/2008 securității și sănătății în muncă cu alineatul (3) cu următorul cuprins:</w:t>
            </w:r>
          </w:p>
          <w:p w14:paraId="568A9ED1"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„(3)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intră în vigoare la data aderării Republicii Moldova la Uniunea Europeană.”.</w:t>
            </w:r>
          </w:p>
        </w:tc>
      </w:tr>
      <w:tr w:rsidR="00E114BB" w14:paraId="62960E5A" w14:textId="77777777">
        <w:trPr>
          <w:trHeight w:val="600"/>
        </w:trPr>
        <w:tc>
          <w:tcPr>
            <w:tcW w:w="555" w:type="dxa"/>
            <w:vMerge/>
          </w:tcPr>
          <w:p w14:paraId="36194699" w14:textId="77777777" w:rsidR="00E114BB" w:rsidRDefault="00E114BB">
            <w:pPr>
              <w:spacing w:line="240" w:lineRule="auto"/>
              <w:rPr>
                <w:rFonts w:ascii="Times New Roman" w:eastAsia="Times New Roman" w:hAnsi="Times New Roman" w:cs="Times New Roman"/>
                <w:b/>
                <w:bCs/>
              </w:rPr>
            </w:pPr>
          </w:p>
        </w:tc>
        <w:tc>
          <w:tcPr>
            <w:tcW w:w="2700" w:type="dxa"/>
            <w:vMerge/>
          </w:tcPr>
          <w:p w14:paraId="02B62816" w14:textId="77777777" w:rsidR="00E114BB" w:rsidRDefault="00E114BB">
            <w:pPr>
              <w:spacing w:line="240" w:lineRule="auto"/>
              <w:jc w:val="center"/>
              <w:rPr>
                <w:rFonts w:ascii="Times New Roman" w:eastAsia="Times New Roman" w:hAnsi="Times New Roman" w:cs="Times New Roman"/>
              </w:rPr>
            </w:pPr>
          </w:p>
        </w:tc>
        <w:tc>
          <w:tcPr>
            <w:tcW w:w="5880" w:type="dxa"/>
          </w:tcPr>
          <w:p w14:paraId="212C98E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se constată că lista prevăzută la dispoziții finale a proiectului, cu aplicabilitate din data aderării la UE include unele prevederi a căror condiționare de data aderării este neargumentată. Astfel, Art. II, pct. 7 din proiect, care modifică art. 42¹ din Codul Muncii privind informarea și consultarea salariaților - vizează raporturi juridice interne cu vocație imediată, necondiționată de calitatea de stat membru, iar includerea sa în categoria normelor cu intrare în vigoare amânată generează un vid juridic de protecție nejustificat pentru salariați. </w:t>
            </w:r>
          </w:p>
          <w:p w14:paraId="46F39A23" w14:textId="77777777" w:rsidR="00E114BB" w:rsidRDefault="00E114BB">
            <w:pPr>
              <w:spacing w:line="240" w:lineRule="auto"/>
              <w:ind w:firstLine="284"/>
              <w:jc w:val="both"/>
              <w:rPr>
                <w:rFonts w:ascii="Times New Roman" w:eastAsia="Times New Roman" w:hAnsi="Times New Roman" w:cs="Times New Roman"/>
                <w:highlight w:val="white"/>
              </w:rPr>
            </w:pPr>
          </w:p>
          <w:p w14:paraId="0A6CF9A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Similar, Art. I pct. 2 din proiect, care reglementează atribuțiile ISM - conține dispoziții cu aplicabilitate imediată, respectiv lit. a) - d) și g), care trebuie să fie operaționale anterior </w:t>
            </w:r>
            <w:r>
              <w:rPr>
                <w:rFonts w:ascii="Times New Roman" w:eastAsia="Times New Roman" w:hAnsi="Times New Roman" w:cs="Times New Roman"/>
                <w:highlight w:val="white"/>
              </w:rPr>
              <w:lastRenderedPageBreak/>
              <w:t xml:space="preserve">aderării, spre deosebire de lit. e) - f), referitoare la cooperarea administrativă transfrontalieră, pentru care perioada de tranziție este justificată. </w:t>
            </w:r>
          </w:p>
          <w:p w14:paraId="11B1187D" w14:textId="77777777" w:rsidR="00E114BB" w:rsidRDefault="00E114BB">
            <w:pPr>
              <w:spacing w:line="240" w:lineRule="auto"/>
              <w:ind w:firstLine="284"/>
              <w:jc w:val="both"/>
              <w:rPr>
                <w:rFonts w:ascii="Times New Roman" w:eastAsia="Times New Roman" w:hAnsi="Times New Roman" w:cs="Times New Roman"/>
                <w:highlight w:val="white"/>
              </w:rPr>
            </w:pPr>
          </w:p>
          <w:p w14:paraId="5205311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Cât privește Art. IV pct. 3 și Art. V din proiect, condiționarea acestora de data aderării este acceptabilă în măsura în care vizează mecanisme de executare transfrontalieră a sancțiunilor (cu indicarea expresă a acestui lucru). </w:t>
            </w:r>
          </w:p>
          <w:p w14:paraId="2C38928D" w14:textId="77777777" w:rsidR="00E114BB" w:rsidRDefault="00E114BB">
            <w:pPr>
              <w:spacing w:line="240" w:lineRule="auto"/>
              <w:ind w:firstLine="284"/>
              <w:jc w:val="both"/>
              <w:rPr>
                <w:rFonts w:ascii="Times New Roman" w:eastAsia="Times New Roman" w:hAnsi="Times New Roman" w:cs="Times New Roman"/>
                <w:highlight w:val="white"/>
              </w:rPr>
            </w:pPr>
          </w:p>
          <w:p w14:paraId="115AED3D" w14:textId="77777777" w:rsidR="00E114BB" w:rsidRDefault="00E114BB">
            <w:pPr>
              <w:spacing w:line="240" w:lineRule="auto"/>
              <w:ind w:firstLine="284"/>
              <w:jc w:val="both"/>
              <w:rPr>
                <w:rFonts w:ascii="Times New Roman" w:eastAsia="Times New Roman" w:hAnsi="Times New Roman" w:cs="Times New Roman"/>
                <w:highlight w:val="white"/>
              </w:rPr>
            </w:pPr>
          </w:p>
          <w:p w14:paraId="684BF19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impune reconsiderarea listei din prevederile finale, în sensul excluderii normelor cu vocație imediată și al includerii corespunzătoare a Art. III pct. 9, a cărui intrare în vigoare la data aderării este pe deplin justificată; </w:t>
            </w:r>
          </w:p>
        </w:tc>
        <w:tc>
          <w:tcPr>
            <w:tcW w:w="5880" w:type="dxa"/>
          </w:tcPr>
          <w:p w14:paraId="4480CD3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4D346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8E1596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830489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5CD5B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77EBA2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B8FFC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394E4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07DFE7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973BC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0DCE50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54B566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63E4F8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cu referire la obiecție privind Art. I pct. 2, Art. IV pct. 3 și Art. V</w:t>
            </w:r>
            <w:r>
              <w:rPr>
                <w:rFonts w:ascii="Times New Roman" w:eastAsia="Times New Roman" w:hAnsi="Times New Roman" w:cs="Times New Roman"/>
                <w:highlight w:val="white"/>
              </w:rPr>
              <w:t>, care vor intra în vigoare la data aderării Republicii Moldova la Uniunea Europeană. La Art. VI Dispoziții finale și tranzitorii, alin. (1) va fi expus în următoarea redacție:</w:t>
            </w:r>
          </w:p>
          <w:p w14:paraId="6F7D20D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E62BB0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VI.  – Dispoziții finale și tranzitorii  </w:t>
            </w:r>
          </w:p>
          <w:p w14:paraId="1CAE591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Prezenta lege intră în vigoare la data publicării în Monitorul Oficial al Republicii Moldova, cu excepția Art. I pct. 3, Art. II pct. 8, </w:t>
            </w:r>
            <w:proofErr w:type="spellStart"/>
            <w:r>
              <w:rPr>
                <w:rFonts w:ascii="Times New Roman" w:eastAsia="Times New Roman" w:hAnsi="Times New Roman" w:cs="Times New Roman"/>
                <w:highlight w:val="white"/>
              </w:rPr>
              <w:t>Art.III</w:t>
            </w:r>
            <w:proofErr w:type="spellEnd"/>
            <w:r>
              <w:rPr>
                <w:rFonts w:ascii="Times New Roman" w:eastAsia="Times New Roman" w:hAnsi="Times New Roman" w:cs="Times New Roman"/>
                <w:highlight w:val="white"/>
              </w:rPr>
              <w:t xml:space="preserve"> pct. 9, Art. IV pct. 3 și Art. V, care intră în vigoare la data aderării Republicii Moldova la Uniunea Europeană.</w:t>
            </w:r>
          </w:p>
          <w:p w14:paraId="679D3EE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6839C9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cu referire la </w:t>
            </w:r>
            <w:proofErr w:type="spellStart"/>
            <w:r>
              <w:rPr>
                <w:rFonts w:ascii="Times New Roman" w:eastAsia="Times New Roman" w:hAnsi="Times New Roman" w:cs="Times New Roman"/>
                <w:b/>
                <w:bCs/>
                <w:highlight w:val="white"/>
              </w:rPr>
              <w:t>la</w:t>
            </w:r>
            <w:proofErr w:type="spellEnd"/>
            <w:r>
              <w:rPr>
                <w:rFonts w:ascii="Times New Roman" w:eastAsia="Times New Roman" w:hAnsi="Times New Roman" w:cs="Times New Roman"/>
                <w:b/>
                <w:bCs/>
                <w:highlight w:val="white"/>
              </w:rPr>
              <w:t xml:space="preserve"> Art. III </w:t>
            </w:r>
            <w:proofErr w:type="spellStart"/>
            <w:r>
              <w:rPr>
                <w:rFonts w:ascii="Times New Roman" w:eastAsia="Times New Roman" w:hAnsi="Times New Roman" w:cs="Times New Roman"/>
                <w:b/>
                <w:bCs/>
                <w:highlight w:val="white"/>
              </w:rPr>
              <w:t>pct</w:t>
            </w:r>
            <w:proofErr w:type="spellEnd"/>
            <w:r>
              <w:rPr>
                <w:rFonts w:ascii="Times New Roman" w:eastAsia="Times New Roman" w:hAnsi="Times New Roman" w:cs="Times New Roman"/>
                <w:b/>
                <w:bCs/>
                <w:highlight w:val="white"/>
              </w:rPr>
              <w:t xml:space="preserve"> 9 din Proiect</w:t>
            </w:r>
          </w:p>
          <w:p w14:paraId="521BBAF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Art.VI din proiect este inclusă propunerea.</w:t>
            </w:r>
          </w:p>
          <w:p w14:paraId="0CE0EC6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Mai mult decât atât, în Art III punctul 10 din proiect prevede  completarea articolului 24 din Legea nr. 186/2008 securității și sănătății în muncă cu alineatul (3) cu următorul cuprins:</w:t>
            </w:r>
          </w:p>
          <w:p w14:paraId="2BD9EE41"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„(3)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intră în vigoare la data aderării Republicii Moldova la Uniunea Europeană.”.</w:t>
            </w:r>
          </w:p>
        </w:tc>
      </w:tr>
      <w:tr w:rsidR="00E114BB" w14:paraId="6771DFF3" w14:textId="77777777">
        <w:trPr>
          <w:trHeight w:val="600"/>
        </w:trPr>
        <w:tc>
          <w:tcPr>
            <w:tcW w:w="555" w:type="dxa"/>
            <w:vMerge/>
          </w:tcPr>
          <w:p w14:paraId="31B16B43" w14:textId="77777777" w:rsidR="00E114BB" w:rsidRDefault="00E114BB">
            <w:pPr>
              <w:spacing w:line="240" w:lineRule="auto"/>
              <w:rPr>
                <w:rFonts w:ascii="Times New Roman" w:eastAsia="Times New Roman" w:hAnsi="Times New Roman" w:cs="Times New Roman"/>
                <w:b/>
                <w:bCs/>
              </w:rPr>
            </w:pPr>
          </w:p>
        </w:tc>
        <w:tc>
          <w:tcPr>
            <w:tcW w:w="2700" w:type="dxa"/>
            <w:vMerge/>
          </w:tcPr>
          <w:p w14:paraId="7E6CB7A3" w14:textId="77777777" w:rsidR="00E114BB" w:rsidRDefault="00E114BB">
            <w:pPr>
              <w:spacing w:line="240" w:lineRule="auto"/>
              <w:jc w:val="center"/>
              <w:rPr>
                <w:rFonts w:ascii="Times New Roman" w:eastAsia="Times New Roman" w:hAnsi="Times New Roman" w:cs="Times New Roman"/>
              </w:rPr>
            </w:pPr>
          </w:p>
        </w:tc>
        <w:tc>
          <w:tcPr>
            <w:tcW w:w="5880" w:type="dxa"/>
            <w:vMerge w:val="restart"/>
          </w:tcPr>
          <w:p w14:paraId="2BCDE14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4. Cu referire la tabelele de concordanță: </w:t>
            </w:r>
          </w:p>
          <w:p w14:paraId="14490ED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Potrivit pct. 1 din Anexa nr. 2 la Regulamentul privind armonizarea legislației Republicii Moldova cu legislația Uniunii Europene aprobat prin HG nr. 1171/2018 (în continuare Regulament), textul din compartimentul 1 al tabelului de concordanță al actului UE relevant, va avea următoarea redacție:</w:t>
            </w:r>
          </w:p>
          <w:p w14:paraId="51CABC4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(„Regulamentul IMI”), CELEX: 32014L0067, publicată în Jurnalul Oficial al Uniunii Europene L 159 din 28 mai 2014”;</w:t>
            </w:r>
          </w:p>
        </w:tc>
        <w:tc>
          <w:tcPr>
            <w:tcW w:w="5880" w:type="dxa"/>
            <w:vMerge w:val="restart"/>
          </w:tcPr>
          <w:p w14:paraId="69A59A6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1222F0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Tabelul de concordanță a fost ajustat. </w:t>
            </w:r>
          </w:p>
        </w:tc>
      </w:tr>
      <w:tr w:rsidR="00E114BB" w14:paraId="382F2837" w14:textId="77777777">
        <w:trPr>
          <w:trHeight w:val="600"/>
        </w:trPr>
        <w:tc>
          <w:tcPr>
            <w:tcW w:w="555" w:type="dxa"/>
            <w:vMerge/>
          </w:tcPr>
          <w:p w14:paraId="16A95C06" w14:textId="77777777" w:rsidR="00E114BB" w:rsidRDefault="00E114BB">
            <w:pPr>
              <w:spacing w:line="240" w:lineRule="auto"/>
              <w:rPr>
                <w:rFonts w:ascii="Times New Roman" w:eastAsia="Times New Roman" w:hAnsi="Times New Roman" w:cs="Times New Roman"/>
                <w:b/>
                <w:bCs/>
              </w:rPr>
            </w:pPr>
          </w:p>
        </w:tc>
        <w:tc>
          <w:tcPr>
            <w:tcW w:w="2700" w:type="dxa"/>
            <w:vMerge/>
          </w:tcPr>
          <w:p w14:paraId="7A3C177C" w14:textId="77777777" w:rsidR="00E114BB" w:rsidRDefault="00E114BB">
            <w:pPr>
              <w:spacing w:line="240" w:lineRule="auto"/>
              <w:jc w:val="center"/>
              <w:rPr>
                <w:rFonts w:ascii="Times New Roman" w:eastAsia="Times New Roman" w:hAnsi="Times New Roman" w:cs="Times New Roman"/>
              </w:rPr>
            </w:pPr>
          </w:p>
        </w:tc>
        <w:tc>
          <w:tcPr>
            <w:tcW w:w="5880" w:type="dxa"/>
            <w:vMerge/>
          </w:tcPr>
          <w:p w14:paraId="6E5DF0EC" w14:textId="77777777" w:rsidR="00E114BB" w:rsidRDefault="00E114BB">
            <w:pPr>
              <w:spacing w:line="240" w:lineRule="auto"/>
              <w:jc w:val="both"/>
              <w:rPr>
                <w:rFonts w:ascii="Times New Roman" w:eastAsia="Times New Roman" w:hAnsi="Times New Roman" w:cs="Times New Roman"/>
                <w:highlight w:val="white"/>
              </w:rPr>
            </w:pPr>
          </w:p>
        </w:tc>
        <w:tc>
          <w:tcPr>
            <w:tcW w:w="5880" w:type="dxa"/>
            <w:vMerge/>
          </w:tcPr>
          <w:p w14:paraId="24F077C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E114BB" w14:paraId="366DB129" w14:textId="77777777">
        <w:trPr>
          <w:trHeight w:val="600"/>
        </w:trPr>
        <w:tc>
          <w:tcPr>
            <w:tcW w:w="555" w:type="dxa"/>
            <w:vMerge/>
          </w:tcPr>
          <w:p w14:paraId="04269E8D" w14:textId="77777777" w:rsidR="00E114BB" w:rsidRDefault="00E114BB">
            <w:pPr>
              <w:spacing w:line="240" w:lineRule="auto"/>
              <w:rPr>
                <w:rFonts w:ascii="Times New Roman" w:eastAsia="Times New Roman" w:hAnsi="Times New Roman" w:cs="Times New Roman"/>
                <w:b/>
                <w:bCs/>
              </w:rPr>
            </w:pPr>
          </w:p>
        </w:tc>
        <w:tc>
          <w:tcPr>
            <w:tcW w:w="2700" w:type="dxa"/>
            <w:vMerge/>
          </w:tcPr>
          <w:p w14:paraId="589D2F29" w14:textId="77777777" w:rsidR="00E114BB" w:rsidRDefault="00E114BB">
            <w:pPr>
              <w:spacing w:line="240" w:lineRule="auto"/>
              <w:jc w:val="center"/>
              <w:rPr>
                <w:rFonts w:ascii="Times New Roman" w:eastAsia="Times New Roman" w:hAnsi="Times New Roman" w:cs="Times New Roman"/>
              </w:rPr>
            </w:pPr>
          </w:p>
        </w:tc>
        <w:tc>
          <w:tcPr>
            <w:tcW w:w="5880" w:type="dxa"/>
          </w:tcPr>
          <w:p w14:paraId="21270A9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„Regulamentului (UE) 2019/1149 al Parlamentului European și al Consiliului din 20 iunie 2019 de instituire a unei Autorități Europene a Muncii, de modificare a Regulamentului (CE) nr. </w:t>
            </w:r>
            <w:r>
              <w:rPr>
                <w:rFonts w:ascii="Times New Roman" w:eastAsia="Times New Roman" w:hAnsi="Times New Roman" w:cs="Times New Roman"/>
                <w:highlight w:val="white"/>
              </w:rPr>
              <w:lastRenderedPageBreak/>
              <w:t>883/2004, a Regulamentului (UE) nr. 492/2011 și a Regulamentului (UE) 2016/589 și de abrogare a Deciziei (UE) 2016/344, CELEX: 32019R1149, publicat în Jurnalul Oficial al Uniunii Europene L 186 din 11 iulie 2019”;</w:t>
            </w:r>
          </w:p>
        </w:tc>
        <w:tc>
          <w:tcPr>
            <w:tcW w:w="5880" w:type="dxa"/>
          </w:tcPr>
          <w:p w14:paraId="71CF174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30BBF9D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lastRenderedPageBreak/>
              <w:t xml:space="preserve">Tabelul de concordanță a fost ajustat. </w:t>
            </w:r>
          </w:p>
        </w:tc>
      </w:tr>
      <w:tr w:rsidR="00E114BB" w14:paraId="01305736" w14:textId="77777777">
        <w:trPr>
          <w:trHeight w:val="600"/>
        </w:trPr>
        <w:tc>
          <w:tcPr>
            <w:tcW w:w="555" w:type="dxa"/>
            <w:vMerge/>
          </w:tcPr>
          <w:p w14:paraId="293240DF" w14:textId="77777777" w:rsidR="00E114BB" w:rsidRDefault="00E114BB">
            <w:pPr>
              <w:spacing w:line="240" w:lineRule="auto"/>
              <w:rPr>
                <w:rFonts w:ascii="Times New Roman" w:eastAsia="Times New Roman" w:hAnsi="Times New Roman" w:cs="Times New Roman"/>
                <w:b/>
                <w:bCs/>
              </w:rPr>
            </w:pPr>
          </w:p>
        </w:tc>
        <w:tc>
          <w:tcPr>
            <w:tcW w:w="2700" w:type="dxa"/>
            <w:vMerge/>
          </w:tcPr>
          <w:p w14:paraId="07EF6FBA" w14:textId="77777777" w:rsidR="00E114BB" w:rsidRDefault="00E114BB">
            <w:pPr>
              <w:spacing w:line="240" w:lineRule="auto"/>
              <w:jc w:val="center"/>
              <w:rPr>
                <w:rFonts w:ascii="Times New Roman" w:eastAsia="Times New Roman" w:hAnsi="Times New Roman" w:cs="Times New Roman"/>
              </w:rPr>
            </w:pPr>
          </w:p>
        </w:tc>
        <w:tc>
          <w:tcPr>
            <w:tcW w:w="5880" w:type="dxa"/>
          </w:tcPr>
          <w:p w14:paraId="079DD55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La compartimentul 2 al tabelului de concordanță pentru Directiva 2014/67/UE, urmează a se indica corect titlul proiectului de act normativ național ce transpune dispozițiile actului juridic european, și anume „Lege pentru modificarea unor acte normative în domeniul raporturilor de muncă, securității și sănătății în muncă și egalității de tratament”;</w:t>
            </w:r>
          </w:p>
        </w:tc>
        <w:tc>
          <w:tcPr>
            <w:tcW w:w="5880" w:type="dxa"/>
          </w:tcPr>
          <w:p w14:paraId="4D0E28D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3342CAA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act normativ național ce transpune dispozițiile Directivei 2014/67/UE este Lege privind detașarea lucrătorilor în cadrul prestării de servicii transnaționale.</w:t>
            </w:r>
          </w:p>
          <w:p w14:paraId="24663C9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„pentru modificarea unor acte normative în domeniul raporturilor de muncă, securității și sănătății în muncă și egalității de tratament” transpune alte Directive.</w:t>
            </w:r>
          </w:p>
        </w:tc>
      </w:tr>
      <w:tr w:rsidR="00E114BB" w14:paraId="5BC57069" w14:textId="77777777">
        <w:trPr>
          <w:trHeight w:val="600"/>
        </w:trPr>
        <w:tc>
          <w:tcPr>
            <w:tcW w:w="555" w:type="dxa"/>
            <w:vMerge/>
          </w:tcPr>
          <w:p w14:paraId="368E75FB" w14:textId="77777777" w:rsidR="00E114BB" w:rsidRDefault="00E114BB">
            <w:pPr>
              <w:spacing w:line="240" w:lineRule="auto"/>
              <w:rPr>
                <w:rFonts w:ascii="Times New Roman" w:eastAsia="Times New Roman" w:hAnsi="Times New Roman" w:cs="Times New Roman"/>
                <w:b/>
                <w:bCs/>
              </w:rPr>
            </w:pPr>
          </w:p>
        </w:tc>
        <w:tc>
          <w:tcPr>
            <w:tcW w:w="2700" w:type="dxa"/>
            <w:vMerge/>
          </w:tcPr>
          <w:p w14:paraId="1250DCFA" w14:textId="77777777" w:rsidR="00E114BB" w:rsidRDefault="00E114BB">
            <w:pPr>
              <w:spacing w:line="240" w:lineRule="auto"/>
              <w:jc w:val="center"/>
              <w:rPr>
                <w:rFonts w:ascii="Times New Roman" w:eastAsia="Times New Roman" w:hAnsi="Times New Roman" w:cs="Times New Roman"/>
              </w:rPr>
            </w:pPr>
          </w:p>
        </w:tc>
        <w:tc>
          <w:tcPr>
            <w:tcW w:w="5880" w:type="dxa"/>
          </w:tcPr>
          <w:p w14:paraId="433A2A0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Potrivit pct. 8 din Anexa nr. 2 la Regulament, pentru Anexa din Directiva nr. 89/391/CEE, la compartimentul 8 al tabelului de concordanță urmează a fi indicat calificativul „Prevederi UE neaplicabile”;</w:t>
            </w:r>
          </w:p>
          <w:p w14:paraId="296A3145" w14:textId="77777777" w:rsidR="00E114BB" w:rsidRDefault="00E114BB">
            <w:pPr>
              <w:spacing w:line="240" w:lineRule="auto"/>
              <w:ind w:firstLine="284"/>
              <w:jc w:val="both"/>
              <w:rPr>
                <w:rFonts w:ascii="Times New Roman" w:eastAsia="Times New Roman" w:hAnsi="Times New Roman" w:cs="Times New Roman"/>
                <w:highlight w:val="white"/>
              </w:rPr>
            </w:pPr>
          </w:p>
        </w:tc>
        <w:tc>
          <w:tcPr>
            <w:tcW w:w="5880" w:type="dxa"/>
          </w:tcPr>
          <w:p w14:paraId="69F0F3C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343EFF0D" w14:textId="77777777">
        <w:trPr>
          <w:trHeight w:val="600"/>
        </w:trPr>
        <w:tc>
          <w:tcPr>
            <w:tcW w:w="555" w:type="dxa"/>
            <w:vMerge/>
          </w:tcPr>
          <w:p w14:paraId="407658CA" w14:textId="77777777" w:rsidR="00E114BB" w:rsidRDefault="00E114BB">
            <w:pPr>
              <w:spacing w:line="240" w:lineRule="auto"/>
              <w:rPr>
                <w:rFonts w:ascii="Times New Roman" w:eastAsia="Times New Roman" w:hAnsi="Times New Roman" w:cs="Times New Roman"/>
                <w:b/>
                <w:bCs/>
              </w:rPr>
            </w:pPr>
          </w:p>
        </w:tc>
        <w:tc>
          <w:tcPr>
            <w:tcW w:w="2700" w:type="dxa"/>
            <w:vMerge/>
          </w:tcPr>
          <w:p w14:paraId="173925C3" w14:textId="77777777" w:rsidR="00E114BB" w:rsidRDefault="00E114BB">
            <w:pPr>
              <w:spacing w:line="240" w:lineRule="auto"/>
              <w:jc w:val="center"/>
              <w:rPr>
                <w:rFonts w:ascii="Times New Roman" w:eastAsia="Times New Roman" w:hAnsi="Times New Roman" w:cs="Times New Roman"/>
              </w:rPr>
            </w:pPr>
          </w:p>
        </w:tc>
        <w:tc>
          <w:tcPr>
            <w:tcW w:w="5880" w:type="dxa"/>
          </w:tcPr>
          <w:p w14:paraId="066A5E4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corespondentul național pentru prevederile Anexei UE este indicat Art. III, pct. 9, iar acesta nu asigură transpunerea conținutului material al Anexei UE. Norma UE prevede o anexă cu lista domeniilor pentru care Consiliul e împuternicit să adopte, la propunerea Comisiei, directive speciale, pe când norma națională transpune un articol procedural privind raportarea către Comisia Europeană;</w:t>
            </w:r>
          </w:p>
        </w:tc>
        <w:tc>
          <w:tcPr>
            <w:tcW w:w="5880" w:type="dxa"/>
          </w:tcPr>
          <w:p w14:paraId="39B01C6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24C19C0D" w14:textId="77777777">
        <w:trPr>
          <w:trHeight w:val="600"/>
        </w:trPr>
        <w:tc>
          <w:tcPr>
            <w:tcW w:w="555" w:type="dxa"/>
            <w:vMerge/>
          </w:tcPr>
          <w:p w14:paraId="6FCB68D1" w14:textId="77777777" w:rsidR="00E114BB" w:rsidRDefault="00E114BB">
            <w:pPr>
              <w:spacing w:line="240" w:lineRule="auto"/>
              <w:rPr>
                <w:rFonts w:ascii="Times New Roman" w:eastAsia="Times New Roman" w:hAnsi="Times New Roman" w:cs="Times New Roman"/>
                <w:b/>
                <w:bCs/>
              </w:rPr>
            </w:pPr>
          </w:p>
        </w:tc>
        <w:tc>
          <w:tcPr>
            <w:tcW w:w="2700" w:type="dxa"/>
            <w:vMerge/>
          </w:tcPr>
          <w:p w14:paraId="6981049F" w14:textId="77777777" w:rsidR="00E114BB" w:rsidRDefault="00E114BB">
            <w:pPr>
              <w:spacing w:line="240" w:lineRule="auto"/>
              <w:jc w:val="center"/>
              <w:rPr>
                <w:rFonts w:ascii="Times New Roman" w:eastAsia="Times New Roman" w:hAnsi="Times New Roman" w:cs="Times New Roman"/>
              </w:rPr>
            </w:pPr>
          </w:p>
        </w:tc>
        <w:tc>
          <w:tcPr>
            <w:tcW w:w="5880" w:type="dxa"/>
            <w:vMerge w:val="restart"/>
          </w:tcPr>
          <w:p w14:paraId="159B3AC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Potrivit pct. 9 din Anexa nr. 2 la Regulament, la compartimentul 9 al tabelului de concordanță se indică termenele preconizate pentru realizarea transpunerii integrale a dispozițiilor actului juridic european (obiecție valabilă pentru art. 17 (1) din Directiva 2000/43/CE și art. 19 (1) din Directiva 2000/78/CE).</w:t>
            </w:r>
          </w:p>
        </w:tc>
        <w:tc>
          <w:tcPr>
            <w:tcW w:w="5880" w:type="dxa"/>
            <w:vMerge w:val="restart"/>
          </w:tcPr>
          <w:p w14:paraId="7F2AB72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013C4293" w14:textId="77777777">
        <w:trPr>
          <w:trHeight w:val="600"/>
        </w:trPr>
        <w:tc>
          <w:tcPr>
            <w:tcW w:w="555" w:type="dxa"/>
            <w:vMerge/>
          </w:tcPr>
          <w:p w14:paraId="328C77D0" w14:textId="77777777" w:rsidR="00E114BB" w:rsidRDefault="00E114BB">
            <w:pPr>
              <w:spacing w:line="240" w:lineRule="auto"/>
              <w:rPr>
                <w:rFonts w:ascii="Times New Roman" w:eastAsia="Times New Roman" w:hAnsi="Times New Roman" w:cs="Times New Roman"/>
                <w:b/>
                <w:bCs/>
              </w:rPr>
            </w:pPr>
          </w:p>
        </w:tc>
        <w:tc>
          <w:tcPr>
            <w:tcW w:w="2700" w:type="dxa"/>
            <w:vMerge/>
          </w:tcPr>
          <w:p w14:paraId="51DD3F47" w14:textId="77777777" w:rsidR="00E114BB" w:rsidRDefault="00E114BB">
            <w:pPr>
              <w:spacing w:line="240" w:lineRule="auto"/>
              <w:jc w:val="center"/>
              <w:rPr>
                <w:rFonts w:ascii="Times New Roman" w:eastAsia="Times New Roman" w:hAnsi="Times New Roman" w:cs="Times New Roman"/>
              </w:rPr>
            </w:pPr>
          </w:p>
        </w:tc>
        <w:tc>
          <w:tcPr>
            <w:tcW w:w="5880" w:type="dxa"/>
            <w:vMerge/>
          </w:tcPr>
          <w:p w14:paraId="2FD16308" w14:textId="77777777" w:rsidR="00E114BB" w:rsidRDefault="00E114BB">
            <w:pPr>
              <w:spacing w:line="240" w:lineRule="auto"/>
              <w:jc w:val="both"/>
              <w:rPr>
                <w:rFonts w:ascii="Times New Roman" w:eastAsia="Times New Roman" w:hAnsi="Times New Roman" w:cs="Times New Roman"/>
                <w:highlight w:val="white"/>
              </w:rPr>
            </w:pPr>
          </w:p>
        </w:tc>
        <w:tc>
          <w:tcPr>
            <w:tcW w:w="5880" w:type="dxa"/>
            <w:vMerge/>
          </w:tcPr>
          <w:p w14:paraId="0ED0F46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E114BB" w14:paraId="4C86D349" w14:textId="77777777">
        <w:trPr>
          <w:trHeight w:val="360"/>
        </w:trPr>
        <w:tc>
          <w:tcPr>
            <w:tcW w:w="555" w:type="dxa"/>
            <w:vMerge/>
          </w:tcPr>
          <w:p w14:paraId="7FD2B540" w14:textId="77777777" w:rsidR="00E114BB" w:rsidRDefault="00E114BB">
            <w:pPr>
              <w:spacing w:line="240" w:lineRule="auto"/>
              <w:rPr>
                <w:rFonts w:ascii="Times New Roman" w:eastAsia="Times New Roman" w:hAnsi="Times New Roman" w:cs="Times New Roman"/>
                <w:b/>
                <w:bCs/>
              </w:rPr>
            </w:pPr>
          </w:p>
        </w:tc>
        <w:tc>
          <w:tcPr>
            <w:tcW w:w="2700" w:type="dxa"/>
            <w:vMerge/>
          </w:tcPr>
          <w:p w14:paraId="51804CC4" w14:textId="77777777" w:rsidR="00E114BB" w:rsidRDefault="00E114BB">
            <w:pPr>
              <w:spacing w:line="240" w:lineRule="auto"/>
              <w:jc w:val="center"/>
              <w:rPr>
                <w:rFonts w:ascii="Times New Roman" w:eastAsia="Times New Roman" w:hAnsi="Times New Roman" w:cs="Times New Roman"/>
              </w:rPr>
            </w:pPr>
          </w:p>
        </w:tc>
        <w:tc>
          <w:tcPr>
            <w:tcW w:w="5880" w:type="dxa"/>
            <w:vMerge/>
          </w:tcPr>
          <w:p w14:paraId="420DCB9A" w14:textId="77777777" w:rsidR="00E114BB" w:rsidRDefault="00E114BB">
            <w:pPr>
              <w:spacing w:line="240" w:lineRule="auto"/>
              <w:jc w:val="both"/>
              <w:rPr>
                <w:rFonts w:ascii="Times New Roman" w:eastAsia="Times New Roman" w:hAnsi="Times New Roman" w:cs="Times New Roman"/>
                <w:highlight w:val="white"/>
              </w:rPr>
            </w:pPr>
          </w:p>
        </w:tc>
        <w:tc>
          <w:tcPr>
            <w:tcW w:w="5880" w:type="dxa"/>
            <w:vMerge/>
          </w:tcPr>
          <w:p w14:paraId="2648A8F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E114BB" w14:paraId="0FE53E06" w14:textId="77777777">
        <w:trPr>
          <w:trHeight w:val="600"/>
        </w:trPr>
        <w:tc>
          <w:tcPr>
            <w:tcW w:w="555" w:type="dxa"/>
          </w:tcPr>
          <w:p w14:paraId="6B648344" w14:textId="77777777" w:rsidR="00E114BB"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22.</w:t>
            </w:r>
          </w:p>
        </w:tc>
        <w:tc>
          <w:tcPr>
            <w:tcW w:w="2700" w:type="dxa"/>
          </w:tcPr>
          <w:p w14:paraId="0A0CA930" w14:textId="77777777" w:rsidR="00E114BB"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Ministerul Finanțelor</w:t>
            </w:r>
          </w:p>
          <w:p w14:paraId="22C3560E"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07/2-17/1111din 09.04.2026)</w:t>
            </w:r>
          </w:p>
        </w:tc>
        <w:tc>
          <w:tcPr>
            <w:tcW w:w="5880" w:type="dxa"/>
          </w:tcPr>
          <w:p w14:paraId="3AC912B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Comunică susținerea proiectului, cu implementarea prevederilor acestuia din contul și în limita alocațiilor aprobate în bugetul Ministerului Muncii și Protecției Sociale. </w:t>
            </w:r>
          </w:p>
        </w:tc>
        <w:tc>
          <w:tcPr>
            <w:tcW w:w="5880" w:type="dxa"/>
          </w:tcPr>
          <w:p w14:paraId="4EE059E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0BA23A75" w14:textId="77777777">
        <w:trPr>
          <w:trHeight w:val="600"/>
        </w:trPr>
        <w:tc>
          <w:tcPr>
            <w:tcW w:w="555" w:type="dxa"/>
            <w:vMerge w:val="restart"/>
          </w:tcPr>
          <w:p w14:paraId="68891683" w14:textId="77777777" w:rsidR="00E114BB"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23.</w:t>
            </w:r>
          </w:p>
        </w:tc>
        <w:tc>
          <w:tcPr>
            <w:tcW w:w="2700" w:type="dxa"/>
            <w:vMerge w:val="restart"/>
          </w:tcPr>
          <w:p w14:paraId="6E31917A" w14:textId="77777777" w:rsidR="00E114BB"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Confederația Națională a Sindicatelor din Moldova</w:t>
            </w:r>
          </w:p>
          <w:p w14:paraId="7EA6F91E"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04-17/215 din 09.04.2026)</w:t>
            </w:r>
          </w:p>
        </w:tc>
        <w:tc>
          <w:tcPr>
            <w:tcW w:w="5880" w:type="dxa"/>
          </w:tcPr>
          <w:p w14:paraId="66AFE13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 Referitor la Art. I (modificări la Legea nr. 140/2001 privind Inspectoratul de Stat al Muncii)</w:t>
            </w:r>
          </w:p>
          <w:p w14:paraId="045FFBC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Analizând definițiile noțiunilor „inspecții concertate” și „inspecții comune”, propuse pentru completarea cadrului normativ, constatăm că acestea sunt, în esență, foarte apropiate din punct de vedere al conținutului. Or, ambele definiții prezintă elemente comune semnificative, întrucât vizează activități de control desfășurate în Republica Moldova și, după caz, în unul sau mai multe state membre ale Uniunii Europene, prevăd exercitarea competențelor în limitele jurisdicției proprii a fiecărei autorități și permit implicarea personalului Autorității Europene a Muncii în condițiile acordurilor de cooperare aplicabile. </w:t>
            </w:r>
          </w:p>
          <w:p w14:paraId="714B0AB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Această similitudine pronunțată poate genera interpretări divergente, neînțelegeri și dificultăți în aplicarea practică a reglementărilor. </w:t>
            </w:r>
          </w:p>
          <w:p w14:paraId="66E6C6E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avizul nr. 04-17/148 din 16 martie 2026, CNSM a reiterat propunerea de clarificare și delimitare mai exactă a noțiunilor respective, astfel încât cadrul normativ să fie mai coerent și mai ușor de aplicat în practică.</w:t>
            </w:r>
          </w:p>
          <w:p w14:paraId="3E695D3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Autorii proiectului, însă, nu au acceptat propunerea respectivă, menționând în sinteza la proiectul de lege că „noțiunile nu sunt identice și sunt deja delimitate prin conținutul lor normativ. Inspecțiile concertate presupun desfășurarea simultană a activităților de control în jurisdicții diferite, iar „inspecțiile comune” presupun desfășurarea activităților de control pe teritoriul unui anumit stat, cu participarea autorităților competente din alte state. Prin urmare, proiectul reglementează două forme distincte de cooperare administrativă”.</w:t>
            </w:r>
          </w:p>
          <w:p w14:paraId="6B29E3E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Respingerea propunerii înaintate de CNSM, o considerăm simplistă, formală și lipsită de argumente judicioase. </w:t>
            </w:r>
          </w:p>
          <w:p w14:paraId="411884A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Astfel, pentru asigurarea unui cadru normativ coerent și ușor de aplicat, precum și a reducerii riscului de confuzie în practică, se impune delimitarea mai exactă a acestor noțiuni.</w:t>
            </w:r>
          </w:p>
        </w:tc>
        <w:tc>
          <w:tcPr>
            <w:tcW w:w="5880" w:type="dxa"/>
          </w:tcPr>
          <w:p w14:paraId="64A6115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Nu se acceptă.</w:t>
            </w:r>
            <w:r>
              <w:rPr>
                <w:rFonts w:ascii="Times New Roman" w:eastAsia="Times New Roman" w:hAnsi="Times New Roman" w:cs="Times New Roman"/>
                <w:highlight w:val="white"/>
              </w:rPr>
              <w:t xml:space="preserve"> </w:t>
            </w:r>
          </w:p>
          <w:p w14:paraId="51F467E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Observația nu poate fi reținută, întrucât noțiunile de „inspecții concertate” și „inspecții comune” nu sunt identice și sunt delimitate prin conținutul lor normativ. Elementul distinctiv esențial constă în modul de desfășurare a activităților de control și în întinderea teritorială a acestora. Astfel, inspecțiile concertate presupun desfășurarea simultană a activităților de control în Republica Moldova și în unul sau mai multe state membre ale Uniunii Europene, privind cazuri conexe, fiecare autoritate competentă operând în propria jurisdicție. În schimb, inspecțiile comune presupun desfășurarea activităților de control pe teritoriul unui anumit stat, cu participarea autorităților competente ale unuia sau mai multor state membre ale Uniunii Europene, fiecare autoritate acționând, de asemenea, în limitele propriei jurisdicții.</w:t>
            </w:r>
          </w:p>
          <w:p w14:paraId="2842402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pentru sporirea clarității și a accesibilității normei, noțiunile respective au fost reformulate și relocate din textul art. 13² alin. (4) în art. 1/1 al Legii nr. 140/2001, în calitate de noțiuni principale ale legii. În noua redacție este precizat expres că „inspecțiile concertate” vizează controale desfășurate simultan în jurisdicții diferite, iar „inspecțiile comune” vizează controale desfășurate pe teritoriul Republicii Moldova ori, după caz, pe teritoriul unui stat membru al Uniunii Europene, cu participarea autorităților competente din alte state membre. Prin urmare, proiectul reglementează două forme distincte de cooperare administrativă, iar delimitarea dintre acestea rezultă suficient de clar din conținutul normativ propus.</w:t>
            </w:r>
          </w:p>
          <w:p w14:paraId="10A456C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232BBE8A" w14:textId="77777777">
        <w:trPr>
          <w:trHeight w:val="600"/>
        </w:trPr>
        <w:tc>
          <w:tcPr>
            <w:tcW w:w="555" w:type="dxa"/>
            <w:vMerge/>
          </w:tcPr>
          <w:p w14:paraId="69A96162" w14:textId="77777777" w:rsidR="00E114BB" w:rsidRDefault="00E114BB">
            <w:pPr>
              <w:spacing w:line="240" w:lineRule="auto"/>
              <w:rPr>
                <w:rFonts w:ascii="Times New Roman" w:eastAsia="Times New Roman" w:hAnsi="Times New Roman" w:cs="Times New Roman"/>
                <w:b/>
                <w:bCs/>
              </w:rPr>
            </w:pPr>
          </w:p>
        </w:tc>
        <w:tc>
          <w:tcPr>
            <w:tcW w:w="2700" w:type="dxa"/>
            <w:vMerge/>
          </w:tcPr>
          <w:p w14:paraId="2209E65D" w14:textId="77777777" w:rsidR="00E114BB" w:rsidRDefault="00E114BB">
            <w:pPr>
              <w:spacing w:line="240" w:lineRule="auto"/>
              <w:jc w:val="center"/>
              <w:rPr>
                <w:rFonts w:ascii="Times New Roman" w:eastAsia="Times New Roman" w:hAnsi="Times New Roman" w:cs="Times New Roman"/>
              </w:rPr>
            </w:pPr>
          </w:p>
        </w:tc>
        <w:tc>
          <w:tcPr>
            <w:tcW w:w="5880" w:type="dxa"/>
          </w:tcPr>
          <w:p w14:paraId="70D737A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II. Referitor la Art. II (modificări la Codul muncii nr. 154/2003) </w:t>
            </w:r>
          </w:p>
          <w:p w14:paraId="0B7DFE0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Cu privire la noțiunea de „dispensă” Autorii propun introducerea noțiunii de „dispensă”, definită ca scutirea temporară a femeilor gravide de la îndeplinirea obligațiilor de muncă pentru efectuarea consultațiilor prenatale, fără afectarea drepturilor salariale.</w:t>
            </w:r>
          </w:p>
          <w:p w14:paraId="7B86DA4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După cum s-a specificat și în avizul menționat supra, termenul „dispensă” are un caracter excesiv de formal și este mai puțin accesibil publicului larg, nefiind utilizat în mod obișnuit în legislația muncii. Or, pentru a asigura claritatea și accesibilitatea normei, reiterăm propunerea privind înlocuirea acestui termen cu sintagma „permisiune pentru consultație medicală prenatală”, care reflectă mai fidel scopul reglementării. </w:t>
            </w:r>
          </w:p>
          <w:p w14:paraId="7F700B0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asemenea, considerăm mai potrivită formularea „fără diminuarea drepturilor salariale” decât „fără afectarea drepturilor salariale”, întrucât aceasta este deja consacrată în Codul muncii și contribuie la menținerea coerenței terminologice.</w:t>
            </w:r>
          </w:p>
        </w:tc>
        <w:tc>
          <w:tcPr>
            <w:tcW w:w="5880" w:type="dxa"/>
          </w:tcPr>
          <w:p w14:paraId="086367C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68920B1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Propunerea de substituire a noțiunii de „dispensă” cu sintagma „permisiune pentru consultație medicală prenatală” nu poate fi reținută. Termenul „dispensă” este utilizat pentru a desemna, într-o formulare </w:t>
            </w:r>
            <w:proofErr w:type="spellStart"/>
            <w:r>
              <w:rPr>
                <w:rFonts w:ascii="Times New Roman" w:eastAsia="Times New Roman" w:hAnsi="Times New Roman" w:cs="Times New Roman"/>
                <w:highlight w:val="white"/>
              </w:rPr>
              <w:t>juridico</w:t>
            </w:r>
            <w:proofErr w:type="spellEnd"/>
            <w:r>
              <w:rPr>
                <w:rFonts w:ascii="Times New Roman" w:eastAsia="Times New Roman" w:hAnsi="Times New Roman" w:cs="Times New Roman"/>
                <w:highlight w:val="white"/>
              </w:rPr>
              <w:t>-normativă concisă, scutirea temporară de la executarea obligațiilor de muncă într-un caz expres prevăzut de lege, cu menținerea garanțiilor aferente. Prin urmare, acesta redă mai exact natura juridică a dreptului instituit decât termenul „permisiune”, care are un caracter mai degrabă uzual și poate sugera o facultate dependentă de acordul angajatorului, iar nu un drept legal al salariatei gravide.</w:t>
            </w:r>
          </w:p>
          <w:p w14:paraId="45C09FF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utilizarea noțiunii de „dispensă” este în concordanță cu obiectul reglementării propuse, care urmărește transpunerea art. 9 din Directiva 92/85/CEE privind acordarea de dispense pentru consultații prenatale. Din această perspectivă, menținerea terminologiei respective contribuie la o corelare mai clară între soluția națională și actul Uniunii Europene avut în vedere.</w:t>
            </w:r>
          </w:p>
          <w:p w14:paraId="09C49C9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247¹ este reglementat în următoarea redacție:</w:t>
            </w:r>
          </w:p>
          <w:p w14:paraId="56B7537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247¹. Dispense pentru consultații prenatale</w:t>
            </w:r>
          </w:p>
          <w:p w14:paraId="520A18E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Femeile gravide beneficiază de dispense pentru efectuarea consultațiilor prenatale, în cazul în care acestea au loc în timpul programului de muncă.</w:t>
            </w:r>
          </w:p>
          <w:p w14:paraId="686A4ED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Pe durata dispenselor prevăzute la alin. (1), femeilor gravide li se menține salariul mediu de la locul de muncă. Timpul acordat </w:t>
            </w:r>
            <w:r>
              <w:rPr>
                <w:rFonts w:ascii="Times New Roman" w:eastAsia="Times New Roman" w:hAnsi="Times New Roman" w:cs="Times New Roman"/>
                <w:highlight w:val="white"/>
              </w:rPr>
              <w:lastRenderedPageBreak/>
              <w:t>pentru dispense se include în timpul de muncă și nu constituie absență de la serviciu.</w:t>
            </w:r>
          </w:p>
          <w:p w14:paraId="515FE17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Pentru a beneficia de dispensa prevăzută la alin. (1), femeia gravidă informează în prealabil angajatorul, inclusiv prin mijloace de comunicare electronică, și prezintă o confirmare eliberată de instituția medico-sanitară competentă privind necesitatea prezentării la consultația prenatală.</w:t>
            </w:r>
          </w:p>
          <w:p w14:paraId="6659EED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Acordarea dispenselor pentru consultații prenatale nu poate constitui temei pentru reducerea drepturilor salariale, modificarea condițiilor de muncă, aplicarea măsurilor disciplinare sau producerea altor consecințe nefavorabile pentru femeile gravide.</w:t>
            </w:r>
          </w:p>
        </w:tc>
      </w:tr>
      <w:tr w:rsidR="00E114BB" w14:paraId="6175930E" w14:textId="77777777">
        <w:trPr>
          <w:trHeight w:val="600"/>
        </w:trPr>
        <w:tc>
          <w:tcPr>
            <w:tcW w:w="555" w:type="dxa"/>
            <w:vMerge/>
          </w:tcPr>
          <w:p w14:paraId="60397C36" w14:textId="77777777" w:rsidR="00E114BB" w:rsidRDefault="00E114BB">
            <w:pPr>
              <w:spacing w:line="240" w:lineRule="auto"/>
              <w:rPr>
                <w:rFonts w:ascii="Times New Roman" w:eastAsia="Times New Roman" w:hAnsi="Times New Roman" w:cs="Times New Roman"/>
                <w:b/>
                <w:bCs/>
              </w:rPr>
            </w:pPr>
          </w:p>
        </w:tc>
        <w:tc>
          <w:tcPr>
            <w:tcW w:w="2700" w:type="dxa"/>
            <w:vMerge/>
          </w:tcPr>
          <w:p w14:paraId="185F19C8" w14:textId="77777777" w:rsidR="00E114BB" w:rsidRDefault="00E114BB">
            <w:pPr>
              <w:spacing w:line="240" w:lineRule="auto"/>
              <w:jc w:val="center"/>
              <w:rPr>
                <w:rFonts w:ascii="Times New Roman" w:eastAsia="Times New Roman" w:hAnsi="Times New Roman" w:cs="Times New Roman"/>
              </w:rPr>
            </w:pPr>
          </w:p>
        </w:tc>
        <w:tc>
          <w:tcPr>
            <w:tcW w:w="5880" w:type="dxa"/>
          </w:tcPr>
          <w:p w14:paraId="136CD24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Cu privire la modificarea art. 8 Alin. (2) al art. 8, în redacția actuală, este clar, coerent și nu a generat dificultăți în aplicarea practică de la adoptarea Codului muncii. Modificarea propusă introduce noțiuni precum „cerință profesională esențială și determinantă”, „obiectiv legitim” și „cerință proporțională”, care nu sunt definite în legislația muncii și nu sunt utilizate în mod constant. </w:t>
            </w:r>
          </w:p>
          <w:p w14:paraId="50CC496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Utilizarea acestor concepte riscă să genereze incertitudine juridică și dificultăți de interpretare, fără a aduce un plus de claritate sau valoare normativă. </w:t>
            </w:r>
          </w:p>
          <w:p w14:paraId="4829038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completarea cu un nou alineat (3), care face referire la „protecția sănătății și a securității”, nu este pe deplin corelată cu terminologia consacrată în Codul muncii, care utilizează noțiunea de „asigurare a securității și sănătății în muncă”. Așadar, considerăm că modificările propuse la art. 8 nu sunt justificate și nu pot fi susținute.</w:t>
            </w:r>
          </w:p>
        </w:tc>
        <w:tc>
          <w:tcPr>
            <w:tcW w:w="5880" w:type="dxa"/>
          </w:tcPr>
          <w:p w14:paraId="68794FB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respinge</w:t>
            </w:r>
          </w:p>
          <w:p w14:paraId="10F350F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Obiecția nu poate fi reținută, întrucât modificările propuse la art. 8 alin. (2) urmăresc asigurarea transpunerii fidele a standardelor stabilite prin Directiva 2000/78/CE și Directiva 2000/43/CE, care consacră în mod expres conceptele de „cerință profesională esențială și determinantă”, „obiectiv legitim” și „proporționalitate” ca elemente definitorii ale tratamentului diferențiat permis. Aceste noțiuni nu reprezintă o inovație arbitrară, ci reflectă terminologia obligatorie a dreptului Uniunii Europene, fiind necesare pentru delimitarea clară între tratamentul permis și discriminarea interzisă. Lipsa consacrării lor exprese în legislația națională ar conduce la o transpunere incompletă și la riscul unor interpretări divergente față de standardele europene. În ceea ce privește formularea referitoare la protecția sănătății și securității, aceasta nu contravine terminologiei Codului muncii, ci exprimă, într-o manieră </w:t>
            </w:r>
            <w:r>
              <w:rPr>
                <w:rFonts w:ascii="Times New Roman" w:eastAsia="Times New Roman" w:hAnsi="Times New Roman" w:cs="Times New Roman"/>
                <w:highlight w:val="white"/>
              </w:rPr>
              <w:lastRenderedPageBreak/>
              <w:t>compatibilă cu directivele, un obiectiv legitim recunoscut ca justificare pentru diferențierea de tratament.</w:t>
            </w:r>
          </w:p>
        </w:tc>
      </w:tr>
      <w:tr w:rsidR="00E114BB" w14:paraId="723D691C" w14:textId="77777777">
        <w:trPr>
          <w:trHeight w:val="600"/>
        </w:trPr>
        <w:tc>
          <w:tcPr>
            <w:tcW w:w="555" w:type="dxa"/>
            <w:vMerge/>
          </w:tcPr>
          <w:p w14:paraId="769767EF" w14:textId="77777777" w:rsidR="00E114BB" w:rsidRDefault="00E114BB">
            <w:pPr>
              <w:spacing w:line="240" w:lineRule="auto"/>
              <w:rPr>
                <w:rFonts w:ascii="Times New Roman" w:eastAsia="Times New Roman" w:hAnsi="Times New Roman" w:cs="Times New Roman"/>
                <w:b/>
                <w:bCs/>
              </w:rPr>
            </w:pPr>
          </w:p>
        </w:tc>
        <w:tc>
          <w:tcPr>
            <w:tcW w:w="2700" w:type="dxa"/>
            <w:vMerge/>
          </w:tcPr>
          <w:p w14:paraId="297B3296" w14:textId="77777777" w:rsidR="00E114BB" w:rsidRDefault="00E114BB">
            <w:pPr>
              <w:spacing w:line="240" w:lineRule="auto"/>
              <w:jc w:val="center"/>
              <w:rPr>
                <w:rFonts w:ascii="Times New Roman" w:eastAsia="Times New Roman" w:hAnsi="Times New Roman" w:cs="Times New Roman"/>
              </w:rPr>
            </w:pPr>
          </w:p>
        </w:tc>
        <w:tc>
          <w:tcPr>
            <w:tcW w:w="5880" w:type="dxa"/>
          </w:tcPr>
          <w:p w14:paraId="76507A9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Cu privire la modificarea art. 42 alin. (2) lit. b) Norma în vigoare este clară și nu necesită intervenții. Or, propunerea autorului, care în esență urmărește stabilirea obligației de informare a salariaților, doar pentru angajatorii cu cel puțin 50 de salariați, nu este justificată și nici argumentată în Nota de fundamentare. Mai mult, reglementarea actuală oferă un nivel mai favorabil de protecție salariaților decât standardele minime prevăzute de Directiva 2002/14/CE, neexistând obligația de a introduce asemenea limitări. Or, analizând Nota de fundamentare la proiectul de lege, constatăm că aceasta nu conține argumente judicioase privind completarea propusă și, prin urmare, nu sunt clare motivele care au stat la baza acesteia. În același timp, atragem atenția asupra faptului că:</w:t>
            </w:r>
          </w:p>
          <w:p w14:paraId="087B9B0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art. 421 a fost introdus în Codul muncii prin Legea nr. 155/2017, care a transpus inclusiv Directiva 2002/14/CE a Parlamentului European şi a Consiliului din 11 martie 2002 de stabilire a unui cadru general de informare şi consultare a lucrătorilor din Comunitatea Europeană; </w:t>
            </w:r>
          </w:p>
          <w:p w14:paraId="08F6D01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art. 421 din Codul muncii (în redacția în vigoare) nu stabilește criterii sau excepții de aplicare pentru normele instituite și, astfel, asigură o situație mai favorabilă a salariaților în raport cu cea permisă de Directivă 2002/14/CE. În acest context, menționăm că pct. (18) din preambulul Directivei 2002/14/CE stabilește că, obiectivul acesteia este de a stabili cerințe minime aplicabile în întreaga Comunitate, fără a împiedica statele membre să prevadă dispoziții mai favorabile lucrătorilor.</w:t>
            </w:r>
          </w:p>
          <w:p w14:paraId="7F99711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Altfel spus, art. 421 din Codul muncii (în redacția în vigoare) nu contravine acquis-ului comunitar.</w:t>
            </w:r>
          </w:p>
          <w:p w14:paraId="3C9594A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Prin urmare, având în vedere faptul că modificarea propusă de autor pentru art. 42, alin. (2) lit. b) care, în principiu, ar trebui să asigure transpunerea dreptului din Directiva 2002/14/CE (la </w:t>
            </w:r>
            <w:r>
              <w:rPr>
                <w:rFonts w:ascii="Times New Roman" w:eastAsia="Times New Roman" w:hAnsi="Times New Roman" w:cs="Times New Roman"/>
                <w:highlight w:val="white"/>
              </w:rPr>
              <w:lastRenderedPageBreak/>
              <w:t>informarea tuturor salariaților), însă, în mod evident conduce la diminuarea dreptului la informare a salariaților din unitățile cu mai puțin de 50 de salariați, aceasta nu poate fi susținută.</w:t>
            </w:r>
          </w:p>
        </w:tc>
        <w:tc>
          <w:tcPr>
            <w:tcW w:w="5880" w:type="dxa"/>
          </w:tcPr>
          <w:p w14:paraId="5174447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respinge </w:t>
            </w:r>
          </w:p>
          <w:p w14:paraId="7472C6B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Obiecția nu poate fi reținută, întrucât alinierea legislației naționale la Directiva 2002/14/CE presupune nu doar menținerea unui nivel ridicat de protecție, ci și asigurarea unui echilibru just între drepturile și obligațiile părților raportului de muncă. Directiva însăși operează cu noțiunea de „întreprindere” căreia îi sunt aplicabile praguri de salariați, iar această noțiune este, în esență, echivalentă cu cea de angajator din Codul muncii, ceea ce justifică instituirea limitei de 50 de salariați în plan național. În aceste condiții, stabilirea unui asemenea prag nu constituie o restrângere arbitrară, ci o transpunere coerentă a mecanismului prevăzut de directivă, adaptată realităților juridice interne. Mai mult, această delimitare este cu atât mai necesară în contextul instituirii unor sancțiuni contravenționale pentru nerespectarea obligațiilor de informare și consultare, fiind indispensabilă asigurării previzibilității și proporționalității normei.</w:t>
            </w:r>
          </w:p>
        </w:tc>
      </w:tr>
      <w:tr w:rsidR="00E114BB" w14:paraId="66C26016" w14:textId="77777777">
        <w:trPr>
          <w:trHeight w:val="600"/>
        </w:trPr>
        <w:tc>
          <w:tcPr>
            <w:tcW w:w="555" w:type="dxa"/>
            <w:vMerge/>
          </w:tcPr>
          <w:p w14:paraId="38F65E45" w14:textId="77777777" w:rsidR="00E114BB" w:rsidRDefault="00E114BB">
            <w:pPr>
              <w:spacing w:line="240" w:lineRule="auto"/>
              <w:rPr>
                <w:rFonts w:ascii="Times New Roman" w:eastAsia="Times New Roman" w:hAnsi="Times New Roman" w:cs="Times New Roman"/>
                <w:b/>
                <w:bCs/>
              </w:rPr>
            </w:pPr>
          </w:p>
        </w:tc>
        <w:tc>
          <w:tcPr>
            <w:tcW w:w="2700" w:type="dxa"/>
            <w:vMerge/>
          </w:tcPr>
          <w:p w14:paraId="5E8B43B9" w14:textId="77777777" w:rsidR="00E114BB" w:rsidRDefault="00E114BB">
            <w:pPr>
              <w:spacing w:line="240" w:lineRule="auto"/>
              <w:jc w:val="center"/>
              <w:rPr>
                <w:rFonts w:ascii="Times New Roman" w:eastAsia="Times New Roman" w:hAnsi="Times New Roman" w:cs="Times New Roman"/>
              </w:rPr>
            </w:pPr>
          </w:p>
        </w:tc>
        <w:tc>
          <w:tcPr>
            <w:tcW w:w="5880" w:type="dxa"/>
          </w:tcPr>
          <w:p w14:paraId="1FB1F51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Cu privire la modificarea art. 103</w:t>
            </w:r>
          </w:p>
          <w:p w14:paraId="09132D0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Pentru respectarea normelor de tehnică legislativă, propunem reformularea după cum urmează: </w:t>
            </w:r>
          </w:p>
          <w:p w14:paraId="3FB2FA3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103, alineatul (3) va avea următorul cuprins: (3) Prevederile alineatelor (1¹), (1²) și (2) 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cu flux continuu și în cazul muncii în schimburi, dacă contractul colectiv de muncă nu prevede altfel.”.</w:t>
            </w:r>
          </w:p>
          <w:p w14:paraId="50363BA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asemenea, este necesară corelarea acestei modificări cu ordinea intervențiilor din proiect.</w:t>
            </w:r>
          </w:p>
        </w:tc>
        <w:tc>
          <w:tcPr>
            <w:tcW w:w="5880" w:type="dxa"/>
          </w:tcPr>
          <w:p w14:paraId="4B9AE1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FD2DD5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103 alin. (3) va fi expus în următoarea redacție:</w:t>
            </w:r>
          </w:p>
          <w:p w14:paraId="2782FA2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Prevederile alineatelor (1¹), (1²) și (2) 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cu flux continuu și în cazul muncii în schimburi, dacă contractul colectiv de muncă nu prevede altfel.</w:t>
            </w:r>
          </w:p>
        </w:tc>
      </w:tr>
      <w:tr w:rsidR="00E114BB" w14:paraId="799238E2" w14:textId="77777777">
        <w:trPr>
          <w:trHeight w:val="600"/>
        </w:trPr>
        <w:tc>
          <w:tcPr>
            <w:tcW w:w="555" w:type="dxa"/>
            <w:vMerge/>
          </w:tcPr>
          <w:p w14:paraId="49ED0A40" w14:textId="77777777" w:rsidR="00E114BB" w:rsidRDefault="00E114BB">
            <w:pPr>
              <w:spacing w:line="240" w:lineRule="auto"/>
              <w:rPr>
                <w:rFonts w:ascii="Times New Roman" w:eastAsia="Times New Roman" w:hAnsi="Times New Roman" w:cs="Times New Roman"/>
                <w:b/>
                <w:bCs/>
              </w:rPr>
            </w:pPr>
          </w:p>
        </w:tc>
        <w:tc>
          <w:tcPr>
            <w:tcW w:w="2700" w:type="dxa"/>
            <w:vMerge/>
          </w:tcPr>
          <w:p w14:paraId="25AF266C" w14:textId="77777777" w:rsidR="00E114BB" w:rsidRDefault="00E114BB">
            <w:pPr>
              <w:spacing w:line="240" w:lineRule="auto"/>
              <w:jc w:val="center"/>
              <w:rPr>
                <w:rFonts w:ascii="Times New Roman" w:eastAsia="Times New Roman" w:hAnsi="Times New Roman" w:cs="Times New Roman"/>
              </w:rPr>
            </w:pPr>
          </w:p>
        </w:tc>
        <w:tc>
          <w:tcPr>
            <w:tcW w:w="5880" w:type="dxa"/>
          </w:tcPr>
          <w:p w14:paraId="4B61C9A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5) Cu privire la completarea cu art. 247¹ Prin avizul nr. 04-17/148 din 16 martie 2026, CNSM a propus expunerea art. 247¹ , din Codul muncii într-o altă redacție, luând în considerare propunerile înaintate la pct. 2 din Art. II al proiectului de lege, definiția noțiunii de „femeie gravidă” cuprinsă în art. 1 din Codul muncii, precum și necesitatea simplificării și concretizării conținutului normativ al acestui articol. Și anume: </w:t>
            </w:r>
          </w:p>
          <w:p w14:paraId="01823CB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247¹. Permisiuni pentru consultații medicale prenatale </w:t>
            </w:r>
          </w:p>
          <w:p w14:paraId="7C60675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Salariatele gravide beneficiază de permisiuni pentru efectuarea consultațiilor medicale prenatale, dacă acestea au loc în timpul programului de muncă. </w:t>
            </w:r>
          </w:p>
          <w:p w14:paraId="196A32A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Pentru a beneficia de permisiune pentru efectuarea consultației medicale prenatale, salariatele gravide anunță în scris angajatorul, iar ulterior prezintă un document medical justificativ (certificat/adeverință/act etc.), eliberat de instituția </w:t>
            </w:r>
            <w:r>
              <w:rPr>
                <w:rFonts w:ascii="Times New Roman" w:eastAsia="Times New Roman" w:hAnsi="Times New Roman" w:cs="Times New Roman"/>
                <w:highlight w:val="white"/>
              </w:rPr>
              <w:lastRenderedPageBreak/>
              <w:t xml:space="preserve">medico-sanitară competentă, de medicul de familie sau de medicul specialist. </w:t>
            </w:r>
          </w:p>
          <w:p w14:paraId="1A26FEC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Permisiunile pentru efectuarea consultațiilor medicale prenatale se acordă salariatelor gravide fără diminuarea drepturilor salariale și a altor drepturi prevăzute de legislația în vigoare.”. </w:t>
            </w:r>
          </w:p>
          <w:p w14:paraId="6508C94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Deși, în sinteza la proiectul de lege se menționează că propunerea a fost acceptată parțial, constatăm totuși că, articolul respectiv a rămas, în esență, neschimbat, iar cele indicate în sinteză nu corespund realității. </w:t>
            </w:r>
          </w:p>
          <w:p w14:paraId="1D1F3A8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Având în vedere cele expuse, reiterăm propunerea CNSM pentru art. 2471 , pentru a fi susținută/acceptată integral, fapt care va asigura simplificarea și concretizarea conținutului normativ al articolului vizat, precum și corelarea acestuia cu prevederile altor articole din Codul muncii, inclusiv cu definiția noțiunii de „femeie gravidă” cuprinsă în art. 1 din Codul muncii. </w:t>
            </w:r>
          </w:p>
        </w:tc>
        <w:tc>
          <w:tcPr>
            <w:tcW w:w="5880" w:type="dxa"/>
          </w:tcPr>
          <w:p w14:paraId="5214552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Nu se acceptă.</w:t>
            </w:r>
            <w:r>
              <w:rPr>
                <w:rFonts w:ascii="Times New Roman" w:eastAsia="Times New Roman" w:hAnsi="Times New Roman" w:cs="Times New Roman"/>
                <w:highlight w:val="white"/>
              </w:rPr>
              <w:t xml:space="preserve"> </w:t>
            </w:r>
          </w:p>
          <w:p w14:paraId="7113C7C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Propunerea de reformulare a art. 247¹ în redacția sugerată nu poate fi reținută, întrucât soluția prevăzută de proiect asigură o reglementare mai completă și mai protectoare a dreptului femeilor gravide de a efectua consultații prenatale în timpul programului de muncă. Spre deosebire de varianta propusă, textul proiectului stabilește expres menținerea salariului mediu de la locul de muncă, includerea timpului acordat pentru consultații în timpul de muncă, faptul că acesta nu constituie absență de la serviciu, precum și interdicția reducerii drepturilor salariale, a modificării condițiilor de muncă, a aplicării măsurilor disciplinare sau a producerii altor consecințe nefavorabile pentru femeile gravide.</w:t>
            </w:r>
          </w:p>
          <w:p w14:paraId="1EE32A5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utilizarea noțiunii de „dispensă” corespunde naturii juridice a măsurii reglementate, care reprezintă o scutire </w:t>
            </w:r>
            <w:r>
              <w:rPr>
                <w:rFonts w:ascii="Times New Roman" w:eastAsia="Times New Roman" w:hAnsi="Times New Roman" w:cs="Times New Roman"/>
                <w:highlight w:val="white"/>
              </w:rPr>
              <w:lastRenderedPageBreak/>
              <w:t>temporară de la executarea obligațiilor de muncă într-un caz expres prevăzut de lege, și permite o redare mai exactă a instituției avute în vedere de proiect. În aceste condiții, redacția propusă de proiect este menținută.</w:t>
            </w:r>
          </w:p>
          <w:p w14:paraId="0BDCA6A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răspunsul formulat anterior în sinteză, acesta urmează a fi ajustat pentru a reflecta cu exactitate soluția reținută asupra observației.</w:t>
            </w:r>
          </w:p>
          <w:p w14:paraId="2AF0F92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21A0FC1A" w14:textId="77777777">
        <w:trPr>
          <w:trHeight w:val="600"/>
        </w:trPr>
        <w:tc>
          <w:tcPr>
            <w:tcW w:w="555" w:type="dxa"/>
            <w:vMerge w:val="restart"/>
          </w:tcPr>
          <w:p w14:paraId="799D2465" w14:textId="77777777" w:rsidR="00E114BB"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24.</w:t>
            </w:r>
          </w:p>
        </w:tc>
        <w:tc>
          <w:tcPr>
            <w:tcW w:w="2700" w:type="dxa"/>
            <w:vMerge w:val="restart"/>
          </w:tcPr>
          <w:p w14:paraId="1C8A1EEB" w14:textId="77777777" w:rsidR="00E114BB"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Ministerul Justiției</w:t>
            </w:r>
          </w:p>
          <w:p w14:paraId="79D0EA52"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04/2-4151 din 16.04.2026)</w:t>
            </w:r>
          </w:p>
        </w:tc>
        <w:tc>
          <w:tcPr>
            <w:tcW w:w="5880" w:type="dxa"/>
          </w:tcPr>
          <w:p w14:paraId="5EBA3A8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Sub aspectul intenției de reglementare, proiectul de lege include modificări ale legislației naționale în conformitate cu directivele europene și reglementările relevante, vizând armonizarea cadrului normativ național cu standardele Uniunii Europene în domeniul muncii, securității și sănătății în muncă, egalității de tratament, detașării lucrătorilor și muncii temporare, crearea cadrului normativ pentru cooperare, schimb de informații și medierea litigiilor transfrontaliere, care pot fi deferite către Autoritatea Europeană a Muncii. </w:t>
            </w:r>
          </w:p>
          <w:p w14:paraId="29645F3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prin proiect se asigură transpunerea unor prevederi din mai multe directive UE, după cum urmează: Directiva 89/391/CEE, Directiva 91/383/CEE, Directiva 92/85/CEE, Directiva 2000/43/CE, Directiva 2000/78/CE, Directiva 2002/14/CE, Directiva 2008/104/CE, Directiva 2014/67/UE, precum și creează cadrul necesar aplicării Regulamentului (UE) 2019/1149.</w:t>
            </w:r>
          </w:p>
        </w:tc>
        <w:tc>
          <w:tcPr>
            <w:tcW w:w="5880" w:type="dxa"/>
          </w:tcPr>
          <w:p w14:paraId="0AA61C8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E114BB" w14:paraId="6A4AF086" w14:textId="77777777">
        <w:trPr>
          <w:trHeight w:val="600"/>
        </w:trPr>
        <w:tc>
          <w:tcPr>
            <w:tcW w:w="555" w:type="dxa"/>
            <w:vMerge/>
          </w:tcPr>
          <w:p w14:paraId="37F4267F" w14:textId="77777777" w:rsidR="00E114BB" w:rsidRDefault="00E114BB">
            <w:pPr>
              <w:spacing w:line="240" w:lineRule="auto"/>
              <w:rPr>
                <w:rFonts w:ascii="Times New Roman" w:eastAsia="Times New Roman" w:hAnsi="Times New Roman" w:cs="Times New Roman"/>
                <w:b/>
                <w:bCs/>
              </w:rPr>
            </w:pPr>
          </w:p>
        </w:tc>
        <w:tc>
          <w:tcPr>
            <w:tcW w:w="2700" w:type="dxa"/>
            <w:vMerge/>
          </w:tcPr>
          <w:p w14:paraId="2C75A0B1" w14:textId="77777777" w:rsidR="00E114BB" w:rsidRDefault="00E114BB">
            <w:pPr>
              <w:spacing w:line="240" w:lineRule="auto"/>
              <w:jc w:val="center"/>
              <w:rPr>
                <w:rFonts w:ascii="Times New Roman" w:eastAsia="Times New Roman" w:hAnsi="Times New Roman" w:cs="Times New Roman"/>
              </w:rPr>
            </w:pPr>
          </w:p>
        </w:tc>
        <w:tc>
          <w:tcPr>
            <w:tcW w:w="5880" w:type="dxa"/>
          </w:tcPr>
          <w:p w14:paraId="37A275E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I – modificarea Legii nr. 140/2001 privind Inspectoratul de Stat al Muncii: Din dispoziția pct. 1, textul „După clauza de adoptare” se va exclude, ca fiind inutil. Or, pct. </w:t>
            </w:r>
            <w:r>
              <w:rPr>
                <w:rFonts w:ascii="Times New Roman" w:eastAsia="Times New Roman" w:hAnsi="Times New Roman" w:cs="Times New Roman"/>
                <w:highlight w:val="white"/>
              </w:rPr>
              <w:lastRenderedPageBreak/>
              <w:t>34 al Regulamentului privind armonizarea legislației Republicii Moldova cu legislația UE, aprobat prin Hotărârea Guvernului nr. 1171/2018, prevede deja că, clauza de armonizare se include după preambulul și clauza de adoptare ale proiectului actului normativ (observație valabilă și pentru art. IV pct. 1 și art. V pct. 1).</w:t>
            </w:r>
          </w:p>
        </w:tc>
        <w:tc>
          <w:tcPr>
            <w:tcW w:w="5880" w:type="dxa"/>
          </w:tcPr>
          <w:p w14:paraId="6E90E87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4833121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proiectul de Lege, obiecția  este reflectată</w:t>
            </w:r>
          </w:p>
        </w:tc>
      </w:tr>
      <w:tr w:rsidR="00E114BB" w14:paraId="2FED0017" w14:textId="77777777">
        <w:trPr>
          <w:trHeight w:val="600"/>
        </w:trPr>
        <w:tc>
          <w:tcPr>
            <w:tcW w:w="555" w:type="dxa"/>
            <w:vMerge/>
          </w:tcPr>
          <w:p w14:paraId="57FA2689" w14:textId="77777777" w:rsidR="00E114BB" w:rsidRDefault="00E114BB">
            <w:pPr>
              <w:spacing w:line="240" w:lineRule="auto"/>
              <w:rPr>
                <w:rFonts w:ascii="Times New Roman" w:eastAsia="Times New Roman" w:hAnsi="Times New Roman" w:cs="Times New Roman"/>
                <w:b/>
                <w:bCs/>
              </w:rPr>
            </w:pPr>
          </w:p>
        </w:tc>
        <w:tc>
          <w:tcPr>
            <w:tcW w:w="2700" w:type="dxa"/>
            <w:vMerge/>
          </w:tcPr>
          <w:p w14:paraId="32A53827" w14:textId="77777777" w:rsidR="00E114BB" w:rsidRDefault="00E114BB">
            <w:pPr>
              <w:spacing w:line="240" w:lineRule="auto"/>
              <w:jc w:val="center"/>
              <w:rPr>
                <w:rFonts w:ascii="Times New Roman" w:eastAsia="Times New Roman" w:hAnsi="Times New Roman" w:cs="Times New Roman"/>
              </w:rPr>
            </w:pPr>
          </w:p>
        </w:tc>
        <w:tc>
          <w:tcPr>
            <w:tcW w:w="5880" w:type="dxa"/>
          </w:tcPr>
          <w:p w14:paraId="0767F69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2:</w:t>
            </w:r>
          </w:p>
          <w:p w14:paraId="3A6C41E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partea ce vizează referința la unele reglementări din Legea privind detașarea salariaților în cadrul prestării de servicii, care în prezent este la etapa de proiect (număr unic 184/MMPS/2026), se va asigura suplimentar ca această lege să fie promovată și publicată în Monitorul Oficial al Republicii Moldova concomitent cu proiectul de lege examinat, astfel încât în actul normativ intrat în vigoare să nu se regăsească trimiteri la reglementări inexistente. În plus, în tot textul legii se va asigura concret denumirea legii, inclusiv numărul de ordine și anul adoptării acesteia. Mai mult, se atestă că în unele dispoziții se face referire la Legea privind detașarea salariaților în cadrul prestării de servicii (a se vedea dispoziția introductivă a redacției propuse pentru art. 4 alin. (3)), în alte dispoziții se face referire la Legea privind detașarea salariaților în cadrul prestării de servicii transfrontaliere (a se vedea redacția art. 4 alin. (3) lit. a) și d), ș.a.), pe când denumirea proiectului legii, cu număr unic 184/MMPS/2026, vizează detașarea lucrătorilor în cadrul prestării de servicii.</w:t>
            </w:r>
          </w:p>
        </w:tc>
        <w:tc>
          <w:tcPr>
            <w:tcW w:w="5880" w:type="dxa"/>
          </w:tcPr>
          <w:p w14:paraId="6628C0C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4477D91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vederea asigurării clarității, coerenței și aplicabilității normei, se va uniformiza în tot textul proiectului denumirea legii speciale privind detașarea lucrătorilor în cadrul prestării de servicii, cu indicarea corespunzătoare a denumirii exacte. </w:t>
            </w:r>
          </w:p>
          <w:p w14:paraId="44D163C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Noțiunea de “salariat” va fi substituit cu noțiunea de “lucrător”.</w:t>
            </w:r>
          </w:p>
        </w:tc>
      </w:tr>
      <w:tr w:rsidR="00E114BB" w14:paraId="51396C6A" w14:textId="77777777">
        <w:trPr>
          <w:trHeight w:val="600"/>
        </w:trPr>
        <w:tc>
          <w:tcPr>
            <w:tcW w:w="555" w:type="dxa"/>
            <w:vMerge/>
          </w:tcPr>
          <w:p w14:paraId="32293A70" w14:textId="77777777" w:rsidR="00E114BB" w:rsidRDefault="00E114BB">
            <w:pPr>
              <w:spacing w:line="240" w:lineRule="auto"/>
              <w:rPr>
                <w:rFonts w:ascii="Times New Roman" w:eastAsia="Times New Roman" w:hAnsi="Times New Roman" w:cs="Times New Roman"/>
                <w:b/>
                <w:bCs/>
              </w:rPr>
            </w:pPr>
          </w:p>
        </w:tc>
        <w:tc>
          <w:tcPr>
            <w:tcW w:w="2700" w:type="dxa"/>
            <w:vMerge/>
          </w:tcPr>
          <w:p w14:paraId="72B3AA7C" w14:textId="77777777" w:rsidR="00E114BB" w:rsidRDefault="00E114BB">
            <w:pPr>
              <w:spacing w:line="240" w:lineRule="auto"/>
              <w:jc w:val="center"/>
              <w:rPr>
                <w:rFonts w:ascii="Times New Roman" w:eastAsia="Times New Roman" w:hAnsi="Times New Roman" w:cs="Times New Roman"/>
              </w:rPr>
            </w:pPr>
          </w:p>
        </w:tc>
        <w:tc>
          <w:tcPr>
            <w:tcW w:w="5880" w:type="dxa"/>
          </w:tcPr>
          <w:p w14:paraId="71A0420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Mai mult, se va asigura că referința la art. 40 din Legea privind detașarea salariaților în cadrul prestării de servicii este corespunzătoare normei în care se face referire. În acest sens, constatăm că în art. 40 din proiectul legii privind detașarea salariaților în cadrul prestării de servicii (număr unic 184/MMPS/2026) nu sunt prevăzute careva notificări.</w:t>
            </w:r>
          </w:p>
        </w:tc>
        <w:tc>
          <w:tcPr>
            <w:tcW w:w="5880" w:type="dxa"/>
          </w:tcPr>
          <w:p w14:paraId="2C12888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E0C3F2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Art. 40 din proiectul legii privind detașarea lucrătorilor  în cadrul prestării de servicii (număr unic 184/MMPS/2026) reglementează obligațiile administrative și măsuri de control pentru întreprinderile </w:t>
            </w:r>
            <w:proofErr w:type="spellStart"/>
            <w:r>
              <w:rPr>
                <w:rFonts w:ascii="Times New Roman" w:eastAsia="Times New Roman" w:hAnsi="Times New Roman" w:cs="Times New Roman"/>
                <w:highlight w:val="white"/>
              </w:rPr>
              <w:t>detașante</w:t>
            </w:r>
            <w:proofErr w:type="spellEnd"/>
            <w:r>
              <w:rPr>
                <w:rFonts w:ascii="Times New Roman" w:eastAsia="Times New Roman" w:hAnsi="Times New Roman" w:cs="Times New Roman"/>
                <w:highlight w:val="white"/>
              </w:rPr>
              <w:t xml:space="preserve">. </w:t>
            </w:r>
          </w:p>
          <w:p w14:paraId="16DF265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Art. 41 alin. (3) lit. f) din proiectul legii privind detașarea lucrătorilor în cadrul prestării de servicii (număr unic 184/MMPS/2026) face trimitere la art. 40, în mod corect.</w:t>
            </w:r>
          </w:p>
          <w:p w14:paraId="09CE9E6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41. Obligațiile Inspectoratului de Stat al Muncii în informarea lucrătorilor detașați pe teritoriul Republicii Moldova</w:t>
            </w:r>
          </w:p>
          <w:p w14:paraId="56A014E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În scopul </w:t>
            </w:r>
            <w:proofErr w:type="spellStart"/>
            <w:r>
              <w:rPr>
                <w:rFonts w:ascii="Times New Roman" w:eastAsia="Times New Roman" w:hAnsi="Times New Roman" w:cs="Times New Roman"/>
                <w:highlight w:val="white"/>
              </w:rPr>
              <w:t>îmbunătăţirii</w:t>
            </w:r>
            <w:proofErr w:type="spellEnd"/>
            <w:r>
              <w:rPr>
                <w:rFonts w:ascii="Times New Roman" w:eastAsia="Times New Roman" w:hAnsi="Times New Roman" w:cs="Times New Roman"/>
                <w:highlight w:val="white"/>
              </w:rPr>
              <w:t xml:space="preserve"> accesului la </w:t>
            </w:r>
            <w:proofErr w:type="spellStart"/>
            <w:r>
              <w:rPr>
                <w:rFonts w:ascii="Times New Roman" w:eastAsia="Times New Roman" w:hAnsi="Times New Roman" w:cs="Times New Roman"/>
                <w:highlight w:val="white"/>
              </w:rPr>
              <w:t>informaţii</w:t>
            </w:r>
            <w:proofErr w:type="spellEnd"/>
            <w:r>
              <w:rPr>
                <w:rFonts w:ascii="Times New Roman" w:eastAsia="Times New Roman" w:hAnsi="Times New Roman" w:cs="Times New Roman"/>
                <w:highlight w:val="white"/>
              </w:rPr>
              <w:t xml:space="preserve"> şi pentru claritatea acestora, Inspectoratul de Stat al Muncii asigură publicarea şi actualizarea periodică, pe site-ul propriu, fără întârzieri nejustificate şi în mod transparent, cel puţin a următoarelor </w:t>
            </w:r>
            <w:proofErr w:type="spellStart"/>
            <w:r>
              <w:rPr>
                <w:rFonts w:ascii="Times New Roman" w:eastAsia="Times New Roman" w:hAnsi="Times New Roman" w:cs="Times New Roman"/>
                <w:highlight w:val="white"/>
              </w:rPr>
              <w:t>informaţii</w:t>
            </w:r>
            <w:proofErr w:type="spellEnd"/>
            <w:r>
              <w:rPr>
                <w:rFonts w:ascii="Times New Roman" w:eastAsia="Times New Roman" w:hAnsi="Times New Roman" w:cs="Times New Roman"/>
                <w:highlight w:val="white"/>
              </w:rPr>
              <w:t>:</w:t>
            </w:r>
          </w:p>
          <w:p w14:paraId="564FF92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f) date cu privire la măsurile administrative şi de control aplicabile întreprinderilor prevăzute la art. 5 lit. a), în conformitate cu prevederile art. 40;</w:t>
            </w:r>
          </w:p>
          <w:p w14:paraId="55162F5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Art. 4 alin. (3) lit. a) din Legea nr. 140/2001 face trimitere la art. 40 din proiectul legii privind detașarea lucrătorilor  în cadrul prestării de servicii (număr unic 184/MMPS/2026), în mod corect.</w:t>
            </w:r>
          </w:p>
          <w:p w14:paraId="4F225B0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40. Obligații administrative și măsuri de control pentru întreprinderile </w:t>
            </w:r>
            <w:proofErr w:type="spellStart"/>
            <w:r>
              <w:rPr>
                <w:rFonts w:ascii="Times New Roman" w:eastAsia="Times New Roman" w:hAnsi="Times New Roman" w:cs="Times New Roman"/>
                <w:highlight w:val="white"/>
              </w:rPr>
              <w:t>detașante</w:t>
            </w:r>
            <w:proofErr w:type="spellEnd"/>
          </w:p>
          <w:p w14:paraId="740B91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Pentru a asigura monitorizarea eficace a respectării obligaţiilor prevăzute de prezenta lege, Inspectoratul de Stat al Muncii impune </w:t>
            </w:r>
            <w:proofErr w:type="spellStart"/>
            <w:r>
              <w:rPr>
                <w:rFonts w:ascii="Times New Roman" w:eastAsia="Times New Roman" w:hAnsi="Times New Roman" w:cs="Times New Roman"/>
                <w:highlight w:val="white"/>
              </w:rPr>
              <w:t>cerinţe</w:t>
            </w:r>
            <w:proofErr w:type="spellEnd"/>
            <w:r>
              <w:rPr>
                <w:rFonts w:ascii="Times New Roman" w:eastAsia="Times New Roman" w:hAnsi="Times New Roman" w:cs="Times New Roman"/>
                <w:highlight w:val="white"/>
              </w:rPr>
              <w:t xml:space="preserve"> administrative şi măsuri de control.</w:t>
            </w:r>
          </w:p>
          <w:p w14:paraId="7AD2552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w:t>
            </w:r>
            <w:proofErr w:type="spellStart"/>
            <w:r>
              <w:rPr>
                <w:rFonts w:ascii="Times New Roman" w:eastAsia="Times New Roman" w:hAnsi="Times New Roman" w:cs="Times New Roman"/>
                <w:highlight w:val="white"/>
              </w:rPr>
              <w:t>Cerinţele</w:t>
            </w:r>
            <w:proofErr w:type="spellEnd"/>
            <w:r>
              <w:rPr>
                <w:rFonts w:ascii="Times New Roman" w:eastAsia="Times New Roman" w:hAnsi="Times New Roman" w:cs="Times New Roman"/>
                <w:highlight w:val="white"/>
              </w:rPr>
              <w:t xml:space="preserve"> administrative şi măsurile de control includ următoarele </w:t>
            </w:r>
            <w:proofErr w:type="spellStart"/>
            <w:r>
              <w:rPr>
                <w:rFonts w:ascii="Times New Roman" w:eastAsia="Times New Roman" w:hAnsi="Times New Roman" w:cs="Times New Roman"/>
                <w:highlight w:val="white"/>
              </w:rPr>
              <w:t>obligaţii</w:t>
            </w:r>
            <w:proofErr w:type="spellEnd"/>
            <w:r>
              <w:rPr>
                <w:rFonts w:ascii="Times New Roman" w:eastAsia="Times New Roman" w:hAnsi="Times New Roman" w:cs="Times New Roman"/>
                <w:highlight w:val="white"/>
              </w:rPr>
              <w:t xml:space="preserve"> pentru întreprinderile prevăzute la art. 5 lit. a):</w:t>
            </w:r>
          </w:p>
          <w:p w14:paraId="7219575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w:t>
            </w:r>
            <w:proofErr w:type="spellStart"/>
            <w:r>
              <w:rPr>
                <w:rFonts w:ascii="Times New Roman" w:eastAsia="Times New Roman" w:hAnsi="Times New Roman" w:cs="Times New Roman"/>
                <w:highlight w:val="white"/>
              </w:rPr>
              <w:t>obligaţia</w:t>
            </w:r>
            <w:proofErr w:type="spellEnd"/>
            <w:r>
              <w:rPr>
                <w:rFonts w:ascii="Times New Roman" w:eastAsia="Times New Roman" w:hAnsi="Times New Roman" w:cs="Times New Roman"/>
                <w:highlight w:val="white"/>
              </w:rPr>
              <w:t xml:space="preserve"> de a transmite inspectoratului teritorial de muncă în a cărui rază teritorială urmează să se </w:t>
            </w:r>
            <w:proofErr w:type="spellStart"/>
            <w:r>
              <w:rPr>
                <w:rFonts w:ascii="Times New Roman" w:eastAsia="Times New Roman" w:hAnsi="Times New Roman" w:cs="Times New Roman"/>
                <w:highlight w:val="white"/>
              </w:rPr>
              <w:t>desfăşoare</w:t>
            </w:r>
            <w:proofErr w:type="spellEnd"/>
            <w:r>
              <w:rPr>
                <w:rFonts w:ascii="Times New Roman" w:eastAsia="Times New Roman" w:hAnsi="Times New Roman" w:cs="Times New Roman"/>
                <w:highlight w:val="white"/>
              </w:rPr>
              <w:t xml:space="preserve"> activitatea o </w:t>
            </w:r>
            <w:r>
              <w:rPr>
                <w:rFonts w:ascii="Times New Roman" w:eastAsia="Times New Roman" w:hAnsi="Times New Roman" w:cs="Times New Roman"/>
                <w:b/>
                <w:bCs/>
                <w:highlight w:val="white"/>
              </w:rPr>
              <w:t>notificare</w:t>
            </w:r>
            <w:r>
              <w:rPr>
                <w:rFonts w:ascii="Times New Roman" w:eastAsia="Times New Roman" w:hAnsi="Times New Roman" w:cs="Times New Roman"/>
                <w:highlight w:val="white"/>
              </w:rPr>
              <w:t xml:space="preserve"> în limba română privind </w:t>
            </w:r>
            <w:proofErr w:type="spellStart"/>
            <w:r>
              <w:rPr>
                <w:rFonts w:ascii="Times New Roman" w:eastAsia="Times New Roman" w:hAnsi="Times New Roman" w:cs="Times New Roman"/>
                <w:highlight w:val="white"/>
              </w:rPr>
              <w:t>detaşarea</w:t>
            </w:r>
            <w:proofErr w:type="spellEnd"/>
            <w:r>
              <w:rPr>
                <w:rFonts w:ascii="Times New Roman" w:eastAsia="Times New Roman" w:hAnsi="Times New Roman" w:cs="Times New Roman"/>
                <w:highlight w:val="white"/>
              </w:rPr>
              <w:t xml:space="preserve"> lucrătorilor proprii, </w:t>
            </w:r>
            <w:r>
              <w:rPr>
                <w:rFonts w:ascii="Times New Roman" w:eastAsia="Times New Roman" w:hAnsi="Times New Roman" w:cs="Times New Roman"/>
                <w:highlight w:val="white"/>
              </w:rPr>
              <w:lastRenderedPageBreak/>
              <w:t xml:space="preserve">până la începerea efectivă a </w:t>
            </w:r>
            <w:proofErr w:type="spellStart"/>
            <w:r>
              <w:rPr>
                <w:rFonts w:ascii="Times New Roman" w:eastAsia="Times New Roman" w:hAnsi="Times New Roman" w:cs="Times New Roman"/>
                <w:highlight w:val="white"/>
              </w:rPr>
              <w:t>activităţii</w:t>
            </w:r>
            <w:proofErr w:type="spellEnd"/>
            <w:r>
              <w:rPr>
                <w:rFonts w:ascii="Times New Roman" w:eastAsia="Times New Roman" w:hAnsi="Times New Roman" w:cs="Times New Roman"/>
                <w:highlight w:val="white"/>
              </w:rPr>
              <w:t xml:space="preserve"> lucrătorilor </w:t>
            </w:r>
            <w:proofErr w:type="spellStart"/>
            <w:r>
              <w:rPr>
                <w:rFonts w:ascii="Times New Roman" w:eastAsia="Times New Roman" w:hAnsi="Times New Roman" w:cs="Times New Roman"/>
                <w:highlight w:val="white"/>
              </w:rPr>
              <w:t>detaşaţi</w:t>
            </w:r>
            <w:proofErr w:type="spellEnd"/>
            <w:r>
              <w:rPr>
                <w:rFonts w:ascii="Times New Roman" w:eastAsia="Times New Roman" w:hAnsi="Times New Roman" w:cs="Times New Roman"/>
                <w:highlight w:val="white"/>
              </w:rPr>
              <w:t xml:space="preserve">, care să </w:t>
            </w:r>
            <w:proofErr w:type="spellStart"/>
            <w:r>
              <w:rPr>
                <w:rFonts w:ascii="Times New Roman" w:eastAsia="Times New Roman" w:hAnsi="Times New Roman" w:cs="Times New Roman"/>
                <w:highlight w:val="white"/>
              </w:rPr>
              <w:t>conţină</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informaţiile</w:t>
            </w:r>
            <w:proofErr w:type="spellEnd"/>
            <w:r>
              <w:rPr>
                <w:rFonts w:ascii="Times New Roman" w:eastAsia="Times New Roman" w:hAnsi="Times New Roman" w:cs="Times New Roman"/>
                <w:highlight w:val="white"/>
              </w:rPr>
              <w:t xml:space="preserve"> relevante necesare pentru a permite controale faptice la locul de muncă;</w:t>
            </w:r>
          </w:p>
        </w:tc>
      </w:tr>
      <w:tr w:rsidR="00E114BB" w14:paraId="06643C86" w14:textId="77777777">
        <w:trPr>
          <w:trHeight w:val="600"/>
        </w:trPr>
        <w:tc>
          <w:tcPr>
            <w:tcW w:w="555" w:type="dxa"/>
            <w:vMerge/>
          </w:tcPr>
          <w:p w14:paraId="2301126D" w14:textId="77777777" w:rsidR="00E114BB" w:rsidRDefault="00E114BB">
            <w:pPr>
              <w:spacing w:line="240" w:lineRule="auto"/>
              <w:rPr>
                <w:rFonts w:ascii="Times New Roman" w:eastAsia="Times New Roman" w:hAnsi="Times New Roman" w:cs="Times New Roman"/>
                <w:b/>
                <w:bCs/>
              </w:rPr>
            </w:pPr>
          </w:p>
        </w:tc>
        <w:tc>
          <w:tcPr>
            <w:tcW w:w="2700" w:type="dxa"/>
            <w:vMerge/>
          </w:tcPr>
          <w:p w14:paraId="7B2C92FF" w14:textId="77777777" w:rsidR="00E114BB" w:rsidRDefault="00E114BB">
            <w:pPr>
              <w:spacing w:line="240" w:lineRule="auto"/>
              <w:jc w:val="center"/>
              <w:rPr>
                <w:rFonts w:ascii="Times New Roman" w:eastAsia="Times New Roman" w:hAnsi="Times New Roman" w:cs="Times New Roman"/>
              </w:rPr>
            </w:pPr>
          </w:p>
        </w:tc>
        <w:tc>
          <w:tcPr>
            <w:tcW w:w="5880" w:type="dxa"/>
          </w:tcPr>
          <w:p w14:paraId="781031B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redacția propusă pentru art. 4 alin. (3) lit. b) al Legii nr. 140/2001, se vor revedea cuvintele „beneficiarilor și altor persoane vizate”, întrucât nu este clar la ce persoane se face referire. De asemenea necesită a fi detaliate cuvintele „prevederilor privind detașarea”, întru asigurarea clarității și previzibilității normei (observație în tot textul proiectului, aferentă utilizării cuvântului „detașarea”). Mai mult, având în vedere conexiunile proiectului examinat cu proiectul de lege privind detașarea lucrătorilor în cadrul prestării de servicii (număr unic 184/MMPS/2026), considerăm necesar a se opera cu terminologia nemijlocită din acest proiect lege.</w:t>
            </w:r>
          </w:p>
        </w:tc>
        <w:tc>
          <w:tcPr>
            <w:tcW w:w="5880" w:type="dxa"/>
          </w:tcPr>
          <w:p w14:paraId="204FA3F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A5282B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b) va fi expus în următoarea redacție:</w:t>
            </w:r>
          </w:p>
          <w:p w14:paraId="3A6D789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lucrătorilor  în cadrul prestării de servicii, Inspectoratul de Stat al Muncii exercită, următoarele atribuții:</w:t>
            </w:r>
          </w:p>
          <w:p w14:paraId="14B888C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solicită angajatorilor, beneficiarilor prestației, întreprinderilor utilizatoare și altor subiecți obligați potrivit legii speciale, informații și documente relevante pentru constatarea respectării prevederilor privind detașarea, inclusiv documente de salarizare, evidența timpului de muncă și documente ce confirmă cheltuielile specifice detașării, în condițiile legii;”</w:t>
            </w:r>
          </w:p>
        </w:tc>
      </w:tr>
      <w:tr w:rsidR="00E114BB" w14:paraId="4D61F2D6" w14:textId="77777777">
        <w:trPr>
          <w:trHeight w:val="600"/>
        </w:trPr>
        <w:tc>
          <w:tcPr>
            <w:tcW w:w="555" w:type="dxa"/>
            <w:vMerge/>
          </w:tcPr>
          <w:p w14:paraId="4E728851" w14:textId="77777777" w:rsidR="00E114BB" w:rsidRDefault="00E114BB">
            <w:pPr>
              <w:spacing w:line="240" w:lineRule="auto"/>
              <w:rPr>
                <w:rFonts w:ascii="Times New Roman" w:eastAsia="Times New Roman" w:hAnsi="Times New Roman" w:cs="Times New Roman"/>
                <w:b/>
                <w:bCs/>
              </w:rPr>
            </w:pPr>
          </w:p>
        </w:tc>
        <w:tc>
          <w:tcPr>
            <w:tcW w:w="2700" w:type="dxa"/>
            <w:vMerge/>
          </w:tcPr>
          <w:p w14:paraId="1AE468A4" w14:textId="77777777" w:rsidR="00E114BB" w:rsidRDefault="00E114BB">
            <w:pPr>
              <w:spacing w:line="240" w:lineRule="auto"/>
              <w:jc w:val="center"/>
              <w:rPr>
                <w:rFonts w:ascii="Times New Roman" w:eastAsia="Times New Roman" w:hAnsi="Times New Roman" w:cs="Times New Roman"/>
              </w:rPr>
            </w:pPr>
          </w:p>
        </w:tc>
        <w:tc>
          <w:tcPr>
            <w:tcW w:w="5880" w:type="dxa"/>
          </w:tcPr>
          <w:p w14:paraId="478F0D8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redacția propusă pentru art. 4 alin. (3) lit. c), cuvântul „obligatorii” se va exclude, ca fiind inutil. Or, nu este necesară stipularea că o anumită regulă sau act este obligatoriu, deoarece per a </w:t>
            </w:r>
            <w:proofErr w:type="spellStart"/>
            <w:r>
              <w:rPr>
                <w:rFonts w:ascii="Times New Roman" w:eastAsia="Times New Roman" w:hAnsi="Times New Roman" w:cs="Times New Roman"/>
                <w:highlight w:val="white"/>
              </w:rPr>
              <w:t>contrario</w:t>
            </w:r>
            <w:proofErr w:type="spellEnd"/>
            <w:r>
              <w:rPr>
                <w:rFonts w:ascii="Times New Roman" w:eastAsia="Times New Roman" w:hAnsi="Times New Roman" w:cs="Times New Roman"/>
                <w:highlight w:val="white"/>
              </w:rPr>
              <w:t xml:space="preserve"> se poate presupune că celelalte reguli, dispoziții sau acte emise în temeiul legii nu sunt obligatorii. În dreptul public, nu se vehiculează cu norme cu caracter dispozitiv.</w:t>
            </w:r>
          </w:p>
        </w:tc>
        <w:tc>
          <w:tcPr>
            <w:tcW w:w="5880" w:type="dxa"/>
          </w:tcPr>
          <w:p w14:paraId="5607E05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7366F0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c) va fi expus în următoarea redacție:</w:t>
            </w:r>
          </w:p>
          <w:p w14:paraId="4E4F32D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salariaților în cadrul prestării de servicii, Inspectoratul de Stat al Muncii exercită, următoarele atribuții:</w:t>
            </w:r>
          </w:p>
          <w:p w14:paraId="4F5D67B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efectuează controlul de stat asupra respectării condițiilor de muncă aplicabile lucrătorilor  detașați pe teritoriul Republicii Moldova și emite prescripții obligatorii de remediere, în condițiile legii;”</w:t>
            </w:r>
          </w:p>
        </w:tc>
      </w:tr>
      <w:tr w:rsidR="00E114BB" w14:paraId="1E19477B" w14:textId="77777777">
        <w:trPr>
          <w:trHeight w:val="600"/>
        </w:trPr>
        <w:tc>
          <w:tcPr>
            <w:tcW w:w="555" w:type="dxa"/>
            <w:vMerge/>
          </w:tcPr>
          <w:p w14:paraId="41ADDD86" w14:textId="77777777" w:rsidR="00E114BB" w:rsidRDefault="00E114BB">
            <w:pPr>
              <w:spacing w:line="240" w:lineRule="auto"/>
              <w:rPr>
                <w:rFonts w:ascii="Times New Roman" w:eastAsia="Times New Roman" w:hAnsi="Times New Roman" w:cs="Times New Roman"/>
                <w:b/>
                <w:bCs/>
              </w:rPr>
            </w:pPr>
          </w:p>
        </w:tc>
        <w:tc>
          <w:tcPr>
            <w:tcW w:w="2700" w:type="dxa"/>
            <w:vMerge/>
          </w:tcPr>
          <w:p w14:paraId="46183918" w14:textId="77777777" w:rsidR="00E114BB" w:rsidRDefault="00E114BB">
            <w:pPr>
              <w:spacing w:line="240" w:lineRule="auto"/>
              <w:jc w:val="center"/>
              <w:rPr>
                <w:rFonts w:ascii="Times New Roman" w:eastAsia="Times New Roman" w:hAnsi="Times New Roman" w:cs="Times New Roman"/>
              </w:rPr>
            </w:pPr>
          </w:p>
        </w:tc>
        <w:tc>
          <w:tcPr>
            <w:tcW w:w="5880" w:type="dxa"/>
          </w:tcPr>
          <w:p w14:paraId="2A53184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redacția propusă pentru art. 4 alin. (3) lit. d) al Legii nr. 140/2001, cuvintele „Codul contravențional” se vor completa cu textul „nr. 218/2008”. </w:t>
            </w:r>
          </w:p>
        </w:tc>
        <w:tc>
          <w:tcPr>
            <w:tcW w:w="5880" w:type="dxa"/>
          </w:tcPr>
          <w:p w14:paraId="50D7050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3E7CD7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d) va fi expus în următoarea redacție:</w:t>
            </w:r>
          </w:p>
          <w:p w14:paraId="4EC1D00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”(3) În vederea aplicării Legii privind detașarea salariaților în cadrul prestării de servicii, Inspectoratul de Stat al Muncii exercită, următoarele atribuții:</w:t>
            </w:r>
          </w:p>
          <w:p w14:paraId="7C56842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 constată contravențiile și aplică sancțiunile contravenționale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 contravențional nr. 218/2008 pentru încălcarea obligațiilor stabilite de Legea privind detașarea salariaților în cadrul prestării de servicii.”</w:t>
            </w:r>
          </w:p>
        </w:tc>
      </w:tr>
      <w:tr w:rsidR="00E114BB" w14:paraId="4870A3D9" w14:textId="77777777">
        <w:trPr>
          <w:trHeight w:val="600"/>
        </w:trPr>
        <w:tc>
          <w:tcPr>
            <w:tcW w:w="555" w:type="dxa"/>
            <w:vMerge/>
          </w:tcPr>
          <w:p w14:paraId="4AD7F5DA" w14:textId="77777777" w:rsidR="00E114BB" w:rsidRDefault="00E114BB">
            <w:pPr>
              <w:spacing w:line="240" w:lineRule="auto"/>
              <w:rPr>
                <w:rFonts w:ascii="Times New Roman" w:eastAsia="Times New Roman" w:hAnsi="Times New Roman" w:cs="Times New Roman"/>
                <w:b/>
                <w:bCs/>
              </w:rPr>
            </w:pPr>
          </w:p>
        </w:tc>
        <w:tc>
          <w:tcPr>
            <w:tcW w:w="2700" w:type="dxa"/>
            <w:vMerge/>
          </w:tcPr>
          <w:p w14:paraId="59FF8090" w14:textId="77777777" w:rsidR="00E114BB" w:rsidRDefault="00E114BB">
            <w:pPr>
              <w:spacing w:line="240" w:lineRule="auto"/>
              <w:jc w:val="center"/>
              <w:rPr>
                <w:rFonts w:ascii="Times New Roman" w:eastAsia="Times New Roman" w:hAnsi="Times New Roman" w:cs="Times New Roman"/>
              </w:rPr>
            </w:pPr>
          </w:p>
        </w:tc>
        <w:tc>
          <w:tcPr>
            <w:tcW w:w="5880" w:type="dxa"/>
          </w:tcPr>
          <w:p w14:paraId="39F4026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Redacția propusă pentru art. 4 alin. (3) lit. f) al Legii nr. 140/2001 urmează a fi revăzută, pentru a se raporta la obiectul de reglementare a solicitărilor/actelor comunicate, etc. Or, în forma actuală, norma este generică, declarativă și lipsită de previzibilitate normativă</w:t>
            </w:r>
          </w:p>
        </w:tc>
        <w:tc>
          <w:tcPr>
            <w:tcW w:w="5880" w:type="dxa"/>
          </w:tcPr>
          <w:p w14:paraId="610C3CE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D8A02F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f) va fi expus în următoarea redacție:</w:t>
            </w:r>
          </w:p>
          <w:p w14:paraId="22A0F11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lucrătorilor  în cadrul prestării de servicii, Inspectoratul de Stat al Muncii exercită, următoarele atribuții:</w:t>
            </w:r>
          </w:p>
          <w:p w14:paraId="134E932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f) transmite și primește, după caz, în condițiile legii, cereri privind comunicarea actelor de aplicare a sancțiunilor contravenționale, recuperarea sumelor provenite din aceste sancțiuni și executarea creanțelor corespunzătoare, în cadrul cooperării administrative prevăzute de Legea privind detașarea lucrătorilor în cadrul prestării de servicii.”</w:t>
            </w:r>
          </w:p>
        </w:tc>
      </w:tr>
      <w:tr w:rsidR="00E114BB" w14:paraId="59C1860F" w14:textId="77777777">
        <w:trPr>
          <w:trHeight w:val="600"/>
        </w:trPr>
        <w:tc>
          <w:tcPr>
            <w:tcW w:w="555" w:type="dxa"/>
            <w:vMerge/>
          </w:tcPr>
          <w:p w14:paraId="244AA3C2" w14:textId="77777777" w:rsidR="00E114BB" w:rsidRDefault="00E114BB">
            <w:pPr>
              <w:spacing w:line="240" w:lineRule="auto"/>
              <w:rPr>
                <w:rFonts w:ascii="Times New Roman" w:eastAsia="Times New Roman" w:hAnsi="Times New Roman" w:cs="Times New Roman"/>
                <w:b/>
                <w:bCs/>
              </w:rPr>
            </w:pPr>
          </w:p>
        </w:tc>
        <w:tc>
          <w:tcPr>
            <w:tcW w:w="2700" w:type="dxa"/>
            <w:vMerge/>
          </w:tcPr>
          <w:p w14:paraId="5E7920D7" w14:textId="77777777" w:rsidR="00E114BB" w:rsidRDefault="00E114BB">
            <w:pPr>
              <w:spacing w:line="240" w:lineRule="auto"/>
              <w:jc w:val="center"/>
              <w:rPr>
                <w:rFonts w:ascii="Times New Roman" w:eastAsia="Times New Roman" w:hAnsi="Times New Roman" w:cs="Times New Roman"/>
              </w:rPr>
            </w:pPr>
          </w:p>
        </w:tc>
        <w:tc>
          <w:tcPr>
            <w:tcW w:w="5880" w:type="dxa"/>
          </w:tcPr>
          <w:p w14:paraId="67EDD05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redacția propusă pentru art. 4 alin. (3) lit. g) al Legii nr. 140/2001, cuvintele „pagina oficială” se vor substitui cu cuvintele „pagina sa oficială”.</w:t>
            </w:r>
          </w:p>
        </w:tc>
        <w:tc>
          <w:tcPr>
            <w:tcW w:w="5880" w:type="dxa"/>
          </w:tcPr>
          <w:p w14:paraId="295F6E1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D0EDD7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g) va fi expus în următoarea redacție:</w:t>
            </w:r>
          </w:p>
          <w:p w14:paraId="4E53F7A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lucrătorilor  în cadrul prestării de servicii, Inspectoratul de Stat al Muncii exercită, următoarele atribuții:</w:t>
            </w:r>
          </w:p>
          <w:p w14:paraId="0650831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g) asigură informarea publică privind condițiile de muncă aplicabile lucrătorilor  detașați și cerințele administrative </w:t>
            </w:r>
            <w:r>
              <w:rPr>
                <w:rFonts w:ascii="Times New Roman" w:eastAsia="Times New Roman" w:hAnsi="Times New Roman" w:cs="Times New Roman"/>
                <w:highlight w:val="white"/>
              </w:rPr>
              <w:lastRenderedPageBreak/>
              <w:t>stabilite de lege, inclusiv prin publicarea informațiilor relevante pe pagina sa oficială.”</w:t>
            </w:r>
          </w:p>
        </w:tc>
      </w:tr>
      <w:tr w:rsidR="00E114BB" w14:paraId="4AB607C1" w14:textId="77777777">
        <w:trPr>
          <w:trHeight w:val="600"/>
        </w:trPr>
        <w:tc>
          <w:tcPr>
            <w:tcW w:w="555" w:type="dxa"/>
            <w:vMerge/>
          </w:tcPr>
          <w:p w14:paraId="7040C796" w14:textId="77777777" w:rsidR="00E114BB" w:rsidRDefault="00E114BB">
            <w:pPr>
              <w:spacing w:line="240" w:lineRule="auto"/>
              <w:rPr>
                <w:rFonts w:ascii="Times New Roman" w:eastAsia="Times New Roman" w:hAnsi="Times New Roman" w:cs="Times New Roman"/>
                <w:b/>
                <w:bCs/>
              </w:rPr>
            </w:pPr>
          </w:p>
        </w:tc>
        <w:tc>
          <w:tcPr>
            <w:tcW w:w="2700" w:type="dxa"/>
            <w:vMerge/>
          </w:tcPr>
          <w:p w14:paraId="0035B30B" w14:textId="77777777" w:rsidR="00E114BB" w:rsidRDefault="00E114BB">
            <w:pPr>
              <w:spacing w:line="240" w:lineRule="auto"/>
              <w:jc w:val="center"/>
              <w:rPr>
                <w:rFonts w:ascii="Times New Roman" w:eastAsia="Times New Roman" w:hAnsi="Times New Roman" w:cs="Times New Roman"/>
              </w:rPr>
            </w:pPr>
          </w:p>
        </w:tc>
        <w:tc>
          <w:tcPr>
            <w:tcW w:w="5880" w:type="dxa"/>
          </w:tcPr>
          <w:p w14:paraId="27224FB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3: Având în vedere dispozițiile cuprinse în pct. 3, acesta se va expune anterior pct. 2.</w:t>
            </w:r>
          </w:p>
        </w:tc>
        <w:tc>
          <w:tcPr>
            <w:tcW w:w="5880" w:type="dxa"/>
          </w:tcPr>
          <w:p w14:paraId="6A57F09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1629AEE9" w14:textId="77777777">
        <w:trPr>
          <w:trHeight w:val="600"/>
        </w:trPr>
        <w:tc>
          <w:tcPr>
            <w:tcW w:w="555" w:type="dxa"/>
            <w:vMerge/>
          </w:tcPr>
          <w:p w14:paraId="44545FB7" w14:textId="77777777" w:rsidR="00E114BB" w:rsidRDefault="00E114BB">
            <w:pPr>
              <w:spacing w:line="240" w:lineRule="auto"/>
              <w:rPr>
                <w:rFonts w:ascii="Times New Roman" w:eastAsia="Times New Roman" w:hAnsi="Times New Roman" w:cs="Times New Roman"/>
                <w:b/>
                <w:bCs/>
              </w:rPr>
            </w:pPr>
          </w:p>
        </w:tc>
        <w:tc>
          <w:tcPr>
            <w:tcW w:w="2700" w:type="dxa"/>
            <w:vMerge/>
          </w:tcPr>
          <w:p w14:paraId="73E8B8D5" w14:textId="77777777" w:rsidR="00E114BB" w:rsidRDefault="00E114BB">
            <w:pPr>
              <w:spacing w:line="240" w:lineRule="auto"/>
              <w:jc w:val="center"/>
              <w:rPr>
                <w:rFonts w:ascii="Times New Roman" w:eastAsia="Times New Roman" w:hAnsi="Times New Roman" w:cs="Times New Roman"/>
              </w:rPr>
            </w:pPr>
          </w:p>
        </w:tc>
        <w:tc>
          <w:tcPr>
            <w:tcW w:w="5880" w:type="dxa"/>
          </w:tcPr>
          <w:p w14:paraId="4207BCE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redacția propusă pentru pct. 3 va prevedea: </w:t>
            </w:r>
          </w:p>
          <w:p w14:paraId="3DE7287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La articolul 1/1: </w:t>
            </w:r>
          </w:p>
          <w:p w14:paraId="68080D5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alineatul unic devine alineatul (1); se completează cu alineatul (2) cu următorul cuprins:...”, urmat de expunerea noilor noțiuni propuse. </w:t>
            </w:r>
          </w:p>
        </w:tc>
        <w:tc>
          <w:tcPr>
            <w:tcW w:w="5880" w:type="dxa"/>
          </w:tcPr>
          <w:p w14:paraId="17F4674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1ACE995B" w14:textId="77777777">
        <w:trPr>
          <w:trHeight w:val="600"/>
        </w:trPr>
        <w:tc>
          <w:tcPr>
            <w:tcW w:w="555" w:type="dxa"/>
            <w:vMerge/>
          </w:tcPr>
          <w:p w14:paraId="5827DE02" w14:textId="77777777" w:rsidR="00E114BB" w:rsidRDefault="00E114BB">
            <w:pPr>
              <w:spacing w:line="240" w:lineRule="auto"/>
              <w:rPr>
                <w:rFonts w:ascii="Times New Roman" w:eastAsia="Times New Roman" w:hAnsi="Times New Roman" w:cs="Times New Roman"/>
                <w:b/>
                <w:bCs/>
              </w:rPr>
            </w:pPr>
          </w:p>
        </w:tc>
        <w:tc>
          <w:tcPr>
            <w:tcW w:w="2700" w:type="dxa"/>
            <w:vMerge/>
          </w:tcPr>
          <w:p w14:paraId="0C7CE9DE" w14:textId="77777777" w:rsidR="00E114BB" w:rsidRDefault="00E114BB">
            <w:pPr>
              <w:spacing w:line="240" w:lineRule="auto"/>
              <w:jc w:val="center"/>
              <w:rPr>
                <w:rFonts w:ascii="Times New Roman" w:eastAsia="Times New Roman" w:hAnsi="Times New Roman" w:cs="Times New Roman"/>
              </w:rPr>
            </w:pPr>
          </w:p>
        </w:tc>
        <w:tc>
          <w:tcPr>
            <w:tcW w:w="5880" w:type="dxa"/>
          </w:tcPr>
          <w:p w14:paraId="2F2495C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4, din redacția propusă pentru art. 13 alin. (21 ) al Legii nr. 140/2001, cuvintele „rapoartele vor conține și” sugerăm a fi substituite cu cuvintele „raportul conține inclusiv”, având în vedere că, în alin. (1) și (2) al art. 13 se face referire doar la un singur raport și anume, raportul anual privind activitatea Inspectoratului de Stat al Muncii. Totodată, textul „capitole prevăzute la articolul 23/2 din Legea nr. 186/2008 securității și sănătății în muncă” urmează a fi revăzut, întru indicarea concretă a alineatului/literei din art. 232 la care se face trimitere, iar textul „Legea nr. 186/2008 securității și sănătății în muncă” se va substitui cu textul „Legea securității și sănătății în muncă nr. 186/2008”.</w:t>
            </w:r>
          </w:p>
        </w:tc>
        <w:tc>
          <w:tcPr>
            <w:tcW w:w="5880" w:type="dxa"/>
          </w:tcPr>
          <w:p w14:paraId="2992F2F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058001B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Raportul conține inclusiv și capitole prevăzute la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(3) din Legea nr.186/2008 securității și sănătății în muncă.”.</w:t>
            </w:r>
          </w:p>
        </w:tc>
      </w:tr>
      <w:tr w:rsidR="00E114BB" w14:paraId="64ADB51D" w14:textId="77777777">
        <w:trPr>
          <w:trHeight w:val="600"/>
        </w:trPr>
        <w:tc>
          <w:tcPr>
            <w:tcW w:w="555" w:type="dxa"/>
            <w:vMerge/>
          </w:tcPr>
          <w:p w14:paraId="02DE03AA" w14:textId="77777777" w:rsidR="00E114BB" w:rsidRDefault="00E114BB">
            <w:pPr>
              <w:spacing w:line="240" w:lineRule="auto"/>
              <w:rPr>
                <w:rFonts w:ascii="Times New Roman" w:eastAsia="Times New Roman" w:hAnsi="Times New Roman" w:cs="Times New Roman"/>
                <w:b/>
                <w:bCs/>
              </w:rPr>
            </w:pPr>
          </w:p>
        </w:tc>
        <w:tc>
          <w:tcPr>
            <w:tcW w:w="2700" w:type="dxa"/>
            <w:vMerge/>
          </w:tcPr>
          <w:p w14:paraId="1A3F4ECD" w14:textId="77777777" w:rsidR="00E114BB" w:rsidRDefault="00E114BB">
            <w:pPr>
              <w:spacing w:line="240" w:lineRule="auto"/>
              <w:jc w:val="center"/>
              <w:rPr>
                <w:rFonts w:ascii="Times New Roman" w:eastAsia="Times New Roman" w:hAnsi="Times New Roman" w:cs="Times New Roman"/>
              </w:rPr>
            </w:pPr>
          </w:p>
        </w:tc>
        <w:tc>
          <w:tcPr>
            <w:tcW w:w="5880" w:type="dxa"/>
          </w:tcPr>
          <w:p w14:paraId="09BED13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pct. 5: În dispoziția introductivă, cuvintele „Se introduce un nou Capitol” recomandăm a fi substituite cu cuvintele „se completează cu capitolul”. </w:t>
            </w:r>
          </w:p>
          <w:p w14:paraId="786DD591" w14:textId="77777777" w:rsidR="00E114BB" w:rsidRDefault="00E114BB">
            <w:pPr>
              <w:spacing w:line="240" w:lineRule="auto"/>
              <w:ind w:firstLine="284"/>
              <w:jc w:val="both"/>
              <w:rPr>
                <w:rFonts w:ascii="Times New Roman" w:eastAsia="Times New Roman" w:hAnsi="Times New Roman" w:cs="Times New Roman"/>
                <w:highlight w:val="white"/>
              </w:rPr>
            </w:pPr>
          </w:p>
          <w:p w14:paraId="28A715A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partea ce vizează redacția art. 13/4 alin. (1), considerăm că obligația furnizării de informații către statele membre poate interveni doar după aderarea Republicii Moldova la Uniunea Europeană, motiv pentru care acest aspect se va reflecta în dispozițiile finale și tranzitorii (art. VI) ale proiectului de lege.</w:t>
            </w:r>
          </w:p>
        </w:tc>
        <w:tc>
          <w:tcPr>
            <w:tcW w:w="5880" w:type="dxa"/>
          </w:tcPr>
          <w:p w14:paraId="2CF6C32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Cu referire la pct. 5, se acceptă.</w:t>
            </w:r>
          </w:p>
          <w:p w14:paraId="11A9389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completează cu Capitol V¹ cu următorul cuprins:</w:t>
            </w:r>
          </w:p>
          <w:p w14:paraId="23ED8E2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„Capitolul V¹ – Cooperarea Inspectoratului de Stat al Muncii cu Autoritatea Europeană a Muncii.”</w:t>
            </w:r>
          </w:p>
          <w:p w14:paraId="6B73C4C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Cu referire la art. 13/4 alin. (1) nu se acceptă.</w:t>
            </w:r>
          </w:p>
          <w:p w14:paraId="53504F1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Propunerea nu poate fi reținută, întrucât redacția art. 13/4 alin. (1) are rolul de a reglementa cadrul normativ al competenței instituționale și al cooperării administrative în materia vizată, iar </w:t>
            </w:r>
            <w:r>
              <w:rPr>
                <w:rFonts w:ascii="Times New Roman" w:eastAsia="Times New Roman" w:hAnsi="Times New Roman" w:cs="Times New Roman"/>
                <w:highlight w:val="white"/>
              </w:rPr>
              <w:lastRenderedPageBreak/>
              <w:t>nu de a institui distinct, prin sine stătător, o obligație autonomă de raportare externă desprinsă de restul mecanismului legal. Prin urmare, menținerea normei în corpul actului este necesară pentru asigurarea coerenței reglementării și pentru delimitarea clară a atribuțiilor autorităților competente.</w:t>
            </w:r>
          </w:p>
          <w:p w14:paraId="4AF6447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aspectele ce țin de aplicarea în timp a unor obligații corelate statutului de stat membru pot fi soluționate, după caz, prin reglementarea corespunzătoare a intrării în vigoare a dispozițiilor relevante, fără a fi necesară excluderea sau relocarea normei din structura de bază a proiectului. În aceste condiții, soluția propusă de proiect se menține.</w:t>
            </w:r>
          </w:p>
        </w:tc>
      </w:tr>
      <w:tr w:rsidR="00E114BB" w14:paraId="18C882AF" w14:textId="77777777">
        <w:trPr>
          <w:trHeight w:val="600"/>
        </w:trPr>
        <w:tc>
          <w:tcPr>
            <w:tcW w:w="555" w:type="dxa"/>
            <w:vMerge/>
          </w:tcPr>
          <w:p w14:paraId="770A0D99" w14:textId="77777777" w:rsidR="00E114BB" w:rsidRDefault="00E114BB">
            <w:pPr>
              <w:spacing w:line="240" w:lineRule="auto"/>
              <w:rPr>
                <w:rFonts w:ascii="Times New Roman" w:eastAsia="Times New Roman" w:hAnsi="Times New Roman" w:cs="Times New Roman"/>
                <w:b/>
                <w:bCs/>
              </w:rPr>
            </w:pPr>
          </w:p>
        </w:tc>
        <w:tc>
          <w:tcPr>
            <w:tcW w:w="2700" w:type="dxa"/>
            <w:vMerge/>
          </w:tcPr>
          <w:p w14:paraId="57B88E48" w14:textId="77777777" w:rsidR="00E114BB" w:rsidRDefault="00E114BB">
            <w:pPr>
              <w:spacing w:line="240" w:lineRule="auto"/>
              <w:jc w:val="center"/>
              <w:rPr>
                <w:rFonts w:ascii="Times New Roman" w:eastAsia="Times New Roman" w:hAnsi="Times New Roman" w:cs="Times New Roman"/>
              </w:rPr>
            </w:pPr>
          </w:p>
        </w:tc>
        <w:tc>
          <w:tcPr>
            <w:tcW w:w="5880" w:type="dxa"/>
          </w:tcPr>
          <w:p w14:paraId="5E3748F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Dispozițiile propuse pentru art. 13/6 alin. (1) sugerăm a fi revizuite, deoarece sunt ambigue, or, se poate interpreta că, Inspectoratul de Stat al Muncii și Autoritatea Europeană a Muncii pot desfășura proceduri de mediere, inclusiv în partea ce vizează aplicarea pe teritoriul Republicii Moldova a legislației Uniunii Europene în domeniul muncii. Astfel, se va reține că aplicarea directă a legislației Uniunii Europene va fi posibilă din data aderării Republicii Moldova la Uniunea Europeană. </w:t>
            </w:r>
          </w:p>
        </w:tc>
        <w:tc>
          <w:tcPr>
            <w:tcW w:w="5880" w:type="dxa"/>
          </w:tcPr>
          <w:p w14:paraId="09F7A37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w:t>
            </w:r>
          </w:p>
          <w:p w14:paraId="7C46133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Observația nu poate fi reținută, întrucât dispozițiile art. 13/6 alin. (1) nu instituie aplicarea directă pe teritoriul Republicii Moldova a legislației Uniunii Europene în domeniul muncii și nici nu atribuie Autorității Europene a Muncii sau Inspectoratului de Stat al Muncii competența de a soluționa în mod obligatoriu litigii ori de a substitui autoritățile naționale competente. Norma reglementează exclusiv posibilitatea recurgerii la un mecanism de mediere în litigii transfrontaliere, în cadrul cooperării administrative și instituționale prevăzute de proiect.</w:t>
            </w:r>
          </w:p>
          <w:p w14:paraId="275C3E2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caracterul medierii este expres prevăzut de alin. (2) ca fiind unul de recomandare, iar rezultatele acesteia pot fi utilizate de autoritățile Republicii Moldova numai în procedurile administrative și judiciare și numai în condițiile legii, conform alin. (3). În consecință, textul nu produce efectul juridic sugerat în observație și nu echivalează cu recunoașterea aplicării directe a legislației Uniunii Europene înainte de aderarea Republicii Moldova la Uniunea Europeană.</w:t>
            </w:r>
          </w:p>
        </w:tc>
      </w:tr>
      <w:tr w:rsidR="00E114BB" w14:paraId="3D8BB9A9" w14:textId="77777777">
        <w:trPr>
          <w:trHeight w:val="600"/>
        </w:trPr>
        <w:tc>
          <w:tcPr>
            <w:tcW w:w="555" w:type="dxa"/>
            <w:vMerge/>
          </w:tcPr>
          <w:p w14:paraId="5F4A2F5E" w14:textId="77777777" w:rsidR="00E114BB" w:rsidRDefault="00E114BB">
            <w:pPr>
              <w:spacing w:line="240" w:lineRule="auto"/>
              <w:rPr>
                <w:rFonts w:ascii="Times New Roman" w:eastAsia="Times New Roman" w:hAnsi="Times New Roman" w:cs="Times New Roman"/>
                <w:b/>
                <w:bCs/>
              </w:rPr>
            </w:pPr>
          </w:p>
        </w:tc>
        <w:tc>
          <w:tcPr>
            <w:tcW w:w="2700" w:type="dxa"/>
            <w:vMerge/>
          </w:tcPr>
          <w:p w14:paraId="3C08010A" w14:textId="77777777" w:rsidR="00E114BB" w:rsidRDefault="00E114BB">
            <w:pPr>
              <w:spacing w:line="240" w:lineRule="auto"/>
              <w:jc w:val="center"/>
              <w:rPr>
                <w:rFonts w:ascii="Times New Roman" w:eastAsia="Times New Roman" w:hAnsi="Times New Roman" w:cs="Times New Roman"/>
              </w:rPr>
            </w:pPr>
          </w:p>
        </w:tc>
        <w:tc>
          <w:tcPr>
            <w:tcW w:w="5880" w:type="dxa"/>
          </w:tcPr>
          <w:p w14:paraId="1A1CB8F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în redacția art. 13/6 : - la alin. (2) este prevăzut că, „medierea desfășurată de Autoritatea Europeană a Muncii are </w:t>
            </w:r>
            <w:r>
              <w:rPr>
                <w:rFonts w:ascii="Times New Roman" w:eastAsia="Times New Roman" w:hAnsi="Times New Roman" w:cs="Times New Roman"/>
                <w:highlight w:val="white"/>
              </w:rPr>
              <w:lastRenderedPageBreak/>
              <w:t>caracter de recomandare și se realizează în conformitate cu procedurile stabilite prin prezenta lege”. În context, norma se va revedea, având în vedere faptul că în respectiva lege nu sunt stabilite norme privind procedura medierii, altele decât dispozițiile generale prevăzute în art. 13/6 ;</w:t>
            </w:r>
          </w:p>
        </w:tc>
        <w:tc>
          <w:tcPr>
            <w:tcW w:w="5880" w:type="dxa"/>
          </w:tcPr>
          <w:p w14:paraId="5AEFED5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4171CD4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Art. 13/6 alin. (2) va fi expus în următoarea redacție:</w:t>
            </w:r>
          </w:p>
          <w:p w14:paraId="45DCAAA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Medierea desfășurată de Autoritatea Europeană a Muncii are caracter de recomandare și se realizează în condițiile cadrului legal aplicabil.</w:t>
            </w:r>
          </w:p>
        </w:tc>
      </w:tr>
      <w:tr w:rsidR="00E114BB" w14:paraId="2A76594F" w14:textId="77777777">
        <w:trPr>
          <w:trHeight w:val="600"/>
        </w:trPr>
        <w:tc>
          <w:tcPr>
            <w:tcW w:w="555" w:type="dxa"/>
            <w:vMerge/>
          </w:tcPr>
          <w:p w14:paraId="345E5EF0" w14:textId="77777777" w:rsidR="00E114BB" w:rsidRDefault="00E114BB">
            <w:pPr>
              <w:spacing w:line="240" w:lineRule="auto"/>
              <w:rPr>
                <w:rFonts w:ascii="Times New Roman" w:eastAsia="Times New Roman" w:hAnsi="Times New Roman" w:cs="Times New Roman"/>
                <w:b/>
                <w:bCs/>
              </w:rPr>
            </w:pPr>
          </w:p>
        </w:tc>
        <w:tc>
          <w:tcPr>
            <w:tcW w:w="2700" w:type="dxa"/>
            <w:vMerge/>
          </w:tcPr>
          <w:p w14:paraId="236CEF29" w14:textId="77777777" w:rsidR="00E114BB" w:rsidRDefault="00E114BB">
            <w:pPr>
              <w:spacing w:line="240" w:lineRule="auto"/>
              <w:jc w:val="center"/>
              <w:rPr>
                <w:rFonts w:ascii="Times New Roman" w:eastAsia="Times New Roman" w:hAnsi="Times New Roman" w:cs="Times New Roman"/>
              </w:rPr>
            </w:pPr>
          </w:p>
        </w:tc>
        <w:tc>
          <w:tcPr>
            <w:tcW w:w="5880" w:type="dxa"/>
          </w:tcPr>
          <w:p w14:paraId="251FC6C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în alin. (3), după cuvintele „rezultatele medierii” sugerăm a se completa cu cuvintele „desfășurate de Autoritatea Europeană a Muncii”;</w:t>
            </w:r>
          </w:p>
        </w:tc>
        <w:tc>
          <w:tcPr>
            <w:tcW w:w="5880" w:type="dxa"/>
          </w:tcPr>
          <w:p w14:paraId="4F1A3DD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3CC3A17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13/6 alin. (3) va fi expus în următoarea redacție:</w:t>
            </w:r>
          </w:p>
          <w:p w14:paraId="381576A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Rezultatele medierii desfășurate de Autoritatea Europeană a Muncii pot fi utilizate de autoritățile Republicii Moldova în procedurile administrative și judiciare, în condițiile legii.</w:t>
            </w:r>
          </w:p>
        </w:tc>
      </w:tr>
      <w:tr w:rsidR="00E114BB" w14:paraId="5B1D020C" w14:textId="77777777">
        <w:trPr>
          <w:trHeight w:val="600"/>
        </w:trPr>
        <w:tc>
          <w:tcPr>
            <w:tcW w:w="555" w:type="dxa"/>
            <w:vMerge/>
          </w:tcPr>
          <w:p w14:paraId="194D07B7" w14:textId="77777777" w:rsidR="00E114BB" w:rsidRDefault="00E114BB">
            <w:pPr>
              <w:spacing w:line="240" w:lineRule="auto"/>
              <w:rPr>
                <w:rFonts w:ascii="Times New Roman" w:eastAsia="Times New Roman" w:hAnsi="Times New Roman" w:cs="Times New Roman"/>
                <w:b/>
                <w:bCs/>
              </w:rPr>
            </w:pPr>
          </w:p>
        </w:tc>
        <w:tc>
          <w:tcPr>
            <w:tcW w:w="2700" w:type="dxa"/>
            <w:vMerge/>
          </w:tcPr>
          <w:p w14:paraId="3B2DAD0E" w14:textId="77777777" w:rsidR="00E114BB" w:rsidRDefault="00E114BB">
            <w:pPr>
              <w:spacing w:line="240" w:lineRule="auto"/>
              <w:jc w:val="center"/>
              <w:rPr>
                <w:rFonts w:ascii="Times New Roman" w:eastAsia="Times New Roman" w:hAnsi="Times New Roman" w:cs="Times New Roman"/>
              </w:rPr>
            </w:pPr>
          </w:p>
        </w:tc>
        <w:tc>
          <w:tcPr>
            <w:tcW w:w="5880" w:type="dxa"/>
          </w:tcPr>
          <w:p w14:paraId="6254C70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suplimentar, dispozițiile acestui articol se vor revizui, pentru a asigura transpunerea corespunzătoare a art. 13 din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p>
        </w:tc>
        <w:tc>
          <w:tcPr>
            <w:tcW w:w="5880" w:type="dxa"/>
          </w:tcPr>
          <w:p w14:paraId="69653D2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p>
          <w:p w14:paraId="6BE8C00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propus reflectă în mod complet, la nivelul cerut de tehnica legislativă națională, mecanismul de mediere reglementat de art. 13 din Regulamentul (UE) 2019/1149, preluând elementele sale juridice esențiale relevante pentru aplicarea în ordinea juridică internă: competența de a solicita medierea prin intermediul Autorității Europene a Muncii, caracterul neobligatoriu al rezultatului medierii și posibilitatea utilizării acestuia de către autoritățile naționale în procedurile prevăzute de lege. Detaliile procedurale specifice funcționării mecanismului de mediere rămân guvernate de regulamentul Uniunii Europene și de regulile aplicabile ale Autorității Europene a Muncii, nefiind necesară reluarea lor integrală în textul național.</w:t>
            </w:r>
          </w:p>
        </w:tc>
      </w:tr>
      <w:tr w:rsidR="00E114BB" w14:paraId="7091F3FC" w14:textId="77777777">
        <w:trPr>
          <w:trHeight w:val="600"/>
        </w:trPr>
        <w:tc>
          <w:tcPr>
            <w:tcW w:w="555" w:type="dxa"/>
            <w:vMerge/>
          </w:tcPr>
          <w:p w14:paraId="02E47748" w14:textId="77777777" w:rsidR="00E114BB" w:rsidRDefault="00E114BB">
            <w:pPr>
              <w:spacing w:line="240" w:lineRule="auto"/>
              <w:rPr>
                <w:rFonts w:ascii="Times New Roman" w:eastAsia="Times New Roman" w:hAnsi="Times New Roman" w:cs="Times New Roman"/>
                <w:b/>
                <w:bCs/>
              </w:rPr>
            </w:pPr>
          </w:p>
        </w:tc>
        <w:tc>
          <w:tcPr>
            <w:tcW w:w="2700" w:type="dxa"/>
            <w:vMerge/>
          </w:tcPr>
          <w:p w14:paraId="11C0AE5F" w14:textId="77777777" w:rsidR="00E114BB" w:rsidRDefault="00E114BB">
            <w:pPr>
              <w:spacing w:line="240" w:lineRule="auto"/>
              <w:jc w:val="center"/>
              <w:rPr>
                <w:rFonts w:ascii="Times New Roman" w:eastAsia="Times New Roman" w:hAnsi="Times New Roman" w:cs="Times New Roman"/>
              </w:rPr>
            </w:pPr>
          </w:p>
        </w:tc>
        <w:tc>
          <w:tcPr>
            <w:tcW w:w="5880" w:type="dxa"/>
          </w:tcPr>
          <w:p w14:paraId="27EE223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II – modificarea Codului muncii nr. 154/2003:</w:t>
            </w:r>
          </w:p>
          <w:p w14:paraId="75A48A0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1, textul „în final, după cum urmează:” se va substitui cu textul „cu textul:”.</w:t>
            </w:r>
          </w:p>
        </w:tc>
        <w:tc>
          <w:tcPr>
            <w:tcW w:w="5880" w:type="dxa"/>
          </w:tcPr>
          <w:p w14:paraId="4450F34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2BE58400" w14:textId="77777777">
        <w:trPr>
          <w:trHeight w:val="600"/>
        </w:trPr>
        <w:tc>
          <w:tcPr>
            <w:tcW w:w="555" w:type="dxa"/>
            <w:vMerge/>
          </w:tcPr>
          <w:p w14:paraId="2A49FACB" w14:textId="77777777" w:rsidR="00E114BB" w:rsidRDefault="00E114BB">
            <w:pPr>
              <w:spacing w:line="240" w:lineRule="auto"/>
              <w:rPr>
                <w:rFonts w:ascii="Times New Roman" w:eastAsia="Times New Roman" w:hAnsi="Times New Roman" w:cs="Times New Roman"/>
                <w:b/>
                <w:bCs/>
              </w:rPr>
            </w:pPr>
          </w:p>
        </w:tc>
        <w:tc>
          <w:tcPr>
            <w:tcW w:w="2700" w:type="dxa"/>
            <w:vMerge/>
          </w:tcPr>
          <w:p w14:paraId="7326F51E" w14:textId="77777777" w:rsidR="00E114BB" w:rsidRDefault="00E114BB">
            <w:pPr>
              <w:spacing w:line="240" w:lineRule="auto"/>
              <w:jc w:val="center"/>
              <w:rPr>
                <w:rFonts w:ascii="Times New Roman" w:eastAsia="Times New Roman" w:hAnsi="Times New Roman" w:cs="Times New Roman"/>
              </w:rPr>
            </w:pPr>
          </w:p>
        </w:tc>
        <w:tc>
          <w:tcPr>
            <w:tcW w:w="5880" w:type="dxa"/>
          </w:tcPr>
          <w:p w14:paraId="389662A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2, cuvintele „cu o noțiune nouă” se va substitui cu textul „cu noțiunea „dispensă”.</w:t>
            </w:r>
          </w:p>
        </w:tc>
        <w:tc>
          <w:tcPr>
            <w:tcW w:w="5880" w:type="dxa"/>
          </w:tcPr>
          <w:p w14:paraId="7C538A1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6F2B6DCE" w14:textId="77777777">
        <w:trPr>
          <w:trHeight w:val="600"/>
        </w:trPr>
        <w:tc>
          <w:tcPr>
            <w:tcW w:w="555" w:type="dxa"/>
            <w:vMerge/>
          </w:tcPr>
          <w:p w14:paraId="1F05C05B" w14:textId="77777777" w:rsidR="00E114BB" w:rsidRDefault="00E114BB">
            <w:pPr>
              <w:spacing w:line="240" w:lineRule="auto"/>
              <w:rPr>
                <w:rFonts w:ascii="Times New Roman" w:eastAsia="Times New Roman" w:hAnsi="Times New Roman" w:cs="Times New Roman"/>
                <w:b/>
                <w:bCs/>
              </w:rPr>
            </w:pPr>
          </w:p>
        </w:tc>
        <w:tc>
          <w:tcPr>
            <w:tcW w:w="2700" w:type="dxa"/>
            <w:vMerge/>
          </w:tcPr>
          <w:p w14:paraId="3AB11A0E" w14:textId="77777777" w:rsidR="00E114BB" w:rsidRDefault="00E114BB">
            <w:pPr>
              <w:spacing w:line="240" w:lineRule="auto"/>
              <w:jc w:val="center"/>
              <w:rPr>
                <w:rFonts w:ascii="Times New Roman" w:eastAsia="Times New Roman" w:hAnsi="Times New Roman" w:cs="Times New Roman"/>
              </w:rPr>
            </w:pPr>
          </w:p>
        </w:tc>
        <w:tc>
          <w:tcPr>
            <w:tcW w:w="5880" w:type="dxa"/>
          </w:tcPr>
          <w:p w14:paraId="3741715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4, textul „Articolul 7” se va completa cu textul „alineatul (3)”.</w:t>
            </w:r>
          </w:p>
        </w:tc>
        <w:tc>
          <w:tcPr>
            <w:tcW w:w="5880" w:type="dxa"/>
          </w:tcPr>
          <w:p w14:paraId="64A6D44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018336DC" w14:textId="77777777">
        <w:trPr>
          <w:trHeight w:val="600"/>
        </w:trPr>
        <w:tc>
          <w:tcPr>
            <w:tcW w:w="555" w:type="dxa"/>
            <w:vMerge w:val="restart"/>
          </w:tcPr>
          <w:p w14:paraId="70205DE3" w14:textId="77777777" w:rsidR="00E114BB" w:rsidRDefault="00E114BB">
            <w:pPr>
              <w:spacing w:line="240" w:lineRule="auto"/>
              <w:rPr>
                <w:rFonts w:ascii="Times New Roman" w:eastAsia="Times New Roman" w:hAnsi="Times New Roman" w:cs="Times New Roman"/>
                <w:b/>
                <w:bCs/>
              </w:rPr>
            </w:pPr>
          </w:p>
        </w:tc>
        <w:tc>
          <w:tcPr>
            <w:tcW w:w="2700" w:type="dxa"/>
            <w:vMerge/>
          </w:tcPr>
          <w:p w14:paraId="24BEB697" w14:textId="77777777" w:rsidR="00E114BB" w:rsidRDefault="00E114BB">
            <w:pPr>
              <w:spacing w:line="240" w:lineRule="auto"/>
              <w:jc w:val="center"/>
              <w:rPr>
                <w:rFonts w:ascii="Times New Roman" w:eastAsia="Times New Roman" w:hAnsi="Times New Roman" w:cs="Times New Roman"/>
              </w:rPr>
            </w:pPr>
          </w:p>
        </w:tc>
        <w:tc>
          <w:tcPr>
            <w:tcW w:w="5880" w:type="dxa"/>
          </w:tcPr>
          <w:p w14:paraId="436F92B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Subsecvent, se va revedea redacția propusă pentru art. 7 alin. (3) lit. e) din Codul muncii, în mod special, textul „precum și pe criterii de domiciliu, opțiune politică, apartenență sau activitate sindicală”, având în vedere faptul că, referința la aceste criterii le regăsim inclusiv în Legea nr. 121/2012 cu privire la asigurarea egalității, în mod special în art. 1 alin. (1) și art. 7 din această lege (observație similară valabilă și pentru pct. 5, 8 și 9, în partea ce vizează redacțiile propuse pentru art. 8 alin. (1), art. 47 alin. (2) și art. 128 alin. (2) al Codului muncii).</w:t>
            </w:r>
          </w:p>
        </w:tc>
        <w:tc>
          <w:tcPr>
            <w:tcW w:w="5880" w:type="dxa"/>
          </w:tcPr>
          <w:p w14:paraId="2A5BC0A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1CFBC36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Propunerea nu poate fi acceptată, întrucât conținutul actual al Legii nr. 121/2012: criteriile de domiciliu, opțiune politică și apartenență sau activitate sindicală nu sunt prevăzute la art. 1 alin. (1) al acesteia. În plus, art. 7 din aceeași lege reglementează exclusiv afilierea (accesul) la organizații profesionale sau sindicale, fără a acoperi dimensiunea participării efective ori a activității în cadrul acestora. În aceste condiții, eliminarea sau nepreluarea acestor criterii ar conduce la o protecție incompletă, contrară exigențelor Directivei 2000/78/CE, care vizează nu doar apartenența formală, ci și implicarea reală în activitățile profesionale sau sindicale.</w:t>
            </w:r>
          </w:p>
        </w:tc>
      </w:tr>
      <w:tr w:rsidR="00E114BB" w14:paraId="1AFDC4B9" w14:textId="77777777">
        <w:trPr>
          <w:trHeight w:val="600"/>
        </w:trPr>
        <w:tc>
          <w:tcPr>
            <w:tcW w:w="555" w:type="dxa"/>
            <w:vMerge/>
          </w:tcPr>
          <w:p w14:paraId="21DC4880" w14:textId="77777777" w:rsidR="00E114BB" w:rsidRDefault="00E114BB">
            <w:pPr>
              <w:spacing w:line="240" w:lineRule="auto"/>
              <w:rPr>
                <w:rFonts w:ascii="Times New Roman" w:eastAsia="Times New Roman" w:hAnsi="Times New Roman" w:cs="Times New Roman"/>
                <w:b/>
                <w:bCs/>
              </w:rPr>
            </w:pPr>
          </w:p>
        </w:tc>
        <w:tc>
          <w:tcPr>
            <w:tcW w:w="2700" w:type="dxa"/>
            <w:vMerge/>
          </w:tcPr>
          <w:p w14:paraId="1AD62148" w14:textId="77777777" w:rsidR="00E114BB" w:rsidRDefault="00E114BB">
            <w:pPr>
              <w:spacing w:line="240" w:lineRule="auto"/>
              <w:jc w:val="center"/>
              <w:rPr>
                <w:rFonts w:ascii="Times New Roman" w:eastAsia="Times New Roman" w:hAnsi="Times New Roman" w:cs="Times New Roman"/>
              </w:rPr>
            </w:pPr>
          </w:p>
        </w:tc>
        <w:tc>
          <w:tcPr>
            <w:tcW w:w="5880" w:type="dxa"/>
          </w:tcPr>
          <w:p w14:paraId="23C790C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pct. 5: Dispoziția propusă pentru art. 8 alin. (3) vizează obiectul de reglementare a dispoziției în vigoare a alin. (2) al aceluiași articol. În context, se va reține că în cazul completării unor noi alineate, numerotarea nu se transmite altor elemente structurale. </w:t>
            </w:r>
          </w:p>
          <w:p w14:paraId="3A09D44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altă ordine de idei, având în vedere modificarea substanțială a art. 8, recomandăm expunerea integrală a acestuia în redacție nouă.</w:t>
            </w:r>
          </w:p>
        </w:tc>
        <w:tc>
          <w:tcPr>
            <w:tcW w:w="5880" w:type="dxa"/>
          </w:tcPr>
          <w:p w14:paraId="2622AAC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498C4C57" w14:textId="77777777">
        <w:trPr>
          <w:trHeight w:val="600"/>
        </w:trPr>
        <w:tc>
          <w:tcPr>
            <w:tcW w:w="555" w:type="dxa"/>
            <w:vMerge/>
          </w:tcPr>
          <w:p w14:paraId="1470A46F" w14:textId="77777777" w:rsidR="00E114BB" w:rsidRDefault="00E114BB">
            <w:pPr>
              <w:spacing w:line="240" w:lineRule="auto"/>
              <w:rPr>
                <w:rFonts w:ascii="Times New Roman" w:eastAsia="Times New Roman" w:hAnsi="Times New Roman" w:cs="Times New Roman"/>
                <w:b/>
                <w:bCs/>
              </w:rPr>
            </w:pPr>
          </w:p>
        </w:tc>
        <w:tc>
          <w:tcPr>
            <w:tcW w:w="2700" w:type="dxa"/>
            <w:vMerge/>
          </w:tcPr>
          <w:p w14:paraId="4060E4C8" w14:textId="77777777" w:rsidR="00E114BB" w:rsidRDefault="00E114BB">
            <w:pPr>
              <w:spacing w:line="240" w:lineRule="auto"/>
              <w:jc w:val="center"/>
              <w:rPr>
                <w:rFonts w:ascii="Times New Roman" w:eastAsia="Times New Roman" w:hAnsi="Times New Roman" w:cs="Times New Roman"/>
              </w:rPr>
            </w:pPr>
          </w:p>
        </w:tc>
        <w:tc>
          <w:tcPr>
            <w:tcW w:w="5880" w:type="dxa"/>
          </w:tcPr>
          <w:p w14:paraId="603597C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pct. 6: </w:t>
            </w:r>
          </w:p>
          <w:p w14:paraId="030DC12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textul „în final cu textul:” se va substitui cu cuvintele „cu textul”. Se va reține că, completarea unui text sau alineat, fără a specifica ordinea în care se inserează cuvintele, semnifică, conform regulii generale de tehnică legislativă, completarea textului la sfârșitul acestuia. Prin urmare, în dispozițiile de modificare se vor exclude cuvintele „în final”, deoarece sunt inutile (observație similară valabilă în tot textul proiectului);</w:t>
            </w:r>
          </w:p>
        </w:tc>
        <w:tc>
          <w:tcPr>
            <w:tcW w:w="5880" w:type="dxa"/>
          </w:tcPr>
          <w:p w14:paraId="41B7F70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432CF834" w14:textId="77777777">
        <w:trPr>
          <w:trHeight w:val="600"/>
        </w:trPr>
        <w:tc>
          <w:tcPr>
            <w:tcW w:w="555" w:type="dxa"/>
            <w:vMerge/>
          </w:tcPr>
          <w:p w14:paraId="26598810" w14:textId="77777777" w:rsidR="00E114BB" w:rsidRDefault="00E114BB">
            <w:pPr>
              <w:spacing w:line="240" w:lineRule="auto"/>
              <w:rPr>
                <w:rFonts w:ascii="Times New Roman" w:eastAsia="Times New Roman" w:hAnsi="Times New Roman" w:cs="Times New Roman"/>
                <w:b/>
                <w:bCs/>
              </w:rPr>
            </w:pPr>
          </w:p>
        </w:tc>
        <w:tc>
          <w:tcPr>
            <w:tcW w:w="2700" w:type="dxa"/>
            <w:vMerge/>
          </w:tcPr>
          <w:p w14:paraId="53C59B36" w14:textId="77777777" w:rsidR="00E114BB" w:rsidRDefault="00E114BB">
            <w:pPr>
              <w:spacing w:line="240" w:lineRule="auto"/>
              <w:jc w:val="center"/>
              <w:rPr>
                <w:rFonts w:ascii="Times New Roman" w:eastAsia="Times New Roman" w:hAnsi="Times New Roman" w:cs="Times New Roman"/>
              </w:rPr>
            </w:pPr>
          </w:p>
        </w:tc>
        <w:tc>
          <w:tcPr>
            <w:tcW w:w="5880" w:type="dxa"/>
          </w:tcPr>
          <w:p w14:paraId="5EE058C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la definitivarea redacției art. 42 alin. (2) lit. b) din Codul muncii, se va evita utilizarea repetată a cuvintelor „se aplică”;</w:t>
            </w:r>
          </w:p>
        </w:tc>
        <w:tc>
          <w:tcPr>
            <w:tcW w:w="5880" w:type="dxa"/>
          </w:tcPr>
          <w:p w14:paraId="5FBBD02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18A2F9E3" w14:textId="77777777">
        <w:trPr>
          <w:trHeight w:val="600"/>
        </w:trPr>
        <w:tc>
          <w:tcPr>
            <w:tcW w:w="555" w:type="dxa"/>
            <w:vMerge/>
          </w:tcPr>
          <w:p w14:paraId="2F3AB7C9" w14:textId="77777777" w:rsidR="00E114BB" w:rsidRDefault="00E114BB">
            <w:pPr>
              <w:spacing w:line="240" w:lineRule="auto"/>
              <w:rPr>
                <w:rFonts w:ascii="Times New Roman" w:eastAsia="Times New Roman" w:hAnsi="Times New Roman" w:cs="Times New Roman"/>
                <w:b/>
                <w:bCs/>
              </w:rPr>
            </w:pPr>
          </w:p>
        </w:tc>
        <w:tc>
          <w:tcPr>
            <w:tcW w:w="2700" w:type="dxa"/>
            <w:vMerge/>
          </w:tcPr>
          <w:p w14:paraId="7AA96C23" w14:textId="77777777" w:rsidR="00E114BB" w:rsidRDefault="00E114BB">
            <w:pPr>
              <w:spacing w:line="240" w:lineRule="auto"/>
              <w:jc w:val="center"/>
              <w:rPr>
                <w:rFonts w:ascii="Times New Roman" w:eastAsia="Times New Roman" w:hAnsi="Times New Roman" w:cs="Times New Roman"/>
              </w:rPr>
            </w:pPr>
          </w:p>
        </w:tc>
        <w:tc>
          <w:tcPr>
            <w:tcW w:w="5880" w:type="dxa"/>
          </w:tcPr>
          <w:p w14:paraId="50A67DE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suplimentar, se consideră mai potrivit ca completarea propusă pentru art. 42 alin. (2) lit. b) din Codul muncii, să constituie un alineat distinct (eventual alin. (21 ) al art. 421 ).</w:t>
            </w:r>
          </w:p>
        </w:tc>
        <w:tc>
          <w:tcPr>
            <w:tcW w:w="5880" w:type="dxa"/>
          </w:tcPr>
          <w:p w14:paraId="1E3955F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258E8CC4" w14:textId="77777777">
        <w:trPr>
          <w:trHeight w:val="600"/>
        </w:trPr>
        <w:tc>
          <w:tcPr>
            <w:tcW w:w="555" w:type="dxa"/>
            <w:vMerge/>
          </w:tcPr>
          <w:p w14:paraId="3F592C31" w14:textId="77777777" w:rsidR="00E114BB" w:rsidRDefault="00E114BB">
            <w:pPr>
              <w:spacing w:line="240" w:lineRule="auto"/>
              <w:rPr>
                <w:rFonts w:ascii="Times New Roman" w:eastAsia="Times New Roman" w:hAnsi="Times New Roman" w:cs="Times New Roman"/>
                <w:b/>
                <w:bCs/>
              </w:rPr>
            </w:pPr>
          </w:p>
        </w:tc>
        <w:tc>
          <w:tcPr>
            <w:tcW w:w="2700" w:type="dxa"/>
            <w:vMerge/>
          </w:tcPr>
          <w:p w14:paraId="5B012C84" w14:textId="77777777" w:rsidR="00E114BB" w:rsidRDefault="00E114BB">
            <w:pPr>
              <w:spacing w:line="240" w:lineRule="auto"/>
              <w:jc w:val="center"/>
              <w:rPr>
                <w:rFonts w:ascii="Times New Roman" w:eastAsia="Times New Roman" w:hAnsi="Times New Roman" w:cs="Times New Roman"/>
              </w:rPr>
            </w:pPr>
          </w:p>
        </w:tc>
        <w:tc>
          <w:tcPr>
            <w:tcW w:w="5880" w:type="dxa"/>
          </w:tcPr>
          <w:p w14:paraId="5715A03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7: Aferent redacției propuse pentru art. 42¹ alin. (1) al Codului muncii, nu este prevăzută dispoziția introductivă privind intenția autorului de a expune în redacție nouă alin. (1). Totodată, se consideră mai adecvat ca noțiunile termenilor „informare” și „consultare” să fie expuse într-un nou alineat, eventual alin. (11 ) divizat prin lit. a) și b) ale art. 421 .</w:t>
            </w:r>
          </w:p>
        </w:tc>
        <w:tc>
          <w:tcPr>
            <w:tcW w:w="5880" w:type="dxa"/>
          </w:tcPr>
          <w:p w14:paraId="73AF424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7B7E38F7" w14:textId="77777777">
        <w:trPr>
          <w:trHeight w:val="600"/>
        </w:trPr>
        <w:tc>
          <w:tcPr>
            <w:tcW w:w="555" w:type="dxa"/>
            <w:vMerge/>
          </w:tcPr>
          <w:p w14:paraId="68BAEF20" w14:textId="77777777" w:rsidR="00E114BB" w:rsidRDefault="00E114BB">
            <w:pPr>
              <w:spacing w:line="240" w:lineRule="auto"/>
              <w:rPr>
                <w:rFonts w:ascii="Times New Roman" w:eastAsia="Times New Roman" w:hAnsi="Times New Roman" w:cs="Times New Roman"/>
                <w:b/>
                <w:bCs/>
              </w:rPr>
            </w:pPr>
          </w:p>
        </w:tc>
        <w:tc>
          <w:tcPr>
            <w:tcW w:w="2700" w:type="dxa"/>
            <w:vMerge/>
          </w:tcPr>
          <w:p w14:paraId="66749A1B" w14:textId="77777777" w:rsidR="00E114BB" w:rsidRDefault="00E114BB">
            <w:pPr>
              <w:spacing w:line="240" w:lineRule="auto"/>
              <w:jc w:val="center"/>
              <w:rPr>
                <w:rFonts w:ascii="Times New Roman" w:eastAsia="Times New Roman" w:hAnsi="Times New Roman" w:cs="Times New Roman"/>
              </w:rPr>
            </w:pPr>
          </w:p>
        </w:tc>
        <w:tc>
          <w:tcPr>
            <w:tcW w:w="5880" w:type="dxa"/>
          </w:tcPr>
          <w:p w14:paraId="2248E4D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Redacția propusă pentru alin. (3¹) se recomandă a fi completată cu textul „prevăzute la alin. (3)”, întru asigurarea clarității și previzibilității normei.</w:t>
            </w:r>
          </w:p>
        </w:tc>
        <w:tc>
          <w:tcPr>
            <w:tcW w:w="5880" w:type="dxa"/>
          </w:tcPr>
          <w:p w14:paraId="617FB63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4662703E" w14:textId="77777777">
        <w:trPr>
          <w:trHeight w:val="600"/>
        </w:trPr>
        <w:tc>
          <w:tcPr>
            <w:tcW w:w="555" w:type="dxa"/>
            <w:vMerge/>
          </w:tcPr>
          <w:p w14:paraId="345C4588" w14:textId="77777777" w:rsidR="00E114BB" w:rsidRDefault="00E114BB">
            <w:pPr>
              <w:spacing w:line="240" w:lineRule="auto"/>
              <w:rPr>
                <w:rFonts w:ascii="Times New Roman" w:eastAsia="Times New Roman" w:hAnsi="Times New Roman" w:cs="Times New Roman"/>
                <w:b/>
                <w:bCs/>
              </w:rPr>
            </w:pPr>
          </w:p>
        </w:tc>
        <w:tc>
          <w:tcPr>
            <w:tcW w:w="2700" w:type="dxa"/>
            <w:vMerge/>
          </w:tcPr>
          <w:p w14:paraId="52E4382A" w14:textId="77777777" w:rsidR="00E114BB" w:rsidRDefault="00E114BB">
            <w:pPr>
              <w:spacing w:line="240" w:lineRule="auto"/>
              <w:jc w:val="center"/>
              <w:rPr>
                <w:rFonts w:ascii="Times New Roman" w:eastAsia="Times New Roman" w:hAnsi="Times New Roman" w:cs="Times New Roman"/>
              </w:rPr>
            </w:pPr>
          </w:p>
        </w:tc>
        <w:tc>
          <w:tcPr>
            <w:tcW w:w="5880" w:type="dxa"/>
          </w:tcPr>
          <w:p w14:paraId="184B813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10: Dispozițiile acestui punct, inclusiv ale pct. 11, se vor expune anterior dispozițiilor pct. 9, întru asigurarea expunerii modificărilor în ordinea care au fost enunțate în textul actului.</w:t>
            </w:r>
          </w:p>
        </w:tc>
        <w:tc>
          <w:tcPr>
            <w:tcW w:w="5880" w:type="dxa"/>
          </w:tcPr>
          <w:p w14:paraId="23A912A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283CFA7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Pct. 10 și 11 vor fi expuse anterior pct. 9. </w:t>
            </w:r>
          </w:p>
        </w:tc>
      </w:tr>
      <w:tr w:rsidR="00E114BB" w14:paraId="0D38746F" w14:textId="77777777">
        <w:trPr>
          <w:trHeight w:val="600"/>
        </w:trPr>
        <w:tc>
          <w:tcPr>
            <w:tcW w:w="555" w:type="dxa"/>
            <w:vMerge/>
          </w:tcPr>
          <w:p w14:paraId="4978C467" w14:textId="77777777" w:rsidR="00E114BB" w:rsidRDefault="00E114BB">
            <w:pPr>
              <w:spacing w:line="240" w:lineRule="auto"/>
              <w:rPr>
                <w:rFonts w:ascii="Times New Roman" w:eastAsia="Times New Roman" w:hAnsi="Times New Roman" w:cs="Times New Roman"/>
                <w:b/>
                <w:bCs/>
              </w:rPr>
            </w:pPr>
          </w:p>
        </w:tc>
        <w:tc>
          <w:tcPr>
            <w:tcW w:w="2700" w:type="dxa"/>
            <w:vMerge/>
          </w:tcPr>
          <w:p w14:paraId="39138101" w14:textId="77777777" w:rsidR="00E114BB" w:rsidRDefault="00E114BB">
            <w:pPr>
              <w:spacing w:line="240" w:lineRule="auto"/>
              <w:jc w:val="center"/>
              <w:rPr>
                <w:rFonts w:ascii="Times New Roman" w:eastAsia="Times New Roman" w:hAnsi="Times New Roman" w:cs="Times New Roman"/>
              </w:rPr>
            </w:pPr>
          </w:p>
        </w:tc>
        <w:tc>
          <w:tcPr>
            <w:tcW w:w="5880" w:type="dxa"/>
          </w:tcPr>
          <w:p w14:paraId="3C48D82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Norma propusă la art. 71¹ alin. (1) al Codului muncii, în mod special textul „sau pe teritoriul Republicii Moldova, în cadrul prestării de servicii, în condițiile legii speciale”, urmează a fi revăzut, întrucât se poate înțelege că angajatorul din Republica Moldova poate detașa salariații săi în cadrul prestării de servicii transnaționale, inclusiv pe teritoriul Republicii Moldova, fapt ce nu corespunde cu obiectul de reglementare a proiectului de lege privind detașarea lucrătorilor în cadrul prestării de servicii (număr unic 184/MMPS/2026), la care se face referire. Or, se atestă că art. 1 al proiectului de lege citat prevede că „(1) Prezenta lege instituie un cadru comun de dispoziții, măsuri şi mecanisme de control, aplicabile detașării lucrătorilor pe teritoriul Republicii Moldova sau din Republica Moldova pe teritoriul unui stat membru ori pe teritoriul Confederației Elvețiene, în cadrul prestării de servicii transnaționale, inclusiv </w:t>
            </w:r>
            <w:r>
              <w:rPr>
                <w:rFonts w:ascii="Times New Roman" w:eastAsia="Times New Roman" w:hAnsi="Times New Roman" w:cs="Times New Roman"/>
                <w:highlight w:val="white"/>
              </w:rPr>
              <w:lastRenderedPageBreak/>
              <w:t>măsurile de prevenire şi sancționare a oricărui abuz sau a eludării acestora.”.</w:t>
            </w:r>
          </w:p>
        </w:tc>
        <w:tc>
          <w:tcPr>
            <w:tcW w:w="5880" w:type="dxa"/>
          </w:tcPr>
          <w:p w14:paraId="519A4E3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27B7E80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71¹ alin. (1) va expus în următoarea redacție:</w:t>
            </w:r>
          </w:p>
          <w:p w14:paraId="554D300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derogare de la art. 71, detașarea în cadrul prestării de servicii transnaționale reprezintă trimiterea temporară a salariatului de către angajator, în cadrul prestării transnaționale de servicii, pentru executarea muncii fie din Republica Moldova pe teritoriul unui stat membru al Uniunii Europene ori pe teritoriul Confederației Elvețiene, fie pe teritoriul Republicii Moldova, în condițiile legii speciale.”</w:t>
            </w:r>
          </w:p>
        </w:tc>
      </w:tr>
      <w:tr w:rsidR="00E114BB" w14:paraId="00EE15C2" w14:textId="77777777">
        <w:trPr>
          <w:trHeight w:val="600"/>
        </w:trPr>
        <w:tc>
          <w:tcPr>
            <w:tcW w:w="555" w:type="dxa"/>
            <w:vMerge/>
          </w:tcPr>
          <w:p w14:paraId="49D76B6A" w14:textId="77777777" w:rsidR="00E114BB" w:rsidRDefault="00E114BB">
            <w:pPr>
              <w:spacing w:line="240" w:lineRule="auto"/>
              <w:rPr>
                <w:rFonts w:ascii="Times New Roman" w:eastAsia="Times New Roman" w:hAnsi="Times New Roman" w:cs="Times New Roman"/>
                <w:b/>
                <w:bCs/>
              </w:rPr>
            </w:pPr>
          </w:p>
        </w:tc>
        <w:tc>
          <w:tcPr>
            <w:tcW w:w="2700" w:type="dxa"/>
            <w:vMerge/>
          </w:tcPr>
          <w:p w14:paraId="684097F9" w14:textId="77777777" w:rsidR="00E114BB" w:rsidRDefault="00E114BB">
            <w:pPr>
              <w:spacing w:line="240" w:lineRule="auto"/>
              <w:jc w:val="center"/>
              <w:rPr>
                <w:rFonts w:ascii="Times New Roman" w:eastAsia="Times New Roman" w:hAnsi="Times New Roman" w:cs="Times New Roman"/>
              </w:rPr>
            </w:pPr>
          </w:p>
        </w:tc>
        <w:tc>
          <w:tcPr>
            <w:tcW w:w="5880" w:type="dxa"/>
          </w:tcPr>
          <w:p w14:paraId="11131CD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pct. 11: - textul „alineatelor (1/1 ), (1/2 ) și (2)” sugerăm a fi substituit cu textul „alin. (1/1 ) – (2)”, întru respectarea uzanțelor de redactare a actelor normative; </w:t>
            </w:r>
          </w:p>
        </w:tc>
        <w:tc>
          <w:tcPr>
            <w:tcW w:w="5880" w:type="dxa"/>
          </w:tcPr>
          <w:p w14:paraId="25459DA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7ABEB33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Prevederile alin. (1¹) - (2) 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cu flux continuu și în cazul muncii în schimburi, dacă contractul colectiv de muncă nu prevede altfel.</w:t>
            </w:r>
          </w:p>
        </w:tc>
      </w:tr>
      <w:tr w:rsidR="00E114BB" w14:paraId="73D52CC5" w14:textId="77777777">
        <w:trPr>
          <w:trHeight w:val="600"/>
        </w:trPr>
        <w:tc>
          <w:tcPr>
            <w:tcW w:w="555" w:type="dxa"/>
            <w:vMerge/>
          </w:tcPr>
          <w:p w14:paraId="48C55FC2" w14:textId="77777777" w:rsidR="00E114BB" w:rsidRDefault="00E114BB">
            <w:pPr>
              <w:spacing w:line="240" w:lineRule="auto"/>
              <w:rPr>
                <w:rFonts w:ascii="Times New Roman" w:eastAsia="Times New Roman" w:hAnsi="Times New Roman" w:cs="Times New Roman"/>
                <w:b/>
                <w:bCs/>
              </w:rPr>
            </w:pPr>
          </w:p>
        </w:tc>
        <w:tc>
          <w:tcPr>
            <w:tcW w:w="2700" w:type="dxa"/>
            <w:vMerge/>
          </w:tcPr>
          <w:p w14:paraId="56F77CBA" w14:textId="77777777" w:rsidR="00E114BB" w:rsidRDefault="00E114BB">
            <w:pPr>
              <w:spacing w:line="240" w:lineRule="auto"/>
              <w:jc w:val="center"/>
              <w:rPr>
                <w:rFonts w:ascii="Times New Roman" w:eastAsia="Times New Roman" w:hAnsi="Times New Roman" w:cs="Times New Roman"/>
              </w:rPr>
            </w:pPr>
          </w:p>
        </w:tc>
        <w:tc>
          <w:tcPr>
            <w:tcW w:w="5880" w:type="dxa"/>
          </w:tcPr>
          <w:p w14:paraId="6F78DC6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se constată că reglementarea propusă pentru art. 103 alin. (3) al Codului muncii constituie obiect al transpunerii unor norme din art. 17 alin. (3) al Directivei 2003/88/CE a Parlamentului European și a Consiliului din 4 noiembrie 2003 privind anumite aspecte ale organizării timpului de lucru. Astfel, se va analiza necesitatea completării clauzei de armonizare a Codului muncii cu referința la articolul/alineatul citat din Directiva 2003/88/CE. </w:t>
            </w:r>
          </w:p>
        </w:tc>
        <w:tc>
          <w:tcPr>
            <w:tcW w:w="5880" w:type="dxa"/>
          </w:tcPr>
          <w:p w14:paraId="0AAC971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1A2E0DD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Referința la D 2003/88 se va include în Codul muncii la transpunerea acestei directive, care se va însoți de tabelul de concordanță, planificate pentru sfârșitul anului curent.</w:t>
            </w:r>
          </w:p>
        </w:tc>
      </w:tr>
      <w:tr w:rsidR="00E114BB" w14:paraId="6B639EF8" w14:textId="77777777">
        <w:trPr>
          <w:trHeight w:val="600"/>
        </w:trPr>
        <w:tc>
          <w:tcPr>
            <w:tcW w:w="555" w:type="dxa"/>
            <w:vMerge/>
          </w:tcPr>
          <w:p w14:paraId="54236898" w14:textId="77777777" w:rsidR="00E114BB" w:rsidRDefault="00E114BB">
            <w:pPr>
              <w:spacing w:line="240" w:lineRule="auto"/>
              <w:rPr>
                <w:rFonts w:ascii="Times New Roman" w:eastAsia="Times New Roman" w:hAnsi="Times New Roman" w:cs="Times New Roman"/>
                <w:b/>
                <w:bCs/>
              </w:rPr>
            </w:pPr>
          </w:p>
        </w:tc>
        <w:tc>
          <w:tcPr>
            <w:tcW w:w="2700" w:type="dxa"/>
            <w:vMerge/>
          </w:tcPr>
          <w:p w14:paraId="6D705FC4" w14:textId="77777777" w:rsidR="00E114BB" w:rsidRDefault="00E114BB">
            <w:pPr>
              <w:spacing w:line="240" w:lineRule="auto"/>
              <w:jc w:val="center"/>
              <w:rPr>
                <w:rFonts w:ascii="Times New Roman" w:eastAsia="Times New Roman" w:hAnsi="Times New Roman" w:cs="Times New Roman"/>
              </w:rPr>
            </w:pPr>
          </w:p>
        </w:tc>
        <w:tc>
          <w:tcPr>
            <w:tcW w:w="5880" w:type="dxa"/>
          </w:tcPr>
          <w:p w14:paraId="0B16C62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13, cuvântul „textul” se va substitui cu cuvântul „cuvintele”, iar cuvintele „se exclude” se va substitui cu cuvintele „se exclud”. Se va ține cont că, la schimbarea unor cuvinte din conținutul textului unui act normativ, pentru exprimarea corectă, se menționează despre substituirea „cuvintelor” respective, iar la schimbarea unor cifre/semne și cuvinte din conținutul textului unui act normativ, se menționează despre substituirea „textului” respectiv.</w:t>
            </w:r>
          </w:p>
        </w:tc>
        <w:tc>
          <w:tcPr>
            <w:tcW w:w="5880" w:type="dxa"/>
          </w:tcPr>
          <w:p w14:paraId="03BCD25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7DDEE77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Pct. 13 va fi redat: La articolul З26/3 alineatul (1) cuvintele „şi cu caracter temporar” se exclud.</w:t>
            </w:r>
          </w:p>
        </w:tc>
      </w:tr>
      <w:tr w:rsidR="00E114BB" w14:paraId="43DCFF78" w14:textId="77777777">
        <w:trPr>
          <w:trHeight w:val="600"/>
        </w:trPr>
        <w:tc>
          <w:tcPr>
            <w:tcW w:w="555" w:type="dxa"/>
            <w:vMerge/>
          </w:tcPr>
          <w:p w14:paraId="67D673F9" w14:textId="77777777" w:rsidR="00E114BB" w:rsidRDefault="00E114BB">
            <w:pPr>
              <w:spacing w:line="240" w:lineRule="auto"/>
              <w:rPr>
                <w:rFonts w:ascii="Times New Roman" w:eastAsia="Times New Roman" w:hAnsi="Times New Roman" w:cs="Times New Roman"/>
                <w:b/>
                <w:bCs/>
              </w:rPr>
            </w:pPr>
          </w:p>
        </w:tc>
        <w:tc>
          <w:tcPr>
            <w:tcW w:w="2700" w:type="dxa"/>
            <w:vMerge/>
          </w:tcPr>
          <w:p w14:paraId="292BF63E" w14:textId="77777777" w:rsidR="00E114BB" w:rsidRDefault="00E114BB">
            <w:pPr>
              <w:spacing w:line="240" w:lineRule="auto"/>
              <w:jc w:val="center"/>
              <w:rPr>
                <w:rFonts w:ascii="Times New Roman" w:eastAsia="Times New Roman" w:hAnsi="Times New Roman" w:cs="Times New Roman"/>
              </w:rPr>
            </w:pPr>
          </w:p>
        </w:tc>
        <w:tc>
          <w:tcPr>
            <w:tcW w:w="5880" w:type="dxa"/>
          </w:tcPr>
          <w:p w14:paraId="169279C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Pct. 14 se va exclude, întrucât dublează dispozițiile pct. 11 din cadrul aceluiași articol.</w:t>
            </w:r>
          </w:p>
        </w:tc>
        <w:tc>
          <w:tcPr>
            <w:tcW w:w="5880" w:type="dxa"/>
          </w:tcPr>
          <w:p w14:paraId="0C556A5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61C6FE3C" w14:textId="77777777">
        <w:trPr>
          <w:trHeight w:val="600"/>
        </w:trPr>
        <w:tc>
          <w:tcPr>
            <w:tcW w:w="555" w:type="dxa"/>
            <w:vMerge/>
          </w:tcPr>
          <w:p w14:paraId="1041681A" w14:textId="77777777" w:rsidR="00E114BB" w:rsidRDefault="00E114BB">
            <w:pPr>
              <w:spacing w:line="240" w:lineRule="auto"/>
              <w:rPr>
                <w:rFonts w:ascii="Times New Roman" w:eastAsia="Times New Roman" w:hAnsi="Times New Roman" w:cs="Times New Roman"/>
                <w:b/>
                <w:bCs/>
              </w:rPr>
            </w:pPr>
          </w:p>
        </w:tc>
        <w:tc>
          <w:tcPr>
            <w:tcW w:w="2700" w:type="dxa"/>
            <w:vMerge/>
          </w:tcPr>
          <w:p w14:paraId="38436831" w14:textId="77777777" w:rsidR="00E114BB" w:rsidRDefault="00E114BB">
            <w:pPr>
              <w:spacing w:line="240" w:lineRule="auto"/>
              <w:jc w:val="center"/>
              <w:rPr>
                <w:rFonts w:ascii="Times New Roman" w:eastAsia="Times New Roman" w:hAnsi="Times New Roman" w:cs="Times New Roman"/>
              </w:rPr>
            </w:pPr>
          </w:p>
        </w:tc>
        <w:tc>
          <w:tcPr>
            <w:tcW w:w="5880" w:type="dxa"/>
          </w:tcPr>
          <w:p w14:paraId="0D00E2D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III – modificarea Legii securității și sănătății în muncă nr. 186/2008:</w:t>
            </w:r>
          </w:p>
          <w:p w14:paraId="760C019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În pct. 1, cuvântul „sintagma” se va substitui cu cuvântul „textul”, în vederea respectării regulilor de tehnică legislativă.</w:t>
            </w:r>
          </w:p>
        </w:tc>
        <w:tc>
          <w:tcPr>
            <w:tcW w:w="5880" w:type="dxa"/>
          </w:tcPr>
          <w:p w14:paraId="45A4E3E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6E638501" w14:textId="77777777">
        <w:trPr>
          <w:trHeight w:val="600"/>
        </w:trPr>
        <w:tc>
          <w:tcPr>
            <w:tcW w:w="555" w:type="dxa"/>
            <w:vMerge/>
          </w:tcPr>
          <w:p w14:paraId="2A143949" w14:textId="77777777" w:rsidR="00E114BB" w:rsidRDefault="00E114BB">
            <w:pPr>
              <w:spacing w:line="240" w:lineRule="auto"/>
              <w:rPr>
                <w:rFonts w:ascii="Times New Roman" w:eastAsia="Times New Roman" w:hAnsi="Times New Roman" w:cs="Times New Roman"/>
                <w:b/>
                <w:bCs/>
              </w:rPr>
            </w:pPr>
          </w:p>
        </w:tc>
        <w:tc>
          <w:tcPr>
            <w:tcW w:w="2700" w:type="dxa"/>
            <w:vMerge/>
          </w:tcPr>
          <w:p w14:paraId="64E6782A" w14:textId="77777777" w:rsidR="00E114BB" w:rsidRDefault="00E114BB">
            <w:pPr>
              <w:spacing w:line="240" w:lineRule="auto"/>
              <w:jc w:val="center"/>
              <w:rPr>
                <w:rFonts w:ascii="Times New Roman" w:eastAsia="Times New Roman" w:hAnsi="Times New Roman" w:cs="Times New Roman"/>
              </w:rPr>
            </w:pPr>
          </w:p>
        </w:tc>
        <w:tc>
          <w:tcPr>
            <w:tcW w:w="5880" w:type="dxa"/>
          </w:tcPr>
          <w:p w14:paraId="789CCA8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pct. 3, textul „litera a) litera b) și litera c)” propunem a fi substituit cu textul „literele a)-c)”. </w:t>
            </w:r>
          </w:p>
        </w:tc>
        <w:tc>
          <w:tcPr>
            <w:tcW w:w="5880" w:type="dxa"/>
          </w:tcPr>
          <w:p w14:paraId="3211C29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5D48FD7D" w14:textId="77777777">
        <w:trPr>
          <w:trHeight w:val="600"/>
        </w:trPr>
        <w:tc>
          <w:tcPr>
            <w:tcW w:w="555" w:type="dxa"/>
            <w:vMerge/>
          </w:tcPr>
          <w:p w14:paraId="7AF26940" w14:textId="77777777" w:rsidR="00E114BB" w:rsidRDefault="00E114BB">
            <w:pPr>
              <w:spacing w:line="240" w:lineRule="auto"/>
              <w:rPr>
                <w:rFonts w:ascii="Times New Roman" w:eastAsia="Times New Roman" w:hAnsi="Times New Roman" w:cs="Times New Roman"/>
                <w:b/>
                <w:bCs/>
              </w:rPr>
            </w:pPr>
          </w:p>
        </w:tc>
        <w:tc>
          <w:tcPr>
            <w:tcW w:w="2700" w:type="dxa"/>
            <w:vMerge/>
          </w:tcPr>
          <w:p w14:paraId="40BCC00D" w14:textId="77777777" w:rsidR="00E114BB" w:rsidRDefault="00E114BB">
            <w:pPr>
              <w:spacing w:line="240" w:lineRule="auto"/>
              <w:jc w:val="center"/>
              <w:rPr>
                <w:rFonts w:ascii="Times New Roman" w:eastAsia="Times New Roman" w:hAnsi="Times New Roman" w:cs="Times New Roman"/>
              </w:rPr>
            </w:pPr>
          </w:p>
        </w:tc>
        <w:tc>
          <w:tcPr>
            <w:tcW w:w="5880" w:type="dxa"/>
          </w:tcPr>
          <w:p w14:paraId="242079A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pct. 8, textul „dizabilități” necesită a fi substituit cu textul „cu dizabilități”</w:t>
            </w:r>
          </w:p>
        </w:tc>
        <w:tc>
          <w:tcPr>
            <w:tcW w:w="5880" w:type="dxa"/>
          </w:tcPr>
          <w:p w14:paraId="0CE8E29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tc>
      </w:tr>
      <w:tr w:rsidR="00E114BB" w14:paraId="6FBA75EE" w14:textId="77777777">
        <w:trPr>
          <w:trHeight w:val="600"/>
        </w:trPr>
        <w:tc>
          <w:tcPr>
            <w:tcW w:w="555" w:type="dxa"/>
            <w:vMerge/>
          </w:tcPr>
          <w:p w14:paraId="54318751" w14:textId="77777777" w:rsidR="00E114BB" w:rsidRDefault="00E114BB">
            <w:pPr>
              <w:spacing w:line="240" w:lineRule="auto"/>
              <w:rPr>
                <w:rFonts w:ascii="Times New Roman" w:eastAsia="Times New Roman" w:hAnsi="Times New Roman" w:cs="Times New Roman"/>
                <w:b/>
                <w:bCs/>
              </w:rPr>
            </w:pPr>
          </w:p>
        </w:tc>
        <w:tc>
          <w:tcPr>
            <w:tcW w:w="2700" w:type="dxa"/>
            <w:vMerge/>
          </w:tcPr>
          <w:p w14:paraId="0B20FF47" w14:textId="77777777" w:rsidR="00E114BB" w:rsidRDefault="00E114BB">
            <w:pPr>
              <w:spacing w:line="240" w:lineRule="auto"/>
              <w:jc w:val="center"/>
              <w:rPr>
                <w:rFonts w:ascii="Times New Roman" w:eastAsia="Times New Roman" w:hAnsi="Times New Roman" w:cs="Times New Roman"/>
              </w:rPr>
            </w:pPr>
          </w:p>
        </w:tc>
        <w:tc>
          <w:tcPr>
            <w:tcW w:w="5880" w:type="dxa"/>
          </w:tcPr>
          <w:p w14:paraId="0BEDF9E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pct. 9: În redacția propusă pentru art. 23/2 alin. (1) al Legii nr. 186/2008: - textul „(Ministerul Muncii și Protecției Sociale, în baza rapoartelor anuale privind activitatea Inspectoratului de Stat al Muncii, întocmite conform art. 13 din Legea nr. 140/2001, precum și a altor autorități publice de resort)” sugerăm a fi substituit cu textul „ , în baza rapoartelor anuale privind activitatea Inspectoratului de Stat al Muncii, 6 întocmite conform art. 13 din Legea nr. 140/2001 privind Inspectoratul de Stat al Muncii, precum și a altor autorități publice de resort”; </w:t>
            </w:r>
          </w:p>
        </w:tc>
        <w:tc>
          <w:tcPr>
            <w:tcW w:w="5880" w:type="dxa"/>
          </w:tcPr>
          <w:p w14:paraId="43989B6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08DEC9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23/2 alin. (1) va fi expus în următoarea redacție:</w:t>
            </w:r>
            <w:r>
              <w:rPr>
                <w:rFonts w:ascii="Times New Roman" w:eastAsia="Times New Roman" w:hAnsi="Times New Roman" w:cs="Times New Roman"/>
                <w:highlight w:val="white"/>
              </w:rPr>
              <w:br/>
            </w:r>
            <w:r>
              <w:rPr>
                <w:rFonts w:ascii="Times New Roman" w:eastAsia="Times New Roman" w:hAnsi="Times New Roman" w:cs="Times New Roman"/>
                <w:highlight w:val="white"/>
              </w:rPr>
              <w:br/>
              <w:t xml:space="preserve">(1) Autoritatea publică centrală responsabilă de domeniul securității și sănătății în muncă </w:t>
            </w:r>
            <w:r>
              <w:rPr>
                <w:rFonts w:ascii="Times New Roman" w:eastAsia="Times New Roman" w:hAnsi="Times New Roman" w:cs="Times New Roman"/>
                <w:b/>
                <w:bCs/>
                <w:highlight w:val="white"/>
              </w:rPr>
              <w:t>în baza rapoartelor anuale privind activitatea Inspectoratului de Stat al Muncii, 6 întocmite conform art. 13 din Legea nr. 140/2001 privind Inspectoratul de Stat al Muncii, precum și a altor autorități publice de resort</w:t>
            </w:r>
            <w:r>
              <w:rPr>
                <w:rFonts w:ascii="Times New Roman" w:eastAsia="Times New Roman" w:hAnsi="Times New Roman" w:cs="Times New Roman"/>
                <w:highlight w:val="white"/>
              </w:rPr>
              <w:t>, transmite Comisiei Europene, din cinci în cinci ani, un raport unic privind punerea în aplicare a prezentei legi și a actelor normative naționale care transpun directivele Uniunii Europene speciale adoptate în temeiul acesteia, menționând punctul de vedere al partenerilor sociali. Raportul evaluează diversele aspecte privind punerea în practică a diferitelor directive ale Uniunii Europene și furnizează, dacă este necesar și dacă sunt disponibile, informații detaliate pe sexe.</w:t>
            </w:r>
          </w:p>
        </w:tc>
      </w:tr>
      <w:tr w:rsidR="00E114BB" w14:paraId="799830BA" w14:textId="77777777">
        <w:trPr>
          <w:trHeight w:val="600"/>
        </w:trPr>
        <w:tc>
          <w:tcPr>
            <w:tcW w:w="555" w:type="dxa"/>
            <w:vMerge/>
          </w:tcPr>
          <w:p w14:paraId="5F4B2F2F" w14:textId="77777777" w:rsidR="00E114BB" w:rsidRDefault="00E114BB">
            <w:pPr>
              <w:spacing w:line="240" w:lineRule="auto"/>
              <w:rPr>
                <w:rFonts w:ascii="Times New Roman" w:eastAsia="Times New Roman" w:hAnsi="Times New Roman" w:cs="Times New Roman"/>
                <w:b/>
                <w:bCs/>
              </w:rPr>
            </w:pPr>
          </w:p>
        </w:tc>
        <w:tc>
          <w:tcPr>
            <w:tcW w:w="2700" w:type="dxa"/>
            <w:vMerge/>
          </w:tcPr>
          <w:p w14:paraId="625E0480" w14:textId="77777777" w:rsidR="00E114BB" w:rsidRDefault="00E114BB">
            <w:pPr>
              <w:spacing w:line="240" w:lineRule="auto"/>
              <w:jc w:val="center"/>
              <w:rPr>
                <w:rFonts w:ascii="Times New Roman" w:eastAsia="Times New Roman" w:hAnsi="Times New Roman" w:cs="Times New Roman"/>
              </w:rPr>
            </w:pPr>
          </w:p>
        </w:tc>
        <w:tc>
          <w:tcPr>
            <w:tcW w:w="5880" w:type="dxa"/>
          </w:tcPr>
          <w:p w14:paraId="4BDF87F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după cuvintele „directivele” și „directive” se va completa cu cuvintele „Uniunii Europene”.</w:t>
            </w:r>
          </w:p>
        </w:tc>
        <w:tc>
          <w:tcPr>
            <w:tcW w:w="5880" w:type="dxa"/>
          </w:tcPr>
          <w:p w14:paraId="596F733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3A4853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23/2 alin. (1) va fi expus în următoarea redacție:</w:t>
            </w:r>
            <w:r>
              <w:rPr>
                <w:rFonts w:ascii="Times New Roman" w:eastAsia="Times New Roman" w:hAnsi="Times New Roman" w:cs="Times New Roman"/>
                <w:highlight w:val="white"/>
              </w:rPr>
              <w:br/>
            </w:r>
            <w:r>
              <w:rPr>
                <w:rFonts w:ascii="Times New Roman" w:eastAsia="Times New Roman" w:hAnsi="Times New Roman" w:cs="Times New Roman"/>
                <w:highlight w:val="white"/>
              </w:rPr>
              <w:br/>
              <w:t xml:space="preserve">(1) Autoritatea publică centrală responsabilă de domeniul securității și sănătății în muncă în baza rapoartelor anuale privind activitatea Inspectoratului de Stat al Muncii, 6 întocmite conform art. 13 din Legea nr. 140/2001 privind Inspectoratul de Stat al </w:t>
            </w:r>
            <w:r>
              <w:rPr>
                <w:rFonts w:ascii="Times New Roman" w:eastAsia="Times New Roman" w:hAnsi="Times New Roman" w:cs="Times New Roman"/>
                <w:highlight w:val="white"/>
              </w:rPr>
              <w:lastRenderedPageBreak/>
              <w:t xml:space="preserve">Muncii, precum și a altor autorități publice de resort, transmite Comisiei Europene, din cinci în cinci ani, un raport unic privind punerea în aplicare a prezentei legi și a actelor normative naționale care transpun </w:t>
            </w:r>
            <w:r>
              <w:rPr>
                <w:rFonts w:ascii="Times New Roman" w:eastAsia="Times New Roman" w:hAnsi="Times New Roman" w:cs="Times New Roman"/>
                <w:b/>
                <w:bCs/>
                <w:highlight w:val="white"/>
              </w:rPr>
              <w:t>directivele Uniunii Europene</w:t>
            </w:r>
            <w:r>
              <w:rPr>
                <w:rFonts w:ascii="Times New Roman" w:eastAsia="Times New Roman" w:hAnsi="Times New Roman" w:cs="Times New Roman"/>
                <w:highlight w:val="white"/>
              </w:rPr>
              <w:t xml:space="preserve"> speciale adoptate în temeiul acesteia, menționând punctul de vedere al partenerilor sociali. Raportul evaluează diversele aspecte privind punerea în practică a diferitelor </w:t>
            </w:r>
            <w:r>
              <w:rPr>
                <w:rFonts w:ascii="Times New Roman" w:eastAsia="Times New Roman" w:hAnsi="Times New Roman" w:cs="Times New Roman"/>
                <w:b/>
                <w:bCs/>
                <w:highlight w:val="white"/>
              </w:rPr>
              <w:t>directive ale Uniunii Europene</w:t>
            </w:r>
            <w:r>
              <w:rPr>
                <w:rFonts w:ascii="Times New Roman" w:eastAsia="Times New Roman" w:hAnsi="Times New Roman" w:cs="Times New Roman"/>
                <w:highlight w:val="white"/>
              </w:rPr>
              <w:t xml:space="preserve"> și furnizează, dacă este necesar și dacă sunt disponibile, informații detaliate pe sexe.</w:t>
            </w:r>
          </w:p>
        </w:tc>
      </w:tr>
      <w:tr w:rsidR="00E114BB" w14:paraId="640B4D69" w14:textId="77777777">
        <w:trPr>
          <w:trHeight w:val="600"/>
        </w:trPr>
        <w:tc>
          <w:tcPr>
            <w:tcW w:w="555" w:type="dxa"/>
            <w:vMerge/>
          </w:tcPr>
          <w:p w14:paraId="5E9238EB" w14:textId="77777777" w:rsidR="00E114BB" w:rsidRDefault="00E114BB">
            <w:pPr>
              <w:spacing w:line="240" w:lineRule="auto"/>
              <w:rPr>
                <w:rFonts w:ascii="Times New Roman" w:eastAsia="Times New Roman" w:hAnsi="Times New Roman" w:cs="Times New Roman"/>
                <w:b/>
                <w:bCs/>
              </w:rPr>
            </w:pPr>
          </w:p>
        </w:tc>
        <w:tc>
          <w:tcPr>
            <w:tcW w:w="2700" w:type="dxa"/>
            <w:vMerge/>
          </w:tcPr>
          <w:p w14:paraId="2A9E7833" w14:textId="77777777" w:rsidR="00E114BB" w:rsidRDefault="00E114BB">
            <w:pPr>
              <w:spacing w:line="240" w:lineRule="auto"/>
              <w:jc w:val="center"/>
              <w:rPr>
                <w:rFonts w:ascii="Times New Roman" w:eastAsia="Times New Roman" w:hAnsi="Times New Roman" w:cs="Times New Roman"/>
              </w:rPr>
            </w:pPr>
          </w:p>
        </w:tc>
        <w:tc>
          <w:tcPr>
            <w:tcW w:w="5880" w:type="dxa"/>
          </w:tcPr>
          <w:p w14:paraId="1C75F46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redacția propusă pentru art. 23/2 alin. (2) al Legii nr. 186/2008, nu este clar dacă Comitetul consultativ pentru securitate și sănătate la locul de muncă este entitate juridică a Republicii Moldova sau a Uniunii Europene</w:t>
            </w:r>
          </w:p>
        </w:tc>
        <w:tc>
          <w:tcPr>
            <w:tcW w:w="5880" w:type="dxa"/>
          </w:tcPr>
          <w:p w14:paraId="742EC06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r>
              <w:rPr>
                <w:rFonts w:ascii="Times New Roman" w:eastAsia="Times New Roman" w:hAnsi="Times New Roman" w:cs="Times New Roman"/>
                <w:highlight w:val="white"/>
              </w:rPr>
              <w:t xml:space="preserve"> </w:t>
            </w:r>
          </w:p>
          <w:p w14:paraId="4098223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vederea asigurării clarității și a unei transpuneri mai fidele a art. 17a alin. (2) din Directiva 89/391/CEE, alin. (2) va fi reformulat astfel încât să rezulte expres că referința vizează comitetul consultativ instituit la nivelul Uniunii Europene.</w:t>
            </w:r>
          </w:p>
          <w:p w14:paraId="27652F96"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23/2 alin. (2) va fi expus în următoarea redacție:</w:t>
            </w:r>
          </w:p>
          <w:p w14:paraId="6FDF494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Raportul prevăzut la alin. (1) se elaborează în conformitate cu structura și chestionarul stabilite de Comisia Europeană, în colaborare cu </w:t>
            </w:r>
            <w:r>
              <w:rPr>
                <w:rFonts w:ascii="Times New Roman" w:eastAsia="Times New Roman" w:hAnsi="Times New Roman" w:cs="Times New Roman"/>
                <w:b/>
                <w:bCs/>
                <w:highlight w:val="white"/>
              </w:rPr>
              <w:t>Comitetul consultativ pentru securitate și sănătate la locul de muncă al Uniunii Europene</w:t>
            </w:r>
            <w:r>
              <w:rPr>
                <w:rFonts w:ascii="Times New Roman" w:eastAsia="Times New Roman" w:hAnsi="Times New Roman" w:cs="Times New Roman"/>
                <w:highlight w:val="white"/>
              </w:rPr>
              <w:t>.</w:t>
            </w:r>
          </w:p>
        </w:tc>
      </w:tr>
      <w:tr w:rsidR="00E114BB" w14:paraId="6598ADE8" w14:textId="77777777">
        <w:trPr>
          <w:trHeight w:val="600"/>
        </w:trPr>
        <w:tc>
          <w:tcPr>
            <w:tcW w:w="555" w:type="dxa"/>
            <w:vMerge/>
          </w:tcPr>
          <w:p w14:paraId="20A59189" w14:textId="77777777" w:rsidR="00E114BB" w:rsidRDefault="00E114BB">
            <w:pPr>
              <w:spacing w:line="240" w:lineRule="auto"/>
              <w:rPr>
                <w:rFonts w:ascii="Times New Roman" w:eastAsia="Times New Roman" w:hAnsi="Times New Roman" w:cs="Times New Roman"/>
                <w:b/>
                <w:bCs/>
              </w:rPr>
            </w:pPr>
          </w:p>
        </w:tc>
        <w:tc>
          <w:tcPr>
            <w:tcW w:w="2700" w:type="dxa"/>
            <w:vMerge/>
          </w:tcPr>
          <w:p w14:paraId="0ACCE6D3" w14:textId="77777777" w:rsidR="00E114BB" w:rsidRDefault="00E114BB">
            <w:pPr>
              <w:spacing w:line="240" w:lineRule="auto"/>
              <w:jc w:val="center"/>
              <w:rPr>
                <w:rFonts w:ascii="Times New Roman" w:eastAsia="Times New Roman" w:hAnsi="Times New Roman" w:cs="Times New Roman"/>
              </w:rPr>
            </w:pPr>
          </w:p>
        </w:tc>
        <w:tc>
          <w:tcPr>
            <w:tcW w:w="5880" w:type="dxa"/>
          </w:tcPr>
          <w:p w14:paraId="71BFED0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Aferent redacției propuse pentru art. 23/2 alin. (3) al Legii nr. 186/2008, este de menționat faptul că aceasta are ca obiect transpunerea art. 17a alin. (2) al Directivei 89/391/CEE. Reieșind din dispozițiile acestui articol, norma alin. (3) lit. b) este parte conexă a dispoziției lit. a), deoarece vizează partea generală a raportului și nu poate fi expusă separat. În context, se recomandă reformularea alin. (3), astfel încât să asigure transpunerea adecvată a art. 17a alin. (2) al Directivei 89/391/CEE.</w:t>
            </w:r>
          </w:p>
        </w:tc>
        <w:tc>
          <w:tcPr>
            <w:tcW w:w="5880" w:type="dxa"/>
          </w:tcPr>
          <w:p w14:paraId="6AF48D6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2E2092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Alin. (3) va fi revizuit pentru a reda unitar structura raportului, incluzând partea generală și capitolele specifice aferente fiecărui act normativ.</w:t>
            </w:r>
          </w:p>
          <w:p w14:paraId="748506E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23/2 alin. (3) va fi expus în următoarea redacție:</w:t>
            </w:r>
          </w:p>
          <w:p w14:paraId="2E67F7C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Raportul cuprinde o parte generală privind principiile și aspectele comune aplicabile tuturor actelor normative menționate la alin. (1), precum și capitole specifice referitoare la </w:t>
            </w:r>
            <w:r>
              <w:rPr>
                <w:rFonts w:ascii="Times New Roman" w:eastAsia="Times New Roman" w:hAnsi="Times New Roman" w:cs="Times New Roman"/>
                <w:highlight w:val="white"/>
              </w:rPr>
              <w:lastRenderedPageBreak/>
              <w:t>punerea în aplicare a fiecărui act normativ, inclusiv indicatori specifici, în măsura în care sunt disponibili.</w:t>
            </w:r>
          </w:p>
        </w:tc>
      </w:tr>
      <w:tr w:rsidR="00E114BB" w14:paraId="2844A10C" w14:textId="77777777">
        <w:trPr>
          <w:trHeight w:val="2057"/>
        </w:trPr>
        <w:tc>
          <w:tcPr>
            <w:tcW w:w="555" w:type="dxa"/>
            <w:vMerge/>
          </w:tcPr>
          <w:p w14:paraId="2D5494B8" w14:textId="77777777" w:rsidR="00E114BB" w:rsidRDefault="00E114BB">
            <w:pPr>
              <w:spacing w:line="240" w:lineRule="auto"/>
              <w:rPr>
                <w:rFonts w:ascii="Times New Roman" w:eastAsia="Times New Roman" w:hAnsi="Times New Roman" w:cs="Times New Roman"/>
                <w:b/>
                <w:bCs/>
              </w:rPr>
            </w:pPr>
          </w:p>
        </w:tc>
        <w:tc>
          <w:tcPr>
            <w:tcW w:w="2700" w:type="dxa"/>
            <w:vMerge/>
          </w:tcPr>
          <w:p w14:paraId="20DA1EDA" w14:textId="77777777" w:rsidR="00E114BB" w:rsidRDefault="00E114BB">
            <w:pPr>
              <w:spacing w:line="240" w:lineRule="auto"/>
              <w:jc w:val="center"/>
              <w:rPr>
                <w:rFonts w:ascii="Times New Roman" w:eastAsia="Times New Roman" w:hAnsi="Times New Roman" w:cs="Times New Roman"/>
              </w:rPr>
            </w:pPr>
          </w:p>
        </w:tc>
        <w:tc>
          <w:tcPr>
            <w:tcW w:w="5880" w:type="dxa"/>
          </w:tcPr>
          <w:p w14:paraId="6ADE5A0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Dispoziția pct. 10 se recomandă a fi exclusă. Complementar, art. VI al proiectului de lege examinat se va completa cu dispoziția, potrivit căreia, art. III pct. 9, care vizează completarea Legii securității și sănătății în muncă nr. 186/2008, cu art. 23/2 , va intra în vigoare la data aderării Republicii Moldova la Uniunea Europeană. </w:t>
            </w:r>
          </w:p>
        </w:tc>
        <w:tc>
          <w:tcPr>
            <w:tcW w:w="5880" w:type="dxa"/>
          </w:tcPr>
          <w:p w14:paraId="6F30874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33C356D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Propunerea se referă la punctul 11 din redacția finală a proiectului.</w:t>
            </w:r>
          </w:p>
          <w:p w14:paraId="67E71CB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Pct</w:t>
            </w:r>
            <w:proofErr w:type="spellEnd"/>
            <w:r>
              <w:rPr>
                <w:rFonts w:ascii="Times New Roman" w:eastAsia="Times New Roman" w:hAnsi="Times New Roman" w:cs="Times New Roman"/>
                <w:highlight w:val="white"/>
              </w:rPr>
              <w:t xml:space="preserve"> 11 va fi exclus. Iar reglementarea privind intrarea în vigoare a art. 23/2 va fi expusă la Art. VI. – Dispoziții finale și tranzitorii.</w:t>
            </w:r>
          </w:p>
        </w:tc>
      </w:tr>
      <w:tr w:rsidR="00E114BB" w14:paraId="706E0EF0" w14:textId="77777777">
        <w:trPr>
          <w:trHeight w:val="600"/>
        </w:trPr>
        <w:tc>
          <w:tcPr>
            <w:tcW w:w="555" w:type="dxa"/>
            <w:vMerge/>
          </w:tcPr>
          <w:p w14:paraId="6BE30EAA" w14:textId="77777777" w:rsidR="00E114BB" w:rsidRDefault="00E114BB">
            <w:pPr>
              <w:spacing w:line="240" w:lineRule="auto"/>
              <w:rPr>
                <w:rFonts w:ascii="Times New Roman" w:eastAsia="Times New Roman" w:hAnsi="Times New Roman" w:cs="Times New Roman"/>
                <w:b/>
                <w:bCs/>
              </w:rPr>
            </w:pPr>
          </w:p>
        </w:tc>
        <w:tc>
          <w:tcPr>
            <w:tcW w:w="2700" w:type="dxa"/>
            <w:vMerge/>
          </w:tcPr>
          <w:p w14:paraId="00B690A3" w14:textId="77777777" w:rsidR="00E114BB" w:rsidRDefault="00E114BB">
            <w:pPr>
              <w:spacing w:line="240" w:lineRule="auto"/>
              <w:jc w:val="center"/>
              <w:rPr>
                <w:rFonts w:ascii="Times New Roman" w:eastAsia="Times New Roman" w:hAnsi="Times New Roman" w:cs="Times New Roman"/>
              </w:rPr>
            </w:pPr>
          </w:p>
        </w:tc>
        <w:tc>
          <w:tcPr>
            <w:tcW w:w="5880" w:type="dxa"/>
          </w:tcPr>
          <w:p w14:paraId="76D780D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IV – modificarea Codului contravențional nr. 218/2008:</w:t>
            </w:r>
          </w:p>
          <w:p w14:paraId="4477EC0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În pct. 2, cuvintele „Codului muncii” se vor completa cu textul „nr. 154/2003”.</w:t>
            </w:r>
          </w:p>
        </w:tc>
        <w:tc>
          <w:tcPr>
            <w:tcW w:w="5880" w:type="dxa"/>
          </w:tcPr>
          <w:p w14:paraId="47A718C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E114BB" w14:paraId="7C428DD4" w14:textId="77777777">
        <w:trPr>
          <w:trHeight w:val="600"/>
        </w:trPr>
        <w:tc>
          <w:tcPr>
            <w:tcW w:w="555" w:type="dxa"/>
            <w:vMerge/>
          </w:tcPr>
          <w:p w14:paraId="493FF111" w14:textId="77777777" w:rsidR="00E114BB" w:rsidRDefault="00E114BB">
            <w:pPr>
              <w:spacing w:line="240" w:lineRule="auto"/>
              <w:rPr>
                <w:rFonts w:ascii="Times New Roman" w:eastAsia="Times New Roman" w:hAnsi="Times New Roman" w:cs="Times New Roman"/>
                <w:b/>
                <w:bCs/>
              </w:rPr>
            </w:pPr>
          </w:p>
        </w:tc>
        <w:tc>
          <w:tcPr>
            <w:tcW w:w="2700" w:type="dxa"/>
            <w:vMerge/>
          </w:tcPr>
          <w:p w14:paraId="350FF7F6" w14:textId="77777777" w:rsidR="00E114BB" w:rsidRDefault="00E114BB">
            <w:pPr>
              <w:spacing w:line="240" w:lineRule="auto"/>
              <w:jc w:val="center"/>
              <w:rPr>
                <w:rFonts w:ascii="Times New Roman" w:eastAsia="Times New Roman" w:hAnsi="Times New Roman" w:cs="Times New Roman"/>
              </w:rPr>
            </w:pPr>
          </w:p>
        </w:tc>
        <w:tc>
          <w:tcPr>
            <w:tcW w:w="5880" w:type="dxa"/>
          </w:tcPr>
          <w:p w14:paraId="40A8699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Aferent redacției pct. 3, care prevede completarea Codului contravențional cu art. 55/6, reiterăm observațiile din avizul precedent al Ministerului Justiției nr. 04/2-2632 din 12 martie 2026, prin care se recomandă excluderea dispoziției alin. (1) lit. b) și alin. (2) din redacția art. 55/6 . Or, Codul contravențional deja conține mai multe norme sancționatorii pentru încălcarea drepturilor salariaților și a condițiilor de muncă: art. 54/2 , art. 55, art. 55/3 . Normele menționate asigură sancționarea pentru încălcarea drepturilor tuturor categoriilor de angajați, inclusiv celor detașați în Republica Moldova, de către întreprinderile stabilite pe teritoriul unui stat membru. Respectiv, nu este necesară instituirea unei norme speciale în raport cu persoanele detașate în Republica Moldova, de către întreprinderile stabilite pe teritoriul unui stat membru. Mai mult, o asemenea abordare ar fi contrară principiului egalității în fața legii.</w:t>
            </w:r>
          </w:p>
        </w:tc>
        <w:tc>
          <w:tcPr>
            <w:tcW w:w="5880" w:type="dxa"/>
          </w:tcPr>
          <w:p w14:paraId="17E79BC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w:t>
            </w:r>
          </w:p>
          <w:p w14:paraId="2B50C81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propuse la art. 55/6 alin. (1) lit. b) și alin. (2) reglementează încălcări specifice domeniului detașării transnaționale a lucrătorilor și au un obiect juridic distinct față de contravențiile generale deja prevăzute de Codul contravențional. Normele invocate în observație, art. 54/2, art. 55 și art. 55/3, sancționează încălcări generale ale legislației muncii și ale drepturilor salariaților, însă nu acoperă în mod suficient obligațiile speciale care revin subiecților implicați în cadrul detașării transnaționale.</w:t>
            </w:r>
          </w:p>
          <w:p w14:paraId="5517D75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art. 55/6 alin. (1) lit. b) și alin. (2) vizează obligații specifice privind informarea, respectarea condițiilor de muncă și de încadrare în muncă aplicabile lucrătorilor detașați, precum și alte cerințe speciale instituite de legea specială în materia detașării transnaționale. Normele respective nu dublează regimul sancționator general, ci au caracter special și complementar, </w:t>
            </w:r>
            <w:r>
              <w:rPr>
                <w:rFonts w:ascii="Times New Roman" w:eastAsia="Times New Roman" w:hAnsi="Times New Roman" w:cs="Times New Roman"/>
                <w:highlight w:val="white"/>
              </w:rPr>
              <w:lastRenderedPageBreak/>
              <w:t>fiind necesare pentru asigurarea unui mecanism efectiv de control și sancționare a încălcărilor specifice acestui domeniu.</w:t>
            </w:r>
          </w:p>
          <w:p w14:paraId="0EAC1F8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Instituirea unor norme contravenționale speciale pentru raporturi juridice speciale nu contravine principiului egalității în fața legii, atât timp cât diferența de reglementare este justificată obiectiv de particularitățile domeniului reglementat.</w:t>
            </w:r>
          </w:p>
        </w:tc>
      </w:tr>
      <w:tr w:rsidR="00E114BB" w14:paraId="312FD390" w14:textId="77777777">
        <w:trPr>
          <w:trHeight w:val="600"/>
        </w:trPr>
        <w:tc>
          <w:tcPr>
            <w:tcW w:w="555" w:type="dxa"/>
            <w:vMerge/>
          </w:tcPr>
          <w:p w14:paraId="2047EDA9" w14:textId="77777777" w:rsidR="00E114BB" w:rsidRDefault="00E114BB">
            <w:pPr>
              <w:spacing w:line="240" w:lineRule="auto"/>
              <w:rPr>
                <w:rFonts w:ascii="Times New Roman" w:eastAsia="Times New Roman" w:hAnsi="Times New Roman" w:cs="Times New Roman"/>
                <w:b/>
                <w:bCs/>
              </w:rPr>
            </w:pPr>
          </w:p>
        </w:tc>
        <w:tc>
          <w:tcPr>
            <w:tcW w:w="2700" w:type="dxa"/>
            <w:vMerge/>
          </w:tcPr>
          <w:p w14:paraId="027538C0" w14:textId="77777777" w:rsidR="00E114BB" w:rsidRDefault="00E114BB">
            <w:pPr>
              <w:spacing w:line="240" w:lineRule="auto"/>
              <w:jc w:val="center"/>
              <w:rPr>
                <w:rFonts w:ascii="Times New Roman" w:eastAsia="Times New Roman" w:hAnsi="Times New Roman" w:cs="Times New Roman"/>
              </w:rPr>
            </w:pPr>
          </w:p>
        </w:tc>
        <w:tc>
          <w:tcPr>
            <w:tcW w:w="5880" w:type="dxa"/>
          </w:tcPr>
          <w:p w14:paraId="660ED4B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altă ordine de idei, la definitivarea proiectului se va asigura suplimentar evitarea stabilirii unor sancționări duble, având în vedere că încălcarea legislației privind activitatea de agent de muncă temporară este sancționată în conformitate cu art. 555 al Codului contravențional</w:t>
            </w:r>
          </w:p>
        </w:tc>
        <w:tc>
          <w:tcPr>
            <w:tcW w:w="5880" w:type="dxa"/>
          </w:tcPr>
          <w:p w14:paraId="620489A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63222D4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discutat este Articolul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w:t>
            </w:r>
          </w:p>
        </w:tc>
      </w:tr>
      <w:tr w:rsidR="00E114BB" w14:paraId="639614D9" w14:textId="77777777">
        <w:trPr>
          <w:trHeight w:val="600"/>
        </w:trPr>
        <w:tc>
          <w:tcPr>
            <w:tcW w:w="555" w:type="dxa"/>
            <w:vMerge/>
          </w:tcPr>
          <w:p w14:paraId="12D3FBD4" w14:textId="77777777" w:rsidR="00E114BB" w:rsidRDefault="00E114BB">
            <w:pPr>
              <w:spacing w:line="240" w:lineRule="auto"/>
              <w:rPr>
                <w:rFonts w:ascii="Times New Roman" w:eastAsia="Times New Roman" w:hAnsi="Times New Roman" w:cs="Times New Roman"/>
                <w:b/>
                <w:bCs/>
              </w:rPr>
            </w:pPr>
          </w:p>
        </w:tc>
        <w:tc>
          <w:tcPr>
            <w:tcW w:w="2700" w:type="dxa"/>
            <w:vMerge/>
          </w:tcPr>
          <w:p w14:paraId="6970B68D" w14:textId="77777777" w:rsidR="00E114BB" w:rsidRDefault="00E114BB">
            <w:pPr>
              <w:spacing w:line="240" w:lineRule="auto"/>
              <w:jc w:val="center"/>
              <w:rPr>
                <w:rFonts w:ascii="Times New Roman" w:eastAsia="Times New Roman" w:hAnsi="Times New Roman" w:cs="Times New Roman"/>
              </w:rPr>
            </w:pPr>
          </w:p>
        </w:tc>
        <w:tc>
          <w:tcPr>
            <w:tcW w:w="5880" w:type="dxa"/>
          </w:tcPr>
          <w:p w14:paraId="24182474"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redacției art. 55/6, pentru încălcarea legislației muncii, în domeniul detașării transnaționale a salariaților se stabilesc amenzi de la 1000 </w:t>
            </w:r>
            <w:proofErr w:type="spellStart"/>
            <w:r>
              <w:rPr>
                <w:rFonts w:ascii="Times New Roman" w:eastAsia="Times New Roman" w:hAnsi="Times New Roman" w:cs="Times New Roman"/>
                <w:highlight w:val="white"/>
              </w:rPr>
              <w:t>u.c</w:t>
            </w:r>
            <w:proofErr w:type="spellEnd"/>
            <w:r>
              <w:rPr>
                <w:rFonts w:ascii="Times New Roman" w:eastAsia="Times New Roman" w:hAnsi="Times New Roman" w:cs="Times New Roman"/>
                <w:highlight w:val="white"/>
              </w:rPr>
              <w:t xml:space="preserve">. la 1500 </w:t>
            </w:r>
            <w:proofErr w:type="spellStart"/>
            <w:r>
              <w:rPr>
                <w:rFonts w:ascii="Times New Roman" w:eastAsia="Times New Roman" w:hAnsi="Times New Roman" w:cs="Times New Roman"/>
                <w:highlight w:val="white"/>
              </w:rPr>
              <w:t>u.c</w:t>
            </w:r>
            <w:proofErr w:type="spellEnd"/>
            <w:r>
              <w:rPr>
                <w:rFonts w:ascii="Times New Roman" w:eastAsia="Times New Roman" w:hAnsi="Times New Roman" w:cs="Times New Roman"/>
                <w:highlight w:val="white"/>
              </w:rPr>
              <w:t xml:space="preserve">., atât pentru persoana fizică, cât și pentru persoana juridică. Aspectul dat, urmează a fi revizuit, prin prisma sancțiunilor stabilite pentru alte încălcări din domeniul muncii și anume, a celor stabilite în art. 54/2 – 56/1 din Codul contravențional, unde se prevăd sancțiuni, în medie, de la 100 </w:t>
            </w:r>
            <w:proofErr w:type="spellStart"/>
            <w:r>
              <w:rPr>
                <w:rFonts w:ascii="Times New Roman" w:eastAsia="Times New Roman" w:hAnsi="Times New Roman" w:cs="Times New Roman"/>
                <w:highlight w:val="white"/>
              </w:rPr>
              <w:t>u.c</w:t>
            </w:r>
            <w:proofErr w:type="spellEnd"/>
            <w:r>
              <w:rPr>
                <w:rFonts w:ascii="Times New Roman" w:eastAsia="Times New Roman" w:hAnsi="Times New Roman" w:cs="Times New Roman"/>
                <w:highlight w:val="white"/>
              </w:rPr>
              <w:t xml:space="preserve">. la 400 </w:t>
            </w:r>
            <w:proofErr w:type="spellStart"/>
            <w:r>
              <w:rPr>
                <w:rFonts w:ascii="Times New Roman" w:eastAsia="Times New Roman" w:hAnsi="Times New Roman" w:cs="Times New Roman"/>
                <w:highlight w:val="white"/>
              </w:rPr>
              <w:t>u.c</w:t>
            </w:r>
            <w:proofErr w:type="spellEnd"/>
            <w:r>
              <w:rPr>
                <w:rFonts w:ascii="Times New Roman" w:eastAsia="Times New Roman" w:hAnsi="Times New Roman" w:cs="Times New Roman"/>
                <w:highlight w:val="white"/>
              </w:rPr>
              <w:t xml:space="preserve">., aplicate persoanei cu funcție de răspundere, și de la 150 la 500 </w:t>
            </w:r>
            <w:proofErr w:type="spellStart"/>
            <w:r>
              <w:rPr>
                <w:rFonts w:ascii="Times New Roman" w:eastAsia="Times New Roman" w:hAnsi="Times New Roman" w:cs="Times New Roman"/>
                <w:highlight w:val="white"/>
              </w:rPr>
              <w:t>u.c</w:t>
            </w:r>
            <w:proofErr w:type="spellEnd"/>
            <w:r>
              <w:rPr>
                <w:rFonts w:ascii="Times New Roman" w:eastAsia="Times New Roman" w:hAnsi="Times New Roman" w:cs="Times New Roman"/>
                <w:highlight w:val="white"/>
              </w:rPr>
              <w:t>., aplicate persoanei juridice. Astfel, se constată o diferență substanțială a limitelor sancțiunilor stabilite în art. 55/6 și limitele stabilite în art. 54/2 – 56/1 al Codului 7 contravențional. În context, se propune revizuirea sancțiunilor stabilite în art. 55/6 , în scopul stabilirii acestora în limitele aproximative stabilite și în celelalte articole care stabilesc sancțiuni pentru încălcarea legislației muncii. În caz contrar, nota de fundamentare va conține argumente temeinice care să justifice decalajul acestor sancțiuni aplicate.</w:t>
            </w:r>
          </w:p>
        </w:tc>
        <w:tc>
          <w:tcPr>
            <w:tcW w:w="5880" w:type="dxa"/>
          </w:tcPr>
          <w:p w14:paraId="4D3B38D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w:t>
            </w:r>
          </w:p>
          <w:p w14:paraId="73FFE9D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Observația nu poate fi reținută. Sancțiunile prevăzute la art. 55/6 vizează încălcări specifice domeniului detașării transnaționale a lucrătorilor, care are un regim juridic distinct și implică obligații speciale de informare, cooperare administrativă, respectare a condițiilor de muncă aplicabile și prevenire a eludării cadrului legal. Prin urmare, cuantumul sancțiunilor nu poate fi apreciat exclusiv prin raportare mecanică la decalajele contravenționale prevăzute pentru alte încălcări generale ale legislației muncii.</w:t>
            </w:r>
          </w:p>
          <w:p w14:paraId="3BB9D7B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Stabilirea unor sancțiuni mai ridicate urmărește asigurarea unui regim sancționator efectiv, proporțional și cu caracter disuasiv, adecvat particularităților detașării transnaționale și riscurilor specifice pe care acest domeniu le comportă, inclusiv sub aspectul protecției lucrătorilor detașați și al prevenirii concurenței neloiale. În aceste condiții, cuantumul propus al sancțiunilor se menține.</w:t>
            </w:r>
          </w:p>
        </w:tc>
      </w:tr>
      <w:tr w:rsidR="00E114BB" w14:paraId="6821AC19" w14:textId="77777777">
        <w:trPr>
          <w:trHeight w:val="5421"/>
        </w:trPr>
        <w:tc>
          <w:tcPr>
            <w:tcW w:w="555" w:type="dxa"/>
          </w:tcPr>
          <w:p w14:paraId="0FAAA299" w14:textId="77777777" w:rsidR="00E114BB" w:rsidRDefault="00E114BB">
            <w:pPr>
              <w:spacing w:line="240" w:lineRule="auto"/>
              <w:rPr>
                <w:rFonts w:ascii="Times New Roman" w:eastAsia="Times New Roman" w:hAnsi="Times New Roman" w:cs="Times New Roman"/>
                <w:b/>
                <w:bCs/>
              </w:rPr>
            </w:pPr>
          </w:p>
        </w:tc>
        <w:tc>
          <w:tcPr>
            <w:tcW w:w="2700" w:type="dxa"/>
          </w:tcPr>
          <w:p w14:paraId="202C924A" w14:textId="77777777" w:rsidR="00E114BB" w:rsidRDefault="00E114BB">
            <w:pPr>
              <w:spacing w:line="240" w:lineRule="auto"/>
              <w:jc w:val="center"/>
              <w:rPr>
                <w:rFonts w:ascii="Times New Roman" w:eastAsia="Times New Roman" w:hAnsi="Times New Roman" w:cs="Times New Roman"/>
              </w:rPr>
            </w:pPr>
          </w:p>
        </w:tc>
        <w:tc>
          <w:tcPr>
            <w:tcW w:w="5880" w:type="dxa"/>
          </w:tcPr>
          <w:p w14:paraId="68F4D807"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Suplimentar, se va reține că orice stabilire a limitelor sancțiunilor aplicabile pentru comiterea unor contravenții, urmează a fi analizată și argumentată prin prisma mai multor criterii: gradul de pericol social al faptei, prejudiciul cauzat, proporționalitatea sancțiunii, eficiența aplicării sancțiunilor, date statistice privind dinamica și frecvența faptei etc. Astfel, proiectul necesită a fi revizuit suplimentar, pentru asigurarea corespunderii faptei și a sancțiunii stabilite cu criteriile sus-citate. Mai mult, toate aspectele menționate urmează a fi elucidate și argumentate în cadrul notei de fundamentare la proiectul de act normativ. </w:t>
            </w:r>
          </w:p>
        </w:tc>
        <w:tc>
          <w:tcPr>
            <w:tcW w:w="5880" w:type="dxa"/>
          </w:tcPr>
          <w:p w14:paraId="141078C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 parțial.</w:t>
            </w:r>
            <w:r>
              <w:rPr>
                <w:rFonts w:ascii="Times New Roman" w:eastAsia="Times New Roman" w:hAnsi="Times New Roman" w:cs="Times New Roman"/>
                <w:highlight w:val="white"/>
              </w:rPr>
              <w:t xml:space="preserve"> </w:t>
            </w:r>
          </w:p>
          <w:p w14:paraId="56F579C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Observația nu poate fi reținută în totalitate, întrucât opțiunea privind stabilirea limitelor sancțiunilor a fost deja analizată în procesul de elaborare a proiectului, inclusiv prin prisma gravității faptelor, a specificului încălcărilor din domeniul detașării transnaționale a lucrătorilor, a necesității asigurării unui efect disuasiv și a corelării cu partea generală a Codului contravențional. Argumentele relevante sunt reflectate în nota de fundamentare a proiectului.</w:t>
            </w:r>
          </w:p>
          <w:p w14:paraId="224C9B5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procesul de reexaminare a textului art. 55/6 s-a constatat că sancțiunile prevăzute la alin. (1) și alin. (2) se încadrează în limitele generale admise de Codul contravențional, doar sancțiunea prevăzută la alin. (3) urmează a fi ajustată în vederea corelării cu art. 34 din Codul contravențional. În aceste condiții, nu se impune o revizuire suplimentară de principiu a regimului sancționator propus.</w:t>
            </w:r>
          </w:p>
          <w:p w14:paraId="6FEFEAE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55/6 alin. (3) va fi expus în următoarea redacție:</w:t>
            </w:r>
          </w:p>
          <w:p w14:paraId="6212EC9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Încălcarea cerințelor administrative și a măsurilor de control în domeniul detașării transnaționale a lucrătorilor, manifestată prin:</w:t>
            </w:r>
          </w:p>
          <w:p w14:paraId="0B0B4CE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neprezentarea sau prezentarea tardivă a declarației prevăzute la art. 40 alin. (2) lit. a) din Legea privind detașarea lucrătorilor în cadrul prestării de servicii;</w:t>
            </w:r>
          </w:p>
          <w:p w14:paraId="4B90F60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neasigurarea păstrării și/sau neprezentarea documentelor prevăzute la art. 40 alin. (2) lit. b)–d) din Legea privind detașarea lucrătorilor în cadrul prestării de servicii;</w:t>
            </w:r>
          </w:p>
          <w:p w14:paraId="133C584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 </w:t>
            </w:r>
            <w:proofErr w:type="spellStart"/>
            <w:r>
              <w:rPr>
                <w:rFonts w:ascii="Times New Roman" w:eastAsia="Times New Roman" w:hAnsi="Times New Roman" w:cs="Times New Roman"/>
                <w:highlight w:val="white"/>
              </w:rPr>
              <w:t>nedesemnarea</w:t>
            </w:r>
            <w:proofErr w:type="spellEnd"/>
            <w:r>
              <w:rPr>
                <w:rFonts w:ascii="Times New Roman" w:eastAsia="Times New Roman" w:hAnsi="Times New Roman" w:cs="Times New Roman"/>
                <w:highlight w:val="white"/>
              </w:rPr>
              <w:t xml:space="preserve"> persoanei de legătură prevăzute la art. 40 alin. (2) lit. e) din Legea privind detașarea lucrătorilor în cadrul </w:t>
            </w:r>
            <w:r>
              <w:rPr>
                <w:rFonts w:ascii="Times New Roman" w:eastAsia="Times New Roman" w:hAnsi="Times New Roman" w:cs="Times New Roman"/>
                <w:highlight w:val="white"/>
              </w:rPr>
              <w:lastRenderedPageBreak/>
              <w:t>prestării de servicii și/sau a persoanei de contact prevăzute la art. 40 alin. (2) lit. f) din Legea privind detașarea lucrătorilor în cadrul prestării de servicii;</w:t>
            </w:r>
          </w:p>
          <w:p w14:paraId="0D13191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 neexecutarea obligației de a furniza documentele după încetarea detașării, în termenul stabilit la art. 40 alin. (2) lit. c) din Legea privind detașarea lucrătorilor în cadrul prestării de servicii,</w:t>
            </w:r>
          </w:p>
          <w:p w14:paraId="30B6993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sancționează cu amendă de la 1000 la 1500 unități convenționale aplicată persoanei cu funcție de răspundere și cu amendă de la 1000 la 1500 unități convenționale aplicată persoanei juridice.</w:t>
            </w:r>
          </w:p>
        </w:tc>
      </w:tr>
      <w:tr w:rsidR="00E114BB" w14:paraId="0DB1D6FE" w14:textId="77777777">
        <w:trPr>
          <w:trHeight w:val="600"/>
        </w:trPr>
        <w:tc>
          <w:tcPr>
            <w:tcW w:w="555" w:type="dxa"/>
          </w:tcPr>
          <w:p w14:paraId="6ED42D58" w14:textId="77777777" w:rsidR="00E114BB" w:rsidRDefault="00E114BB">
            <w:pPr>
              <w:spacing w:line="240" w:lineRule="auto"/>
              <w:rPr>
                <w:rFonts w:ascii="Times New Roman" w:eastAsia="Times New Roman" w:hAnsi="Times New Roman" w:cs="Times New Roman"/>
                <w:b/>
                <w:bCs/>
              </w:rPr>
            </w:pPr>
          </w:p>
        </w:tc>
        <w:tc>
          <w:tcPr>
            <w:tcW w:w="2700" w:type="dxa"/>
          </w:tcPr>
          <w:p w14:paraId="5CDC893F" w14:textId="77777777" w:rsidR="00E114BB" w:rsidRDefault="00E114BB">
            <w:pPr>
              <w:spacing w:line="240" w:lineRule="auto"/>
              <w:jc w:val="center"/>
              <w:rPr>
                <w:rFonts w:ascii="Times New Roman" w:eastAsia="Times New Roman" w:hAnsi="Times New Roman" w:cs="Times New Roman"/>
              </w:rPr>
            </w:pPr>
          </w:p>
        </w:tc>
        <w:tc>
          <w:tcPr>
            <w:tcW w:w="5880" w:type="dxa"/>
          </w:tcPr>
          <w:p w14:paraId="138A0E8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subsidiar, se va face distincție între sancțiunile stabilite pentru persoana cu funcție de răspundere și sancțiunile stabilite pentru persoana juridică. Or, potrivit Codului contravențional, sancțiunea stabilită pentru persoana juridică este, de regulă, mai mare decât cea stabilită pentru persoana cu funcție de răspundere. </w:t>
            </w:r>
          </w:p>
        </w:tc>
        <w:tc>
          <w:tcPr>
            <w:tcW w:w="5880" w:type="dxa"/>
          </w:tcPr>
          <w:p w14:paraId="325C265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w:t>
            </w:r>
          </w:p>
          <w:p w14:paraId="143699A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Norma propusă reglementează deja sancțiuni pentru categoriile de subiecți prevăzute de Codul contravențional, inclusiv pentru persoana fizică și persoana juridică, astfel încât distincția invocată în observație este deja reflectată în textul proiectului.</w:t>
            </w:r>
          </w:p>
        </w:tc>
      </w:tr>
      <w:tr w:rsidR="00E114BB" w14:paraId="457E5860" w14:textId="77777777">
        <w:trPr>
          <w:trHeight w:val="600"/>
        </w:trPr>
        <w:tc>
          <w:tcPr>
            <w:tcW w:w="555" w:type="dxa"/>
          </w:tcPr>
          <w:p w14:paraId="7A9185A4" w14:textId="77777777" w:rsidR="00E114BB" w:rsidRDefault="00E114BB">
            <w:pPr>
              <w:spacing w:line="240" w:lineRule="auto"/>
              <w:rPr>
                <w:rFonts w:ascii="Times New Roman" w:eastAsia="Times New Roman" w:hAnsi="Times New Roman" w:cs="Times New Roman"/>
                <w:b/>
                <w:bCs/>
              </w:rPr>
            </w:pPr>
          </w:p>
        </w:tc>
        <w:tc>
          <w:tcPr>
            <w:tcW w:w="2700" w:type="dxa"/>
          </w:tcPr>
          <w:p w14:paraId="3BC0EDB3" w14:textId="77777777" w:rsidR="00E114BB" w:rsidRDefault="00E114BB">
            <w:pPr>
              <w:spacing w:line="240" w:lineRule="auto"/>
              <w:jc w:val="center"/>
              <w:rPr>
                <w:rFonts w:ascii="Times New Roman" w:eastAsia="Times New Roman" w:hAnsi="Times New Roman" w:cs="Times New Roman"/>
              </w:rPr>
            </w:pPr>
          </w:p>
        </w:tc>
        <w:tc>
          <w:tcPr>
            <w:tcW w:w="5880" w:type="dxa"/>
          </w:tcPr>
          <w:p w14:paraId="736BAF16"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Mai mult, la definitivarea proiectului, se va analiza suplimentar dacă toate încălcările prevăzute în redacția art. 55/6 al Codului contravențional urmează a atrage sancțiuni contravenționale. Or, spre exemplu, Directiva 2014/67/UE, care constituie obiect al transpunerii, operează cu termenul „executarea sancțiunilor administrative financiare și/sau a amenzilor administrative”. În acest sens, menționăm că nu orice </w:t>
            </w:r>
            <w:r>
              <w:rPr>
                <w:rFonts w:ascii="Times New Roman" w:eastAsia="Times New Roman" w:hAnsi="Times New Roman" w:cs="Times New Roman"/>
                <w:highlight w:val="white"/>
              </w:rPr>
              <w:lastRenderedPageBreak/>
              <w:t>faptă de încălcare a prevederilor privind detașarea lucrătorilor în cadrul prestării de servicii poate fi calificată ca faptă contravențională. Or, pentru realizarea unor fapte contrare legii poate interveni și sancțiunea administrativă.</w:t>
            </w:r>
          </w:p>
        </w:tc>
        <w:tc>
          <w:tcPr>
            <w:tcW w:w="5880" w:type="dxa"/>
          </w:tcPr>
          <w:p w14:paraId="0528CEA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Nu se acceptă.</w:t>
            </w:r>
            <w:r>
              <w:rPr>
                <w:rFonts w:ascii="Times New Roman" w:eastAsia="Times New Roman" w:hAnsi="Times New Roman" w:cs="Times New Roman"/>
                <w:highlight w:val="white"/>
              </w:rPr>
              <w:t xml:space="preserve"> </w:t>
            </w:r>
          </w:p>
          <w:p w14:paraId="098C0F9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Observația nu poate fi reținută. Faptul că Directiva 2014/67/UE operează cu noțiunea de „sancțiuni administrative financiare și/sau amenzi administrative” nu exclude posibilitatea ca, în dreptul intern, anumite încălcări ale regimului detașării transnaționale să fie calificate drept contravenții și sancționate în </w:t>
            </w:r>
            <w:r>
              <w:rPr>
                <w:rFonts w:ascii="Times New Roman" w:eastAsia="Times New Roman" w:hAnsi="Times New Roman" w:cs="Times New Roman"/>
                <w:highlight w:val="white"/>
              </w:rPr>
              <w:lastRenderedPageBreak/>
              <w:t>cadrul regimului contravențional. În ordinea juridică națională, răspunderea contravențională constituie o formă de răspundere administrativă sancționatorie, aptă să asigure un mecanism efectiv, proporțional și disuasiv pentru reprimarea încălcărilor specifice domeniului reglementat.</w:t>
            </w:r>
          </w:p>
          <w:p w14:paraId="5D3E0B0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Faptele prevăzute la art. 55/6 vizează încălcări determinate ale obligațiilor speciale instituite în materia detașării transnaționale a lucrătorilor , pentru care legiuitorul a optat, în mod justificat, pentru instituirea unui regim contravențional distinct. Prin urmare, simpla utilizare, la nivelul directivei, a noțiunii generale de sancțiuni administrative nu impune, în sine, excluderea răspunderii contravenționale din reglementarea națională.</w:t>
            </w:r>
          </w:p>
          <w:p w14:paraId="303A3E8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configurarea concretă a faptelor și a sancțiunilor, aceasta va fi menținută în logica mecanismului contravențional propus, cu respectarea cerințelor de claritate, proporționalitate și corelare cu cadrul general al Codului contravențional.</w:t>
            </w:r>
          </w:p>
        </w:tc>
      </w:tr>
      <w:tr w:rsidR="00E114BB" w14:paraId="76ECF85A" w14:textId="77777777">
        <w:trPr>
          <w:trHeight w:val="600"/>
        </w:trPr>
        <w:tc>
          <w:tcPr>
            <w:tcW w:w="555" w:type="dxa"/>
          </w:tcPr>
          <w:p w14:paraId="1B113AB6" w14:textId="77777777" w:rsidR="00E114BB" w:rsidRDefault="00E114BB">
            <w:pPr>
              <w:spacing w:line="240" w:lineRule="auto"/>
              <w:rPr>
                <w:rFonts w:ascii="Times New Roman" w:eastAsia="Times New Roman" w:hAnsi="Times New Roman" w:cs="Times New Roman"/>
                <w:b/>
                <w:bCs/>
              </w:rPr>
            </w:pPr>
          </w:p>
        </w:tc>
        <w:tc>
          <w:tcPr>
            <w:tcW w:w="2700" w:type="dxa"/>
          </w:tcPr>
          <w:p w14:paraId="7F0617CD" w14:textId="77777777" w:rsidR="00E114BB" w:rsidRDefault="00E114BB">
            <w:pPr>
              <w:spacing w:line="240" w:lineRule="auto"/>
              <w:jc w:val="center"/>
              <w:rPr>
                <w:rFonts w:ascii="Times New Roman" w:eastAsia="Times New Roman" w:hAnsi="Times New Roman" w:cs="Times New Roman"/>
              </w:rPr>
            </w:pPr>
          </w:p>
        </w:tc>
        <w:tc>
          <w:tcPr>
            <w:tcW w:w="5880" w:type="dxa"/>
          </w:tcPr>
          <w:p w14:paraId="27CC22D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Aferent regulilor de tehnică legislativă, numerotarea dispozițiilor art. 55/6 alin. (2) necesită a fi conformată dispoziției art. 51 alin. (6) al Legii nr. 100/2017, potrivit căreia, alineatele sunt însemnate succesiv cu numere ordinare, exprimate prin cifre arabe, luate între paranteze rotunde. Alineatul poate fi divizat în litere, care sunt însemnate succesiv cu litere latine mici, urmate de o paranteză. În cazul unei structuri complexe a actului normativ, alineatul poate fi divizat mai întâi în puncte însemnate cu numere ordinare, exprimate prin cifre arabe, urmate de o paranteză. La rândul lor, punctele pot fi divizate în litere, însemnate succesiv cu litere latine mici, urmate de o paranteză.</w:t>
            </w:r>
          </w:p>
        </w:tc>
        <w:tc>
          <w:tcPr>
            <w:tcW w:w="5880" w:type="dxa"/>
          </w:tcPr>
          <w:p w14:paraId="5D604B7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23C267D"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55/6 alin. (2) va fi redat în următoarea redacție:</w:t>
            </w:r>
          </w:p>
          <w:p w14:paraId="689D78D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Încălcarea legislației muncii, în domeniul detașării transnaționale a </w:t>
            </w:r>
            <w:proofErr w:type="spellStart"/>
            <w:r>
              <w:rPr>
                <w:rFonts w:ascii="Times New Roman" w:eastAsia="Times New Roman" w:hAnsi="Times New Roman" w:cs="Times New Roman"/>
                <w:highlight w:val="white"/>
              </w:rPr>
              <w:t>lucrărorilor</w:t>
            </w:r>
            <w:proofErr w:type="spellEnd"/>
            <w:r>
              <w:rPr>
                <w:rFonts w:ascii="Times New Roman" w:eastAsia="Times New Roman" w:hAnsi="Times New Roman" w:cs="Times New Roman"/>
                <w:highlight w:val="white"/>
              </w:rPr>
              <w:t xml:space="preserve"> , manifestată prin:</w:t>
            </w:r>
          </w:p>
          <w:p w14:paraId="7C313AA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încălcarea, de către întreprinderile stabilite pe teritoriul Republicii Moldova care, în cadrul prestării de servicii </w:t>
            </w:r>
            <w:proofErr w:type="spellStart"/>
            <w:r>
              <w:rPr>
                <w:rFonts w:ascii="Times New Roman" w:eastAsia="Times New Roman" w:hAnsi="Times New Roman" w:cs="Times New Roman"/>
                <w:highlight w:val="white"/>
              </w:rPr>
              <w:t>transnaţionale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detaşează</w:t>
            </w:r>
            <w:proofErr w:type="spellEnd"/>
            <w:r>
              <w:rPr>
                <w:rFonts w:ascii="Times New Roman" w:eastAsia="Times New Roman" w:hAnsi="Times New Roman" w:cs="Times New Roman"/>
                <w:highlight w:val="white"/>
              </w:rPr>
              <w:t xml:space="preserve">, pe teritoriul unui stat membru, altul decât Republica Moldova, sau pe teritoriul </w:t>
            </w:r>
            <w:proofErr w:type="spellStart"/>
            <w:r>
              <w:rPr>
                <w:rFonts w:ascii="Times New Roman" w:eastAsia="Times New Roman" w:hAnsi="Times New Roman" w:cs="Times New Roman"/>
                <w:highlight w:val="white"/>
              </w:rPr>
              <w:t>Confederaţiei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Elveţiene</w:t>
            </w:r>
            <w:proofErr w:type="spellEnd"/>
            <w:r>
              <w:rPr>
                <w:rFonts w:ascii="Times New Roman" w:eastAsia="Times New Roman" w:hAnsi="Times New Roman" w:cs="Times New Roman"/>
                <w:highlight w:val="white"/>
              </w:rPr>
              <w:t xml:space="preserve">, salariaţi cu care au stabilite raporturi de muncă, a obligației de a informa, în scris, lucrătorul  </w:t>
            </w:r>
            <w:proofErr w:type="spellStart"/>
            <w:r>
              <w:rPr>
                <w:rFonts w:ascii="Times New Roman" w:eastAsia="Times New Roman" w:hAnsi="Times New Roman" w:cs="Times New Roman"/>
                <w:highlight w:val="white"/>
              </w:rPr>
              <w:t>detaşat</w:t>
            </w:r>
            <w:proofErr w:type="spellEnd"/>
            <w:r>
              <w:rPr>
                <w:rFonts w:ascii="Times New Roman" w:eastAsia="Times New Roman" w:hAnsi="Times New Roman" w:cs="Times New Roman"/>
                <w:highlight w:val="white"/>
              </w:rPr>
              <w:t xml:space="preserve"> de pe teritoriul Republicii Moldova, anterior </w:t>
            </w:r>
            <w:proofErr w:type="spellStart"/>
            <w:r>
              <w:rPr>
                <w:rFonts w:ascii="Times New Roman" w:eastAsia="Times New Roman" w:hAnsi="Times New Roman" w:cs="Times New Roman"/>
                <w:highlight w:val="white"/>
              </w:rPr>
              <w:t>detaşării</w:t>
            </w:r>
            <w:proofErr w:type="spellEnd"/>
            <w:r>
              <w:rPr>
                <w:rFonts w:ascii="Times New Roman" w:eastAsia="Times New Roman" w:hAnsi="Times New Roman" w:cs="Times New Roman"/>
                <w:highlight w:val="white"/>
              </w:rPr>
              <w:t>, cu privire la:</w:t>
            </w:r>
          </w:p>
          <w:p w14:paraId="07A4DAA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a) elementele constitutive ale </w:t>
            </w:r>
            <w:proofErr w:type="spellStart"/>
            <w:r>
              <w:rPr>
                <w:rFonts w:ascii="Times New Roman" w:eastAsia="Times New Roman" w:hAnsi="Times New Roman" w:cs="Times New Roman"/>
                <w:highlight w:val="white"/>
              </w:rPr>
              <w:t>remuneraţiei</w:t>
            </w:r>
            <w:proofErr w:type="spellEnd"/>
            <w:r>
              <w:rPr>
                <w:rFonts w:ascii="Times New Roman" w:eastAsia="Times New Roman" w:hAnsi="Times New Roman" w:cs="Times New Roman"/>
                <w:highlight w:val="white"/>
              </w:rPr>
              <w:t xml:space="preserve"> la care are dreptul salariatul, în conformitate cu legislaţia aplicabilă în statul membru gazdă, şi nivelul acestora;</w:t>
            </w:r>
          </w:p>
          <w:p w14:paraId="5A64665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cuantumul total al </w:t>
            </w:r>
            <w:proofErr w:type="spellStart"/>
            <w:r>
              <w:rPr>
                <w:rFonts w:ascii="Times New Roman" w:eastAsia="Times New Roman" w:hAnsi="Times New Roman" w:cs="Times New Roman"/>
                <w:highlight w:val="white"/>
              </w:rPr>
              <w:t>remuneraţiei</w:t>
            </w:r>
            <w:proofErr w:type="spellEnd"/>
            <w:r>
              <w:rPr>
                <w:rFonts w:ascii="Times New Roman" w:eastAsia="Times New Roman" w:hAnsi="Times New Roman" w:cs="Times New Roman"/>
                <w:highlight w:val="white"/>
              </w:rPr>
              <w:t xml:space="preserve"> acordate lucrătorului  pe perioada </w:t>
            </w:r>
            <w:proofErr w:type="spellStart"/>
            <w:r>
              <w:rPr>
                <w:rFonts w:ascii="Times New Roman" w:eastAsia="Times New Roman" w:hAnsi="Times New Roman" w:cs="Times New Roman"/>
                <w:highlight w:val="white"/>
              </w:rPr>
              <w:t>detaşării</w:t>
            </w:r>
            <w:proofErr w:type="spellEnd"/>
            <w:r>
              <w:rPr>
                <w:rFonts w:ascii="Times New Roman" w:eastAsia="Times New Roman" w:hAnsi="Times New Roman" w:cs="Times New Roman"/>
                <w:highlight w:val="white"/>
              </w:rPr>
              <w:t xml:space="preserve">, cu </w:t>
            </w:r>
            <w:proofErr w:type="spellStart"/>
            <w:r>
              <w:rPr>
                <w:rFonts w:ascii="Times New Roman" w:eastAsia="Times New Roman" w:hAnsi="Times New Roman" w:cs="Times New Roman"/>
                <w:highlight w:val="white"/>
              </w:rPr>
              <w:t>evidenţierea</w:t>
            </w:r>
            <w:proofErr w:type="spellEnd"/>
            <w:r>
              <w:rPr>
                <w:rFonts w:ascii="Times New Roman" w:eastAsia="Times New Roman" w:hAnsi="Times New Roman" w:cs="Times New Roman"/>
                <w:highlight w:val="white"/>
              </w:rPr>
              <w:t xml:space="preserve"> distinctă a </w:t>
            </w:r>
            <w:proofErr w:type="spellStart"/>
            <w:r>
              <w:rPr>
                <w:rFonts w:ascii="Times New Roman" w:eastAsia="Times New Roman" w:hAnsi="Times New Roman" w:cs="Times New Roman"/>
                <w:highlight w:val="white"/>
              </w:rPr>
              <w:t>indemnizaţiei</w:t>
            </w:r>
            <w:proofErr w:type="spellEnd"/>
            <w:r>
              <w:rPr>
                <w:rFonts w:ascii="Times New Roman" w:eastAsia="Times New Roman" w:hAnsi="Times New Roman" w:cs="Times New Roman"/>
                <w:highlight w:val="white"/>
              </w:rPr>
              <w:t xml:space="preserve"> specifice </w:t>
            </w:r>
            <w:proofErr w:type="spellStart"/>
            <w:r>
              <w:rPr>
                <w:rFonts w:ascii="Times New Roman" w:eastAsia="Times New Roman" w:hAnsi="Times New Roman" w:cs="Times New Roman"/>
                <w:highlight w:val="white"/>
              </w:rPr>
              <w:t>detaşării</w:t>
            </w:r>
            <w:proofErr w:type="spellEnd"/>
            <w:r>
              <w:rPr>
                <w:rFonts w:ascii="Times New Roman" w:eastAsia="Times New Roman" w:hAnsi="Times New Roman" w:cs="Times New Roman"/>
                <w:highlight w:val="white"/>
              </w:rPr>
              <w:t>, atunci când aceasta este acordată;</w:t>
            </w:r>
          </w:p>
          <w:p w14:paraId="58B6401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 cheltuielile efectiv generate de </w:t>
            </w:r>
            <w:proofErr w:type="spellStart"/>
            <w:r>
              <w:rPr>
                <w:rFonts w:ascii="Times New Roman" w:eastAsia="Times New Roman" w:hAnsi="Times New Roman" w:cs="Times New Roman"/>
                <w:highlight w:val="white"/>
              </w:rPr>
              <w:t>detaşare</w:t>
            </w:r>
            <w:proofErr w:type="spellEnd"/>
            <w:r>
              <w:rPr>
                <w:rFonts w:ascii="Times New Roman" w:eastAsia="Times New Roman" w:hAnsi="Times New Roman" w:cs="Times New Roman"/>
                <w:highlight w:val="white"/>
              </w:rPr>
              <w:t>, precum transportul, cazarea şi masa, precum şi modalitatea de acordare sau de rambursare a acestora, respectiv modalitatea de asigurare a transportului, cazării sau mesei, după caz;</w:t>
            </w:r>
          </w:p>
          <w:p w14:paraId="62C5863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 linkul către site-ul oficial </w:t>
            </w:r>
            <w:proofErr w:type="spellStart"/>
            <w:r>
              <w:rPr>
                <w:rFonts w:ascii="Times New Roman" w:eastAsia="Times New Roman" w:hAnsi="Times New Roman" w:cs="Times New Roman"/>
                <w:highlight w:val="white"/>
              </w:rPr>
              <w:t>naţional</w:t>
            </w:r>
            <w:proofErr w:type="spellEnd"/>
            <w:r>
              <w:rPr>
                <w:rFonts w:ascii="Times New Roman" w:eastAsia="Times New Roman" w:hAnsi="Times New Roman" w:cs="Times New Roman"/>
                <w:highlight w:val="white"/>
              </w:rPr>
              <w:t xml:space="preserve"> unic creat de statul membru gazdă</w:t>
            </w:r>
          </w:p>
          <w:p w14:paraId="4EBA362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nerespectarea, de către întreprinderile stabilite pe teritoriul unui stat membru, altul decât Republica Moldova, sau pe teritoriul Confederației Elvețiene, care, în cadrul prestării de servicii transnaționale, detașează pe teritoriul Republicii Moldova lucrători , a obligațiilor speciale privind condițiile de muncă și de încadrare în muncă aplicabile lucrătorilor detașați pe teritoriul Republicii Moldova, prevăzute de Legea privind detașarea lucrătorilor în cadrul prestării de servicii,</w:t>
            </w:r>
          </w:p>
          <w:p w14:paraId="58BD72E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w:t>
            </w:r>
            <w:proofErr w:type="spellStart"/>
            <w:r>
              <w:rPr>
                <w:rFonts w:ascii="Times New Roman" w:eastAsia="Times New Roman" w:hAnsi="Times New Roman" w:cs="Times New Roman"/>
                <w:highlight w:val="white"/>
              </w:rPr>
              <w:t>sancţionează</w:t>
            </w:r>
            <w:proofErr w:type="spellEnd"/>
            <w:r>
              <w:rPr>
                <w:rFonts w:ascii="Times New Roman" w:eastAsia="Times New Roman" w:hAnsi="Times New Roman" w:cs="Times New Roman"/>
                <w:highlight w:val="white"/>
              </w:rPr>
              <w:t xml:space="preserve">, cu amendă de la 1000 la 1500 de unităţi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aplicată persoanei cu funcţie de răspundere, cu amendă de la 1000 la 1500 de unităţi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aplicată persoanei juridice.</w:t>
            </w:r>
          </w:p>
        </w:tc>
      </w:tr>
      <w:tr w:rsidR="00E114BB" w14:paraId="56B4BAB4" w14:textId="77777777">
        <w:trPr>
          <w:trHeight w:val="600"/>
        </w:trPr>
        <w:tc>
          <w:tcPr>
            <w:tcW w:w="555" w:type="dxa"/>
          </w:tcPr>
          <w:p w14:paraId="7C0093FF" w14:textId="77777777" w:rsidR="00E114BB" w:rsidRDefault="00E114BB">
            <w:pPr>
              <w:spacing w:line="240" w:lineRule="auto"/>
              <w:rPr>
                <w:rFonts w:ascii="Times New Roman" w:eastAsia="Times New Roman" w:hAnsi="Times New Roman" w:cs="Times New Roman"/>
                <w:b/>
                <w:bCs/>
              </w:rPr>
            </w:pPr>
          </w:p>
        </w:tc>
        <w:tc>
          <w:tcPr>
            <w:tcW w:w="2700" w:type="dxa"/>
          </w:tcPr>
          <w:p w14:paraId="3D3A8EDB" w14:textId="77777777" w:rsidR="00E114BB" w:rsidRDefault="00E114BB">
            <w:pPr>
              <w:spacing w:line="240" w:lineRule="auto"/>
              <w:jc w:val="center"/>
              <w:rPr>
                <w:rFonts w:ascii="Times New Roman" w:eastAsia="Times New Roman" w:hAnsi="Times New Roman" w:cs="Times New Roman"/>
              </w:rPr>
            </w:pPr>
          </w:p>
        </w:tc>
        <w:tc>
          <w:tcPr>
            <w:tcW w:w="5880" w:type="dxa"/>
          </w:tcPr>
          <w:p w14:paraId="0A872CB9"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 (3), în tot textul acestuia, referința la art. 39 din Legea privind detașarea salariaților în cadrul prestării de servicii, se va substitui cu referința la art. 40, luând în considerare redacția proiectului de lege privind detașarea salariaților în cadrul prestării de servicii (număr unic 184/MMPS/2026).</w:t>
            </w:r>
          </w:p>
        </w:tc>
        <w:tc>
          <w:tcPr>
            <w:tcW w:w="5880" w:type="dxa"/>
          </w:tcPr>
          <w:p w14:paraId="7ECB5B6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A7F0A2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1CFD11AD" w14:textId="77777777">
        <w:trPr>
          <w:trHeight w:val="600"/>
        </w:trPr>
        <w:tc>
          <w:tcPr>
            <w:tcW w:w="555" w:type="dxa"/>
          </w:tcPr>
          <w:p w14:paraId="6E6B6AFF" w14:textId="77777777" w:rsidR="00E114BB" w:rsidRDefault="00E114BB">
            <w:pPr>
              <w:spacing w:line="240" w:lineRule="auto"/>
              <w:rPr>
                <w:rFonts w:ascii="Times New Roman" w:eastAsia="Times New Roman" w:hAnsi="Times New Roman" w:cs="Times New Roman"/>
                <w:b/>
                <w:bCs/>
              </w:rPr>
            </w:pPr>
          </w:p>
        </w:tc>
        <w:tc>
          <w:tcPr>
            <w:tcW w:w="2700" w:type="dxa"/>
          </w:tcPr>
          <w:p w14:paraId="29F4B026" w14:textId="77777777" w:rsidR="00E114BB" w:rsidRDefault="00E114BB">
            <w:pPr>
              <w:spacing w:line="240" w:lineRule="auto"/>
              <w:jc w:val="center"/>
              <w:rPr>
                <w:rFonts w:ascii="Times New Roman" w:eastAsia="Times New Roman" w:hAnsi="Times New Roman" w:cs="Times New Roman"/>
              </w:rPr>
            </w:pPr>
          </w:p>
        </w:tc>
        <w:tc>
          <w:tcPr>
            <w:tcW w:w="5880" w:type="dxa"/>
          </w:tcPr>
          <w:p w14:paraId="2B1670DB"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V – modificarea Codului de executare al Republicii Moldova nr. 443/2004: </w:t>
            </w:r>
          </w:p>
          <w:p w14:paraId="16F44D3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pct. 2: Din punct de vedere conceptual, redacția propusă pentru art. 11 lit. f/1 ) din Codul de executare necesită o revizuire suplimentară, inclusiv prin prisma proiectului de lege privind detașarea salariaților în cadrul prestării de servicii (număr unic 184/MMPS/2026). Astfel, potrivit redacției propuse pentru art. 48 alin. (1) - (3) al proiectului citat, „(1) Inspectoratul de Stat al Muncii, în calitate de autoritate solicitată care </w:t>
            </w:r>
            <w:proofErr w:type="spellStart"/>
            <w:r>
              <w:rPr>
                <w:rFonts w:ascii="Times New Roman" w:eastAsia="Times New Roman" w:hAnsi="Times New Roman" w:cs="Times New Roman"/>
                <w:highlight w:val="white"/>
              </w:rPr>
              <w:t>primeşte</w:t>
            </w:r>
            <w:proofErr w:type="spellEnd"/>
            <w:r>
              <w:rPr>
                <w:rFonts w:ascii="Times New Roman" w:eastAsia="Times New Roman" w:hAnsi="Times New Roman" w:cs="Times New Roman"/>
                <w:highlight w:val="white"/>
              </w:rPr>
              <w:t xml:space="preserve"> o cerere de recuperare a unei sume provenite din </w:t>
            </w:r>
            <w:proofErr w:type="spellStart"/>
            <w:r>
              <w:rPr>
                <w:rFonts w:ascii="Times New Roman" w:eastAsia="Times New Roman" w:hAnsi="Times New Roman" w:cs="Times New Roman"/>
                <w:highlight w:val="white"/>
              </w:rPr>
              <w:t>sancţiuni</w:t>
            </w:r>
            <w:proofErr w:type="spellEnd"/>
            <w:r>
              <w:rPr>
                <w:rFonts w:ascii="Times New Roman" w:eastAsia="Times New Roman" w:hAnsi="Times New Roman" w:cs="Times New Roman"/>
                <w:highlight w:val="white"/>
              </w:rPr>
              <w:t xml:space="preserve"> contravenționale transmise în conformitate cu prevederile art. 47 şi art. 60 alin. (1), </w:t>
            </w:r>
            <w:proofErr w:type="spellStart"/>
            <w:r>
              <w:rPr>
                <w:rFonts w:ascii="Times New Roman" w:eastAsia="Times New Roman" w:hAnsi="Times New Roman" w:cs="Times New Roman"/>
                <w:highlight w:val="white"/>
              </w:rPr>
              <w:t>recunoaşte</w:t>
            </w:r>
            <w:proofErr w:type="spellEnd"/>
            <w:r>
              <w:rPr>
                <w:rFonts w:ascii="Times New Roman" w:eastAsia="Times New Roman" w:hAnsi="Times New Roman" w:cs="Times New Roman"/>
                <w:highlight w:val="white"/>
              </w:rPr>
              <w:t xml:space="preserve"> cererea în cauză fără să mai fie necesară </w:t>
            </w:r>
            <w:proofErr w:type="spellStart"/>
            <w:r>
              <w:rPr>
                <w:rFonts w:ascii="Times New Roman" w:eastAsia="Times New Roman" w:hAnsi="Times New Roman" w:cs="Times New Roman"/>
                <w:highlight w:val="white"/>
              </w:rPr>
              <w:t>formalităţi</w:t>
            </w:r>
            <w:proofErr w:type="spellEnd"/>
            <w:r>
              <w:rPr>
                <w:rFonts w:ascii="Times New Roman" w:eastAsia="Times New Roman" w:hAnsi="Times New Roman" w:cs="Times New Roman"/>
                <w:highlight w:val="white"/>
              </w:rPr>
              <w:t xml:space="preserve"> suplimentare. </w:t>
            </w:r>
          </w:p>
          <w:p w14:paraId="3543E22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Inspectoratul de Stat al Muncii, fără întârziere, întreprinde toate măsurile necesare, în conformitate cu prevederile Codului de executare, pentru punerea în aplicare a cererii de recuperare primite potrivit prevederilor alin. (1), cu excepţia cazului în care decide să invoce unul dintre motivele de refuz prevăzute la art. 54. </w:t>
            </w:r>
          </w:p>
          <w:p w14:paraId="084870A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Titlul executoriu care permite recuperarea unor astfel de sume provenite din </w:t>
            </w:r>
            <w:proofErr w:type="spellStart"/>
            <w:r>
              <w:rPr>
                <w:rFonts w:ascii="Times New Roman" w:eastAsia="Times New Roman" w:hAnsi="Times New Roman" w:cs="Times New Roman"/>
                <w:highlight w:val="white"/>
              </w:rPr>
              <w:t>sancţiuni</w:t>
            </w:r>
            <w:proofErr w:type="spellEnd"/>
            <w:r>
              <w:rPr>
                <w:rFonts w:ascii="Times New Roman" w:eastAsia="Times New Roman" w:hAnsi="Times New Roman" w:cs="Times New Roman"/>
                <w:highlight w:val="white"/>
              </w:rPr>
              <w:t xml:space="preserve"> contravenționale, emis în statul membru solicitant, este înlocuit cu un titlu executoriu care permite executarea sa în Republica Moldova, conform prevederilor art. 12 al Codului de executare.”. </w:t>
            </w:r>
          </w:p>
          <w:p w14:paraId="5E157E4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contextul dat, se va analiza opțiunea ca titlul executoriu care permite recuperarea unor astfel de sume provenite din sancțiuni contravenționale, emis în statul membru solicitant, să fie recunoscut de către instanța de judecată, conform prevederilor art. 12 al Codului de executare, doar în măsura în care actul din statul membru solicitant este emis, la fel, de către o instanță de judecată. În alte cazuri, actul de aplicare a sancțiunii contravenționale în domeniul detașării transnaționale a lucrătorilor, emis în statul membru solicitant, poate fi recunoscut prin actul Inspectoratului de Stat al Muncii și calificat ca act învestit cu formulă executorie, ce se încadrează în dispozițiile art. </w:t>
            </w:r>
            <w:r>
              <w:rPr>
                <w:rFonts w:ascii="Times New Roman" w:eastAsia="Times New Roman" w:hAnsi="Times New Roman" w:cs="Times New Roman"/>
                <w:highlight w:val="white"/>
              </w:rPr>
              <w:lastRenderedPageBreak/>
              <w:t>11 lit. k) al Codului de executare. În cazul dat, decade necesitatea completării art. 11 al Codului de executare, cu lit. f/1 ).</w:t>
            </w:r>
          </w:p>
        </w:tc>
        <w:tc>
          <w:tcPr>
            <w:tcW w:w="5880" w:type="dxa"/>
          </w:tcPr>
          <w:p w14:paraId="7999F63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Nu se acceptă.</w:t>
            </w:r>
            <w:r>
              <w:rPr>
                <w:rFonts w:ascii="Times New Roman" w:eastAsia="Times New Roman" w:hAnsi="Times New Roman" w:cs="Times New Roman"/>
                <w:highlight w:val="white"/>
              </w:rPr>
              <w:t xml:space="preserve"> </w:t>
            </w:r>
          </w:p>
          <w:p w14:paraId="2288151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Soluția propusă nu poate fi reținută. În contextul mecanismului instituit prin proiectul de lege privind detașarea lucrătorilor  în cadrul prestării de servicii, recuperarea transfrontalieră a sumelor provenite din sancțiuni contravenționale presupune instituirea unui temei expres și previzibil în Codul de executare pentru executarea unor asemenea acte. Simpla raportare la art. 11 lit. k) din Codul de executare nu asigură, cu suficientă claritate, regimul juridic al titlului executoriu rezultat din procedura de cooperare administrativă dintre autoritățile competente.</w:t>
            </w:r>
          </w:p>
          <w:p w14:paraId="599EF81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Soluția potrivit căreia actul emis în statul membru solicitant ar fi recunoscut, după caz, fie de instanța de judecată, fie printr-un act al Inspectoratului de Stat al Muncii, iar ulterior calificat ca act învestit cu formulă executorie, riscă să genereze confuzii între procedura de recunoaștere, substituirea titlului executoriu și punerea în executare. În vederea asigurării securității juridice și a aplicării uniforme a mecanismului de executare, se menține opțiunea completării exprese a art. 11 din Codul de executare.</w:t>
            </w:r>
          </w:p>
          <w:p w14:paraId="42A05C2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0AB75A18" w14:textId="77777777">
        <w:trPr>
          <w:trHeight w:val="600"/>
        </w:trPr>
        <w:tc>
          <w:tcPr>
            <w:tcW w:w="555" w:type="dxa"/>
          </w:tcPr>
          <w:p w14:paraId="339BDFD5" w14:textId="77777777" w:rsidR="00E114BB" w:rsidRDefault="00E114BB">
            <w:pPr>
              <w:spacing w:line="240" w:lineRule="auto"/>
              <w:rPr>
                <w:rFonts w:ascii="Times New Roman" w:eastAsia="Times New Roman" w:hAnsi="Times New Roman" w:cs="Times New Roman"/>
                <w:b/>
                <w:bCs/>
              </w:rPr>
            </w:pPr>
          </w:p>
        </w:tc>
        <w:tc>
          <w:tcPr>
            <w:tcW w:w="2700" w:type="dxa"/>
          </w:tcPr>
          <w:p w14:paraId="7DE6BAE1" w14:textId="77777777" w:rsidR="00E114BB" w:rsidRDefault="00E114BB">
            <w:pPr>
              <w:spacing w:line="240" w:lineRule="auto"/>
              <w:jc w:val="center"/>
              <w:rPr>
                <w:rFonts w:ascii="Times New Roman" w:eastAsia="Times New Roman" w:hAnsi="Times New Roman" w:cs="Times New Roman"/>
              </w:rPr>
            </w:pPr>
          </w:p>
        </w:tc>
        <w:tc>
          <w:tcPr>
            <w:tcW w:w="5880" w:type="dxa"/>
          </w:tcPr>
          <w:p w14:paraId="179C350A"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subsidiar, în măsura în care se consideră imperativă completarea art. 11 al Codului de executare, cu lit. f1 ), nota de fundamentare va cuprinde argumentele justificative unei asemenea intervenții.</w:t>
            </w:r>
          </w:p>
          <w:p w14:paraId="5EAB784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Mai mult, se va analiza practica altor state, în partea ce vizează recunoașterea și punerea în aplicare a actelor emise de statele membre UE (statul membru solicitant) pentru aplicarea sancțiunii contravenționale aferente încălcării legislației privind detașarea transnațională a lucrătorilor. </w:t>
            </w:r>
          </w:p>
        </w:tc>
        <w:tc>
          <w:tcPr>
            <w:tcW w:w="5880" w:type="dxa"/>
          </w:tcPr>
          <w:p w14:paraId="7333209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B768C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Nota de fundamentare va fi ajustată, la pct. 3.1 în următoarea redacție:</w:t>
            </w:r>
          </w:p>
          <w:p w14:paraId="5E01EB93"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conține instituirea unui temei expres de recunoaștere și executare în Republica Moldova a actelor emise de autoritățile competente ale altor state în materia recuperării sancțiunilor aplicate pentru încălcarea legislației privind detașarea transnațională a lucrătorilor. Soluția propusă asigură claritatea cadrului execuțional și corelarea Codului de executare cu mecanismul special de cooperare administrativă aplicabil în acest domeniu.</w:t>
            </w:r>
          </w:p>
        </w:tc>
      </w:tr>
      <w:tr w:rsidR="00E114BB" w14:paraId="381EB6ED" w14:textId="77777777">
        <w:trPr>
          <w:trHeight w:val="600"/>
        </w:trPr>
        <w:tc>
          <w:tcPr>
            <w:tcW w:w="555" w:type="dxa"/>
          </w:tcPr>
          <w:p w14:paraId="37080F94" w14:textId="77777777" w:rsidR="00E114BB" w:rsidRDefault="00E114BB">
            <w:pPr>
              <w:spacing w:line="240" w:lineRule="auto"/>
              <w:rPr>
                <w:rFonts w:ascii="Times New Roman" w:eastAsia="Times New Roman" w:hAnsi="Times New Roman" w:cs="Times New Roman"/>
                <w:b/>
                <w:bCs/>
              </w:rPr>
            </w:pPr>
          </w:p>
        </w:tc>
        <w:tc>
          <w:tcPr>
            <w:tcW w:w="2700" w:type="dxa"/>
          </w:tcPr>
          <w:p w14:paraId="4B4A77D5" w14:textId="77777777" w:rsidR="00E114BB" w:rsidRDefault="00E114BB">
            <w:pPr>
              <w:spacing w:line="240" w:lineRule="auto"/>
              <w:jc w:val="center"/>
              <w:rPr>
                <w:rFonts w:ascii="Times New Roman" w:eastAsia="Times New Roman" w:hAnsi="Times New Roman" w:cs="Times New Roman"/>
              </w:rPr>
            </w:pPr>
          </w:p>
        </w:tc>
        <w:tc>
          <w:tcPr>
            <w:tcW w:w="5880" w:type="dxa"/>
          </w:tcPr>
          <w:p w14:paraId="02E402C5"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redacția propusă pentru art. 11 lit. f1 ) din Codul de executare recomandăm a fi revăzută, întrucât, în forma expusă, se încadrează în dispozițiile lit. c) al aceluiași articol. În subsidiar, din redacția propusă nu este clar că, documentul executoriu se referă exclusiv la acte emise de autorități competente străine, în cadrul mecanismelor de asistență reciprocă și executare transfrontalieră pentru recuperarea sancțiunilor pecuniare, astfel cum rezultă din Sinteza obiecțiilor și propunerilor aferentă proiectului de lege respectiv.</w:t>
            </w:r>
          </w:p>
        </w:tc>
        <w:tc>
          <w:tcPr>
            <w:tcW w:w="5880" w:type="dxa"/>
          </w:tcPr>
          <w:p w14:paraId="004AF19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w:t>
            </w:r>
          </w:p>
          <w:p w14:paraId="5624212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Observația nu poate fi reținută.</w:t>
            </w:r>
          </w:p>
          <w:p w14:paraId="4317BA9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Redacția propusă pentru art. 11 lit. f/1) din Codul de executare nu se suprapune cu dispozițiile lit. c) ale aceluiași articol, deoarece nu vizează decizii contravenționale naționale ori acte executorii emise în cadrul procedurilor interne, ci documente executorii rezultate din mecanisme de asistență reciprocă și executare transfrontalieră pentru recuperarea sancțiunilor pecuniare aplicate în alt stat.</w:t>
            </w:r>
          </w:p>
          <w:p w14:paraId="005DE0A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Instituirea unei litere distincte în art. 11 este necesară pentru a asigura claritatea și previzibilitatea reglementării, precum și pentru a delimita expres această categorie de documente executorii de titlurile deja prevăzute de normele generale ale Codului de executare.</w:t>
            </w:r>
          </w:p>
          <w:p w14:paraId="2C7FA66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În vederea înlăturării oricărui echivoc, redacția textului va fi ajustată astfel încât să rezulte expres că norma se referă exclusiv la actele emise de autorități competente străine, în cadrul mecanismelor de asistență reciprocă și executare transfrontalieră pentru recuperarea sancțiunilor pecuniare, în condițiile legii speciale.</w:t>
            </w:r>
          </w:p>
        </w:tc>
      </w:tr>
      <w:tr w:rsidR="00E114BB" w14:paraId="54437FF4" w14:textId="77777777">
        <w:trPr>
          <w:trHeight w:val="600"/>
        </w:trPr>
        <w:tc>
          <w:tcPr>
            <w:tcW w:w="555" w:type="dxa"/>
          </w:tcPr>
          <w:p w14:paraId="0D5C623D" w14:textId="77777777" w:rsidR="00E114BB" w:rsidRDefault="00E114BB">
            <w:pPr>
              <w:spacing w:line="240" w:lineRule="auto"/>
              <w:rPr>
                <w:rFonts w:ascii="Times New Roman" w:eastAsia="Times New Roman" w:hAnsi="Times New Roman" w:cs="Times New Roman"/>
                <w:b/>
                <w:bCs/>
              </w:rPr>
            </w:pPr>
          </w:p>
        </w:tc>
        <w:tc>
          <w:tcPr>
            <w:tcW w:w="2700" w:type="dxa"/>
          </w:tcPr>
          <w:p w14:paraId="2C318438" w14:textId="77777777" w:rsidR="00E114BB" w:rsidRDefault="00E114BB">
            <w:pPr>
              <w:spacing w:line="240" w:lineRule="auto"/>
              <w:jc w:val="center"/>
              <w:rPr>
                <w:rFonts w:ascii="Times New Roman" w:eastAsia="Times New Roman" w:hAnsi="Times New Roman" w:cs="Times New Roman"/>
              </w:rPr>
            </w:pPr>
          </w:p>
        </w:tc>
        <w:tc>
          <w:tcPr>
            <w:tcW w:w="5880" w:type="dxa"/>
          </w:tcPr>
          <w:p w14:paraId="02AA2BD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asemenea, nu este clar actele căror autorități străine pot fi considerate documente executorii. Complementar, în partea ce vizează documentele executorii străine, constatăm că art. 11 lit. f) din Codul de executare stabilește că, pot fi documente executorii titlurile executorii emise în baza hotărârilor instanțelor de judecată străine şi 9 hotărârilor arbitrale străine, recunoscute şi încuviințate spre executare pe teritoriul Republicii Moldova. În continuare, potrivit art. 156 al codului citat, hotărârile judecătorești şi hotărârile arbitrale străine se primesc spre executare şi se execută numai în cazul în care executarea lor a fost recunoscută şi încuviințată conform procedurii stabilite în capitolul XLII din Codul de procedură civilă.</w:t>
            </w:r>
          </w:p>
        </w:tc>
        <w:tc>
          <w:tcPr>
            <w:tcW w:w="5880" w:type="dxa"/>
          </w:tcPr>
          <w:p w14:paraId="555FB1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parțial.</w:t>
            </w:r>
          </w:p>
          <w:p w14:paraId="53327E1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Obiecția pornește de la o premisă care nu corespunde obiectului reglementării propuse. Dispoziția de la art. 11 lit. f¹) din Codul de executare nu vizează hotărâri ale instanțelor de judecată străine și nici hotărâri arbitrale străine, care sunt supuse regimului general prevăzut la art. 11 lit. f) și art. 156 din Codul de executare, cu recunoașterea și încuviințarea executării în condițiile Codului de procedură civilă.</w:t>
            </w:r>
          </w:p>
          <w:p w14:paraId="531B644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Norma propusă are în vedere un regim juridic distinct, aplicabil actelor de aplicare a sancțiunilor contravenționale în domeniul detașării transnaționale a salariaților, emise de autoritățile competente ale statelor membre ale Uniunii Europene sau ale Confederației Elvețiene, în cadrul mecanismului de cooperare administrativă și asistență reciprocă reglementat de legea specială privind detașarea lucrătorilor în cadrul prestării de servicii și de Directiva 2014/67/UE.</w:t>
            </w:r>
          </w:p>
          <w:p w14:paraId="5CE32600"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11 lit. f1) va fi expus în următoarea redacție:</w:t>
            </w:r>
          </w:p>
          <w:p w14:paraId="1135B3E8"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f1) actul emis de autoritatea competentă a unui stat membru al Uniunii Europene sau a Confederației Elvețiene privind aplicarea unei sancțiuni administrative sau contravenționale în domeniul detașării transnaționale a lucrătorilor, a cărui executare se realizează în condițiile legii speciale.</w:t>
            </w:r>
          </w:p>
        </w:tc>
      </w:tr>
      <w:tr w:rsidR="00E114BB" w14:paraId="29D8A9FB" w14:textId="77777777">
        <w:trPr>
          <w:trHeight w:val="600"/>
        </w:trPr>
        <w:tc>
          <w:tcPr>
            <w:tcW w:w="555" w:type="dxa"/>
          </w:tcPr>
          <w:p w14:paraId="3C90A814" w14:textId="77777777" w:rsidR="00E114BB" w:rsidRDefault="00E114BB">
            <w:pPr>
              <w:spacing w:line="240" w:lineRule="auto"/>
              <w:rPr>
                <w:rFonts w:ascii="Times New Roman" w:eastAsia="Times New Roman" w:hAnsi="Times New Roman" w:cs="Times New Roman"/>
                <w:b/>
                <w:bCs/>
              </w:rPr>
            </w:pPr>
          </w:p>
        </w:tc>
        <w:tc>
          <w:tcPr>
            <w:tcW w:w="2700" w:type="dxa"/>
          </w:tcPr>
          <w:p w14:paraId="148CEB73" w14:textId="77777777" w:rsidR="00E114BB" w:rsidRDefault="00E114BB">
            <w:pPr>
              <w:spacing w:line="240" w:lineRule="auto"/>
              <w:jc w:val="center"/>
              <w:rPr>
                <w:rFonts w:ascii="Times New Roman" w:eastAsia="Times New Roman" w:hAnsi="Times New Roman" w:cs="Times New Roman"/>
              </w:rPr>
            </w:pPr>
          </w:p>
        </w:tc>
        <w:tc>
          <w:tcPr>
            <w:tcW w:w="5880" w:type="dxa"/>
          </w:tcPr>
          <w:p w14:paraId="7D3148A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la art. V, aferent tehnicii legislative:</w:t>
            </w:r>
          </w:p>
          <w:p w14:paraId="66BC4EFC"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dispozițiile acestuia necesită a fi expuse anterior dispozițiilor art. III, întru asigurarea expunerii actelor care se modifică, în ordine cronologică;</w:t>
            </w:r>
          </w:p>
          <w:p w14:paraId="612EF52F"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dispoziția introductivă necesită a fi completată cu textul „ , se modifică după cum urmează:”.</w:t>
            </w:r>
          </w:p>
        </w:tc>
        <w:tc>
          <w:tcPr>
            <w:tcW w:w="5880" w:type="dxa"/>
          </w:tcPr>
          <w:p w14:paraId="6180EB8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E114BB" w14:paraId="06EAB280" w14:textId="77777777">
        <w:trPr>
          <w:trHeight w:val="600"/>
        </w:trPr>
        <w:tc>
          <w:tcPr>
            <w:tcW w:w="555" w:type="dxa"/>
          </w:tcPr>
          <w:p w14:paraId="77FDD966" w14:textId="77777777" w:rsidR="00E114BB" w:rsidRDefault="00E114BB">
            <w:pPr>
              <w:spacing w:line="240" w:lineRule="auto"/>
              <w:rPr>
                <w:rFonts w:ascii="Times New Roman" w:eastAsia="Times New Roman" w:hAnsi="Times New Roman" w:cs="Times New Roman"/>
                <w:b/>
                <w:bCs/>
              </w:rPr>
            </w:pPr>
          </w:p>
        </w:tc>
        <w:tc>
          <w:tcPr>
            <w:tcW w:w="2700" w:type="dxa"/>
          </w:tcPr>
          <w:p w14:paraId="608A0860" w14:textId="77777777" w:rsidR="00E114BB" w:rsidRDefault="00E114BB">
            <w:pPr>
              <w:spacing w:line="240" w:lineRule="auto"/>
              <w:jc w:val="center"/>
              <w:rPr>
                <w:rFonts w:ascii="Times New Roman" w:eastAsia="Times New Roman" w:hAnsi="Times New Roman" w:cs="Times New Roman"/>
              </w:rPr>
            </w:pPr>
          </w:p>
        </w:tc>
        <w:tc>
          <w:tcPr>
            <w:tcW w:w="5880" w:type="dxa"/>
          </w:tcPr>
          <w:p w14:paraId="2A70417D"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VI, care vizează dispozițiile finale și tranzitorii ale proiectului de lege: În alin. (1), având în vedere că, potrivit dispozițiilor finale ale proiectului de lege privind detașarea salariaților în cadrul prestării de servicii (număr unic 184/MMPS/2026), intrarea în vigoare a acestei legi vizează data aderării Republicii Moldova la Uniunea Europeană, se recomandă ca dispozițiile art. II pct. 10 din proiectul de lege examinat (completarea Codului muncii cu art. 71/1 ), să intre în vigoare tot la aceeași dată. </w:t>
            </w:r>
          </w:p>
        </w:tc>
        <w:tc>
          <w:tcPr>
            <w:tcW w:w="5880" w:type="dxa"/>
          </w:tcPr>
          <w:p w14:paraId="2F8D207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424519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II pct. 10 din proiect, prin care Codul muncii se completează cu art. 71¹, au rolul de a delimita, la nivelul cadrului general al legislației muncii, detașarea transnațională de instituția detașării reglementată de art. 71 din Codul muncii și de a stabili raportul acesteia cu legea specială în materie.</w:t>
            </w:r>
          </w:p>
          <w:p w14:paraId="105A390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natura sa, art. 71¹ reprezintă o normă de corelare și sistematizare a cadrului normativ intern, care asigură integrarea noii instituții juridice în arhitectura Codului muncii. Aceasta nu instituie, în sine, mecanisme autonome de aplicare a detașării transnaționale anterior intrării în vigoare a legii speciale și nu generează obligații distincte față de cele ce urmează a fi reglementate de actul normativ special.</w:t>
            </w:r>
          </w:p>
          <w:p w14:paraId="704AF6C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aceste condiții, nu se impune stabilirea pentru art. II pct. 10 a unui regim distinct de intrare în vigoare. Menținerea regulii generale prevăzute la art. VI alin. (1) este justificată prin necesitatea asigurării coerenței legislative și a integrării sistemice a noii reglementări în Codul muncii.</w:t>
            </w:r>
          </w:p>
        </w:tc>
      </w:tr>
      <w:tr w:rsidR="00E114BB" w14:paraId="01457D76" w14:textId="77777777">
        <w:trPr>
          <w:trHeight w:val="2634"/>
        </w:trPr>
        <w:tc>
          <w:tcPr>
            <w:tcW w:w="555" w:type="dxa"/>
          </w:tcPr>
          <w:p w14:paraId="74CE8993" w14:textId="77777777" w:rsidR="00E114BB" w:rsidRDefault="00E114BB">
            <w:pPr>
              <w:spacing w:line="240" w:lineRule="auto"/>
              <w:rPr>
                <w:rFonts w:ascii="Times New Roman" w:eastAsia="Times New Roman" w:hAnsi="Times New Roman" w:cs="Times New Roman"/>
                <w:b/>
                <w:bCs/>
              </w:rPr>
            </w:pPr>
          </w:p>
        </w:tc>
        <w:tc>
          <w:tcPr>
            <w:tcW w:w="2700" w:type="dxa"/>
          </w:tcPr>
          <w:p w14:paraId="3280CBA2" w14:textId="77777777" w:rsidR="00E114BB" w:rsidRDefault="00E114BB">
            <w:pPr>
              <w:spacing w:line="240" w:lineRule="auto"/>
              <w:jc w:val="center"/>
              <w:rPr>
                <w:rFonts w:ascii="Times New Roman" w:eastAsia="Times New Roman" w:hAnsi="Times New Roman" w:cs="Times New Roman"/>
              </w:rPr>
            </w:pPr>
          </w:p>
        </w:tc>
        <w:tc>
          <w:tcPr>
            <w:tcW w:w="5880" w:type="dxa"/>
          </w:tcPr>
          <w:p w14:paraId="1210C9D1"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Suplimentar, în referința la articolele și punctele care vor intra în vigoare la data aderării Republicii Moldova la Uniunea Europeană, se va indica succint obiectul de reglementare al acestor articole/puncte. </w:t>
            </w:r>
          </w:p>
        </w:tc>
        <w:tc>
          <w:tcPr>
            <w:tcW w:w="5880" w:type="dxa"/>
          </w:tcPr>
          <w:p w14:paraId="291B00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Se ia act. </w:t>
            </w:r>
          </w:p>
          <w:p w14:paraId="0BF813C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Art. VI.  – Dispoziții finale și tranzitorii va fi expus în următoarea redacție:</w:t>
            </w:r>
          </w:p>
          <w:p w14:paraId="471B66D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yellow"/>
              </w:rPr>
            </w:pPr>
            <w:r>
              <w:rPr>
                <w:rFonts w:ascii="Times New Roman" w:eastAsia="Times New Roman" w:hAnsi="Times New Roman" w:cs="Times New Roman"/>
              </w:rPr>
              <w:t>(1) Prezenta lege intră în vigoare la data publicării în Monitorul Oficial al Republicii Moldova, cu excepția Art. I pct. 3, Art. II pct. 8, Art. III pct. 10, Art. IV pct. 3 și Art. V, care intră în vigoare la data aderării Republicii Moldova la Uniunea Europeană.</w:t>
            </w:r>
          </w:p>
        </w:tc>
      </w:tr>
      <w:tr w:rsidR="00E114BB" w14:paraId="6706119E" w14:textId="77777777">
        <w:trPr>
          <w:trHeight w:val="1622"/>
        </w:trPr>
        <w:tc>
          <w:tcPr>
            <w:tcW w:w="555" w:type="dxa"/>
          </w:tcPr>
          <w:p w14:paraId="61EAB72F" w14:textId="77777777" w:rsidR="00E114BB" w:rsidRDefault="00E114BB">
            <w:pPr>
              <w:spacing w:line="240" w:lineRule="auto"/>
              <w:rPr>
                <w:rFonts w:ascii="Times New Roman" w:eastAsia="Times New Roman" w:hAnsi="Times New Roman" w:cs="Times New Roman"/>
                <w:b/>
                <w:bCs/>
              </w:rPr>
            </w:pPr>
          </w:p>
        </w:tc>
        <w:tc>
          <w:tcPr>
            <w:tcW w:w="2700" w:type="dxa"/>
          </w:tcPr>
          <w:p w14:paraId="0482836F" w14:textId="77777777" w:rsidR="00E114BB" w:rsidRDefault="00E114BB">
            <w:pPr>
              <w:spacing w:line="240" w:lineRule="auto"/>
              <w:jc w:val="center"/>
              <w:rPr>
                <w:rFonts w:ascii="Times New Roman" w:eastAsia="Times New Roman" w:hAnsi="Times New Roman" w:cs="Times New Roman"/>
              </w:rPr>
            </w:pPr>
          </w:p>
        </w:tc>
        <w:tc>
          <w:tcPr>
            <w:tcW w:w="5880" w:type="dxa"/>
          </w:tcPr>
          <w:p w14:paraId="1DF8F3D8"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alin. (3), referința la Regulamentul (UE) 2019/1149 se va substitui cu referința la articolul din proiectul de lege respectiv ce vizează formarea și instruirea inspectorilor Inspectoratului de Stat al Muncii (a se vedea art. I pct. 5, în partea ce vizează completarea Legii nr. 140/2001 privind Inspectoratul de Stat al Muncii, cu art. 13/5 ). </w:t>
            </w:r>
          </w:p>
        </w:tc>
        <w:tc>
          <w:tcPr>
            <w:tcW w:w="5880" w:type="dxa"/>
          </w:tcPr>
          <w:p w14:paraId="72AF79F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0E7B48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Alin. (3) va fi expus în următoarea redacție:</w:t>
            </w:r>
          </w:p>
          <w:p w14:paraId="640676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termen de 6 luni de la intrarea în vigoare a prezentei legi, Inspectoratul de Stat al Muncii va întreprinde măsurile necesare pentru formarea și instruirea inspectorilor de muncă, în conformitate cu art. 13/5 din Legea nr. 140/2001 privind Inspectoratul de Stat al Muncii.</w:t>
            </w:r>
          </w:p>
        </w:tc>
      </w:tr>
      <w:tr w:rsidR="00E114BB" w14:paraId="011673AF" w14:textId="77777777">
        <w:trPr>
          <w:trHeight w:val="600"/>
        </w:trPr>
        <w:tc>
          <w:tcPr>
            <w:tcW w:w="555" w:type="dxa"/>
          </w:tcPr>
          <w:p w14:paraId="6EDEB5E2" w14:textId="77777777" w:rsidR="00E114BB"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25.</w:t>
            </w:r>
          </w:p>
        </w:tc>
        <w:tc>
          <w:tcPr>
            <w:tcW w:w="2700" w:type="dxa"/>
            <w:shd w:val="clear" w:color="auto" w:fill="FFFFFF"/>
          </w:tcPr>
          <w:p w14:paraId="70F496F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Centrul Național Anticorupție</w:t>
            </w:r>
          </w:p>
          <w:p w14:paraId="7251335C"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ELO 26/11374 </w:t>
            </w:r>
          </w:p>
          <w:p w14:paraId="302C4D54"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16.04.2026 </w:t>
            </w:r>
          </w:p>
        </w:tc>
        <w:tc>
          <w:tcPr>
            <w:tcW w:w="5880" w:type="dxa"/>
          </w:tcPr>
          <w:p w14:paraId="2E9F6190"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13/3, alin. (2) - Legea nr. 140/2001 privind Inspectoratul de Stat al Muncii „Inspectorii desemnați de Autoritatea Europeană a Muncii ori de autoritățile competente ale statelor membre ale Uniunii Europene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 interinstituțională încheiate de Inspectoratul de Stat al Muncii.”</w:t>
            </w:r>
          </w:p>
          <w:p w14:paraId="336EA72E"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sens, se constată că, cadrul normativ național nu reglementează noțiunea de „exercitare a atribuțiilor de prorogativă publică”, utilizată în textul proiectului, fapt care </w:t>
            </w:r>
            <w:r>
              <w:rPr>
                <w:rFonts w:ascii="Times New Roman" w:eastAsia="Times New Roman" w:hAnsi="Times New Roman" w:cs="Times New Roman"/>
                <w:highlight w:val="white"/>
              </w:rPr>
              <w:lastRenderedPageBreak/>
              <w:t xml:space="preserve">poate genera </w:t>
            </w:r>
            <w:proofErr w:type="spellStart"/>
            <w:r>
              <w:rPr>
                <w:rFonts w:ascii="Times New Roman" w:eastAsia="Times New Roman" w:hAnsi="Times New Roman" w:cs="Times New Roman"/>
                <w:highlight w:val="white"/>
              </w:rPr>
              <w:t>incertituine</w:t>
            </w:r>
            <w:proofErr w:type="spellEnd"/>
            <w:r>
              <w:rPr>
                <w:rFonts w:ascii="Times New Roman" w:eastAsia="Times New Roman" w:hAnsi="Times New Roman" w:cs="Times New Roman"/>
                <w:highlight w:val="white"/>
              </w:rPr>
              <w:t xml:space="preserve"> privind delimitarea competențelor și </w:t>
            </w:r>
            <w:proofErr w:type="spellStart"/>
            <w:r>
              <w:rPr>
                <w:rFonts w:ascii="Times New Roman" w:eastAsia="Times New Roman" w:hAnsi="Times New Roman" w:cs="Times New Roman"/>
                <w:highlight w:val="white"/>
              </w:rPr>
              <w:t>satutul</w:t>
            </w:r>
            <w:proofErr w:type="spellEnd"/>
            <w:r>
              <w:rPr>
                <w:rFonts w:ascii="Times New Roman" w:eastAsia="Times New Roman" w:hAnsi="Times New Roman" w:cs="Times New Roman"/>
                <w:highlight w:val="white"/>
              </w:rPr>
              <w:t xml:space="preserve"> inspectorilor desemnați de Autoritatea Europeană a Muncii sau de autoritățile </w:t>
            </w:r>
            <w:proofErr w:type="spellStart"/>
            <w:r>
              <w:rPr>
                <w:rFonts w:ascii="Times New Roman" w:eastAsia="Times New Roman" w:hAnsi="Times New Roman" w:cs="Times New Roman"/>
                <w:highlight w:val="white"/>
              </w:rPr>
              <w:t>competene</w:t>
            </w:r>
            <w:proofErr w:type="spellEnd"/>
            <w:r>
              <w:rPr>
                <w:rFonts w:ascii="Times New Roman" w:eastAsia="Times New Roman" w:hAnsi="Times New Roman" w:cs="Times New Roman"/>
                <w:highlight w:val="white"/>
              </w:rPr>
              <w:t xml:space="preserve"> ale statelor membre ale Uniunii Europene. În special, utilizarea unei noțiuni cu sens similar celei definite în norma </w:t>
            </w:r>
            <w:proofErr w:type="spellStart"/>
            <w:r>
              <w:rPr>
                <w:rFonts w:ascii="Times New Roman" w:eastAsia="Times New Roman" w:hAnsi="Times New Roman" w:cs="Times New Roman"/>
                <w:highlight w:val="white"/>
              </w:rPr>
              <w:t>precitată</w:t>
            </w:r>
            <w:proofErr w:type="spellEnd"/>
            <w:r>
              <w:rPr>
                <w:rFonts w:ascii="Times New Roman" w:eastAsia="Times New Roman" w:hAnsi="Times New Roman" w:cs="Times New Roman"/>
                <w:highlight w:val="white"/>
              </w:rPr>
              <w:t xml:space="preserve">, însă expusă diferit, poate genera interpretări neuniforme, </w:t>
            </w:r>
            <w:proofErr w:type="spellStart"/>
            <w:r>
              <w:rPr>
                <w:rFonts w:ascii="Times New Roman" w:eastAsia="Times New Roman" w:hAnsi="Times New Roman" w:cs="Times New Roman"/>
                <w:highlight w:val="white"/>
              </w:rPr>
              <w:t>înclusiv</w:t>
            </w:r>
            <w:proofErr w:type="spellEnd"/>
            <w:r>
              <w:rPr>
                <w:rFonts w:ascii="Times New Roman" w:eastAsia="Times New Roman" w:hAnsi="Times New Roman" w:cs="Times New Roman"/>
                <w:highlight w:val="white"/>
              </w:rPr>
              <w:t xml:space="preserve"> în partea determinării limitelor în care inspectorii desemnați pot participa la procedurile de control, fără a acționa în regim de putere publică.  </w:t>
            </w:r>
          </w:p>
          <w:p w14:paraId="37106FB2"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recomandă substituirea sintagmei „de prerogativă publică” cu „în regim de putere publică”  </w:t>
            </w:r>
          </w:p>
        </w:tc>
        <w:tc>
          <w:tcPr>
            <w:tcW w:w="5880" w:type="dxa"/>
          </w:tcPr>
          <w:p w14:paraId="0C99CD4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0365709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13/3 alin. (2) va fi expus în următoarea redacție:</w:t>
            </w:r>
          </w:p>
          <w:p w14:paraId="659E23F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Inspectorii desemnați de Autoritatea Europeană a Muncii ori de autoritățile competente ale statelor membre ale Uniunii Europene care participă la inspecțiile comune și concertate pe teritoriul Republicii Moldova au statut de observatori sau experți. Aceștia nu exercită atribuții în regim de putere publică, nu dispun măsuri obligatorii și nu aplică sancțiuni. Accesul acestora la locurile de muncă, documente și informații se asigură numai prin intermediul și sub coordonarea inspectorilor Inspectoratului de Stat al Muncii, în condițiile legii și ale </w:t>
            </w:r>
            <w:r>
              <w:rPr>
                <w:rFonts w:ascii="Times New Roman" w:eastAsia="Times New Roman" w:hAnsi="Times New Roman" w:cs="Times New Roman"/>
                <w:highlight w:val="white"/>
              </w:rPr>
              <w:lastRenderedPageBreak/>
              <w:t>acordurilor de cooperare interinstituțională încheiate de Inspectoratul de Stat al Muncii.</w:t>
            </w:r>
          </w:p>
          <w:p w14:paraId="7ED7321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0A8A6D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1BA90F63" w14:textId="77777777">
        <w:trPr>
          <w:trHeight w:val="600"/>
        </w:trPr>
        <w:tc>
          <w:tcPr>
            <w:tcW w:w="555" w:type="dxa"/>
          </w:tcPr>
          <w:p w14:paraId="5560BCAA" w14:textId="77777777" w:rsidR="00E114BB" w:rsidRDefault="00E114BB">
            <w:pPr>
              <w:spacing w:line="240" w:lineRule="auto"/>
              <w:rPr>
                <w:rFonts w:ascii="Times New Roman" w:eastAsia="Times New Roman" w:hAnsi="Times New Roman" w:cs="Times New Roman"/>
                <w:b/>
                <w:bCs/>
              </w:rPr>
            </w:pPr>
          </w:p>
        </w:tc>
        <w:tc>
          <w:tcPr>
            <w:tcW w:w="2700" w:type="dxa"/>
          </w:tcPr>
          <w:p w14:paraId="7B32B985" w14:textId="77777777" w:rsidR="00E114BB" w:rsidRDefault="00E114BB">
            <w:pPr>
              <w:spacing w:line="240" w:lineRule="auto"/>
              <w:rPr>
                <w:rFonts w:ascii="Times New Roman" w:eastAsia="Times New Roman" w:hAnsi="Times New Roman" w:cs="Times New Roman"/>
              </w:rPr>
            </w:pPr>
          </w:p>
        </w:tc>
        <w:tc>
          <w:tcPr>
            <w:tcW w:w="5880" w:type="dxa"/>
          </w:tcPr>
          <w:p w14:paraId="640420F8"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Cu privire la art. 55/6, alin. (1) - Codul contravențional „Încălcarea legislației muncii, în domeniul detașării transnaționale a salariaților, manifestată prin: a) modificarea unilaterală de către angajator a </w:t>
            </w:r>
            <w:proofErr w:type="spellStart"/>
            <w:r>
              <w:rPr>
                <w:rFonts w:ascii="Times New Roman" w:eastAsia="Times New Roman" w:hAnsi="Times New Roman" w:cs="Times New Roman"/>
                <w:highlight w:val="white"/>
              </w:rPr>
              <w:t>relaţiilor</w:t>
            </w:r>
            <w:proofErr w:type="spellEnd"/>
            <w:r>
              <w:rPr>
                <w:rFonts w:ascii="Times New Roman" w:eastAsia="Times New Roman" w:hAnsi="Times New Roman" w:cs="Times New Roman"/>
                <w:highlight w:val="white"/>
              </w:rPr>
              <w:t xml:space="preserve"> sau a </w:t>
            </w:r>
            <w:proofErr w:type="spellStart"/>
            <w:r>
              <w:rPr>
                <w:rFonts w:ascii="Times New Roman" w:eastAsia="Times New Roman" w:hAnsi="Times New Roman" w:cs="Times New Roman"/>
                <w:highlight w:val="white"/>
              </w:rPr>
              <w:t>condiţiilor</w:t>
            </w:r>
            <w:proofErr w:type="spellEnd"/>
            <w:r>
              <w:rPr>
                <w:rFonts w:ascii="Times New Roman" w:eastAsia="Times New Roman" w:hAnsi="Times New Roman" w:cs="Times New Roman"/>
                <w:highlight w:val="white"/>
              </w:rPr>
              <w:t xml:space="preserve"> de muncă, inclusiv concedierea salariatului </w:t>
            </w:r>
            <w:proofErr w:type="spellStart"/>
            <w:r>
              <w:rPr>
                <w:rFonts w:ascii="Times New Roman" w:eastAsia="Times New Roman" w:hAnsi="Times New Roman" w:cs="Times New Roman"/>
                <w:highlight w:val="white"/>
              </w:rPr>
              <w:t>detaşat</w:t>
            </w:r>
            <w:proofErr w:type="spellEnd"/>
            <w:r>
              <w:rPr>
                <w:rFonts w:ascii="Times New Roman" w:eastAsia="Times New Roman" w:hAnsi="Times New Roman" w:cs="Times New Roman"/>
                <w:highlight w:val="white"/>
              </w:rPr>
              <w:t xml:space="preserve"> care a înaintat o </w:t>
            </w:r>
            <w:proofErr w:type="spellStart"/>
            <w:r>
              <w:rPr>
                <w:rFonts w:ascii="Times New Roman" w:eastAsia="Times New Roman" w:hAnsi="Times New Roman" w:cs="Times New Roman"/>
                <w:highlight w:val="white"/>
              </w:rPr>
              <w:t>acţiune</w:t>
            </w:r>
            <w:proofErr w:type="spellEnd"/>
            <w:r>
              <w:rPr>
                <w:rFonts w:ascii="Times New Roman" w:eastAsia="Times New Roman" w:hAnsi="Times New Roman" w:cs="Times New Roman"/>
                <w:highlight w:val="white"/>
              </w:rPr>
              <w:t xml:space="preserve"> administrativă ori care a depus o plângere la </w:t>
            </w:r>
            <w:proofErr w:type="spellStart"/>
            <w:r>
              <w:rPr>
                <w:rFonts w:ascii="Times New Roman" w:eastAsia="Times New Roman" w:hAnsi="Times New Roman" w:cs="Times New Roman"/>
                <w:highlight w:val="white"/>
              </w:rPr>
              <w:t>instanţele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judecătoreşti</w:t>
            </w:r>
            <w:proofErr w:type="spellEnd"/>
            <w:r>
              <w:rPr>
                <w:rFonts w:ascii="Times New Roman" w:eastAsia="Times New Roman" w:hAnsi="Times New Roman" w:cs="Times New Roman"/>
                <w:highlight w:val="white"/>
              </w:rPr>
              <w:t xml:space="preserve"> competente în vederea aplicării prevederilor Legii privind detașarea salariaților în cadrul prestării de servicii transnaționale, şi după ce hotărârea judecătorească a rămas definitivă;” </w:t>
            </w:r>
          </w:p>
          <w:p w14:paraId="0D71BB77"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Norma vizată reglementează componența contravenției privind încălcarea legislației muncii în domeniul detașării transnaționale a salariaților. În acest sens, constituie o încălcare modificarea unilaterală de către angajator a </w:t>
            </w:r>
            <w:proofErr w:type="spellStart"/>
            <w:r>
              <w:rPr>
                <w:rFonts w:ascii="Times New Roman" w:eastAsia="Times New Roman" w:hAnsi="Times New Roman" w:cs="Times New Roman"/>
                <w:highlight w:val="white"/>
              </w:rPr>
              <w:t>relaţiilor</w:t>
            </w:r>
            <w:proofErr w:type="spellEnd"/>
            <w:r>
              <w:rPr>
                <w:rFonts w:ascii="Times New Roman" w:eastAsia="Times New Roman" w:hAnsi="Times New Roman" w:cs="Times New Roman"/>
                <w:highlight w:val="white"/>
              </w:rPr>
              <w:t xml:space="preserve"> sau a </w:t>
            </w:r>
            <w:proofErr w:type="spellStart"/>
            <w:r>
              <w:rPr>
                <w:rFonts w:ascii="Times New Roman" w:eastAsia="Times New Roman" w:hAnsi="Times New Roman" w:cs="Times New Roman"/>
                <w:highlight w:val="white"/>
              </w:rPr>
              <w:t>condiţiilor</w:t>
            </w:r>
            <w:proofErr w:type="spellEnd"/>
            <w:r>
              <w:rPr>
                <w:rFonts w:ascii="Times New Roman" w:eastAsia="Times New Roman" w:hAnsi="Times New Roman" w:cs="Times New Roman"/>
                <w:highlight w:val="white"/>
              </w:rPr>
              <w:t xml:space="preserve"> de muncă, inclusiv concedierea salariatului </w:t>
            </w:r>
            <w:proofErr w:type="spellStart"/>
            <w:r>
              <w:rPr>
                <w:rFonts w:ascii="Times New Roman" w:eastAsia="Times New Roman" w:hAnsi="Times New Roman" w:cs="Times New Roman"/>
                <w:highlight w:val="white"/>
              </w:rPr>
              <w:t>detaşat</w:t>
            </w:r>
            <w:proofErr w:type="spellEnd"/>
            <w:r>
              <w:rPr>
                <w:rFonts w:ascii="Times New Roman" w:eastAsia="Times New Roman" w:hAnsi="Times New Roman" w:cs="Times New Roman"/>
                <w:highlight w:val="white"/>
              </w:rPr>
              <w:t xml:space="preserve"> care a înaintat o </w:t>
            </w:r>
            <w:proofErr w:type="spellStart"/>
            <w:r>
              <w:rPr>
                <w:rFonts w:ascii="Times New Roman" w:eastAsia="Times New Roman" w:hAnsi="Times New Roman" w:cs="Times New Roman"/>
                <w:highlight w:val="white"/>
              </w:rPr>
              <w:t>acţiune</w:t>
            </w:r>
            <w:proofErr w:type="spellEnd"/>
            <w:r>
              <w:rPr>
                <w:rFonts w:ascii="Times New Roman" w:eastAsia="Times New Roman" w:hAnsi="Times New Roman" w:cs="Times New Roman"/>
                <w:highlight w:val="white"/>
              </w:rPr>
              <w:t xml:space="preserve"> administrativă ori care a depus o plângere la </w:t>
            </w:r>
            <w:proofErr w:type="spellStart"/>
            <w:r>
              <w:rPr>
                <w:rFonts w:ascii="Times New Roman" w:eastAsia="Times New Roman" w:hAnsi="Times New Roman" w:cs="Times New Roman"/>
                <w:highlight w:val="white"/>
              </w:rPr>
              <w:t>instanţele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judecătoreşti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Rermarcăm</w:t>
            </w:r>
            <w:proofErr w:type="spellEnd"/>
            <w:r>
              <w:rPr>
                <w:rFonts w:ascii="Times New Roman" w:eastAsia="Times New Roman" w:hAnsi="Times New Roman" w:cs="Times New Roman"/>
                <w:highlight w:val="white"/>
              </w:rPr>
              <w:t xml:space="preserve"> că legislația națională nu operează cu termeni ca „acțiune administrativă”, fapt care poate genera aplicarea neunitară a normei, precum și interpretarea preferențială sau discreționară în funcție de subiectul vizat. </w:t>
            </w:r>
          </w:p>
          <w:p w14:paraId="5F3170E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Potrivit art. 2, alin. (1) Cod Administrativ: „Prevederile prezentului cod determină statutul juridic al participanților la raporturile administrative, atribuțiile autorităților publice administrative și ale instanțelor de judecată competente pentru examinarea litigiilor de contencios administrativ, drepturile și </w:t>
            </w:r>
            <w:r>
              <w:rPr>
                <w:rFonts w:ascii="Times New Roman" w:eastAsia="Times New Roman" w:hAnsi="Times New Roman" w:cs="Times New Roman"/>
                <w:highlight w:val="white"/>
              </w:rPr>
              <w:lastRenderedPageBreak/>
              <w:t xml:space="preserve">obligațiile participanților în procedura administrativă și cea de contencios administrativ.” Art. 6. alin. (1) Cod Administrativ: „Procedura administrativă este activitatea autorităților publice cu efect în exterior, îndreptată spre examinarea condițiilor, pregătirea și emiterea unui act administrativ individual, spre examinarea condițiilor, pregătirea și încheierea unui contract administrativ sau examinarea condițiilor, pregătirea și întreprinderea unei măsuri strict de autoritate publică.” Art. 20 din Codul administrativ </w:t>
            </w:r>
            <w:proofErr w:type="spellStart"/>
            <w:r>
              <w:rPr>
                <w:rFonts w:ascii="Times New Roman" w:eastAsia="Times New Roman" w:hAnsi="Times New Roman" w:cs="Times New Roman"/>
                <w:highlight w:val="white"/>
              </w:rPr>
              <w:t>reglemenează</w:t>
            </w:r>
            <w:proofErr w:type="spellEnd"/>
            <w:r>
              <w:rPr>
                <w:rFonts w:ascii="Times New Roman" w:eastAsia="Times New Roman" w:hAnsi="Times New Roman" w:cs="Times New Roman"/>
                <w:highlight w:val="white"/>
              </w:rPr>
              <w:t xml:space="preserve"> acțiunea în contencios administrativ: „Dacă printr-o activitate administrativă se încalcă un drept legitim sau o libertate stabilită prin lege, acest drept poate fi revendicat printr-o acțiune în contencios administrativ, cu privire la care decid instanțele de judecată competente pentru examinarea procedurii de contencios administrativ, conform prezentului cod.” </w:t>
            </w:r>
          </w:p>
          <w:p w14:paraId="06C49833"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Potrivit proiectului de lege privind detașarea lucrătorilor în cadrul prestării de servicii: „Articolul 5. Aplicabilitatea detașării transnațională a salariaților (1) Prevederile prezentei legi se aplică: a) întreprinderilor înființate pe teritoriul unui stat membru, altul decât Republica Moldova, sau pe teritoriul </w:t>
            </w:r>
            <w:proofErr w:type="spellStart"/>
            <w:r>
              <w:rPr>
                <w:rFonts w:ascii="Times New Roman" w:eastAsia="Times New Roman" w:hAnsi="Times New Roman" w:cs="Times New Roman"/>
                <w:highlight w:val="white"/>
              </w:rPr>
              <w:t>Confederaţiei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Elveţiene</w:t>
            </w:r>
            <w:proofErr w:type="spellEnd"/>
            <w:r>
              <w:rPr>
                <w:rFonts w:ascii="Times New Roman" w:eastAsia="Times New Roman" w:hAnsi="Times New Roman" w:cs="Times New Roman"/>
                <w:highlight w:val="white"/>
              </w:rPr>
              <w:t xml:space="preserve"> care, în cadrul prestării de servicii </w:t>
            </w:r>
            <w:proofErr w:type="spellStart"/>
            <w:r>
              <w:rPr>
                <w:rFonts w:ascii="Times New Roman" w:eastAsia="Times New Roman" w:hAnsi="Times New Roman" w:cs="Times New Roman"/>
                <w:highlight w:val="white"/>
              </w:rPr>
              <w:t>transnaţionale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detaşează</w:t>
            </w:r>
            <w:proofErr w:type="spellEnd"/>
            <w:r>
              <w:rPr>
                <w:rFonts w:ascii="Times New Roman" w:eastAsia="Times New Roman" w:hAnsi="Times New Roman" w:cs="Times New Roman"/>
                <w:highlight w:val="white"/>
              </w:rPr>
              <w:t xml:space="preserve"> pe teritoriul Republicii Moldova salariaţi cu care au stabilite raporturi de muncă; b) întreprinderilor înființate pe teritoriul Republicii Moldova care, în cadrul prestării de servicii </w:t>
            </w:r>
            <w:proofErr w:type="spellStart"/>
            <w:r>
              <w:rPr>
                <w:rFonts w:ascii="Times New Roman" w:eastAsia="Times New Roman" w:hAnsi="Times New Roman" w:cs="Times New Roman"/>
                <w:highlight w:val="white"/>
              </w:rPr>
              <w:t>transnaţionale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detaşează</w:t>
            </w:r>
            <w:proofErr w:type="spellEnd"/>
            <w:r>
              <w:rPr>
                <w:rFonts w:ascii="Times New Roman" w:eastAsia="Times New Roman" w:hAnsi="Times New Roman" w:cs="Times New Roman"/>
                <w:highlight w:val="white"/>
              </w:rPr>
              <w:t xml:space="preserve">, pe teritoriul unui stat membru, altul decât Republica Moldova, sau pe teritoriul </w:t>
            </w:r>
            <w:proofErr w:type="spellStart"/>
            <w:r>
              <w:rPr>
                <w:rFonts w:ascii="Times New Roman" w:eastAsia="Times New Roman" w:hAnsi="Times New Roman" w:cs="Times New Roman"/>
                <w:highlight w:val="white"/>
              </w:rPr>
              <w:t>Confederaţiei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Elveţiene</w:t>
            </w:r>
            <w:proofErr w:type="spellEnd"/>
            <w:r>
              <w:rPr>
                <w:rFonts w:ascii="Times New Roman" w:eastAsia="Times New Roman" w:hAnsi="Times New Roman" w:cs="Times New Roman"/>
                <w:highlight w:val="white"/>
              </w:rPr>
              <w:t xml:space="preserve">, salariaţi cu care au stabilite raporturi de muncă.” </w:t>
            </w:r>
          </w:p>
          <w:p w14:paraId="3F0F86F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Respectiv, derivând de la faptul că subiect al contravenției pasibil de sancțiune contravențională este persoana juridică și persoana cu funcție de răspundere, iar domeniul de aplicare a legii privind detașarea lucrătorilor în cadrul prestării de servicii nu include autoritățile publice, se constată că aceste raporturi juridice nu pot fi reglementate de prevederile codului administrativ, așa cum nu </w:t>
            </w:r>
            <w:proofErr w:type="spellStart"/>
            <w:r>
              <w:rPr>
                <w:rFonts w:ascii="Times New Roman" w:eastAsia="Times New Roman" w:hAnsi="Times New Roman" w:cs="Times New Roman"/>
                <w:highlight w:val="white"/>
              </w:rPr>
              <w:t>sîntem</w:t>
            </w:r>
            <w:proofErr w:type="spellEnd"/>
            <w:r>
              <w:rPr>
                <w:rFonts w:ascii="Times New Roman" w:eastAsia="Times New Roman" w:hAnsi="Times New Roman" w:cs="Times New Roman"/>
                <w:highlight w:val="white"/>
              </w:rPr>
              <w:t xml:space="preserve"> în prezența unui autorități </w:t>
            </w:r>
            <w:r>
              <w:rPr>
                <w:rFonts w:ascii="Times New Roman" w:eastAsia="Times New Roman" w:hAnsi="Times New Roman" w:cs="Times New Roman"/>
                <w:highlight w:val="white"/>
              </w:rPr>
              <w:lastRenderedPageBreak/>
              <w:t xml:space="preserve">publice, iar obiectul acțiunii nu este legat de o acțiune în contestare, în obligare, în realizare sau în constatare. Consecvent, utilizarea noțiunilor ca „acțiune administrativă” nu este oportună. </w:t>
            </w:r>
          </w:p>
          <w:p w14:paraId="51B877AF"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Pentru a asigura previzibilitatea reglementării și a evita aplicarea discreționară a normei, autorul urmează să facă referire la procedura civilă contencioasă, fapt care va oferi claritate cu privire la întrunirea criteriilor ce interzic modificarea unilaterală de către angajator a relațiilor sau a condițiilor de muncă, inclusiv a concedierii salariatului detașat, atunci când acesta a înaintat o acțiune în instanța de judecată. În sens contrar, invocarea unei proceduri eronate ar putea genera interpretări abuzive cu privire la existența circumstanțelor de fapt privind încălcarea legislației muncii, așa cum nu poate fi constatat cu claritate dacă această acțiunea se consideră înaintată și dacă aceasta întrunește sau nu condițiile de formă și de fond. </w:t>
            </w:r>
          </w:p>
          <w:p w14:paraId="2CD44DE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În lipsa corelării terminologice și raportării corecte la procedurile prevăzute de cadrul legal procesual, norma este </w:t>
            </w:r>
            <w:proofErr w:type="spellStart"/>
            <w:r>
              <w:rPr>
                <w:rFonts w:ascii="Times New Roman" w:eastAsia="Times New Roman" w:hAnsi="Times New Roman" w:cs="Times New Roman"/>
                <w:highlight w:val="white"/>
              </w:rPr>
              <w:t>pasbilă</w:t>
            </w:r>
            <w:proofErr w:type="spellEnd"/>
            <w:r>
              <w:rPr>
                <w:rFonts w:ascii="Times New Roman" w:eastAsia="Times New Roman" w:hAnsi="Times New Roman" w:cs="Times New Roman"/>
                <w:highlight w:val="white"/>
              </w:rPr>
              <w:t xml:space="preserve"> de interpretări discreționare și selective de către agenții constatatori și poate crea incertitudini privind constatarea săvârșirii contravenției, fapt care generează riscuri de corupție. Vizând aceleași riscuri, notăm că, potrivit normelor procesuale, instanța de judecată nu poate fi sesizată prin intermediul unei plângeri, decât în cazurile prevăzute la art. 313 Cod de Procedură Penală, prin urmare, și criteriul privind prohibiția de modificare unilaterală de către angajator a relațiilor sau a condițiilor de muncă în cazul în care salariatul a depus „o plângere în instanța de judecată” este lipsit de claritate. Lipsa criteriilor clare ce interzic un anumit comportament angajatorului în raport cu salariatul detașat prejudiciază drepturile salariatului, așa cum norma ce urmărește sancționarea unui comportament ilegal poartă în mare parte un caracter declarativ. Adițional, lipsa clarității și previzibilității normei poate crea precondiții pentru aplicarea discreționară a acesteia și sancționarea selectivă a contravenienților. </w:t>
            </w:r>
          </w:p>
          <w:p w14:paraId="67BCEB15"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   La caz este relevantă </w:t>
            </w:r>
            <w:proofErr w:type="spellStart"/>
            <w:r>
              <w:rPr>
                <w:rFonts w:ascii="Times New Roman" w:eastAsia="Times New Roman" w:hAnsi="Times New Roman" w:cs="Times New Roman"/>
                <w:highlight w:val="white"/>
              </w:rPr>
              <w:t>jurisprundența</w:t>
            </w:r>
            <w:proofErr w:type="spellEnd"/>
            <w:r>
              <w:rPr>
                <w:rFonts w:ascii="Times New Roman" w:eastAsia="Times New Roman" w:hAnsi="Times New Roman" w:cs="Times New Roman"/>
                <w:highlight w:val="white"/>
              </w:rPr>
              <w:t xml:space="preserve"> Curții Constituționale, care, în Hotărârea nr. 10 din 10.05.2016, a reținut că prin reglementarea </w:t>
            </w:r>
            <w:proofErr w:type="spellStart"/>
            <w:r>
              <w:rPr>
                <w:rFonts w:ascii="Times New Roman" w:eastAsia="Times New Roman" w:hAnsi="Times New Roman" w:cs="Times New Roman"/>
                <w:highlight w:val="white"/>
              </w:rPr>
              <w:t>infracţiunilor</w:t>
            </w:r>
            <w:proofErr w:type="spellEnd"/>
            <w:r>
              <w:rPr>
                <w:rFonts w:ascii="Times New Roman" w:eastAsia="Times New Roman" w:hAnsi="Times New Roman" w:cs="Times New Roman"/>
                <w:highlight w:val="white"/>
              </w:rPr>
              <w:t xml:space="preserve"> şi a pedepselor în materie penală urmează a se </w:t>
            </w:r>
            <w:proofErr w:type="spellStart"/>
            <w:r>
              <w:rPr>
                <w:rFonts w:ascii="Times New Roman" w:eastAsia="Times New Roman" w:hAnsi="Times New Roman" w:cs="Times New Roman"/>
                <w:highlight w:val="white"/>
              </w:rPr>
              <w:t>înţelege</w:t>
            </w:r>
            <w:proofErr w:type="spellEnd"/>
            <w:r>
              <w:rPr>
                <w:rFonts w:ascii="Times New Roman" w:eastAsia="Times New Roman" w:hAnsi="Times New Roman" w:cs="Times New Roman"/>
                <w:highlight w:val="white"/>
              </w:rPr>
              <w:t xml:space="preserve"> şi </w:t>
            </w:r>
            <w:proofErr w:type="spellStart"/>
            <w:r>
              <w:rPr>
                <w:rFonts w:ascii="Times New Roman" w:eastAsia="Times New Roman" w:hAnsi="Times New Roman" w:cs="Times New Roman"/>
                <w:highlight w:val="white"/>
              </w:rPr>
              <w:t>competenţa</w:t>
            </w:r>
            <w:proofErr w:type="spellEnd"/>
            <w:r>
              <w:rPr>
                <w:rFonts w:ascii="Times New Roman" w:eastAsia="Times New Roman" w:hAnsi="Times New Roman" w:cs="Times New Roman"/>
                <w:highlight w:val="white"/>
              </w:rPr>
              <w:t xml:space="preserve"> legislatorului de a reglementa </w:t>
            </w:r>
            <w:proofErr w:type="spellStart"/>
            <w:r>
              <w:rPr>
                <w:rFonts w:ascii="Times New Roman" w:eastAsia="Times New Roman" w:hAnsi="Times New Roman" w:cs="Times New Roman"/>
                <w:highlight w:val="white"/>
              </w:rPr>
              <w:t>contravenţiile</w:t>
            </w:r>
            <w:proofErr w:type="spellEnd"/>
            <w:r>
              <w:rPr>
                <w:rFonts w:ascii="Times New Roman" w:eastAsia="Times New Roman" w:hAnsi="Times New Roman" w:cs="Times New Roman"/>
                <w:highlight w:val="white"/>
              </w:rPr>
              <w:t xml:space="preserve"> şi </w:t>
            </w:r>
            <w:proofErr w:type="spellStart"/>
            <w:r>
              <w:rPr>
                <w:rFonts w:ascii="Times New Roman" w:eastAsia="Times New Roman" w:hAnsi="Times New Roman" w:cs="Times New Roman"/>
                <w:highlight w:val="white"/>
              </w:rPr>
              <w:t>sancţiunile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contravenţionale</w:t>
            </w:r>
            <w:proofErr w:type="spellEnd"/>
            <w:r>
              <w:rPr>
                <w:rFonts w:ascii="Times New Roman" w:eastAsia="Times New Roman" w:hAnsi="Times New Roman" w:cs="Times New Roman"/>
                <w:highlight w:val="white"/>
              </w:rPr>
              <w:t xml:space="preserve">. Legea </w:t>
            </w:r>
            <w:proofErr w:type="spellStart"/>
            <w:r>
              <w:rPr>
                <w:rFonts w:ascii="Times New Roman" w:eastAsia="Times New Roman" w:hAnsi="Times New Roman" w:cs="Times New Roman"/>
                <w:highlight w:val="white"/>
              </w:rPr>
              <w:t>contravenţională</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conţine</w:t>
            </w:r>
            <w:proofErr w:type="spellEnd"/>
            <w:r>
              <w:rPr>
                <w:rFonts w:ascii="Times New Roman" w:eastAsia="Times New Roman" w:hAnsi="Times New Roman" w:cs="Times New Roman"/>
                <w:highlight w:val="white"/>
              </w:rPr>
              <w:t xml:space="preserve"> prevederi care denotă de fapt natura penală a </w:t>
            </w:r>
            <w:proofErr w:type="spellStart"/>
            <w:r>
              <w:rPr>
                <w:rFonts w:ascii="Times New Roman" w:eastAsia="Times New Roman" w:hAnsi="Times New Roman" w:cs="Times New Roman"/>
                <w:highlight w:val="white"/>
              </w:rPr>
              <w:t>contravenţiilor</w:t>
            </w:r>
            <w:proofErr w:type="spellEnd"/>
            <w:r>
              <w:rPr>
                <w:rFonts w:ascii="Times New Roman" w:eastAsia="Times New Roman" w:hAnsi="Times New Roman" w:cs="Times New Roman"/>
                <w:highlight w:val="white"/>
              </w:rPr>
              <w:t xml:space="preserve"> (§ 47). Pornind de la </w:t>
            </w:r>
            <w:proofErr w:type="spellStart"/>
            <w:r>
              <w:rPr>
                <w:rFonts w:ascii="Times New Roman" w:eastAsia="Times New Roman" w:hAnsi="Times New Roman" w:cs="Times New Roman"/>
                <w:highlight w:val="white"/>
              </w:rPr>
              <w:t>raţionamentele</w:t>
            </w:r>
            <w:proofErr w:type="spellEnd"/>
            <w:r>
              <w:rPr>
                <w:rFonts w:ascii="Times New Roman" w:eastAsia="Times New Roman" w:hAnsi="Times New Roman" w:cs="Times New Roman"/>
                <w:highlight w:val="white"/>
              </w:rPr>
              <w:t xml:space="preserve"> invocate în cauza </w:t>
            </w:r>
            <w:proofErr w:type="spellStart"/>
            <w:r>
              <w:rPr>
                <w:rFonts w:ascii="Times New Roman" w:eastAsia="Times New Roman" w:hAnsi="Times New Roman" w:cs="Times New Roman"/>
                <w:highlight w:val="white"/>
              </w:rPr>
              <w:t>Ziliberberg</w:t>
            </w:r>
            <w:proofErr w:type="spellEnd"/>
            <w:r>
              <w:rPr>
                <w:rFonts w:ascii="Times New Roman" w:eastAsia="Times New Roman" w:hAnsi="Times New Roman" w:cs="Times New Roman"/>
                <w:highlight w:val="white"/>
              </w:rPr>
              <w:t xml:space="preserve"> v. Moldova din 1 februarie 2005, Curtea a constatat că caracterul general al legii </w:t>
            </w:r>
            <w:proofErr w:type="spellStart"/>
            <w:r>
              <w:rPr>
                <w:rFonts w:ascii="Times New Roman" w:eastAsia="Times New Roman" w:hAnsi="Times New Roman" w:cs="Times New Roman"/>
                <w:highlight w:val="white"/>
              </w:rPr>
              <w:t>contravenţionale</w:t>
            </w:r>
            <w:proofErr w:type="spellEnd"/>
            <w:r>
              <w:rPr>
                <w:rFonts w:ascii="Times New Roman" w:eastAsia="Times New Roman" w:hAnsi="Times New Roman" w:cs="Times New Roman"/>
                <w:highlight w:val="white"/>
              </w:rPr>
              <w:t xml:space="preserve"> şi scopul pedepsei, care este atât de a pedepsi, cât şi de a preveni, sunt suficiente pentru a arăta că sunt aplicabile principii similare celor două legi: </w:t>
            </w:r>
            <w:proofErr w:type="spellStart"/>
            <w:r>
              <w:rPr>
                <w:rFonts w:ascii="Times New Roman" w:eastAsia="Times New Roman" w:hAnsi="Times New Roman" w:cs="Times New Roman"/>
                <w:highlight w:val="white"/>
              </w:rPr>
              <w:t>contravenţională</w:t>
            </w:r>
            <w:proofErr w:type="spellEnd"/>
            <w:r>
              <w:rPr>
                <w:rFonts w:ascii="Times New Roman" w:eastAsia="Times New Roman" w:hAnsi="Times New Roman" w:cs="Times New Roman"/>
                <w:highlight w:val="white"/>
              </w:rPr>
              <w:t xml:space="preserve"> şi penală (§ 48). </w:t>
            </w:r>
          </w:p>
          <w:p w14:paraId="55937ADD"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În Hotărârea nr. 39 din 21.12.2021, Curtea a stabilit: „</w:t>
            </w:r>
            <w:proofErr w:type="spellStart"/>
            <w:r>
              <w:rPr>
                <w:rFonts w:ascii="Times New Roman" w:eastAsia="Times New Roman" w:hAnsi="Times New Roman" w:cs="Times New Roman"/>
                <w:highlight w:val="white"/>
              </w:rPr>
              <w:t>condiţia</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clarităţii</w:t>
            </w:r>
            <w:proofErr w:type="spellEnd"/>
            <w:r>
              <w:rPr>
                <w:rFonts w:ascii="Times New Roman" w:eastAsia="Times New Roman" w:hAnsi="Times New Roman" w:cs="Times New Roman"/>
                <w:highlight w:val="white"/>
              </w:rPr>
              <w:t xml:space="preserve"> şi a </w:t>
            </w:r>
            <w:proofErr w:type="spellStart"/>
            <w:r>
              <w:rPr>
                <w:rFonts w:ascii="Times New Roman" w:eastAsia="Times New Roman" w:hAnsi="Times New Roman" w:cs="Times New Roman"/>
                <w:highlight w:val="white"/>
              </w:rPr>
              <w:t>previzibilităţii</w:t>
            </w:r>
            <w:proofErr w:type="spellEnd"/>
            <w:r>
              <w:rPr>
                <w:rFonts w:ascii="Times New Roman" w:eastAsia="Times New Roman" w:hAnsi="Times New Roman" w:cs="Times New Roman"/>
                <w:highlight w:val="white"/>
              </w:rPr>
              <w:t xml:space="preserve"> este îndeplinită atunci când </w:t>
            </w:r>
            <w:proofErr w:type="spellStart"/>
            <w:r>
              <w:rPr>
                <w:rFonts w:ascii="Times New Roman" w:eastAsia="Times New Roman" w:hAnsi="Times New Roman" w:cs="Times New Roman"/>
                <w:highlight w:val="white"/>
              </w:rPr>
              <w:t>justiţiabilul</w:t>
            </w:r>
            <w:proofErr w:type="spellEnd"/>
            <w:r>
              <w:rPr>
                <w:rFonts w:ascii="Times New Roman" w:eastAsia="Times New Roman" w:hAnsi="Times New Roman" w:cs="Times New Roman"/>
                <w:highlight w:val="white"/>
              </w:rPr>
              <w:t xml:space="preserve"> poate </w:t>
            </w:r>
            <w:proofErr w:type="spellStart"/>
            <w:r>
              <w:rPr>
                <w:rFonts w:ascii="Times New Roman" w:eastAsia="Times New Roman" w:hAnsi="Times New Roman" w:cs="Times New Roman"/>
                <w:highlight w:val="white"/>
              </w:rPr>
              <w:t>cunoaşte</w:t>
            </w:r>
            <w:proofErr w:type="spellEnd"/>
            <w:r>
              <w:rPr>
                <w:rFonts w:ascii="Times New Roman" w:eastAsia="Times New Roman" w:hAnsi="Times New Roman" w:cs="Times New Roman"/>
                <w:highlight w:val="white"/>
              </w:rPr>
              <w:t xml:space="preserve">, din chiar textul normei juridice pertinente, iar la nevoie cu ajutorul interpretării acesteia de către </w:t>
            </w:r>
            <w:proofErr w:type="spellStart"/>
            <w:r>
              <w:rPr>
                <w:rFonts w:ascii="Times New Roman" w:eastAsia="Times New Roman" w:hAnsi="Times New Roman" w:cs="Times New Roman"/>
                <w:highlight w:val="white"/>
              </w:rPr>
              <w:t>instanţe</w:t>
            </w:r>
            <w:proofErr w:type="spellEnd"/>
            <w:r>
              <w:rPr>
                <w:rFonts w:ascii="Times New Roman" w:eastAsia="Times New Roman" w:hAnsi="Times New Roman" w:cs="Times New Roman"/>
                <w:highlight w:val="white"/>
              </w:rPr>
              <w:t xml:space="preserve"> sau cu ajutorul unor </w:t>
            </w:r>
            <w:proofErr w:type="spellStart"/>
            <w:r>
              <w:rPr>
                <w:rFonts w:ascii="Times New Roman" w:eastAsia="Times New Roman" w:hAnsi="Times New Roman" w:cs="Times New Roman"/>
                <w:highlight w:val="white"/>
              </w:rPr>
              <w:t>jurişti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profesionişti</w:t>
            </w:r>
            <w:proofErr w:type="spellEnd"/>
            <w:r>
              <w:rPr>
                <w:rFonts w:ascii="Times New Roman" w:eastAsia="Times New Roman" w:hAnsi="Times New Roman" w:cs="Times New Roman"/>
                <w:highlight w:val="white"/>
              </w:rPr>
              <w:t xml:space="preserve">, care sunt </w:t>
            </w:r>
            <w:proofErr w:type="spellStart"/>
            <w:r>
              <w:rPr>
                <w:rFonts w:ascii="Times New Roman" w:eastAsia="Times New Roman" w:hAnsi="Times New Roman" w:cs="Times New Roman"/>
                <w:highlight w:val="white"/>
              </w:rPr>
              <w:t>acţiunile</w:t>
            </w:r>
            <w:proofErr w:type="spellEnd"/>
            <w:r>
              <w:rPr>
                <w:rFonts w:ascii="Times New Roman" w:eastAsia="Times New Roman" w:hAnsi="Times New Roman" w:cs="Times New Roman"/>
                <w:highlight w:val="white"/>
              </w:rPr>
              <w:t xml:space="preserve"> şi omisiunile ce-i pot angaja răspunderea penală şi care este pedeapsa care îi poate fi aplicată, în cazul încălcării unei norme (</w:t>
            </w:r>
            <w:proofErr w:type="spellStart"/>
            <w:r>
              <w:rPr>
                <w:rFonts w:ascii="Times New Roman" w:eastAsia="Times New Roman" w:hAnsi="Times New Roman" w:cs="Times New Roman"/>
                <w:highlight w:val="white"/>
              </w:rPr>
              <w:t>Koprivnikar</w:t>
            </w:r>
            <w:proofErr w:type="spellEnd"/>
            <w:r>
              <w:rPr>
                <w:rFonts w:ascii="Times New Roman" w:eastAsia="Times New Roman" w:hAnsi="Times New Roman" w:cs="Times New Roman"/>
                <w:highlight w:val="white"/>
              </w:rPr>
              <w:t xml:space="preserve"> v. Slovenia, 24 ianuarie 2017, § 47).” </w:t>
            </w:r>
          </w:p>
          <w:p w14:paraId="15DD6241"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Se recomandă: i) Substituirea cuvântului „administrativă” cu „civilă”; ii) Substituirea „instanțele judecătorești” cu „organele”. </w:t>
            </w:r>
          </w:p>
          <w:p w14:paraId="690F15A7" w14:textId="77777777" w:rsidR="00E114BB" w:rsidRDefault="00E114BB">
            <w:pPr>
              <w:spacing w:line="240" w:lineRule="auto"/>
              <w:jc w:val="both"/>
              <w:rPr>
                <w:rFonts w:ascii="Times New Roman" w:eastAsia="Times New Roman" w:hAnsi="Times New Roman" w:cs="Times New Roman"/>
                <w:highlight w:val="white"/>
              </w:rPr>
            </w:pPr>
          </w:p>
          <w:p w14:paraId="02BE90CC" w14:textId="77777777" w:rsidR="00E114BB" w:rsidRDefault="00E114BB">
            <w:pPr>
              <w:spacing w:line="240" w:lineRule="auto"/>
              <w:jc w:val="both"/>
              <w:rPr>
                <w:rFonts w:ascii="Times New Roman" w:eastAsia="Times New Roman" w:hAnsi="Times New Roman" w:cs="Times New Roman"/>
                <w:highlight w:val="white"/>
              </w:rPr>
            </w:pPr>
          </w:p>
          <w:p w14:paraId="63C58F84" w14:textId="77777777" w:rsidR="00E114BB" w:rsidRDefault="00E114BB">
            <w:pPr>
              <w:spacing w:line="240" w:lineRule="auto"/>
              <w:jc w:val="both"/>
              <w:rPr>
                <w:rFonts w:ascii="Times New Roman" w:eastAsia="Times New Roman" w:hAnsi="Times New Roman" w:cs="Times New Roman"/>
                <w:highlight w:val="white"/>
              </w:rPr>
            </w:pPr>
          </w:p>
          <w:p w14:paraId="2D1F97A5" w14:textId="77777777" w:rsidR="00E114BB" w:rsidRDefault="00E114BB">
            <w:pPr>
              <w:spacing w:line="240" w:lineRule="auto"/>
              <w:jc w:val="both"/>
              <w:rPr>
                <w:rFonts w:ascii="Times New Roman" w:eastAsia="Times New Roman" w:hAnsi="Times New Roman" w:cs="Times New Roman"/>
                <w:highlight w:val="white"/>
              </w:rPr>
            </w:pPr>
          </w:p>
          <w:p w14:paraId="30095382" w14:textId="77777777" w:rsidR="00E114BB" w:rsidRDefault="00E114BB">
            <w:pPr>
              <w:spacing w:line="240" w:lineRule="auto"/>
              <w:jc w:val="both"/>
              <w:rPr>
                <w:rFonts w:ascii="Times New Roman" w:eastAsia="Times New Roman" w:hAnsi="Times New Roman" w:cs="Times New Roman"/>
                <w:highlight w:val="white"/>
              </w:rPr>
            </w:pPr>
          </w:p>
        </w:tc>
        <w:tc>
          <w:tcPr>
            <w:tcW w:w="5880" w:type="dxa"/>
          </w:tcPr>
          <w:p w14:paraId="70D56F66"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 xml:space="preserve"> Se acceptă.</w:t>
            </w:r>
          </w:p>
          <w:p w14:paraId="471F9FB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Observația este întemeiată. În vederea asigurării clarității, previzibilității și aplicării uniforme a normei contravenționale, textul art. 55/6 alin. (1) lit. a) va fi revizuit prin corelarea terminologiei utilizate cu cadrul normativ procesual național aplicabil. În acest sens, cuvântul „administrativă” va fi substituit cu cuvântul „civilă”, iar sintagma „instanțele judecătorești” va fi substituită conform propunerii formulate în aviz.</w:t>
            </w:r>
          </w:p>
          <w:p w14:paraId="233E9BC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Intervenția este necesară pentru a exclude eventualele interpretări neuniforme privind procedurile prin care salariatul detașat își valorifică drepturile și pentru a evita aplicarea discreționară a normei de către agenții constatatori.</w:t>
            </w:r>
          </w:p>
          <w:p w14:paraId="33EADD8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55/6 alin. (1) lit. a) va fi expus în următoarea redacție:</w:t>
            </w:r>
          </w:p>
          <w:p w14:paraId="5441AC1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Încălcarea legislației muncii, în domeniul detașării transnaționale a salariaților, manifestată prin:</w:t>
            </w:r>
          </w:p>
          <w:p w14:paraId="767471C1"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modificarea unilaterală de către angajator a </w:t>
            </w:r>
            <w:proofErr w:type="spellStart"/>
            <w:r>
              <w:rPr>
                <w:rFonts w:ascii="Times New Roman" w:eastAsia="Times New Roman" w:hAnsi="Times New Roman" w:cs="Times New Roman"/>
                <w:highlight w:val="white"/>
              </w:rPr>
              <w:t>relaţiilor</w:t>
            </w:r>
            <w:proofErr w:type="spellEnd"/>
            <w:r>
              <w:rPr>
                <w:rFonts w:ascii="Times New Roman" w:eastAsia="Times New Roman" w:hAnsi="Times New Roman" w:cs="Times New Roman"/>
                <w:highlight w:val="white"/>
              </w:rPr>
              <w:t xml:space="preserve"> sau a </w:t>
            </w:r>
            <w:proofErr w:type="spellStart"/>
            <w:r>
              <w:rPr>
                <w:rFonts w:ascii="Times New Roman" w:eastAsia="Times New Roman" w:hAnsi="Times New Roman" w:cs="Times New Roman"/>
                <w:highlight w:val="white"/>
              </w:rPr>
              <w:t>condiţiilor</w:t>
            </w:r>
            <w:proofErr w:type="spellEnd"/>
            <w:r>
              <w:rPr>
                <w:rFonts w:ascii="Times New Roman" w:eastAsia="Times New Roman" w:hAnsi="Times New Roman" w:cs="Times New Roman"/>
                <w:highlight w:val="white"/>
              </w:rPr>
              <w:t xml:space="preserve"> de muncă, inclusiv concedierea </w:t>
            </w:r>
            <w:proofErr w:type="spellStart"/>
            <w:r>
              <w:rPr>
                <w:rFonts w:ascii="Times New Roman" w:eastAsia="Times New Roman" w:hAnsi="Times New Roman" w:cs="Times New Roman"/>
                <w:highlight w:val="white"/>
              </w:rPr>
              <w:t>lurătorului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detaşat</w:t>
            </w:r>
            <w:proofErr w:type="spellEnd"/>
            <w:r>
              <w:rPr>
                <w:rFonts w:ascii="Times New Roman" w:eastAsia="Times New Roman" w:hAnsi="Times New Roman" w:cs="Times New Roman"/>
                <w:highlight w:val="white"/>
              </w:rPr>
              <w:t xml:space="preserve"> care a înaintat o </w:t>
            </w:r>
            <w:proofErr w:type="spellStart"/>
            <w:r>
              <w:rPr>
                <w:rFonts w:ascii="Times New Roman" w:eastAsia="Times New Roman" w:hAnsi="Times New Roman" w:cs="Times New Roman"/>
                <w:highlight w:val="white"/>
              </w:rPr>
              <w:t>acţiune</w:t>
            </w:r>
            <w:proofErr w:type="spellEnd"/>
            <w:r>
              <w:rPr>
                <w:rFonts w:ascii="Times New Roman" w:eastAsia="Times New Roman" w:hAnsi="Times New Roman" w:cs="Times New Roman"/>
                <w:highlight w:val="white"/>
              </w:rPr>
              <w:t xml:space="preserve"> civilă ori care a depus o plângere la organele competente în vederea aplicării prevederilor Legii </w:t>
            </w:r>
            <w:r>
              <w:rPr>
                <w:rFonts w:ascii="Times New Roman" w:eastAsia="Times New Roman" w:hAnsi="Times New Roman" w:cs="Times New Roman"/>
                <w:highlight w:val="white"/>
              </w:rPr>
              <w:lastRenderedPageBreak/>
              <w:t>privind detașarea lucrătorilor în cadrul prestării de servicii, şi după ce hotărârea judecătorească a rămas definitivă;</w:t>
            </w:r>
          </w:p>
          <w:p w14:paraId="6C3CF32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949B4C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431C0E89" w14:textId="77777777">
        <w:trPr>
          <w:trHeight w:val="600"/>
        </w:trPr>
        <w:tc>
          <w:tcPr>
            <w:tcW w:w="15015" w:type="dxa"/>
            <w:gridSpan w:val="4"/>
          </w:tcPr>
          <w:p w14:paraId="3FBFFB64"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center"/>
              <w:rPr>
                <w:rFonts w:ascii="Times New Roman" w:eastAsia="Times New Roman" w:hAnsi="Times New Roman" w:cs="Times New Roman"/>
                <w:highlight w:val="white"/>
              </w:rPr>
            </w:pPr>
            <w:r>
              <w:rPr>
                <w:rFonts w:ascii="Times New Roman" w:eastAsia="Times New Roman" w:hAnsi="Times New Roman" w:cs="Times New Roman"/>
                <w:b/>
                <w:bCs/>
              </w:rPr>
              <w:lastRenderedPageBreak/>
              <w:t>Consultări publice</w:t>
            </w:r>
          </w:p>
        </w:tc>
      </w:tr>
      <w:tr w:rsidR="00E114BB" w14:paraId="52AF24AE" w14:textId="77777777">
        <w:trPr>
          <w:trHeight w:val="600"/>
        </w:trPr>
        <w:tc>
          <w:tcPr>
            <w:tcW w:w="555" w:type="dxa"/>
            <w:vMerge w:val="restart"/>
          </w:tcPr>
          <w:p w14:paraId="26666421" w14:textId="77777777" w:rsidR="00E114BB"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22</w:t>
            </w:r>
          </w:p>
        </w:tc>
        <w:tc>
          <w:tcPr>
            <w:tcW w:w="2700" w:type="dxa"/>
            <w:vMerge w:val="restart"/>
          </w:tcPr>
          <w:p w14:paraId="411C0EF8"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EBA Moldova</w:t>
            </w:r>
          </w:p>
          <w:p w14:paraId="6C7716C9"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24-26/SD </w:t>
            </w:r>
          </w:p>
          <w:p w14:paraId="2FB1FCEE" w14:textId="77777777" w:rsidR="00E114BB"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13.03.206</w:t>
            </w:r>
          </w:p>
        </w:tc>
        <w:tc>
          <w:tcPr>
            <w:tcW w:w="5880" w:type="dxa"/>
          </w:tcPr>
          <w:p w14:paraId="5A40FD1E"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 5 lit. g) din proiect</w:t>
            </w:r>
          </w:p>
          <w:p w14:paraId="0A3B4CC1"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1FFC4E53" w14:textId="77777777" w:rsidR="00E114BB"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rPr>
              <w:t xml:space="preserve">Menținerea versiunii actuale a art. 5 lit. g) din Codul muncii actual; </w:t>
            </w:r>
          </w:p>
          <w:p w14:paraId="2D558133"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444A3A19"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lastRenderedPageBreak/>
              <w:t xml:space="preserve">Modificarea propusă la art. 5 lit. g), prin care textul actual este substituit cu formularea generală „de tratament după cum este descris la art. 8 din prezentul Cod”, conduce la eliminarea garanțiilor legale exprese existente și la înlocuirea acestora cu o normă de trimitere cu caracter general. </w:t>
            </w:r>
          </w:p>
          <w:p w14:paraId="6EA3B03D"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Secund, se remarcă, în mod special, că substituirea textului art. 5 lit. g) cu o formulare generală determină suprapunerea acestuia cu principiul prevăzut la lit. b¹) și e), care consacră deja interzicerea discriminării și egalitatea de tratament în raporturile de muncă. </w:t>
            </w:r>
          </w:p>
          <w:p w14:paraId="18AD083A" w14:textId="77777777" w:rsidR="00E114BB" w:rsidRDefault="00000000">
            <w:pPr>
              <w:spacing w:line="240" w:lineRule="auto"/>
              <w:ind w:firstLine="567"/>
              <w:jc w:val="both"/>
              <w:rPr>
                <w:rFonts w:ascii="Times New Roman" w:eastAsia="Times New Roman" w:hAnsi="Times New Roman" w:cs="Times New Roman"/>
                <w:highlight w:val="white"/>
              </w:rPr>
            </w:pPr>
            <w:r>
              <w:rPr>
                <w:rFonts w:ascii="Times New Roman" w:eastAsia="Times New Roman" w:hAnsi="Times New Roman" w:cs="Times New Roman"/>
              </w:rPr>
              <w:t xml:space="preserve">Or, în redacția actuală, lit. g) reglementează un aspect distinct, și anume aplicarea principiului egalității în materia avansării în serviciu și a formării profesionale. Eliminarea acestor elemente conduce la lipsirea lit. g) de conținut normativ propriu și la transformarea acesteia într-o reiterare a principiilor deja consacrate. În redacția în vigoare, art. 5 lit. g) consacră în mod explicit dreptul salariaților la egalitate de tratament la avansare în serviciu și la formare profesională, indicând totodată criteriile obiective care urmează a fi luate în considerare, precum productivitatea muncii, calificarea și vechimea în muncă în specialitate. Aceste elemente conferă normei un conținut normativ clar și previzibil și constituie garanții juridice concrete pentru salariați. </w:t>
            </w:r>
          </w:p>
          <w:p w14:paraId="41215A7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Substituirea acestui text cu o formulare generală, care face trimitere la art. 8, are ca efect eliminarea acestor garanții exprese și transformarea principiului într-o normă declarativă, lipsită de conținut normativ propriu. În aceste condiții, modificarea propusă nu doar că nu adaugă valoare normativă, dar conduce la pierderea unor reglementări explicite existente, ceea ce afectează </w:t>
            </w:r>
          </w:p>
          <w:p w14:paraId="3799107A"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accesibilitatea și previzibilitatea normei. </w:t>
            </w:r>
          </w:p>
          <w:p w14:paraId="0619F27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Proiectul elimină criteriile obiective existente (productivitate, calificare, vechime). Această modificare: </w:t>
            </w:r>
          </w:p>
          <w:p w14:paraId="2C77600D" w14:textId="77777777" w:rsidR="00E114BB"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reduce transparența deciziilor de carieră </w:t>
            </w:r>
          </w:p>
          <w:p w14:paraId="7AAC9BA0" w14:textId="77777777" w:rsidR="00E114BB"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diminuează garanțiile împotriva discriminării la promovare </w:t>
            </w:r>
          </w:p>
          <w:p w14:paraId="4ADB3F36" w14:textId="77777777" w:rsidR="00E114BB"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lastRenderedPageBreak/>
              <w:t xml:space="preserve">transformă articolul într-o simplă normă declarativă, fără conținut normativ propriu </w:t>
            </w:r>
          </w:p>
          <w:p w14:paraId="5814DEA5" w14:textId="77777777" w:rsidR="00E114BB"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suprapune lit. g) peste principiile deja existente la art. 8, făcând norma inutilă. </w:t>
            </w:r>
          </w:p>
          <w:p w14:paraId="33AE4C9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se recomandă menținerea redacției actuale a art. 5 lit. g), întrucât aceasta asigură o reglementare clară și completă a principiului egalității salariaților în materia avansării în serviciu și a formării profesionale. </w:t>
            </w:r>
          </w:p>
        </w:tc>
        <w:tc>
          <w:tcPr>
            <w:tcW w:w="5880" w:type="dxa"/>
          </w:tcPr>
          <w:p w14:paraId="40BCFED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bCs/>
                <w:highlight w:val="white"/>
              </w:rPr>
              <w:lastRenderedPageBreak/>
              <w:t>Se acceptă.</w:t>
            </w:r>
          </w:p>
          <w:p w14:paraId="2D8A6577" w14:textId="77777777" w:rsidR="00E114BB"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5 literele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și e) vor avea următorul cuprins:</w:t>
            </w:r>
          </w:p>
          <w:p w14:paraId="31633F67"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interzicerea discriminării în temeiul criteriilor protejate, a violenței și a hărțuirii de orice natură în cadrul  raporturilor de muncă și a altor raporturi legate nemijlocit de acestea;</w:t>
            </w:r>
          </w:p>
          <w:p w14:paraId="47841C99"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 egalitatea în drepturi şi în </w:t>
            </w:r>
            <w:proofErr w:type="spellStart"/>
            <w:r>
              <w:rPr>
                <w:rFonts w:ascii="Times New Roman" w:eastAsia="Times New Roman" w:hAnsi="Times New Roman" w:cs="Times New Roman"/>
                <w:highlight w:val="white"/>
              </w:rPr>
              <w:t>posibilităţi</w:t>
            </w:r>
            <w:proofErr w:type="spellEnd"/>
            <w:r>
              <w:rPr>
                <w:rFonts w:ascii="Times New Roman" w:eastAsia="Times New Roman" w:hAnsi="Times New Roman" w:cs="Times New Roman"/>
                <w:highlight w:val="white"/>
              </w:rPr>
              <w:t xml:space="preserve"> a salariaţilor în cadrul raporturilor de muncă și a altor raporturi legate nemijlocit de acestea;”</w:t>
            </w:r>
          </w:p>
          <w:p w14:paraId="3249ECAE" w14:textId="77777777" w:rsidR="00E114BB" w:rsidRDefault="00E114BB">
            <w:pPr>
              <w:shd w:val="clear" w:color="auto" w:fill="FFFFFF"/>
              <w:ind w:firstLine="680"/>
              <w:jc w:val="both"/>
              <w:rPr>
                <w:rFonts w:ascii="Times New Roman" w:eastAsia="Times New Roman" w:hAnsi="Times New Roman" w:cs="Times New Roman"/>
                <w:highlight w:val="white"/>
              </w:rPr>
            </w:pPr>
          </w:p>
          <w:p w14:paraId="5909938B"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Așadar, se omite modificarea art. 5 lit. g) din redacția proiectului. </w:t>
            </w:r>
          </w:p>
          <w:p w14:paraId="5F6E2E8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0FB2A7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E98C6A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60A1A6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CA3FFE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A9CAE2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7D331B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C262D5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FA72F5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BD0CFD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4C12DE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20B2B3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184F80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52CF13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82F042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EBE397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53BF30FB" w14:textId="77777777">
        <w:trPr>
          <w:trHeight w:val="600"/>
        </w:trPr>
        <w:tc>
          <w:tcPr>
            <w:tcW w:w="555" w:type="dxa"/>
            <w:vMerge/>
          </w:tcPr>
          <w:p w14:paraId="241F059F" w14:textId="77777777" w:rsidR="00E114BB" w:rsidRDefault="00E114BB">
            <w:pPr>
              <w:widowControl w:val="0"/>
              <w:rPr>
                <w:rFonts w:ascii="Times New Roman" w:eastAsia="Times New Roman" w:hAnsi="Times New Roman" w:cs="Times New Roman"/>
                <w:highlight w:val="white"/>
              </w:rPr>
            </w:pPr>
          </w:p>
        </w:tc>
        <w:tc>
          <w:tcPr>
            <w:tcW w:w="2700" w:type="dxa"/>
            <w:vMerge/>
          </w:tcPr>
          <w:p w14:paraId="55277981" w14:textId="77777777" w:rsidR="00E114BB" w:rsidRDefault="00E114BB">
            <w:pPr>
              <w:widowControl w:val="0"/>
              <w:rPr>
                <w:rFonts w:ascii="Times New Roman" w:eastAsia="Times New Roman" w:hAnsi="Times New Roman" w:cs="Times New Roman"/>
                <w:highlight w:val="white"/>
              </w:rPr>
            </w:pPr>
          </w:p>
        </w:tc>
        <w:tc>
          <w:tcPr>
            <w:tcW w:w="5880" w:type="dxa"/>
          </w:tcPr>
          <w:p w14:paraId="666D3469"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 8 alin. (1</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w:t>
            </w:r>
          </w:p>
          <w:p w14:paraId="0680853A"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0B83B6D3"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Propunem modificarea după cum urmează: „c) condițiile de încadrare în muncă, condițiile de muncă și de remunerare, inclusiv condițiile de concediere;”. </w:t>
            </w:r>
          </w:p>
          <w:p w14:paraId="57096B55"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1F677BF0"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Sintagma „inclusiv organismelor publice” din conținutul (11) art. 8 și lit. c) din același alineat propus spre modificare </w:t>
            </w:r>
          </w:p>
          <w:p w14:paraId="600A7AC8"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La alin. (11), utilizarea sintagmei „inclusiv organismelor publice” conține o suprapunere terminologică cu sintagma „atât în sectorul public” utilizată în același alineat, fapt care afectează claritatea normei.</w:t>
            </w:r>
          </w:p>
          <w:p w14:paraId="0D152745"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Astfel, noțiunea de „sector public” include, prin definiție, autoritățile și instituțiile publice, precum și alte entități care desfășoară activitate în sfera publică. În aceste condiții, menționarea distinctă a „organismelor publice” după referirea la „sectorul public” apare ca fiind redundantă, întrucât acestea sunt deja cuprinse în această categorie. </w:t>
            </w:r>
          </w:p>
          <w:p w14:paraId="7F904905"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Totodată, utilizarea sintagmei „organismelor publice”, pe lângă caracterul redundant, introduce o noțiune care nu este consacrată în mod obișnuit în legislația națională, ceea ce poate genera incertitudini de interpretare. </w:t>
            </w:r>
          </w:p>
          <w:p w14:paraId="5D4E458B"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completarea respectivă nu adaugă valoare normativă, ci, dimpotrivă, creează o formulare supradimensionată și neuniformă din punct de vedere </w:t>
            </w:r>
            <w:r>
              <w:rPr>
                <w:rFonts w:ascii="Times New Roman" w:eastAsia="Times New Roman" w:hAnsi="Times New Roman" w:cs="Times New Roman"/>
              </w:rPr>
              <w:lastRenderedPageBreak/>
              <w:t xml:space="preserve">terminologic iar în acest sens se propune excluderea sintagmei „inclusiv organismelor publice”. </w:t>
            </w:r>
          </w:p>
          <w:p w14:paraId="1ECEC1B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La fel, mai consemnăm faptul că, sub aspect de tehnică legislativă, urmează ca lit. c) din alin. (11) să fie redactată în sensul asigurării unei cronologii corespunzătoare a raporturilor de muncă. </w:t>
            </w:r>
          </w:p>
          <w:p w14:paraId="7CEB13C6" w14:textId="77777777" w:rsidR="00E114BB" w:rsidRDefault="00000000">
            <w:pPr>
              <w:spacing w:line="240" w:lineRule="auto"/>
              <w:ind w:firstLine="567"/>
              <w:jc w:val="both"/>
              <w:rPr>
                <w:rFonts w:ascii="Times New Roman" w:eastAsia="Times New Roman" w:hAnsi="Times New Roman" w:cs="Times New Roman"/>
                <w:highlight w:val="white"/>
              </w:rPr>
            </w:pPr>
            <w:r>
              <w:rPr>
                <w:rFonts w:ascii="Times New Roman" w:eastAsia="Times New Roman" w:hAnsi="Times New Roman" w:cs="Times New Roman"/>
              </w:rPr>
              <w:t xml:space="preserve">Formularea actuală introduce „condițiile de </w:t>
            </w:r>
            <w:r>
              <w:rPr>
                <w:rFonts w:ascii="Times New Roman" w:eastAsia="Times New Roman" w:hAnsi="Times New Roman" w:cs="Times New Roman"/>
                <w:i/>
                <w:iCs/>
              </w:rPr>
              <w:t xml:space="preserve">concediere” înainte de „remunerare”, deși </w:t>
            </w:r>
            <w:r>
              <w:rPr>
                <w:rFonts w:ascii="Times New Roman" w:eastAsia="Times New Roman" w:hAnsi="Times New Roman" w:cs="Times New Roman"/>
              </w:rPr>
              <w:t xml:space="preserve">remunerarea aparține fazei de executare, iar concedierea fazei finale. </w:t>
            </w:r>
          </w:p>
        </w:tc>
        <w:tc>
          <w:tcPr>
            <w:tcW w:w="5880" w:type="dxa"/>
          </w:tcPr>
          <w:p w14:paraId="616281E6" w14:textId="77777777" w:rsidR="00E114BB" w:rsidRDefault="00E114BB">
            <w:pPr>
              <w:spacing w:line="240" w:lineRule="auto"/>
              <w:jc w:val="both"/>
              <w:rPr>
                <w:rFonts w:ascii="Times New Roman" w:eastAsia="Times New Roman" w:hAnsi="Times New Roman" w:cs="Times New Roman"/>
                <w:b/>
                <w:bCs/>
                <w:highlight w:val="white"/>
              </w:rPr>
            </w:pPr>
          </w:p>
          <w:p w14:paraId="1B1E2ED9"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parțial </w:t>
            </w:r>
            <w:r>
              <w:rPr>
                <w:rFonts w:ascii="Times New Roman" w:eastAsia="Times New Roman" w:hAnsi="Times New Roman" w:cs="Times New Roman"/>
                <w:highlight w:val="white"/>
              </w:rPr>
              <w:t>în redacția propusă de Cancelaria de stat.</w:t>
            </w:r>
          </w:p>
          <w:p w14:paraId="6FF7E996" w14:textId="77777777" w:rsidR="00E114BB" w:rsidRDefault="00E114BB">
            <w:pPr>
              <w:spacing w:line="240" w:lineRule="auto"/>
              <w:jc w:val="both"/>
              <w:rPr>
                <w:rFonts w:ascii="Times New Roman" w:eastAsia="Times New Roman" w:hAnsi="Times New Roman" w:cs="Times New Roman"/>
                <w:b/>
                <w:bCs/>
                <w:highlight w:val="white"/>
              </w:rPr>
            </w:pPr>
          </w:p>
          <w:p w14:paraId="14C90686"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condițiile de muncă, inclusiv condițiile de remunerare și  de încetare a raporturilor de muncă;”</w:t>
            </w:r>
          </w:p>
          <w:p w14:paraId="7F0BECDC" w14:textId="77777777" w:rsidR="00E114BB" w:rsidRDefault="00E114BB">
            <w:pPr>
              <w:spacing w:line="240" w:lineRule="auto"/>
              <w:jc w:val="both"/>
              <w:rPr>
                <w:rFonts w:ascii="Times New Roman" w:eastAsia="Times New Roman" w:hAnsi="Times New Roman" w:cs="Times New Roman"/>
                <w:highlight w:val="white"/>
              </w:rPr>
            </w:pPr>
          </w:p>
          <w:p w14:paraId="078ABE3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70B10FF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(121/2012 cu privire la  cu privire la asigurarea egalității) conform recomandărilor experților UE.</w:t>
            </w:r>
          </w:p>
        </w:tc>
      </w:tr>
      <w:tr w:rsidR="00E114BB" w14:paraId="663B2070" w14:textId="77777777">
        <w:trPr>
          <w:trHeight w:val="600"/>
        </w:trPr>
        <w:tc>
          <w:tcPr>
            <w:tcW w:w="555" w:type="dxa"/>
            <w:vMerge/>
          </w:tcPr>
          <w:p w14:paraId="68C6DF87" w14:textId="77777777" w:rsidR="00E114BB" w:rsidRDefault="00E114BB">
            <w:pPr>
              <w:widowControl w:val="0"/>
              <w:rPr>
                <w:rFonts w:ascii="Times New Roman" w:eastAsia="Times New Roman" w:hAnsi="Times New Roman" w:cs="Times New Roman"/>
                <w:highlight w:val="white"/>
              </w:rPr>
            </w:pPr>
          </w:p>
        </w:tc>
        <w:tc>
          <w:tcPr>
            <w:tcW w:w="2700" w:type="dxa"/>
            <w:vMerge/>
          </w:tcPr>
          <w:p w14:paraId="307A2FC9" w14:textId="77777777" w:rsidR="00E114BB" w:rsidRDefault="00E114BB">
            <w:pPr>
              <w:widowControl w:val="0"/>
              <w:rPr>
                <w:rFonts w:ascii="Times New Roman" w:eastAsia="Times New Roman" w:hAnsi="Times New Roman" w:cs="Times New Roman"/>
                <w:highlight w:val="white"/>
              </w:rPr>
            </w:pPr>
          </w:p>
        </w:tc>
        <w:tc>
          <w:tcPr>
            <w:tcW w:w="5880" w:type="dxa"/>
          </w:tcPr>
          <w:p w14:paraId="5A880184"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Articolul 8 alin. (2) </w:t>
            </w:r>
          </w:p>
          <w:p w14:paraId="2EAF1A71"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0E9633B3"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(2) Nu constituie discriminare </w:t>
            </w:r>
            <w:r>
              <w:rPr>
                <w:rFonts w:ascii="Times New Roman" w:eastAsia="Times New Roman" w:hAnsi="Times New Roman" w:cs="Times New Roman"/>
                <w:strike/>
              </w:rPr>
              <w:t>stabilirea unor diferențieri, excepții, preferințe determinate</w:t>
            </w:r>
            <w:r>
              <w:rPr>
                <w:rFonts w:ascii="Times New Roman" w:eastAsia="Times New Roman" w:hAnsi="Times New Roman" w:cs="Times New Roman"/>
              </w:rPr>
              <w:t xml:space="preserve"> </w:t>
            </w:r>
            <w:r>
              <w:rPr>
                <w:rFonts w:ascii="Times New Roman" w:eastAsia="Times New Roman" w:hAnsi="Times New Roman" w:cs="Times New Roman"/>
                <w:u w:val="single"/>
              </w:rPr>
              <w:t>tratamentul diferențiat bazat pe o caracteristică legată de unul dintre motivele prevăzute la alineatul (1), atunci când, având în vedere natura activității profesionale sau condițiile de exercitare a acesteia, această caracteristica reprezintă</w:t>
            </w:r>
            <w:r>
              <w:rPr>
                <w:rFonts w:ascii="Times New Roman" w:eastAsia="Times New Roman" w:hAnsi="Times New Roman" w:cs="Times New Roman"/>
              </w:rPr>
              <w:t xml:space="preserve"> </w:t>
            </w:r>
            <w:r>
              <w:rPr>
                <w:rFonts w:ascii="Times New Roman" w:eastAsia="Times New Roman" w:hAnsi="Times New Roman" w:cs="Times New Roman"/>
                <w:strike/>
              </w:rPr>
              <w:t>de</w:t>
            </w:r>
            <w:r>
              <w:rPr>
                <w:rFonts w:ascii="Times New Roman" w:eastAsia="Times New Roman" w:hAnsi="Times New Roman" w:cs="Times New Roman"/>
              </w:rPr>
              <w:t xml:space="preserve"> o cerință profesională esențială și determinantă, </w:t>
            </w:r>
            <w:r>
              <w:rPr>
                <w:rFonts w:ascii="Times New Roman" w:eastAsia="Times New Roman" w:hAnsi="Times New Roman" w:cs="Times New Roman"/>
                <w:u w:val="single"/>
              </w:rPr>
              <w:t>astfel încât</w:t>
            </w:r>
            <w:r>
              <w:rPr>
                <w:rFonts w:ascii="Times New Roman" w:eastAsia="Times New Roman" w:hAnsi="Times New Roman" w:cs="Times New Roman"/>
              </w:rPr>
              <w:t xml:space="preserve"> </w:t>
            </w:r>
            <w:r>
              <w:rPr>
                <w:rFonts w:ascii="Times New Roman" w:eastAsia="Times New Roman" w:hAnsi="Times New Roman" w:cs="Times New Roman"/>
                <w:strike/>
              </w:rPr>
              <w:t>cu condiția ca această dispoziție, acest criteriu sau această practică este obiectiv justificată de un</w:t>
            </w:r>
            <w:r>
              <w:rPr>
                <w:rFonts w:ascii="Times New Roman" w:eastAsia="Times New Roman" w:hAnsi="Times New Roman" w:cs="Times New Roman"/>
              </w:rPr>
              <w:t xml:space="preserve"> obiectiv</w:t>
            </w:r>
            <w:r>
              <w:rPr>
                <w:rFonts w:ascii="Times New Roman" w:eastAsia="Times New Roman" w:hAnsi="Times New Roman" w:cs="Times New Roman"/>
                <w:u w:val="single"/>
              </w:rPr>
              <w:t>ul</w:t>
            </w:r>
            <w:r>
              <w:rPr>
                <w:rFonts w:ascii="Times New Roman" w:eastAsia="Times New Roman" w:hAnsi="Times New Roman" w:cs="Times New Roman"/>
              </w:rPr>
              <w:t xml:space="preserve"> </w:t>
            </w:r>
            <w:r>
              <w:rPr>
                <w:rFonts w:ascii="Times New Roman" w:eastAsia="Times New Roman" w:hAnsi="Times New Roman" w:cs="Times New Roman"/>
                <w:u w:val="single"/>
              </w:rPr>
              <w:t>tratamentului diferențiat este</w:t>
            </w:r>
            <w:r>
              <w:rPr>
                <w:rFonts w:ascii="Times New Roman" w:eastAsia="Times New Roman" w:hAnsi="Times New Roman" w:cs="Times New Roman"/>
              </w:rPr>
              <w:t xml:space="preserve"> legitim, iar </w:t>
            </w:r>
            <w:r>
              <w:rPr>
                <w:rFonts w:ascii="Times New Roman" w:eastAsia="Times New Roman" w:hAnsi="Times New Roman" w:cs="Times New Roman"/>
                <w:u w:val="single"/>
              </w:rPr>
              <w:t>cerința care stă la baza lui este</w:t>
            </w:r>
            <w:r>
              <w:rPr>
                <w:rFonts w:ascii="Times New Roman" w:eastAsia="Times New Roman" w:hAnsi="Times New Roman" w:cs="Times New Roman"/>
              </w:rPr>
              <w:t xml:space="preserve"> </w:t>
            </w:r>
            <w:r>
              <w:rPr>
                <w:rFonts w:ascii="Times New Roman" w:eastAsia="Times New Roman" w:hAnsi="Times New Roman" w:cs="Times New Roman"/>
                <w:strike/>
              </w:rPr>
              <w:t>mijloacele de realizare a acestui obiectiv nu sunt adecvate și necesare</w:t>
            </w:r>
            <w:r>
              <w:rPr>
                <w:rFonts w:ascii="Times New Roman" w:eastAsia="Times New Roman" w:hAnsi="Times New Roman" w:cs="Times New Roman"/>
              </w:rPr>
              <w:t xml:space="preserve"> </w:t>
            </w:r>
            <w:r>
              <w:rPr>
                <w:rFonts w:ascii="Times New Roman" w:eastAsia="Times New Roman" w:hAnsi="Times New Roman" w:cs="Times New Roman"/>
                <w:u w:val="single"/>
              </w:rPr>
              <w:t>proporțională</w:t>
            </w:r>
            <w:r>
              <w:rPr>
                <w:rFonts w:ascii="Times New Roman" w:eastAsia="Times New Roman" w:hAnsi="Times New Roman" w:cs="Times New Roman"/>
              </w:rPr>
              <w:t xml:space="preserve">. </w:t>
            </w:r>
          </w:p>
          <w:p w14:paraId="334A1AEB" w14:textId="77777777" w:rsidR="00E114BB" w:rsidRDefault="00E114BB">
            <w:pPr>
              <w:spacing w:line="240" w:lineRule="auto"/>
              <w:ind w:firstLine="284"/>
              <w:jc w:val="both"/>
              <w:rPr>
                <w:rFonts w:ascii="Times New Roman" w:eastAsia="Times New Roman" w:hAnsi="Times New Roman" w:cs="Times New Roman"/>
                <w:b/>
                <w:bCs/>
                <w:highlight w:val="white"/>
              </w:rPr>
            </w:pPr>
          </w:p>
          <w:p w14:paraId="3CF76863"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7A6C6E96" w14:textId="77777777" w:rsidR="00E114BB" w:rsidRDefault="00000000">
            <w:pPr>
              <w:numPr>
                <w:ilvl w:val="0"/>
                <w:numId w:val="11"/>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Fuzionarea a doua norme distincte din directivă și incoerența logică a prevederii </w:t>
            </w:r>
          </w:p>
          <w:p w14:paraId="2CDB5B6B"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Articolul 8 alin. (2) a Codului muncii în versiunea Proiectului combină prevederi din două articole distincte din Directiva 2000/78/CE care reglementează diferite aspecte: </w:t>
            </w:r>
          </w:p>
          <w:p w14:paraId="764ED323" w14:textId="77777777" w:rsidR="00E114BB" w:rsidRDefault="00000000">
            <w:pPr>
              <w:numPr>
                <w:ilvl w:val="0"/>
                <w:numId w:val="3"/>
              </w:num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 de o parte, această normă din Proiect urmărește transpunerea art. 4 alin. (1) din Directivă, referitor la tratamentul diferențiat pe baza cerințelor profesionale esențiale și determinante (descrie un tratament permis de Directivă); </w:t>
            </w:r>
          </w:p>
          <w:p w14:paraId="4906D98E" w14:textId="77777777" w:rsidR="00E114BB" w:rsidRDefault="00000000">
            <w:pPr>
              <w:numPr>
                <w:ilvl w:val="0"/>
                <w:numId w:val="3"/>
              </w:num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 de altă parte, ultima parte a normei din Proiect (de la cuvintele „această dispoziție, acest criteriu...” reproduce </w:t>
            </w:r>
            <w:r>
              <w:rPr>
                <w:rFonts w:ascii="Times New Roman" w:eastAsia="Times New Roman" w:hAnsi="Times New Roman" w:cs="Times New Roman"/>
              </w:rPr>
              <w:lastRenderedPageBreak/>
              <w:t xml:space="preserve">prevederile art. 2 alin. (2) lit. b) (i) din Directivă, care vizează discriminarea indirectă (un tratament, dimpotrivă, condamnat și restrâns de Directivă). </w:t>
            </w:r>
          </w:p>
          <w:p w14:paraId="26D4EF89"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textul propus în Proiect, aceste două prevederi ale Directivei au fost contopite într-o singură propoziție. Rezultatul este o incoerență logică, în care anumite practici „nu constituie discriminare” cu condiția că „mijloacele de realizare ...nu sunt adecvate și necesare”. </w:t>
            </w:r>
          </w:p>
          <w:p w14:paraId="51F6112B"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Redacția propusă la alin. (2) conține o inadvertență juridică majoră, care afectează substanța normei. Astfel, textul prevede că diferențierea nu constituie discriminare în cazul în care mijloacele de realizare a obiectivului „nu sunt adecvate și necesare”. </w:t>
            </w:r>
          </w:p>
          <w:p w14:paraId="67FD7383"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 </w:t>
            </w:r>
            <w:proofErr w:type="spellStart"/>
            <w:r>
              <w:rPr>
                <w:rFonts w:ascii="Times New Roman" w:eastAsia="Times New Roman" w:hAnsi="Times New Roman" w:cs="Times New Roman"/>
              </w:rPr>
              <w:t>contrario</w:t>
            </w:r>
            <w:proofErr w:type="spellEnd"/>
            <w:r>
              <w:rPr>
                <w:rFonts w:ascii="Times New Roman" w:eastAsia="Times New Roman" w:hAnsi="Times New Roman" w:cs="Times New Roman"/>
              </w:rPr>
              <w:t xml:space="preserve">, o diferențiere/discriminare pozitivă poate fi considerată justificată doar în cazul în care mijloacele utilizate sunt adecvate și necesare pentru realizarea unui obiectiv legitim. Formularea propusă, în forma actuală, inversează acest test și poate conduce la interpretări contrare scopului normei. </w:t>
            </w:r>
          </w:p>
          <w:p w14:paraId="01456114"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Mai mult ca atât se constată că sintagma „obiectiv justificată de un obiectiv legitim” conține o repetare improprie a termenului „obiectiv”, utilizat cu sensuri diferite, ceea ce afectează claritatea normei. În vederea asigurării unei formulări clare și conforme tehnicii legislative, se recomandă reformularea textului, prin utilizarea unei expresii echivalente, cum ar fi „justificată în mod obiectiv printr-un scop legitim”. Subsidiar, recomandăm completarea normei cu referirea la caracterul proporțional al mijloacelor utilizate, având în vedere că principiul proporționalității constituie un element esențial al testului justificării diferențierii și asigură un nivel adecvat de protecție împotriva tratamentului discriminatoriu. </w:t>
            </w:r>
          </w:p>
          <w:p w14:paraId="5DA9F2BD"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se reține că, potrivit art. 4 din Directiva 2000/43/CE, o diferență de tratament nu constituie discriminare atunci când caracteristica respectivă constituie o cerință profesională reală și determinantă, cu condiția ca obiectivul să fie legitim și cerința proporțională (!). Prin urmare, cerința </w:t>
            </w:r>
            <w:r>
              <w:rPr>
                <w:rFonts w:ascii="Times New Roman" w:eastAsia="Times New Roman" w:hAnsi="Times New Roman" w:cs="Times New Roman"/>
              </w:rPr>
              <w:lastRenderedPageBreak/>
              <w:t xml:space="preserve">proporționalității și a caracterului adecvat al măsurii constituie un element esențial al testului justificării și nu poate fi exclusă sau formulată în sens negativ, astfel cum rezultă din redacția propusă. </w:t>
            </w:r>
          </w:p>
          <w:p w14:paraId="5BD21886" w14:textId="77777777" w:rsidR="00E114BB" w:rsidRDefault="00E114BB">
            <w:pPr>
              <w:spacing w:line="240" w:lineRule="auto"/>
              <w:jc w:val="both"/>
              <w:rPr>
                <w:rFonts w:ascii="Times New Roman" w:eastAsia="Times New Roman" w:hAnsi="Times New Roman" w:cs="Times New Roman"/>
              </w:rPr>
            </w:pPr>
          </w:p>
          <w:p w14:paraId="2603A625" w14:textId="77777777" w:rsidR="00E114BB" w:rsidRDefault="00000000">
            <w:pPr>
              <w:numPr>
                <w:ilvl w:val="0"/>
                <w:numId w:val="7"/>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Extinderea neîntemeiată a obligației de justificare a tratamentului diferențiat bazat pe cerințe profesionale </w:t>
            </w:r>
          </w:p>
          <w:p w14:paraId="7509AEA2"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Înțelegem că norma în cauză din Proiect urmărește transpunerea articolului 4 („Cerințe profesionale”) din Directiva 2000/78/CE. Însă norma din Proiect extinde sfera de aplicare a testelor de legitimitate prevăzute de Directivă dincolo de limitele acesteia. </w:t>
            </w:r>
          </w:p>
          <w:p w14:paraId="0F7D6AD9"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Directivă, art. 4 alin. (1) se aplică tratamentelor diferențiate întemeiate pe cerințe profesionale doar în măsura în care diferențierea are legătură cu unul din motivele de discriminare prevăzute de art. 1 al Directivei – religie sau convingeri, handicap, vârstă și orientare sexuală. Cu alte cuvinte, filtrul „obiectivului legitim” și al proporționalității intervine doar atunci când tratamentul diferențiat atinge un motiv protejat de Directivă. </w:t>
            </w:r>
          </w:p>
          <w:p w14:paraId="5978D32F"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Dimpotrivă, norma propusă în Codul muncii este formulată de o manieră generală, fără trimitere la motivele protejate de Directivă sau, cel puțin, cele prevăzute la art. 8 alin. (1) din Codul muncii (chiar dacă acestea din urmă sunt mai numeroase decât cele enumerate la art. 1 din Directivă, ele reprezintă totuși o delimitare și un cadru adecvat de aplicare a normei). Rezultă o povară excesivă pentru angajator: acesta va trebui să justifice, în mod generalizat, raționalitatea și necesitatea oricărei diferențieri legate de natura sau condițiile muncii, chiar și dacă aceasta nu are legătură cu motivele de discriminare protejate de lege. Reiterăm că Directiva prevede un asemenea control al cerințelor profesionale numai atunci când diferențierea atinge un motiv protejat și, prin urmare, există un risc real de discriminare în sferele protejate stabilite de art. 1 al Directivei. </w:t>
            </w:r>
          </w:p>
          <w:p w14:paraId="0B4A8F70"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lastRenderedPageBreak/>
              <w:t xml:space="preserve">De exemplu, potrivit formulării din Proiect, cerința de a deține permis de conducere pentru ocuparea unui post de șofer și refuzul angajării persoanelor care nu îndeplinesc această condiție ar intra sub incidența obligației de justificare după obiect și mijloace, așa cum este prevăzută de art. 8 alin. (2) al CM Proiect. Aceasta, deși cerința permisului nu are legătură cu niciun motiv de discriminare protejat, ci ține exclusiv de natura atribuțiilor postului. </w:t>
            </w:r>
          </w:p>
          <w:p w14:paraId="466D7B9A"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Prin urmare, norma trebuie formulată astfel, încât să fie aplicabilă în legătură cu criteriile de discriminare protejate potrivit art. 8 alin. (1) al Codului muncii.</w:t>
            </w:r>
          </w:p>
          <w:p w14:paraId="712B9A75" w14:textId="77777777" w:rsidR="00E114BB" w:rsidRDefault="00E114BB">
            <w:pPr>
              <w:spacing w:line="240" w:lineRule="auto"/>
              <w:jc w:val="both"/>
              <w:rPr>
                <w:rFonts w:ascii="Times New Roman" w:eastAsia="Times New Roman" w:hAnsi="Times New Roman" w:cs="Times New Roman"/>
              </w:rPr>
            </w:pPr>
          </w:p>
          <w:p w14:paraId="30D180B4" w14:textId="77777777" w:rsidR="00E114BB" w:rsidRDefault="00000000">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Deplasarea accentului de la controlul jurisdicțional ulterior la o obligație generală ex-ante</w:t>
            </w:r>
          </w:p>
          <w:p w14:paraId="7043392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Înlocuirea, în Proiect, a formulării articolului 4 din Directiva 2000/78/CE - potrivit căreia tratamentul diferențiat bazat pe caracteristici profesionale este permis atunci „când... caracteristica ... constituie o cerință profesională esențială și determinantă, astfel </w:t>
            </w:r>
          </w:p>
          <w:p w14:paraId="5DF47D1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încât obiectivul [este] legitim, iar cerința [-] proporțională” - cu formula „</w:t>
            </w:r>
            <w:r>
              <w:rPr>
                <w:rFonts w:ascii="Times New Roman" w:eastAsia="Times New Roman" w:hAnsi="Times New Roman" w:cs="Times New Roman"/>
                <w:u w:val="single"/>
              </w:rPr>
              <w:t>cu condiția că</w:t>
            </w:r>
            <w:r>
              <w:rPr>
                <w:rFonts w:ascii="Times New Roman" w:eastAsia="Times New Roman" w:hAnsi="Times New Roman" w:cs="Times New Roman"/>
              </w:rPr>
              <w:t xml:space="preserve"> [...] această practică </w:t>
            </w:r>
            <w:r>
              <w:rPr>
                <w:rFonts w:ascii="Times New Roman" w:eastAsia="Times New Roman" w:hAnsi="Times New Roman" w:cs="Times New Roman"/>
                <w:u w:val="single"/>
              </w:rPr>
              <w:t>este obiectiv justificată</w:t>
            </w:r>
            <w:r>
              <w:rPr>
                <w:rFonts w:ascii="Times New Roman" w:eastAsia="Times New Roman" w:hAnsi="Times New Roman" w:cs="Times New Roman"/>
              </w:rPr>
              <w:t xml:space="preserve"> de un obiectiv [...] [și] mijloace […] adecvate și necesare” schimbă accentele testelor prevăzute de Directivă. </w:t>
            </w:r>
          </w:p>
          <w:p w14:paraId="0770836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Reieșind din Directivă, testul obiectivului legitim și al proporționalității funcționează ca standard juridic de apreciere aplicat a posteriori, în cadrul unui litigiu concret, atunci când se invocă existența unui caz concret de discriminare. Formularea din Proiect ar putea transforma acest standard de control ex post într-o obligație generală, aplicabilă ex-ante, impunând angajatorului să efectueze pentru fiecare diferențiere pe cerințe profesionale o evaluare formală și documentată a obiectivului și mijloacelor utilizate. </w:t>
            </w:r>
          </w:p>
          <w:p w14:paraId="026DACEF"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textul din Proiect nu doar preia cerințele Directivei, ci poate avea un efect de reconfigurare a lor: din </w:t>
            </w:r>
            <w:r>
              <w:rPr>
                <w:rFonts w:ascii="Times New Roman" w:eastAsia="Times New Roman" w:hAnsi="Times New Roman" w:cs="Times New Roman"/>
              </w:rPr>
              <w:lastRenderedPageBreak/>
              <w:t xml:space="preserve">criterii de apreciere jurisdicțională ulterioară acestea ar putea deveni obligații preventive generale. Această deplasare de accent depășește logica și economia Directivei și riscă să creeze incertitudine și sarcini administrative disproporționate pentru angajatori. </w:t>
            </w:r>
          </w:p>
          <w:p w14:paraId="44900E3D"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Art. 8 alin. (2) – Diferențierea obiectiv justificată </w:t>
            </w:r>
          </w:p>
          <w:p w14:paraId="657F0397"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Redacția propusă este eronată juridic. În forma actuală: </w:t>
            </w:r>
          </w:p>
          <w:p w14:paraId="54B9A8FF" w14:textId="77777777" w:rsidR="00E114BB" w:rsidRDefault="00000000">
            <w:pPr>
              <w:numPr>
                <w:ilvl w:val="0"/>
                <w:numId w:val="10"/>
              </w:numPr>
              <w:spacing w:line="240" w:lineRule="auto"/>
              <w:jc w:val="both"/>
              <w:rPr>
                <w:rFonts w:ascii="Times New Roman" w:eastAsia="Times New Roman" w:hAnsi="Times New Roman" w:cs="Times New Roman"/>
              </w:rPr>
            </w:pPr>
            <w:r>
              <w:rPr>
                <w:rFonts w:ascii="Times New Roman" w:eastAsia="Times New Roman" w:hAnsi="Times New Roman" w:cs="Times New Roman"/>
              </w:rPr>
              <w:t>inversează criteriile textului european „scop legitim + mijloace adecvate, necesare și proporționale”</w:t>
            </w:r>
          </w:p>
          <w:p w14:paraId="7195231D" w14:textId="77777777" w:rsidR="00E114BB" w:rsidRDefault="00000000">
            <w:pPr>
              <w:numPr>
                <w:ilvl w:val="0"/>
                <w:numId w:val="9"/>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creează riscuri grave pentru politicile de nediscriminare și D&amp;I </w:t>
            </w:r>
          </w:p>
          <w:p w14:paraId="0170FFA2" w14:textId="77777777" w:rsidR="00E114BB" w:rsidRDefault="00000000">
            <w:pPr>
              <w:numPr>
                <w:ilvl w:val="0"/>
                <w:numId w:val="9"/>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contravine directivelor 2000/43 și 2000/78  </w:t>
            </w:r>
          </w:p>
        </w:tc>
        <w:tc>
          <w:tcPr>
            <w:tcW w:w="5880" w:type="dxa"/>
          </w:tcPr>
          <w:p w14:paraId="670B932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421882C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parțial </w:t>
            </w:r>
            <w:r>
              <w:rPr>
                <w:rFonts w:ascii="Times New Roman" w:eastAsia="Times New Roman" w:hAnsi="Times New Roman" w:cs="Times New Roman"/>
                <w:highlight w:val="white"/>
              </w:rPr>
              <w:t>în redacția propusă de Consiliul pentru egalitate.</w:t>
            </w:r>
          </w:p>
          <w:p w14:paraId="415DE22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art. 8 alin. (2) se propune în redacția următoare: </w:t>
            </w:r>
          </w:p>
          <w:p w14:paraId="49BA1EE1"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043F6B5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Argumentele invocate nu pot fi reținute, întrucât formularea propusă la art. 8 alin. (2) urmărește o transpunere sintetică și coerentă a principiilor relevante din Directiva 2000/78/CE, fără a altera conținutul normativ al acestora, ci adaptându-l specificului legislației naționale. Integrarea elementelor privind cerințele profesionale esențiale și testul justificării nu generează o incoerență, ci reflectă o abordare unitară a excepțiilor de la principiul egalității de tratament, în conformitate cu logica sistemică a dreptului muncii.</w:t>
            </w:r>
          </w:p>
          <w:p w14:paraId="1006AF8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În ceea ce privește critica referitoare la formularea condițiilor de justificare, aceasta nu afectează substanța normei, întrucât interpretarea sistemică și teleologică impune în mod implicit respectarea caracterului adecvat, necesar și proporțional al măsurilor, astfel cum rezultă și din standardele stabilite la nivel european, inclusiv prin Directiva 2000/43/CE.</w:t>
            </w:r>
          </w:p>
          <w:p w14:paraId="6B8847E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46888165" w14:textId="77777777">
        <w:trPr>
          <w:trHeight w:val="2117"/>
        </w:trPr>
        <w:tc>
          <w:tcPr>
            <w:tcW w:w="555" w:type="dxa"/>
            <w:vMerge/>
          </w:tcPr>
          <w:p w14:paraId="05585975" w14:textId="77777777" w:rsidR="00E114BB" w:rsidRDefault="00E114BB">
            <w:pPr>
              <w:widowControl w:val="0"/>
              <w:rPr>
                <w:rFonts w:ascii="Times New Roman" w:eastAsia="Times New Roman" w:hAnsi="Times New Roman" w:cs="Times New Roman"/>
                <w:highlight w:val="white"/>
              </w:rPr>
            </w:pPr>
          </w:p>
        </w:tc>
        <w:tc>
          <w:tcPr>
            <w:tcW w:w="2700" w:type="dxa"/>
            <w:vMerge/>
          </w:tcPr>
          <w:p w14:paraId="296C9F25" w14:textId="77777777" w:rsidR="00E114BB" w:rsidRDefault="00E114BB">
            <w:pPr>
              <w:widowControl w:val="0"/>
              <w:rPr>
                <w:rFonts w:ascii="Times New Roman" w:eastAsia="Times New Roman" w:hAnsi="Times New Roman" w:cs="Times New Roman"/>
                <w:highlight w:val="white"/>
              </w:rPr>
            </w:pPr>
          </w:p>
        </w:tc>
        <w:tc>
          <w:tcPr>
            <w:tcW w:w="5880" w:type="dxa"/>
          </w:tcPr>
          <w:p w14:paraId="4722066A"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Articolul 42</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alin. (7) </w:t>
            </w:r>
          </w:p>
          <w:p w14:paraId="7F5CDE48"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28C85ED4"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Soluții: </w:t>
            </w:r>
          </w:p>
          <w:p w14:paraId="29EAA96F" w14:textId="77777777" w:rsidR="00E114BB" w:rsidRDefault="00000000">
            <w:pPr>
              <w:numPr>
                <w:ilvl w:val="0"/>
                <w:numId w:val="8"/>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Excluderea în genere a completării propuse de Proiect, iar dacă nu se acceptă, expunerea acesteia în următoarea redacție: </w:t>
            </w:r>
          </w:p>
          <w:p w14:paraId="2A72C691"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(7) Consultarea are loc </w:t>
            </w:r>
            <w:r>
              <w:rPr>
                <w:rFonts w:ascii="Times New Roman" w:eastAsia="Times New Roman" w:hAnsi="Times New Roman" w:cs="Times New Roman"/>
                <w:strike/>
              </w:rPr>
              <w:t>în vederea obținerii unui acord asupra deciziilor care se încadrează în competențele angajatorului prevăzute la alineatul (2) anterior adoptării acestora. după cum urmează</w:t>
            </w:r>
            <w:r>
              <w:rPr>
                <w:rFonts w:ascii="Times New Roman" w:eastAsia="Times New Roman" w:hAnsi="Times New Roman" w:cs="Times New Roman"/>
              </w:rPr>
              <w:t xml:space="preserve">: </w:t>
            </w:r>
          </w:p>
          <w:p w14:paraId="103867D8"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 în cadrul unor întâlniri cu reprezentanți ai angajatorului de nivel relevant în raport cu subiectul discutat; </w:t>
            </w:r>
          </w:p>
          <w:p w14:paraId="5EF481AA"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b) în baza informațiilor transmise conform alin.(3) și a avizului pe care reprezentanții salariaților sunt în drept să-l formuleze în acest context; </w:t>
            </w:r>
          </w:p>
          <w:p w14:paraId="651F3970"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 în vederea obținerii unui </w:t>
            </w:r>
            <w:r>
              <w:rPr>
                <w:rFonts w:ascii="Times New Roman" w:eastAsia="Times New Roman" w:hAnsi="Times New Roman" w:cs="Times New Roman"/>
                <w:strike/>
              </w:rPr>
              <w:t>acord</w:t>
            </w:r>
            <w:r>
              <w:rPr>
                <w:rFonts w:ascii="Times New Roman" w:eastAsia="Times New Roman" w:hAnsi="Times New Roman" w:cs="Times New Roman"/>
              </w:rPr>
              <w:t xml:space="preserve"> </w:t>
            </w:r>
            <w:r>
              <w:rPr>
                <w:rFonts w:ascii="Times New Roman" w:eastAsia="Times New Roman" w:hAnsi="Times New Roman" w:cs="Times New Roman"/>
                <w:u w:val="single"/>
              </w:rPr>
              <w:t>consens</w:t>
            </w:r>
            <w:r>
              <w:rPr>
                <w:rFonts w:ascii="Times New Roman" w:eastAsia="Times New Roman" w:hAnsi="Times New Roman" w:cs="Times New Roman"/>
              </w:rPr>
              <w:t xml:space="preserve"> </w:t>
            </w:r>
            <w:r>
              <w:rPr>
                <w:rFonts w:ascii="Times New Roman" w:eastAsia="Times New Roman" w:hAnsi="Times New Roman" w:cs="Times New Roman"/>
                <w:i/>
                <w:iCs/>
              </w:rPr>
              <w:t xml:space="preserve">[menținerea redacției actuale – n.n.] privind subiectele menționate la alin.(2) lit. b) </w:t>
            </w:r>
            <w:r>
              <w:rPr>
                <w:rFonts w:ascii="Times New Roman" w:eastAsia="Times New Roman" w:hAnsi="Times New Roman" w:cs="Times New Roman"/>
                <w:i/>
                <w:iCs/>
                <w:u w:val="single"/>
              </w:rPr>
              <w:t>și c)</w:t>
            </w:r>
            <w:r>
              <w:rPr>
                <w:rFonts w:ascii="Times New Roman" w:eastAsia="Times New Roman" w:hAnsi="Times New Roman" w:cs="Times New Roman"/>
                <w:i/>
                <w:iCs/>
                <w:strike/>
              </w:rPr>
              <w:t xml:space="preserve">–d) </w:t>
            </w:r>
            <w:r>
              <w:rPr>
                <w:rFonts w:ascii="Times New Roman" w:eastAsia="Times New Roman" w:hAnsi="Times New Roman" w:cs="Times New Roman"/>
                <w:i/>
                <w:iCs/>
              </w:rPr>
              <w:t xml:space="preserve">care </w:t>
            </w:r>
            <w:r>
              <w:rPr>
                <w:rFonts w:ascii="Times New Roman" w:eastAsia="Times New Roman" w:hAnsi="Times New Roman" w:cs="Times New Roman"/>
              </w:rPr>
              <w:t xml:space="preserve">țin de competențele angajatorului. </w:t>
            </w:r>
          </w:p>
          <w:p w14:paraId="79EB5FFD" w14:textId="77777777" w:rsidR="00E114BB" w:rsidRDefault="00E114BB">
            <w:pPr>
              <w:spacing w:line="240" w:lineRule="auto"/>
              <w:ind w:firstLine="284"/>
              <w:jc w:val="both"/>
              <w:rPr>
                <w:rFonts w:ascii="Times New Roman" w:eastAsia="Times New Roman" w:hAnsi="Times New Roman" w:cs="Times New Roman"/>
                <w:b/>
                <w:bCs/>
                <w:highlight w:val="white"/>
              </w:rPr>
            </w:pPr>
          </w:p>
          <w:p w14:paraId="55CE791A"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6D08AE96" w14:textId="77777777" w:rsidR="00E114BB" w:rsidRDefault="00000000">
            <w:pPr>
              <w:numPr>
                <w:ilvl w:val="0"/>
                <w:numId w:val="13"/>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Redundanța și extinderea nejustificată a sferei consultării </w:t>
            </w:r>
          </w:p>
          <w:p w14:paraId="011EB006"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Completarea propusă la alin. (7), potrivit căreia consultarea are loc „în vederea obținerii unui acord asupra </w:t>
            </w:r>
            <w:r>
              <w:rPr>
                <w:rFonts w:ascii="Times New Roman" w:eastAsia="Times New Roman" w:hAnsi="Times New Roman" w:cs="Times New Roman"/>
              </w:rPr>
              <w:lastRenderedPageBreak/>
              <w:t xml:space="preserve">deciziilor…”, este redundantă. Această finalitate a consultărilor este deja prevăzută la lit. c) a aceluiași alineat. </w:t>
            </w:r>
          </w:p>
          <w:p w14:paraId="11538FA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Totodată, modificarea propusă în Proiect lărgește neîntemeiat sfera problemelor asupra cărora urmează a fi consultați salariații. Modificarea propusă intră, astfel, în contradicție cu lit. c) din același alineat, care limitează consultarea salariaților la aspectele menționate la lit. b)-d) ale alin. (2) al articolului. În redacția Proiectului, consultarea ar ajunge să includă și aspectele prevăzute la lit. a) și e) ale alin. (2), ceea ce constituie o extindere nejustificată și incoerentă a domeniului de aplicare al normelor privind consultarea reprezentanților salariaților. Această extindere devine și mai problematică odată cu introducerea obligativității „obținerii unui acord” ca rezultat al consultării. Ea depășește nu doar economia textului actual al Codului muncii, ci și cadrul stabilit de Directiva 2002/14/CE, care include în sfera de aplicare a consultărilor doar circumstanțele care sunt reflectate la literele b) și c) din alin. (1)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 Codului muncii</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w:t>
            </w:r>
          </w:p>
          <w:p w14:paraId="4DBAB95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deși intervenția propusă nu adaugă un conținut normativ nou, ea încarcă inutil textul alineatului, extinde nejustificat sfera sa de aplicare și accentuează artificial ideea de „acord” ca rezultat formal obligatoriu al consultării (a se vedea comentariul de la punctul 3, mai jos). Or, potrivit Directivei 2002/14/CE, consultarea reprezintă un proces de schimb de informații și opinii, nu o procedură de aprobare a deciziilor angajatorului de către reprezentanții salariaților. </w:t>
            </w:r>
          </w:p>
          <w:p w14:paraId="0F65CC8A" w14:textId="77777777" w:rsidR="00E114BB" w:rsidRDefault="00E114BB">
            <w:pPr>
              <w:spacing w:line="240" w:lineRule="auto"/>
              <w:jc w:val="both"/>
              <w:rPr>
                <w:rFonts w:ascii="Times New Roman" w:eastAsia="Times New Roman" w:hAnsi="Times New Roman" w:cs="Times New Roman"/>
              </w:rPr>
            </w:pPr>
          </w:p>
          <w:p w14:paraId="4F64784A" w14:textId="77777777" w:rsidR="00E114BB" w:rsidRDefault="00000000">
            <w:pPr>
              <w:numPr>
                <w:ilvl w:val="0"/>
                <w:numId w:val="13"/>
              </w:numPr>
              <w:spacing w:line="240" w:lineRule="auto"/>
              <w:ind w:left="360"/>
              <w:jc w:val="both"/>
              <w:rPr>
                <w:rFonts w:ascii="Times New Roman" w:eastAsia="Times New Roman" w:hAnsi="Times New Roman" w:cs="Times New Roman"/>
              </w:rPr>
            </w:pPr>
            <w:r>
              <w:rPr>
                <w:rFonts w:ascii="Times New Roman" w:eastAsia="Times New Roman" w:hAnsi="Times New Roman" w:cs="Times New Roman"/>
                <w:b/>
                <w:bCs/>
              </w:rPr>
              <w:t xml:space="preserve">Necesitatea circumscrierii lit. c) la limitele Directivei 2002/14/CE </w:t>
            </w:r>
          </w:p>
          <w:p w14:paraId="5C678486"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Urmare a examinării atente a articolului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 Codului muncii, constatăm că limitele Directivei 2002/14/CE au fost </w:t>
            </w:r>
            <w:r>
              <w:rPr>
                <w:rFonts w:ascii="Times New Roman" w:eastAsia="Times New Roman" w:hAnsi="Times New Roman" w:cs="Times New Roman"/>
              </w:rPr>
              <w:lastRenderedPageBreak/>
              <w:t xml:space="preserve">depășite încă la transpunerea inițială a acesteia în Codul muncii, realizată în 2017.  </w:t>
            </w:r>
          </w:p>
          <w:p w14:paraId="0A53FA20"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Art. 4 alin. (2) lit. b) și c) al Directivei prevede consultarea salariaților exclusiv cu privire la anumite probleme expres enumerate. Acestora le corespund cele prevăzute la literele b) și c) din alin. (2)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 Codului muncii. Directiva nu prevede consultarea asupra aspectelor reglementate la lit. d) din alin. (2)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Codul muncii. </w:t>
            </w:r>
          </w:p>
          <w:p w14:paraId="52AF5140"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Prin urmare, includerea în alin. (7) lit. c)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Codul muncii a referirii la litera d) a alin. (2) constituie o extindere neîntemeiată a sferei consultării, care depășește cadrul stabilit de Directivă. O asemenea soluție contravine principiului transpunerii corecte, care nu admite </w:t>
            </w:r>
            <w:proofErr w:type="spellStart"/>
            <w:r>
              <w:rPr>
                <w:rFonts w:ascii="Times New Roman" w:eastAsia="Times New Roman" w:hAnsi="Times New Roman" w:cs="Times New Roman"/>
              </w:rPr>
              <w:t>suprareglementarea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gold-plating</w:t>
            </w:r>
            <w:proofErr w:type="spellEnd"/>
            <w:r>
              <w:rPr>
                <w:rFonts w:ascii="Times New Roman" w:eastAsia="Times New Roman" w:hAnsi="Times New Roman" w:cs="Times New Roman"/>
              </w:rPr>
              <w:t xml:space="preserve">), adică introducerea unor obligații mai ample decât cele prevăzute de actul european. </w:t>
            </w:r>
          </w:p>
          <w:p w14:paraId="2ACCE3D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lit. c) din alin. (7) trebuie revizuită astfel încât să fie aliniată strict la domeniul de aplicare al Directivei și să reflecte fidel limitele acesteia. </w:t>
            </w:r>
          </w:p>
          <w:p w14:paraId="114E4013" w14:textId="77777777" w:rsidR="00E114BB" w:rsidRDefault="00E114BB">
            <w:pPr>
              <w:spacing w:line="240" w:lineRule="auto"/>
              <w:jc w:val="both"/>
              <w:rPr>
                <w:rFonts w:ascii="Times New Roman" w:eastAsia="Times New Roman" w:hAnsi="Times New Roman" w:cs="Times New Roman"/>
              </w:rPr>
            </w:pPr>
          </w:p>
          <w:p w14:paraId="01FCC185"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3. Transformarea consultării în mecanism de veto: interpretare eronată a Directivei 2002/14/CE, schimbarea naturii instituției și supra-reglementare cu efecte blocante </w:t>
            </w:r>
          </w:p>
          <w:p w14:paraId="5898A9A9"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Proiectul propune înlocuirea termenului „consens” cu „acord” și introduce expres cerința „obținerii unui acord”. Această abordare pornește de la o premisă greșită: că informarea și consultarea trebuie să se finalizeze obligatoriu prin încheierea unui acord formal între angajator și reprezentanții salariaților sau prin emiterea unui asemenea acord de către aceștia din urmă. </w:t>
            </w:r>
          </w:p>
          <w:p w14:paraId="73B1A7E3"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notăm că Directiva 2002/14 prevede un mecanism de informare și consultare - un drept participativ – și nu un mecanism de </w:t>
            </w:r>
            <w:proofErr w:type="spellStart"/>
            <w:r>
              <w:rPr>
                <w:rFonts w:ascii="Times New Roman" w:eastAsia="Times New Roman" w:hAnsi="Times New Roman" w:cs="Times New Roman"/>
              </w:rPr>
              <w:t>co</w:t>
            </w:r>
            <w:proofErr w:type="spellEnd"/>
            <w:r>
              <w:rPr>
                <w:rFonts w:ascii="Times New Roman" w:eastAsia="Times New Roman" w:hAnsi="Times New Roman" w:cs="Times New Roman"/>
              </w:rPr>
              <w:t xml:space="preserve">-decizie sau un drept de veto al reprezentanților salariaților asupra deciziilor angajatorului. Art. 2 lit.(f) și (g) al Directivei, definind noțiunile de ”informare” și ”consultare”, nu acordă acestora valențe decizionale (ca în cazul </w:t>
            </w:r>
            <w:r>
              <w:rPr>
                <w:rFonts w:ascii="Times New Roman" w:eastAsia="Times New Roman" w:hAnsi="Times New Roman" w:cs="Times New Roman"/>
              </w:rPr>
              <w:lastRenderedPageBreak/>
              <w:t xml:space="preserve">unui acord), ci doar de ”transmitere de date” și ”schimburi de păreri” – cu efecte de informare, și nu de condiționare. </w:t>
            </w:r>
          </w:p>
          <w:p w14:paraId="0182AB1A"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În acest context, este relevant că art. 4 alin. (4) lit. (e) din Directiva 2002/14/CE, deși în versiunea română se referă la „obținerea unui acord”, în versiunea engleză folosește expresia „</w:t>
            </w:r>
            <w:proofErr w:type="spellStart"/>
            <w:r>
              <w:rPr>
                <w:rFonts w:ascii="Times New Roman" w:eastAsia="Times New Roman" w:hAnsi="Times New Roman" w:cs="Times New Roman"/>
                <w:i/>
                <w:iCs/>
              </w:rPr>
              <w:t>with</w:t>
            </w:r>
            <w:proofErr w:type="spellEnd"/>
            <w:r>
              <w:rPr>
                <w:rFonts w:ascii="Times New Roman" w:eastAsia="Times New Roman" w:hAnsi="Times New Roman" w:cs="Times New Roman"/>
                <w:i/>
                <w:iCs/>
              </w:rPr>
              <w:t xml:space="preserve"> a </w:t>
            </w:r>
            <w:proofErr w:type="spellStart"/>
            <w:r>
              <w:rPr>
                <w:rFonts w:ascii="Times New Roman" w:eastAsia="Times New Roman" w:hAnsi="Times New Roman" w:cs="Times New Roman"/>
                <w:i/>
                <w:iCs/>
              </w:rPr>
              <w:t>view</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to</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reaching</w:t>
            </w:r>
            <w:proofErr w:type="spellEnd"/>
            <w:r>
              <w:rPr>
                <w:rFonts w:ascii="Times New Roman" w:eastAsia="Times New Roman" w:hAnsi="Times New Roman" w:cs="Times New Roman"/>
                <w:i/>
                <w:iCs/>
              </w:rPr>
              <w:t xml:space="preserve"> an agreement</w:t>
            </w:r>
            <w:r>
              <w:rPr>
                <w:rFonts w:ascii="Times New Roman" w:eastAsia="Times New Roman" w:hAnsi="Times New Roman" w:cs="Times New Roman"/>
              </w:rPr>
              <w:t>” care reflectă mai clar finalitatea dialogului - tendința de a ajunge la un consens – fără a institui obligația de a obține un acord formal. În același spirit Directiva prevede că reprezentanții salariaților formulează „avize” („</w:t>
            </w:r>
            <w:proofErr w:type="spellStart"/>
            <w:r>
              <w:rPr>
                <w:rFonts w:ascii="Times New Roman" w:eastAsia="Times New Roman" w:hAnsi="Times New Roman" w:cs="Times New Roman"/>
              </w:rPr>
              <w:t>opinions</w:t>
            </w:r>
            <w:proofErr w:type="spellEnd"/>
            <w:r>
              <w:rPr>
                <w:rFonts w:ascii="Times New Roman" w:eastAsia="Times New Roman" w:hAnsi="Times New Roman" w:cs="Times New Roman"/>
              </w:rPr>
              <w:t xml:space="preserve">” în versiunea engleză). În lipsa unor dispoziții contrare în Directivă, aceste avize au un caracter consultativ, și nu obligatoriu, în raport cu angajatorul. </w:t>
            </w:r>
          </w:p>
          <w:p w14:paraId="0CEAACD6"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Din această perspectivă, menținerea noțiunii de „consens”</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în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alin. (7) și eliminarea completării propuse la partea generală a alineatului ar fi mai conforme cu logica și limitele Directivei. </w:t>
            </w:r>
          </w:p>
          <w:p w14:paraId="21F53D8D"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84704DA"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Din perspectiva metodologiei naționale de armonizare și a expertizei de compatibilitate</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abordarea Proiectului constituie un caz de supra-reglementare (</w:t>
            </w:r>
            <w:proofErr w:type="spellStart"/>
            <w:r>
              <w:rPr>
                <w:rFonts w:ascii="Times New Roman" w:eastAsia="Times New Roman" w:hAnsi="Times New Roman" w:cs="Times New Roman"/>
              </w:rPr>
              <w:t>gold-plating</w:t>
            </w:r>
            <w:proofErr w:type="spellEnd"/>
            <w:r>
              <w:rPr>
                <w:rFonts w:ascii="Times New Roman" w:eastAsia="Times New Roman" w:hAnsi="Times New Roman" w:cs="Times New Roman"/>
              </w:rPr>
              <w:t>) și de transpunere defectuoasă</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Proiectul introduce condiții mai stricte și efecte juridice mai intense decât cele impuse de actul Uniunii Europene, cu impact disproporționat asupra angajatorilor.</w:t>
            </w:r>
          </w:p>
          <w:p w14:paraId="37921159"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lastRenderedPageBreak/>
              <w:t xml:space="preserve">În esență, prin impunerea „obținerii acordului”, Proiectul modifică natura instituției consultării. </w:t>
            </w:r>
            <w:r>
              <w:rPr>
                <w:rFonts w:ascii="Times New Roman" w:eastAsia="Times New Roman" w:hAnsi="Times New Roman" w:cs="Times New Roman"/>
                <w:b/>
                <w:bCs/>
              </w:rPr>
              <w:t>Directiva</w:t>
            </w:r>
            <w:r>
              <w:rPr>
                <w:rFonts w:ascii="Times New Roman" w:eastAsia="Times New Roman" w:hAnsi="Times New Roman" w:cs="Times New Roman"/>
              </w:rPr>
              <w:t xml:space="preserve"> consacră o </w:t>
            </w:r>
            <w:r>
              <w:rPr>
                <w:rFonts w:ascii="Times New Roman" w:eastAsia="Times New Roman" w:hAnsi="Times New Roman" w:cs="Times New Roman"/>
                <w:b/>
                <w:bCs/>
              </w:rPr>
              <w:t>obligație</w:t>
            </w:r>
            <w:r>
              <w:rPr>
                <w:rFonts w:ascii="Times New Roman" w:eastAsia="Times New Roman" w:hAnsi="Times New Roman" w:cs="Times New Roman"/>
              </w:rPr>
              <w:t xml:space="preserve"> </w:t>
            </w:r>
            <w:r>
              <w:rPr>
                <w:rFonts w:ascii="Times New Roman" w:eastAsia="Times New Roman" w:hAnsi="Times New Roman" w:cs="Times New Roman"/>
                <w:b/>
                <w:bCs/>
              </w:rPr>
              <w:t>de mijloace</w:t>
            </w:r>
            <w:r>
              <w:rPr>
                <w:rFonts w:ascii="Times New Roman" w:eastAsia="Times New Roman" w:hAnsi="Times New Roman" w:cs="Times New Roman"/>
              </w:rPr>
              <w:t xml:space="preserve">: organizarea consultării la moment util, în condiții care permit un dialog real și formularea unei opinii. Punând accentul pe finalizarea procedurii cu un acord, </w:t>
            </w:r>
            <w:r>
              <w:rPr>
                <w:rFonts w:ascii="Times New Roman" w:eastAsia="Times New Roman" w:hAnsi="Times New Roman" w:cs="Times New Roman"/>
                <w:b/>
                <w:bCs/>
              </w:rPr>
              <w:t>Proiectul</w:t>
            </w:r>
            <w:r>
              <w:rPr>
                <w:rFonts w:ascii="Times New Roman" w:eastAsia="Times New Roman" w:hAnsi="Times New Roman" w:cs="Times New Roman"/>
              </w:rPr>
              <w:t xml:space="preserve"> transformă această obligație într-o </w:t>
            </w:r>
            <w:r>
              <w:rPr>
                <w:rFonts w:ascii="Times New Roman" w:eastAsia="Times New Roman" w:hAnsi="Times New Roman" w:cs="Times New Roman"/>
                <w:b/>
                <w:bCs/>
              </w:rPr>
              <w:t>obligație de rezultat</w:t>
            </w:r>
            <w:r>
              <w:rPr>
                <w:rFonts w:ascii="Times New Roman" w:eastAsia="Times New Roman" w:hAnsi="Times New Roman" w:cs="Times New Roman"/>
              </w:rPr>
              <w:t xml:space="preserve"> (fără un acord la final, consultarea nu este valabilă). Consecința implicită este transformarea consultării într-un </w:t>
            </w:r>
            <w:r>
              <w:rPr>
                <w:rFonts w:ascii="Times New Roman" w:eastAsia="Times New Roman" w:hAnsi="Times New Roman" w:cs="Times New Roman"/>
                <w:b/>
                <w:bCs/>
              </w:rPr>
              <w:t>mecanism de blocaj</w:t>
            </w:r>
            <w:r>
              <w:rPr>
                <w:rFonts w:ascii="Times New Roman" w:eastAsia="Times New Roman" w:hAnsi="Times New Roman" w:cs="Times New Roman"/>
              </w:rPr>
              <w:t xml:space="preserve">. Se creează premisa recunoașterii unui drept de veto al reprezentanților salariaților asupra unora dintre cele mai importante și de anvergură decizii de gestiune și administrare ale angajatorului, în domenii esențiale ce țin de interesele economice, comerciale și concurențiale ale întreprinderii și de responsabilitatea acesteia de a-și asigura continuitatea activității5. Această abordare depășește cadrul Directivei, care nu condiționează adoptarea deciziilor angajatorului de aprobarea lor de către salariați, ci doar consultarea efectivă a acestora. </w:t>
            </w:r>
          </w:p>
          <w:p w14:paraId="79B065EF"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plan practic, această reglementare (care este și o supra-reglementare în raport cu Directiva) va avea efecte semnificative și nocive pentru activitatea administrativă și economică a angajatorilor: </w:t>
            </w:r>
          </w:p>
          <w:p w14:paraId="7F438386" w14:textId="77777777" w:rsidR="00E114BB" w:rsidRDefault="00000000">
            <w:pPr>
              <w:numPr>
                <w:ilvl w:val="0"/>
                <w:numId w:val="5"/>
              </w:numPr>
              <w:spacing w:line="240" w:lineRule="auto"/>
              <w:jc w:val="both"/>
              <w:rPr>
                <w:rFonts w:ascii="Georgia" w:eastAsia="Georgia" w:hAnsi="Georgia" w:cs="Georgia"/>
                <w:b/>
                <w:bCs/>
              </w:rPr>
            </w:pPr>
            <w:r>
              <w:rPr>
                <w:rFonts w:ascii="Times New Roman" w:eastAsia="Times New Roman" w:hAnsi="Times New Roman" w:cs="Times New Roman"/>
                <w:b/>
                <w:bCs/>
              </w:rPr>
              <w:t xml:space="preserve">Risc de blocaje decizionale, temporare sau permanente, în lipsa acordului reprezentanților salariaților. </w:t>
            </w:r>
            <w:r>
              <w:rPr>
                <w:rFonts w:ascii="Times New Roman" w:eastAsia="Times New Roman" w:hAnsi="Times New Roman" w:cs="Times New Roman"/>
                <w:u w:val="single"/>
              </w:rPr>
              <w:t>În contextul</w:t>
            </w:r>
            <w:r>
              <w:rPr>
                <w:rFonts w:ascii="Times New Roman" w:eastAsia="Times New Roman" w:hAnsi="Times New Roman" w:cs="Times New Roman"/>
                <w:b/>
                <w:bCs/>
                <w:u w:val="single"/>
              </w:rPr>
              <w:t xml:space="preserve"> </w:t>
            </w:r>
            <w:r>
              <w:rPr>
                <w:rFonts w:ascii="Times New Roman" w:eastAsia="Times New Roman" w:hAnsi="Times New Roman" w:cs="Times New Roman"/>
                <w:u w:val="single"/>
              </w:rPr>
              <w:t>național, unde existența reprezentanților salariaților depinde exclusiv de inițiativa acestora și poate lipsi în numeroase unități, condiționarea deciziilor</w:t>
            </w:r>
            <w:r>
              <w:rPr>
                <w:rFonts w:ascii="Times New Roman" w:eastAsia="Times New Roman" w:hAnsi="Times New Roman" w:cs="Times New Roman"/>
              </w:rPr>
              <w:t xml:space="preserve"> de „obținerea unui acord” poate conduce la </w:t>
            </w:r>
            <w:r>
              <w:rPr>
                <w:rFonts w:ascii="Times New Roman" w:eastAsia="Times New Roman" w:hAnsi="Times New Roman" w:cs="Times New Roman"/>
                <w:u w:val="single"/>
              </w:rPr>
              <w:t>imposibilitatea adoptării unor măsuri</w:t>
            </w:r>
            <w:r>
              <w:rPr>
                <w:rFonts w:ascii="Times New Roman" w:eastAsia="Times New Roman" w:hAnsi="Times New Roman" w:cs="Times New Roman"/>
              </w:rPr>
              <w:t xml:space="preserve"> legitime de </w:t>
            </w:r>
            <w:r>
              <w:rPr>
                <w:rFonts w:ascii="Times New Roman" w:eastAsia="Times New Roman" w:hAnsi="Times New Roman" w:cs="Times New Roman"/>
                <w:u w:val="single"/>
              </w:rPr>
              <w:t>organizare sau restructurare</w:t>
            </w:r>
            <w:r>
              <w:rPr>
                <w:rFonts w:ascii="Times New Roman" w:eastAsia="Times New Roman" w:hAnsi="Times New Roman" w:cs="Times New Roman"/>
              </w:rPr>
              <w:t xml:space="preserve">, ori la adoptarea lor </w:t>
            </w:r>
            <w:r>
              <w:rPr>
                <w:rFonts w:ascii="Times New Roman" w:eastAsia="Times New Roman" w:hAnsi="Times New Roman" w:cs="Times New Roman"/>
                <w:u w:val="single"/>
              </w:rPr>
              <w:t>cu întârzieri incompatibile cu dinamica economică</w:t>
            </w:r>
            <w:r>
              <w:rPr>
                <w:rFonts w:ascii="Times New Roman" w:eastAsia="Times New Roman" w:hAnsi="Times New Roman" w:cs="Times New Roman"/>
              </w:rPr>
              <w:t xml:space="preserve"> </w:t>
            </w:r>
            <w:r>
              <w:rPr>
                <w:rFonts w:ascii="Times New Roman" w:eastAsia="Times New Roman" w:hAnsi="Times New Roman" w:cs="Times New Roman"/>
                <w:i/>
                <w:iCs/>
              </w:rPr>
              <w:t>(pentru mai multe detalii, a se vedea comentariul la alin. (7</w:t>
            </w:r>
            <w:r>
              <w:rPr>
                <w:rFonts w:ascii="Times New Roman" w:eastAsia="Times New Roman" w:hAnsi="Times New Roman" w:cs="Times New Roman"/>
                <w:i/>
                <w:iCs/>
                <w:vertAlign w:val="superscript"/>
              </w:rPr>
              <w:t>1</w:t>
            </w:r>
            <w:r>
              <w:rPr>
                <w:rFonts w:ascii="Times New Roman" w:eastAsia="Times New Roman" w:hAnsi="Times New Roman" w:cs="Times New Roman"/>
                <w:i/>
                <w:iCs/>
              </w:rPr>
              <w:t>) din art. 42</w:t>
            </w:r>
            <w:r>
              <w:rPr>
                <w:rFonts w:ascii="Times New Roman" w:eastAsia="Times New Roman" w:hAnsi="Times New Roman" w:cs="Times New Roman"/>
                <w:i/>
                <w:iCs/>
                <w:vertAlign w:val="superscript"/>
              </w:rPr>
              <w:t>1</w:t>
            </w:r>
            <w:r>
              <w:rPr>
                <w:rFonts w:ascii="Times New Roman" w:eastAsia="Times New Roman" w:hAnsi="Times New Roman" w:cs="Times New Roman"/>
                <w:i/>
                <w:iCs/>
              </w:rPr>
              <w:t xml:space="preserve"> CM Proiect); </w:t>
            </w:r>
          </w:p>
          <w:p w14:paraId="5C1995B4" w14:textId="77777777" w:rsidR="00E114BB" w:rsidRDefault="00000000">
            <w:pPr>
              <w:numPr>
                <w:ilvl w:val="0"/>
                <w:numId w:val="5"/>
              </w:numPr>
              <w:spacing w:line="240" w:lineRule="auto"/>
              <w:jc w:val="both"/>
              <w:rPr>
                <w:rFonts w:ascii="Georgia" w:eastAsia="Georgia" w:hAnsi="Georgia" w:cs="Georgia"/>
                <w:b/>
                <w:bCs/>
              </w:rPr>
            </w:pPr>
            <w:r>
              <w:rPr>
                <w:rFonts w:ascii="Times New Roman" w:eastAsia="Times New Roman" w:hAnsi="Times New Roman" w:cs="Times New Roman"/>
                <w:b/>
                <w:bCs/>
              </w:rPr>
              <w:t xml:space="preserve">Creșterea riscurilor de litigii </w:t>
            </w:r>
            <w:r>
              <w:rPr>
                <w:rFonts w:ascii="Times New Roman" w:eastAsia="Times New Roman" w:hAnsi="Times New Roman" w:cs="Times New Roman"/>
              </w:rPr>
              <w:t>cu angajații (dispute privind finalizarea consultărilor, existența sau forma „acordului” pentru implementarea deciziilor);</w:t>
            </w:r>
          </w:p>
          <w:p w14:paraId="5C90F521" w14:textId="77777777" w:rsidR="00E114BB" w:rsidRDefault="00000000">
            <w:pPr>
              <w:numPr>
                <w:ilvl w:val="0"/>
                <w:numId w:val="5"/>
              </w:numPr>
              <w:spacing w:line="240" w:lineRule="auto"/>
              <w:jc w:val="both"/>
              <w:rPr>
                <w:rFonts w:ascii="Georgia" w:eastAsia="Georgia" w:hAnsi="Georgia" w:cs="Georgia"/>
                <w:b/>
                <w:bCs/>
              </w:rPr>
            </w:pPr>
            <w:r>
              <w:rPr>
                <w:rFonts w:ascii="Times New Roman" w:eastAsia="Times New Roman" w:hAnsi="Times New Roman" w:cs="Times New Roman"/>
                <w:b/>
                <w:bCs/>
              </w:rPr>
              <w:lastRenderedPageBreak/>
              <w:t xml:space="preserve">Risc de utilizare abuzivă a instituției consultării, </w:t>
            </w:r>
            <w:r>
              <w:rPr>
                <w:rFonts w:ascii="Times New Roman" w:eastAsia="Times New Roman" w:hAnsi="Times New Roman" w:cs="Times New Roman"/>
              </w:rPr>
              <w:t>inclusiv de către concurenții angajatorului (acționând prin angajați ai întreprinderii). De exemplu, implementarea unor tehnologii noi sau introducerea unor echipamente de lucru moderne (procese menționate în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alin. (2) lit. d) Codul muncii) ar putea fi blocată invocând neconsultarea sau nefinalizarea consultării reprezentanților salariaților pe această problemă, în temeiul alin. (7) alin. c) și alin. (7</w:t>
            </w:r>
            <w:r>
              <w:rPr>
                <w:rFonts w:ascii="Times New Roman" w:eastAsia="Times New Roman" w:hAnsi="Times New Roman" w:cs="Times New Roman"/>
                <w:vertAlign w:val="superscript"/>
              </w:rPr>
              <w:t>1</w:t>
            </w:r>
            <w:r>
              <w:rPr>
                <w:rFonts w:ascii="Times New Roman" w:eastAsia="Times New Roman" w:hAnsi="Times New Roman" w:cs="Times New Roman"/>
              </w:rPr>
              <w:t>)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CM Proiect. </w:t>
            </w:r>
          </w:p>
          <w:p w14:paraId="4018CB8E"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 termen mediu și lung, aceste incertitudini privind validitatea deciziilor de management pot afecta semnificativ mediul de afaceri și climatul investițional. </w:t>
            </w:r>
          </w:p>
          <w:p w14:paraId="1245D4E4"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Reieșind din faptul că Directiva 2002/14/CE are ca obiect activitatea de informare și consultare a lucrătorilor, definite de prevederile art. 2 lit. (f) și (g), prevederile care ar impune obținerea unor acorduri ale reprezentanților salariaților cu privire la competențele angajatorului prevăzute la alin.(2)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 Codului muncii sunt contrare obiectivului Directivei, art. 126 alin.(2) al Constituției – care stabilește principii protective pentru libertatea activității de întreprinzător, dar și actelor normative care reglementează activitatea de întreprinzător, în special în ceea ce privește libertatea și independența în luarea deciziilor cu privire la gestionarea afacerii (art. 6 al Legii cu privire la antreprenoriat și întreprinderi, nr. 845 din 03.01.1992). </w:t>
            </w:r>
          </w:p>
          <w:p w14:paraId="1C04DB30"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context, impunerea obligației obținerii unui acord, din partea reprezentanților salariaților, care nu sunt subiecții îndreptățiți cu competențe de a condiționa și influența deciziile angajatorului, este o ingerință nepermisă în capacitatea de decizie a angajatorului. </w:t>
            </w:r>
          </w:p>
          <w:p w14:paraId="0159884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De fapt, prin respectiva propunere de completare a Articolului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se instituie un instrument de „ veto” inadmisibil asupra deciziilor luate de angajator, contrar principiilor de egalitate ce ar trebui să caracterizeze relațiile parteneriatului </w:t>
            </w:r>
            <w:r>
              <w:rPr>
                <w:rFonts w:ascii="Times New Roman" w:eastAsia="Times New Roman" w:hAnsi="Times New Roman" w:cs="Times New Roman"/>
              </w:rPr>
              <w:lastRenderedPageBreak/>
              <w:t xml:space="preserve">social și de independență pe care statul o garantează antreprenorilor. </w:t>
            </w:r>
          </w:p>
          <w:p w14:paraId="62CE8680" w14:textId="77777777" w:rsidR="00E114BB" w:rsidRDefault="00E114BB">
            <w:pPr>
              <w:spacing w:line="240" w:lineRule="auto"/>
              <w:ind w:firstLine="567"/>
              <w:jc w:val="both"/>
              <w:rPr>
                <w:rFonts w:ascii="Times New Roman" w:eastAsia="Times New Roman" w:hAnsi="Times New Roman" w:cs="Times New Roman"/>
              </w:rPr>
            </w:pPr>
          </w:p>
          <w:p w14:paraId="280AD3DD"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Coerență terminologică – sintagma „inclusiv organismelor publice”, proiectul introduce terminologie redundantă și lipsită de bază legală: </w:t>
            </w:r>
          </w:p>
          <w:p w14:paraId="426E91CA" w14:textId="77777777" w:rsidR="00E114BB" w:rsidRDefault="00000000">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expresia se suprapune cu „sectorul public” </w:t>
            </w:r>
          </w:p>
          <w:p w14:paraId="26DBB752" w14:textId="77777777" w:rsidR="00E114BB" w:rsidRDefault="00000000">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creează incoerență și ambiguitate în interpretare </w:t>
            </w:r>
          </w:p>
          <w:p w14:paraId="56147C76" w14:textId="77777777" w:rsidR="00E114BB" w:rsidRDefault="00000000">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nu există justificare pentru extinderea enumerării. </w:t>
            </w:r>
          </w:p>
        </w:tc>
        <w:tc>
          <w:tcPr>
            <w:tcW w:w="5880" w:type="dxa"/>
          </w:tcPr>
          <w:p w14:paraId="6AF7932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bl>
            <w:tblPr>
              <w:tblStyle w:val="a6"/>
              <w:tblW w:w="5685" w:type="dxa"/>
              <w:tblInd w:w="0" w:type="dxa"/>
              <w:tblLayout w:type="fixed"/>
              <w:tblLook w:val="0600" w:firstRow="0" w:lastRow="0" w:firstColumn="0" w:lastColumn="0" w:noHBand="1" w:noVBand="1"/>
            </w:tblPr>
            <w:tblGrid>
              <w:gridCol w:w="5685"/>
            </w:tblGrid>
            <w:tr w:rsidR="00E114BB" w14:paraId="211FD6C0" w14:textId="77777777">
              <w:trPr>
                <w:trHeight w:val="1440"/>
              </w:trPr>
              <w:tc>
                <w:tcPr>
                  <w:tcW w:w="5685" w:type="dxa"/>
                  <w:tcMar>
                    <w:top w:w="0" w:type="dxa"/>
                    <w:left w:w="180" w:type="dxa"/>
                    <w:bottom w:w="0" w:type="dxa"/>
                    <w:right w:w="180" w:type="dxa"/>
                  </w:tcMar>
                </w:tcPr>
                <w:p w14:paraId="36D45824" w14:textId="77777777" w:rsidR="00E114BB" w:rsidRDefault="00000000">
                  <w:pPr>
                    <w:framePr w:hSpace="180" w:wrap="around" w:vAnchor="text" w:hAnchor="text"/>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0B46405D" w14:textId="77777777" w:rsidR="00E114BB" w:rsidRDefault="00000000">
                  <w:pPr>
                    <w:framePr w:hSpace="180" w:wrap="around" w:vAnchor="text" w:hAnchor="text"/>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Menționăm că, procedura consultării este obligatorie ca o procedură pre-decizională. Angajatorul fiind obligat să o parcurgă, dar nu și să accepte propunerile salariaților. </w:t>
                  </w:r>
                </w:p>
              </w:tc>
            </w:tr>
          </w:tbl>
          <w:p w14:paraId="5D7E489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(4) lit. (e) din directivă prevede desfășurarea consultării „în vederea ajungerii la un acord”, ceea ce confirmă că acordul este o finalitate legitimă a dialogului, nu un element străin mecanismului. Diferența dintre „a urmări un acord” și „a obține un acord” ține de formulare legislativă și de opțiunea statului, nu de o interdicție impusă de directivă</w:t>
            </w:r>
          </w:p>
          <w:p w14:paraId="50B45F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Astfel, </w:t>
            </w: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32C9B20C"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p w14:paraId="7EC04EC5"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reține că observația formulată vizează posibila interpretare extensivă a noțiunii de „acord”, însă se impune precizarea că alinierea terminologică este necesară pentru asigurarea conformității cu Directiva 2002/14/CE, care utilizează expres conceptul de consultare „în vederea ajungerii la un acord”, fără a conferi reprezentanților salariaților un drept de veto asupra deciziei angajatorului.</w:t>
            </w:r>
          </w:p>
          <w:p w14:paraId="329AE8A8"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constată că în redacția anterioară a fost utilizat termenul „consens”, care, deși apropiat ca sens de noțiunea de „acord”, nu este consacrat de directivă și poate genera incertitudini interpretative suplimentare. În acest context, substituirea termenului respectiv urmărește uniformizarea terminologiei cu cea europeană, fără a modifica natura juridică a procedurii de consultare, care rămâne una consultativă.</w:t>
            </w:r>
          </w:p>
          <w:p w14:paraId="7BDC5011" w14:textId="77777777" w:rsidR="00E114BB"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acceptă parțial obiecția, iar art. 42¹ alin. (7) lit. c) din Codul muncii al Republicii Moldova va avea următoarea redactare: </w:t>
            </w:r>
          </w:p>
          <w:p w14:paraId="4DF8909D" w14:textId="77777777" w:rsidR="00E114BB" w:rsidRDefault="00E114BB">
            <w:pPr>
              <w:shd w:val="clear" w:color="auto" w:fill="FFFFFF"/>
              <w:jc w:val="both"/>
              <w:rPr>
                <w:rFonts w:ascii="Times New Roman" w:eastAsia="Times New Roman" w:hAnsi="Times New Roman" w:cs="Times New Roman"/>
                <w:b/>
                <w:bCs/>
                <w:highlight w:val="white"/>
              </w:rPr>
            </w:pPr>
          </w:p>
          <w:p w14:paraId="53D0BB5D"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09B0C0F2" w14:textId="77777777" w:rsidR="00E114BB"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lastRenderedPageBreak/>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p w14:paraId="5CE6B57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9CB8C5D"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0D49D3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7A0CB4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EA363B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D366103"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A34ACF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1DD84AF"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A38037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1E8E60A"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ECDB4E5"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4A195E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60182B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2FF486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68915D9"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417E06C"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309911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10FCA9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5DBD54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D91D72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EF74B74"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016970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DABD09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36CFE0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759301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39710B7"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5690A08"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9B2AEA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6E3C731"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B5D59F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7508D20"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842FA56"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C8A9CDE"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CB0D282" w14:textId="77777777" w:rsidR="00E114BB" w:rsidRDefault="00E114BB">
            <w:pPr>
              <w:spacing w:line="240" w:lineRule="auto"/>
              <w:ind w:firstLine="20"/>
              <w:jc w:val="both"/>
              <w:rPr>
                <w:rFonts w:ascii="Times New Roman" w:eastAsia="Times New Roman" w:hAnsi="Times New Roman" w:cs="Times New Roman"/>
                <w:highlight w:val="white"/>
              </w:rPr>
            </w:pPr>
          </w:p>
        </w:tc>
      </w:tr>
      <w:tr w:rsidR="00E114BB" w14:paraId="59ADDF51" w14:textId="77777777">
        <w:trPr>
          <w:trHeight w:val="600"/>
        </w:trPr>
        <w:tc>
          <w:tcPr>
            <w:tcW w:w="555" w:type="dxa"/>
            <w:vMerge/>
          </w:tcPr>
          <w:p w14:paraId="7DD8D40F" w14:textId="77777777" w:rsidR="00E114BB" w:rsidRDefault="00E114BB">
            <w:pPr>
              <w:widowControl w:val="0"/>
              <w:rPr>
                <w:rFonts w:ascii="Times New Roman" w:eastAsia="Times New Roman" w:hAnsi="Times New Roman" w:cs="Times New Roman"/>
                <w:highlight w:val="white"/>
              </w:rPr>
            </w:pPr>
          </w:p>
        </w:tc>
        <w:tc>
          <w:tcPr>
            <w:tcW w:w="2700" w:type="dxa"/>
            <w:vMerge/>
          </w:tcPr>
          <w:p w14:paraId="024C3186" w14:textId="77777777" w:rsidR="00E114BB" w:rsidRDefault="00E114BB">
            <w:pPr>
              <w:widowControl w:val="0"/>
              <w:rPr>
                <w:rFonts w:ascii="Times New Roman" w:eastAsia="Times New Roman" w:hAnsi="Times New Roman" w:cs="Times New Roman"/>
                <w:highlight w:val="white"/>
              </w:rPr>
            </w:pPr>
          </w:p>
        </w:tc>
        <w:tc>
          <w:tcPr>
            <w:tcW w:w="5880" w:type="dxa"/>
          </w:tcPr>
          <w:p w14:paraId="40148EB6"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 xml:space="preserve"> alin. (7</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 xml:space="preserve">) </w:t>
            </w:r>
          </w:p>
          <w:p w14:paraId="6FB3BC53" w14:textId="77777777" w:rsidR="00E114BB"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Propunere de redactare:</w:t>
            </w:r>
          </w:p>
          <w:p w14:paraId="5D4CB5AF"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Eliminare totală: </w:t>
            </w:r>
          </w:p>
          <w:p w14:paraId="62E2EC63" w14:textId="77777777" w:rsidR="00E114BB" w:rsidRDefault="00000000">
            <w:pPr>
              <w:spacing w:line="240" w:lineRule="auto"/>
              <w:ind w:firstLine="284"/>
              <w:jc w:val="both"/>
              <w:rPr>
                <w:rFonts w:ascii="Times New Roman" w:eastAsia="Times New Roman" w:hAnsi="Times New Roman" w:cs="Times New Roman"/>
                <w:b/>
                <w:bCs/>
                <w:strike/>
                <w:highlight w:val="white"/>
              </w:rPr>
            </w:pPr>
            <w:r>
              <w:rPr>
                <w:rFonts w:ascii="Times New Roman" w:eastAsia="Times New Roman" w:hAnsi="Times New Roman" w:cs="Times New Roman"/>
                <w:strike/>
              </w:rPr>
              <w:t xml:space="preserve">(7¹)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 </w:t>
            </w:r>
          </w:p>
          <w:p w14:paraId="36938ECC" w14:textId="77777777" w:rsidR="00E114BB"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55D9F31D"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Supra-reglementare și efecte disproporționate ale sancțiunii nulității (art. 421 alin. (7¹) CM Proiect) </w:t>
            </w:r>
          </w:p>
          <w:p w14:paraId="2550728F"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Alineatul (7¹) al art. 421 din proiect prevede că decizia angajatorului adoptată fără informarea și consultarea reprezentanților salariaților sau până la finalizarea procedurii de informare și consultare este nulă. O asemenea soluție nu se regăsește în Directiva 2002/14/CE și reprezintă o creație normativă națională care depășește cerințele actului european, constituind un caz de supra-reglementare (</w:t>
            </w:r>
            <w:proofErr w:type="spellStart"/>
            <w:r>
              <w:rPr>
                <w:rFonts w:ascii="Times New Roman" w:eastAsia="Times New Roman" w:hAnsi="Times New Roman" w:cs="Times New Roman"/>
              </w:rPr>
              <w:t>gold-plating</w:t>
            </w:r>
            <w:proofErr w:type="spellEnd"/>
            <w:r>
              <w:rPr>
                <w:rFonts w:ascii="Times New Roman" w:eastAsia="Times New Roman" w:hAnsi="Times New Roman" w:cs="Times New Roman"/>
              </w:rPr>
              <w:t xml:space="preserve">). </w:t>
            </w:r>
          </w:p>
          <w:p w14:paraId="1A479551"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Directiva 2002/14/CE nu condiționează validitatea deciziilor de gestiune ale angajatorului de realizarea sau finalizarea procedurii de consultare și nu prevede sancțiunea nulității automate pentru nerespectarea acestei obligații. Articolul 8 din Directivă stabilește doar obligația statelor membre de a institui măsuri adecvate și sancțiuni eficiente, proporționale și disuasive pentru asigurarea respectării drepturilor prevăzute de aceasta, fără a impune în mod specific </w:t>
            </w:r>
            <w:r>
              <w:rPr>
                <w:rFonts w:ascii="Times New Roman" w:eastAsia="Times New Roman" w:hAnsi="Times New Roman" w:cs="Times New Roman"/>
              </w:rPr>
              <w:lastRenderedPageBreak/>
              <w:t xml:space="preserve">sancțiunea nulității actelor emise de angajator. În aceste condiții, instituirea nulității deciziilor adoptate fără parcurgerea procedurii de informare și consultare reprezintă o sancțiune excesivă și disproporționată în raport cu natura obligației reglementate. </w:t>
            </w:r>
          </w:p>
          <w:p w14:paraId="47381533"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Obligația de informare și consultare are un caracter procedural și participativ și nu echivalează cu necesitatea obținerii acordului reprezentanților salariaților. Aplicarea nulității ca sancțiune automată pentru nerespectarea acestei proceduri transformă consultarea într-o condiție de validitate a deciziilor manageriale și instituie un sistem de </w:t>
            </w:r>
            <w:proofErr w:type="spellStart"/>
            <w:r>
              <w:rPr>
                <w:rFonts w:ascii="Times New Roman" w:eastAsia="Times New Roman" w:hAnsi="Times New Roman" w:cs="Times New Roman"/>
              </w:rPr>
              <w:t>co</w:t>
            </w:r>
            <w:proofErr w:type="spellEnd"/>
            <w:r>
              <w:rPr>
                <w:rFonts w:ascii="Times New Roman" w:eastAsia="Times New Roman" w:hAnsi="Times New Roman" w:cs="Times New Roman"/>
              </w:rPr>
              <w:t xml:space="preserve">-decizie sau veto al reprezentanților salariaților asupra deciziilor angajatorului. În combinație cu modificările propuse la alin. (7) al art. 421, care introduc cerința „obținerii unui acord”, alin. (7¹) ajunge să sancționeze nu doar lipsa consultării, ci, în fapt, lipsa rezultatului acesteia. </w:t>
            </w:r>
          </w:p>
          <w:p w14:paraId="4D921806"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Mai mult, norma propusă ignoră cadrul juridic național existent. Potrivit art. 21 alin. (2) și (3) din Codul muncii, reprezentanții salariaților sunt desemnați de către salariați în cadrul adunării generale, iar existența acestora este rezultatul unei inițiative voluntare a salariaților. În unitățile în care salariații nu se organizează și nu desemnează astfel de reprezentanți, angajatorul nu are posibilitatea de a iniția sau finaliza procedura de consultare. În aceste condiții, sancțiunea nulității deciziilor adoptate fără consultare va genera imposibilitatea obiectivă a angajatorului de a adopta decizii manageriale valabile în domeniile vizate de normă. În acest context, subliniem că Directiva 2002/14/CE prevede că modalitățile de informare și consultare se definesc și se aplică în conformitate cu legislația și practicile naționale în domeniul relațiilor dintre partenerii sociali. Prin urmare, Directiva nu impune standarde mai ridicate decât cele compatibile cu cadrul național existent. Într-un sistem juridic în care existența reprezentanților salariaților este facultativă și independentă de voința angajatorului, consultarea acestora nu poate fi </w:t>
            </w:r>
            <w:r>
              <w:rPr>
                <w:rFonts w:ascii="Times New Roman" w:eastAsia="Times New Roman" w:hAnsi="Times New Roman" w:cs="Times New Roman"/>
              </w:rPr>
              <w:lastRenderedPageBreak/>
              <w:t xml:space="preserve">transformată într-o condiție obligatorie pentru validitatea deciziilor de management. </w:t>
            </w:r>
          </w:p>
          <w:p w14:paraId="78B0777E"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De asemenea, însăși formularea normei propuse ridică probleme de claritate și securitate juridică. Proiectul nu precizează natura nulității (absolută sau relativă), mecanismul de constatare a acesteia, termenul în care poate fi invocată și nici efectele juridice în raport cu terții. Noțiunea de „finalizare a procedurii de consultare”, ca temei de nulitate, este, la rândul său, susceptibilă de interpretări divergente. În lipsa unor criterii clare, orice decizie nepopulară a angajatorului ar putea fi contestată pe temeiuri procedurale, ceea ce va spori semnificativ riscul de litigii și incertitudinea juridică. </w:t>
            </w:r>
          </w:p>
          <w:p w14:paraId="24E50A65"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plan practic, sancțiunea nulității va afecta statutul și validitatea deciziilor companiilor de reorganizare, restructurare și a altor măsuri de administrare a activității economice care implică terți, investitori sau creditori. Aceasta va afecta securitatea raporturilor juridice și stabilitatea deciziilor manageriale, în exces vădit față de scopul obligației de informare și consultare din Codul muncii. </w:t>
            </w:r>
          </w:p>
          <w:p w14:paraId="01CC94A5"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Totodată, cadrul juridic actual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din Codul muncii prevede deja mecanisme de protecție adecvate. Potrivit alin. (10) al acestui articol, refuzul angajatorului de a furniza informații sau de a întreprinde consultări poate fi contestat în instanța de judecată. Acest mecanism judiciar permite evaluarea circumstanțelor concrete ale fiecărui caz și asigură un control jurisdicțional adecvat asupra respectării obligației de consultare. Introducerea unei nulități automate creează o suprapunere normativă și elimină marja de apreciere a instanțelor în evaluarea proporționalității sancțiunii. </w:t>
            </w:r>
          </w:p>
          <w:p w14:paraId="206F2A2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În concluzie, modificarea propusă la alin. (7¹)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depășește logica și standardele Directivei 2002/14/CE și introduce o sancțiune disproporționată și dificil de aplicat în contextul juridic național. În combinație cu modificările propuse la alin. (7), această normă riscă să transforme consultarea – concepută ca instrument de dialog și participare – într-o </w:t>
            </w:r>
            <w:r>
              <w:rPr>
                <w:rFonts w:ascii="Times New Roman" w:eastAsia="Times New Roman" w:hAnsi="Times New Roman" w:cs="Times New Roman"/>
              </w:rPr>
              <w:lastRenderedPageBreak/>
              <w:t xml:space="preserve">procedură de aprobare a deciziilor de business, generând blocaje decizionale, incertitudine juridică și un risc sporit de litigii pentru angajatori. </w:t>
            </w:r>
          </w:p>
          <w:p w14:paraId="63B0D41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aceste condiții, se impune fie eliminarea sancțiunii nulității prevăzute la alin. (7¹), fie reformularea normei într-o manieră care să asigure un echilibru între efectivitatea dreptului la consultare și necesitatea menținerii stabilității deciziilor adoptate de angajator. </w:t>
            </w:r>
          </w:p>
        </w:tc>
        <w:tc>
          <w:tcPr>
            <w:tcW w:w="5880" w:type="dxa"/>
          </w:tcPr>
          <w:p w14:paraId="11C5507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tc>
      </w:tr>
      <w:tr w:rsidR="00E114BB" w14:paraId="706EE293" w14:textId="77777777">
        <w:trPr>
          <w:trHeight w:val="600"/>
        </w:trPr>
        <w:tc>
          <w:tcPr>
            <w:tcW w:w="555" w:type="dxa"/>
            <w:vMerge/>
          </w:tcPr>
          <w:p w14:paraId="7E5D15B1" w14:textId="77777777" w:rsidR="00E114BB" w:rsidRDefault="00E114BB">
            <w:pPr>
              <w:widowControl w:val="0"/>
              <w:rPr>
                <w:rFonts w:ascii="Times New Roman" w:eastAsia="Times New Roman" w:hAnsi="Times New Roman" w:cs="Times New Roman"/>
                <w:highlight w:val="white"/>
              </w:rPr>
            </w:pPr>
          </w:p>
        </w:tc>
        <w:tc>
          <w:tcPr>
            <w:tcW w:w="2700" w:type="dxa"/>
            <w:vMerge/>
          </w:tcPr>
          <w:p w14:paraId="54161D63" w14:textId="77777777" w:rsidR="00E114BB" w:rsidRDefault="00E114BB">
            <w:pPr>
              <w:widowControl w:val="0"/>
              <w:rPr>
                <w:rFonts w:ascii="Times New Roman" w:eastAsia="Times New Roman" w:hAnsi="Times New Roman" w:cs="Times New Roman"/>
                <w:highlight w:val="white"/>
              </w:rPr>
            </w:pPr>
          </w:p>
        </w:tc>
        <w:tc>
          <w:tcPr>
            <w:tcW w:w="5880" w:type="dxa"/>
          </w:tcPr>
          <w:p w14:paraId="6F7242FE"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Comentariu general la art. 42</w:t>
            </w:r>
            <w:r>
              <w:rPr>
                <w:rFonts w:ascii="Times New Roman" w:eastAsia="Times New Roman" w:hAnsi="Times New Roman" w:cs="Times New Roman"/>
                <w:b/>
                <w:bCs/>
                <w:vertAlign w:val="superscript"/>
              </w:rPr>
              <w:t xml:space="preserve">1 </w:t>
            </w:r>
            <w:r>
              <w:rPr>
                <w:rFonts w:ascii="Times New Roman" w:eastAsia="Times New Roman" w:hAnsi="Times New Roman" w:cs="Times New Roman"/>
                <w:b/>
                <w:bCs/>
              </w:rPr>
              <w:t xml:space="preserve">Codul muncii </w:t>
            </w:r>
          </w:p>
          <w:p w14:paraId="0D80F6EC"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Pentru claritate și eficiența normelor articolului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Codul muncii, considerăm necesară stabilirea unui termen procedural pentru consultare, pentru a preveni blocarea deciziilor angajatorului și pentru a asigura un proces lucrativ. Astfel, dacă reprezentanții salariaților nu transmit niciun punct de vedere până la expirarea termenului, consultarea se consideră finalizată, iar angajatorul poate adopta decizia în lipsa acesteia.</w:t>
            </w:r>
          </w:p>
        </w:tc>
        <w:tc>
          <w:tcPr>
            <w:tcW w:w="5880" w:type="dxa"/>
          </w:tcPr>
          <w:p w14:paraId="278D7DE6" w14:textId="77777777" w:rsidR="00E114BB" w:rsidRDefault="00000000">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ia act de observațiile formulate privind necesitatea instituirii unui termen procedural clar pentru desfășurarea consultării, în vederea asigurării eficienței mecanismului și prevenirii eventualelor blocaje în procesul decizional al angajatorului. În acest sens, propunerea este acceptată, fiind apreciată ca oportună pentru a garanta un echilibru între exercitarea efectivă a dreptului la consultare și respectarea prerogativelor </w:t>
            </w:r>
            <w:proofErr w:type="spellStart"/>
            <w:r>
              <w:rPr>
                <w:rFonts w:ascii="Times New Roman" w:eastAsia="Times New Roman" w:hAnsi="Times New Roman" w:cs="Times New Roman"/>
                <w:highlight w:val="white"/>
              </w:rPr>
              <w:t>angajatorului.Se</w:t>
            </w:r>
            <w:proofErr w:type="spellEnd"/>
            <w:r>
              <w:rPr>
                <w:rFonts w:ascii="Times New Roman" w:eastAsia="Times New Roman" w:hAnsi="Times New Roman" w:cs="Times New Roman"/>
                <w:highlight w:val="white"/>
              </w:rPr>
              <w:t xml:space="preserve"> reține că art. 42¹ alin. (7) din Codul Muncii instituie deja un termen de 10 zile lucrătoare pentru exprimarea opiniei în cadrul consultării, inclusiv prezumția în caz de neprezentare „</w:t>
            </w:r>
            <w:r>
              <w:rPr>
                <w:rFonts w:ascii="Times New Roman" w:eastAsia="Times New Roman" w:hAnsi="Times New Roman" w:cs="Times New Roman"/>
                <w:i/>
                <w:iCs/>
                <w:highlight w:val="white"/>
              </w:rPr>
              <w:t xml:space="preserve">În toate cazurile, prevăzute de prezentul cod, în care angajatorul este obligat să consulte salariații/reprezentanții salariaților înainte de adoptarea unei decizii care afectează drepturile și interesele salariaților, angajatorul notifică organul sindical/reprezentanții salariaților și solicită opinia consultativă a acestora în formă scrisă. Termenul de prezentare a opiniei este de 10 zile lucrătoare de la data recepționării notificării. În cazul neprezentării opiniei în termenul indicat, comunicarea opiniei consultative de către organul respectiv/reprezentanții salariaților se prezumă.” </w:t>
            </w:r>
            <w:r>
              <w:rPr>
                <w:rFonts w:ascii="Times New Roman" w:eastAsia="Times New Roman" w:hAnsi="Times New Roman" w:cs="Times New Roman"/>
                <w:highlight w:val="white"/>
              </w:rPr>
              <w:t>Astfel, prin modificările propuse se intervine suplimentar doar pentru clarificarea termenului aferent etapei de informare.</w:t>
            </w:r>
          </w:p>
          <w:p w14:paraId="7A23A2F0" w14:textId="77777777" w:rsidR="00E114BB" w:rsidRDefault="00000000">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consecință, prevederile art. 42 și art. 42¹ din Codul muncii al Republicii Moldova sunt ajustate, inclusiv prin introducerea unui termen de 10 zile lucrătoare pentru exprimarea opiniei de către </w:t>
            </w:r>
            <w:r>
              <w:rPr>
                <w:rFonts w:ascii="Times New Roman" w:eastAsia="Times New Roman" w:hAnsi="Times New Roman" w:cs="Times New Roman"/>
                <w:highlight w:val="white"/>
              </w:rPr>
              <w:lastRenderedPageBreak/>
              <w:t>reprezentanții salariaților, precum și prin clarificarea faptului că, în lipsa unui răspuns în acest termen, procedura de consultare se consideră finalizată. Această soluție legislativă contribuie la asigurarea unui proces previzibil și funcțional, în concordanță cu exigențele unui dialog social efectiv.</w:t>
            </w:r>
          </w:p>
          <w:p w14:paraId="442ECED8" w14:textId="77777777" w:rsidR="00E114BB"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highlight w:val="white"/>
              </w:rPr>
              <w:t xml:space="preserve"> alineatul (2) lit. b) se completează în final cu textul</w:t>
            </w:r>
          </w:p>
          <w:p w14:paraId="52C1FF79" w14:textId="77777777" w:rsidR="00E114BB"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Participarea salariaţilor la administrarea unităţii poate fi realizată prin:</w:t>
            </w:r>
          </w:p>
          <w:p w14:paraId="777297F9" w14:textId="77777777" w:rsidR="00E114BB" w:rsidRDefault="00000000">
            <w:pPr>
              <w:spacing w:line="240" w:lineRule="auto"/>
              <w:ind w:firstLine="20"/>
              <w:jc w:val="both"/>
              <w:rPr>
                <w:rFonts w:ascii="Times New Roman" w:eastAsia="Times New Roman" w:hAnsi="Times New Roman" w:cs="Times New Roman"/>
                <w:sz w:val="18"/>
                <w:szCs w:val="18"/>
                <w:highlight w:val="white"/>
              </w:rPr>
            </w:pPr>
            <w:r>
              <w:rPr>
                <w:rFonts w:ascii="Times New Roman" w:eastAsia="Times New Roman" w:hAnsi="Times New Roman" w:cs="Times New Roman"/>
                <w:highlight w:val="white"/>
              </w:rPr>
              <w:t xml:space="preserve">b) informarea şi consultarea salariaţilor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023D358E" w14:textId="77777777" w:rsidR="00E114BB"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w:t>
            </w:r>
            <w:r>
              <w:rPr>
                <w:rFonts w:ascii="Times New Roman" w:eastAsia="Times New Roman" w:hAnsi="Times New Roman" w:cs="Times New Roman"/>
                <w:highlight w:val="white"/>
              </w:rPr>
              <w:t xml:space="preserve"> alin. (1) din Codul muncii va fi expus în următoarea redacție:</w:t>
            </w:r>
          </w:p>
          <w:p w14:paraId="013C3313" w14:textId="77777777" w:rsidR="00E114BB" w:rsidRDefault="00E114BB">
            <w:pPr>
              <w:shd w:val="clear" w:color="auto" w:fill="FFFFFF"/>
              <w:ind w:firstLine="680"/>
              <w:jc w:val="both"/>
              <w:rPr>
                <w:rFonts w:ascii="Times New Roman" w:eastAsia="Times New Roman" w:hAnsi="Times New Roman" w:cs="Times New Roman"/>
                <w:highlight w:val="white"/>
              </w:rPr>
            </w:pPr>
          </w:p>
          <w:p w14:paraId="7D801301" w14:textId="77777777" w:rsidR="00E114BB"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În sensul prezentului articol prin informare se înțelege transmiterea de date de către angajator salariaților/reprezentanților salariaților pentru a le permite să se familiarizeze cu subiectul și să-l examineze, iar prin consultare se înțelege schimbul de păreri și stabilirea unui dialog între salariați/reprezentanții salariaților</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și angajator.”</w:t>
            </w:r>
          </w:p>
          <w:p w14:paraId="3565F98E" w14:textId="77777777" w:rsidR="00E114BB" w:rsidRDefault="00E114BB">
            <w:pPr>
              <w:shd w:val="clear" w:color="auto" w:fill="FFFFFF"/>
              <w:ind w:firstLine="680"/>
              <w:jc w:val="both"/>
              <w:rPr>
                <w:rFonts w:ascii="Times New Roman" w:eastAsia="Times New Roman" w:hAnsi="Times New Roman" w:cs="Times New Roman"/>
                <w:b/>
                <w:bCs/>
                <w:highlight w:val="white"/>
              </w:rPr>
            </w:pPr>
          </w:p>
          <w:p w14:paraId="24238E7C"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(3) din Codul muncii va fi expus în următoarea redacție:</w:t>
            </w:r>
          </w:p>
          <w:p w14:paraId="031DF2FB"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 xml:space="preserve">(3) </w:t>
            </w:r>
            <w:r>
              <w:rPr>
                <w:rFonts w:ascii="Times New Roman" w:eastAsia="Times New Roman" w:hAnsi="Times New Roman" w:cs="Times New Roman"/>
                <w:highlight w:val="white"/>
              </w:rPr>
              <w:t xml:space="preserve">Informarea se face prin transmiterea, în forma scrisă, către reprezentanții salariaților a datelor relevante, complete și </w:t>
            </w:r>
            <w:r>
              <w:rPr>
                <w:rFonts w:ascii="Times New Roman" w:eastAsia="Times New Roman" w:hAnsi="Times New Roman" w:cs="Times New Roman"/>
                <w:highlight w:val="white"/>
              </w:rPr>
              <w:lastRenderedPageBreak/>
              <w:t>veridice privind subiectele enumerate la alin. (2), în timp util, care le-ar permite reprezentanților salariaților să pregătească, în caz de necesitate, consultarea și formularea unui aviz înainte de adoptarea deciziei de către angajator;</w:t>
            </w:r>
          </w:p>
          <w:p w14:paraId="2EFF490C" w14:textId="77777777" w:rsidR="00E114BB" w:rsidRDefault="00E114BB">
            <w:pPr>
              <w:shd w:val="clear" w:color="auto" w:fill="FFFFFF"/>
              <w:ind w:firstLine="680"/>
              <w:jc w:val="both"/>
              <w:rPr>
                <w:rFonts w:ascii="Times New Roman" w:eastAsia="Times New Roman" w:hAnsi="Times New Roman" w:cs="Times New Roman"/>
                <w:highlight w:val="white"/>
              </w:rPr>
            </w:pPr>
          </w:p>
          <w:p w14:paraId="12A21E3E"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se completează cu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w:t>
            </w:r>
          </w:p>
        </w:tc>
      </w:tr>
      <w:tr w:rsidR="00E114BB" w14:paraId="61532F14" w14:textId="77777777">
        <w:trPr>
          <w:trHeight w:val="600"/>
        </w:trPr>
        <w:tc>
          <w:tcPr>
            <w:tcW w:w="555" w:type="dxa"/>
            <w:vMerge/>
          </w:tcPr>
          <w:p w14:paraId="68F70820" w14:textId="77777777" w:rsidR="00E114BB" w:rsidRDefault="00E114BB">
            <w:pPr>
              <w:widowControl w:val="0"/>
              <w:rPr>
                <w:rFonts w:ascii="Times New Roman" w:eastAsia="Times New Roman" w:hAnsi="Times New Roman" w:cs="Times New Roman"/>
                <w:highlight w:val="white"/>
              </w:rPr>
            </w:pPr>
          </w:p>
        </w:tc>
        <w:tc>
          <w:tcPr>
            <w:tcW w:w="2700" w:type="dxa"/>
            <w:vMerge/>
          </w:tcPr>
          <w:p w14:paraId="67FFB506" w14:textId="77777777" w:rsidR="00E114BB" w:rsidRDefault="00E114BB">
            <w:pPr>
              <w:widowControl w:val="0"/>
              <w:rPr>
                <w:rFonts w:ascii="Times New Roman" w:eastAsia="Times New Roman" w:hAnsi="Times New Roman" w:cs="Times New Roman"/>
                <w:highlight w:val="white"/>
              </w:rPr>
            </w:pPr>
          </w:p>
        </w:tc>
        <w:tc>
          <w:tcPr>
            <w:tcW w:w="5880" w:type="dxa"/>
          </w:tcPr>
          <w:p w14:paraId="57D09B9E"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Articolul 90 alin. (2)</w:t>
            </w:r>
          </w:p>
          <w:p w14:paraId="78EEE093"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7F2A61FB"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Articolul 90 alin. (2) litera a) va avea următorul cuprins: </w:t>
            </w:r>
          </w:p>
          <w:p w14:paraId="17FDE0AF"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a) plata obligatorie a unei despăgubiri pentru întreaga perioadă de </w:t>
            </w:r>
            <w:proofErr w:type="spellStart"/>
            <w:r>
              <w:rPr>
                <w:rFonts w:ascii="Times New Roman" w:eastAsia="Times New Roman" w:hAnsi="Times New Roman" w:cs="Times New Roman"/>
              </w:rPr>
              <w:t>absenţă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forţată</w:t>
            </w:r>
            <w:proofErr w:type="spellEnd"/>
            <w:r>
              <w:rPr>
                <w:rFonts w:ascii="Times New Roman" w:eastAsia="Times New Roman" w:hAnsi="Times New Roman" w:cs="Times New Roman"/>
              </w:rPr>
              <w:t xml:space="preserve"> de la muncă în cazul transferului sau al eliberării nelegitime din serviciu, determinată după cum urmează: </w:t>
            </w:r>
          </w:p>
          <w:p w14:paraId="01A14EDA"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dacă salariatul nu a realizat niciun venit </w:t>
            </w:r>
            <w:r>
              <w:rPr>
                <w:rFonts w:ascii="Times New Roman" w:eastAsia="Times New Roman" w:hAnsi="Times New Roman" w:cs="Times New Roman"/>
                <w:strike/>
              </w:rPr>
              <w:t>salarial</w:t>
            </w:r>
            <w:r>
              <w:rPr>
                <w:rFonts w:ascii="Times New Roman" w:eastAsia="Times New Roman" w:hAnsi="Times New Roman" w:cs="Times New Roman"/>
              </w:rPr>
              <w:t xml:space="preserve"> din activitatea de muncă, prestare a serviciilor sau antreprenoriat în perioada dintre concedierea nelegitimă şi data restabilirii, despăgubirea este egală cu salariul mediu lunar al acestuia pentru întreaga perioadă; </w:t>
            </w:r>
          </w:p>
          <w:p w14:paraId="245ABA4B" w14:textId="77777777" w:rsidR="00E114BB"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 dacă salariatul a realizat venituri </w:t>
            </w:r>
            <w:r>
              <w:rPr>
                <w:rFonts w:ascii="Times New Roman" w:eastAsia="Times New Roman" w:hAnsi="Times New Roman" w:cs="Times New Roman"/>
                <w:strike/>
              </w:rPr>
              <w:t xml:space="preserve">salariale de la un alt angajator </w:t>
            </w:r>
            <w:r>
              <w:rPr>
                <w:rFonts w:ascii="Times New Roman" w:eastAsia="Times New Roman" w:hAnsi="Times New Roman" w:cs="Times New Roman"/>
              </w:rPr>
              <w:t xml:space="preserve">din activitatea de muncă, prestare a serviciilor sau antreprenoriat, despăgubirea reprezintă diferența dintre salariul mediu lunar la care era îndreptățit și </w:t>
            </w:r>
            <w:r>
              <w:rPr>
                <w:rFonts w:ascii="Times New Roman" w:eastAsia="Times New Roman" w:hAnsi="Times New Roman" w:cs="Times New Roman"/>
                <w:strike/>
              </w:rPr>
              <w:t>salariul</w:t>
            </w:r>
            <w:r>
              <w:rPr>
                <w:rFonts w:ascii="Times New Roman" w:eastAsia="Times New Roman" w:hAnsi="Times New Roman" w:cs="Times New Roman"/>
              </w:rPr>
              <w:t xml:space="preserve"> venitul efectiv obținut; </w:t>
            </w:r>
          </w:p>
          <w:p w14:paraId="47A99275"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în cazuri justificate, instanța de judecată poate reduce cuantumul despăgubirii dacă se constată că salariatul, deși era apt de muncă, ar fi putut obține în mod rezonabil un venit din activitatea de muncă sau prestare a serviciilor </w:t>
            </w:r>
            <w:r>
              <w:rPr>
                <w:rFonts w:ascii="Times New Roman" w:eastAsia="Times New Roman" w:hAnsi="Times New Roman" w:cs="Times New Roman"/>
                <w:strike/>
              </w:rPr>
              <w:t>salariu la un alt angajator</w:t>
            </w:r>
            <w:r>
              <w:rPr>
                <w:rFonts w:ascii="Times New Roman" w:eastAsia="Times New Roman" w:hAnsi="Times New Roman" w:cs="Times New Roman"/>
              </w:rPr>
              <w:t xml:space="preserve">, dar nu a depus diligență pentru a se angaja în asemenea activități, sau dacă a refuzat, fără motive întemeiate, un loc de muncă corespunzător pregătirii sale.” </w:t>
            </w:r>
          </w:p>
          <w:p w14:paraId="4F647539" w14:textId="77777777" w:rsidR="00E114BB" w:rsidRDefault="00E114BB">
            <w:pPr>
              <w:spacing w:line="240" w:lineRule="auto"/>
              <w:ind w:firstLine="284"/>
              <w:jc w:val="both"/>
              <w:rPr>
                <w:rFonts w:ascii="Times New Roman" w:eastAsia="Times New Roman" w:hAnsi="Times New Roman" w:cs="Times New Roman"/>
                <w:b/>
                <w:bCs/>
                <w:highlight w:val="white"/>
              </w:rPr>
            </w:pPr>
          </w:p>
          <w:p w14:paraId="5BF1DE47"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68E92A13"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lastRenderedPageBreak/>
              <w:t xml:space="preserve">Pentru claritate și eficiența normelor articolului 421 Codul muncii, considerăm necesară stabilirea unui termen procedural pentru consultare, pentru a preveni blocarea deciziilor angajatorului și pentru a asigura un proces lucrativ. Astfel, dacă reprezentanții salariaților nu transmit niciun punct de vedere până la expirarea termenului, consultarea se consideră finalizată, iar angajatorul poate adopta decizia în lipsa acesteia. </w:t>
            </w:r>
          </w:p>
          <w:p w14:paraId="5400046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Logica considerării venitului persoanei pentru calcularea despăgubirilor pentru perioadă de absență forțată de la muncă în cazul transferului sau al eliberării nelegitime din serviciu este de a exclude îmbogățirea nejustificată a angajatului prin cumularea atât a despăgubirilor cât și a venitului din perioada pentru care se acordă despăgubirile. </w:t>
            </w:r>
          </w:p>
          <w:p w14:paraId="1FB5B3AB"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Explicația este logică, pentru că, atâta timp cât despăgubirile se acordă pentru imposibilitatea de a muncii, în general, sau ca urmare a transferului ilegal, despăgubirile nu pot avea o mărime mai mare decât paguba suferită ca urmare a acestei imposibilități. </w:t>
            </w:r>
          </w:p>
          <w:p w14:paraId="18BA6F34"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Atunci când salariatul obține totuși venituri în perioada absenței de la serviciu (ca urmare a unui transfer ilegal sau unei concedieri ilegale), el valorifică (în bani) astfel timpul rezultat ca urmare a absenței sale de la serviciu. Prin urmare, aceste venituri trebuie scăzute din plata pentru absența forțată de la serviciu. </w:t>
            </w:r>
          </w:p>
          <w:p w14:paraId="4348EDB0"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este eronat și injust de a scădea din despăgubiri doar veniturile realizate ca salariu, pentru că angajatul poate valorifica acest timp în diferite modalități, inclusiv, prin prestarea unor servicii sau/și activitatea de întreprinzător. </w:t>
            </w:r>
          </w:p>
          <w:p w14:paraId="5FD363EF"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Prin urmare, pentru a echilibra respectivele prevederi legale, propunem de a lua în considerație, la determinarea obligațiilor de plată a despăgubirilor, nu doar plățile salariale, ci și alte venituri realizate ca urmare a unei activități aducătoare de venituri în perioada absenței forțate, din moment ce acestea reprezintă modalități diferite de valorificare (în bani) a timpului rezultat ca urmare a transferului sau concedierii ilegale. </w:t>
            </w:r>
          </w:p>
        </w:tc>
        <w:tc>
          <w:tcPr>
            <w:tcW w:w="5880" w:type="dxa"/>
          </w:tcPr>
          <w:p w14:paraId="4BADB059"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Norma a fost exclusă din proiect. </w:t>
            </w:r>
          </w:p>
        </w:tc>
      </w:tr>
      <w:tr w:rsidR="00E114BB" w14:paraId="37C1617F" w14:textId="77777777">
        <w:trPr>
          <w:trHeight w:val="600"/>
        </w:trPr>
        <w:tc>
          <w:tcPr>
            <w:tcW w:w="555" w:type="dxa"/>
            <w:vMerge/>
          </w:tcPr>
          <w:p w14:paraId="4F420FEB" w14:textId="77777777" w:rsidR="00E114BB" w:rsidRDefault="00E114BB">
            <w:pPr>
              <w:widowControl w:val="0"/>
              <w:rPr>
                <w:rFonts w:ascii="Times New Roman" w:eastAsia="Times New Roman" w:hAnsi="Times New Roman" w:cs="Times New Roman"/>
                <w:highlight w:val="white"/>
              </w:rPr>
            </w:pPr>
          </w:p>
        </w:tc>
        <w:tc>
          <w:tcPr>
            <w:tcW w:w="2700" w:type="dxa"/>
            <w:vMerge/>
          </w:tcPr>
          <w:p w14:paraId="34699BAA" w14:textId="77777777" w:rsidR="00E114BB" w:rsidRDefault="00E114BB">
            <w:pPr>
              <w:widowControl w:val="0"/>
              <w:rPr>
                <w:rFonts w:ascii="Times New Roman" w:eastAsia="Times New Roman" w:hAnsi="Times New Roman" w:cs="Times New Roman"/>
                <w:highlight w:val="white"/>
              </w:rPr>
            </w:pPr>
          </w:p>
        </w:tc>
        <w:tc>
          <w:tcPr>
            <w:tcW w:w="5880" w:type="dxa"/>
          </w:tcPr>
          <w:p w14:paraId="528594CF"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Articolul 247¹. Dispense pentru consultații prenatale </w:t>
            </w:r>
          </w:p>
          <w:p w14:paraId="69AAB10C" w14:textId="77777777" w:rsidR="00E114BB"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Propunere de redactare:</w:t>
            </w:r>
          </w:p>
          <w:p w14:paraId="5457101F"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(Alin.1) propunem să fie reglementate durata sau periodicitatea consultațiilor prenatale. </w:t>
            </w:r>
          </w:p>
          <w:p w14:paraId="2B124B48" w14:textId="77777777" w:rsidR="00E114BB" w:rsidRDefault="00000000">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(1) Femeile gravide beneficiază </w:t>
            </w:r>
            <w:r>
              <w:rPr>
                <w:rFonts w:ascii="Times New Roman" w:eastAsia="Times New Roman" w:hAnsi="Times New Roman" w:cs="Times New Roman"/>
                <w:b/>
                <w:bCs/>
                <w:i/>
                <w:iCs/>
              </w:rPr>
              <w:t xml:space="preserve">în fiecare lună de două dispense </w:t>
            </w:r>
            <w:r>
              <w:rPr>
                <w:rFonts w:ascii="Times New Roman" w:eastAsia="Times New Roman" w:hAnsi="Times New Roman" w:cs="Times New Roman"/>
                <w:i/>
                <w:iCs/>
              </w:rPr>
              <w:t xml:space="preserve">pentru efectuarea consultațiilor prenatale, în cazul în care acestea au loc în timpul programului de muncă. </w:t>
            </w:r>
          </w:p>
          <w:p w14:paraId="77DED0B6" w14:textId="77777777" w:rsidR="00E114BB" w:rsidRDefault="00E114BB">
            <w:pPr>
              <w:spacing w:line="240" w:lineRule="auto"/>
              <w:jc w:val="both"/>
              <w:rPr>
                <w:rFonts w:ascii="Times New Roman" w:eastAsia="Times New Roman" w:hAnsi="Times New Roman" w:cs="Times New Roman"/>
                <w:i/>
                <w:iCs/>
              </w:rPr>
            </w:pPr>
          </w:p>
          <w:p w14:paraId="39F9C1DD" w14:textId="77777777" w:rsidR="00E114BB" w:rsidRDefault="00E114BB">
            <w:pPr>
              <w:spacing w:line="240" w:lineRule="auto"/>
              <w:jc w:val="both"/>
              <w:rPr>
                <w:rFonts w:ascii="Times New Roman" w:eastAsia="Times New Roman" w:hAnsi="Times New Roman" w:cs="Times New Roman"/>
                <w:i/>
                <w:iCs/>
              </w:rPr>
            </w:pPr>
          </w:p>
          <w:p w14:paraId="3D8F1CEB" w14:textId="77777777" w:rsidR="00E114BB" w:rsidRDefault="00E114BB">
            <w:pPr>
              <w:spacing w:line="240" w:lineRule="auto"/>
              <w:jc w:val="both"/>
              <w:rPr>
                <w:rFonts w:ascii="Times New Roman" w:eastAsia="Times New Roman" w:hAnsi="Times New Roman" w:cs="Times New Roman"/>
                <w:i/>
                <w:iCs/>
              </w:rPr>
            </w:pPr>
          </w:p>
          <w:p w14:paraId="365530D9" w14:textId="77777777" w:rsidR="00E114BB" w:rsidRDefault="00E114BB">
            <w:pPr>
              <w:spacing w:line="240" w:lineRule="auto"/>
              <w:jc w:val="both"/>
              <w:rPr>
                <w:rFonts w:ascii="Times New Roman" w:eastAsia="Times New Roman" w:hAnsi="Times New Roman" w:cs="Times New Roman"/>
                <w:i/>
                <w:iCs/>
              </w:rPr>
            </w:pPr>
          </w:p>
          <w:p w14:paraId="7D3FC7A0" w14:textId="77777777" w:rsidR="00E114BB" w:rsidRDefault="00E114BB">
            <w:pPr>
              <w:spacing w:line="240" w:lineRule="auto"/>
              <w:jc w:val="both"/>
              <w:rPr>
                <w:rFonts w:ascii="Times New Roman" w:eastAsia="Times New Roman" w:hAnsi="Times New Roman" w:cs="Times New Roman"/>
                <w:i/>
                <w:iCs/>
              </w:rPr>
            </w:pPr>
          </w:p>
          <w:p w14:paraId="12DA3A51" w14:textId="77777777" w:rsidR="00E114BB" w:rsidRDefault="00000000">
            <w:pPr>
              <w:spacing w:line="240" w:lineRule="auto"/>
              <w:jc w:val="both"/>
              <w:rPr>
                <w:rFonts w:ascii="Times New Roman" w:eastAsia="Times New Roman" w:hAnsi="Times New Roman" w:cs="Times New Roman"/>
                <w:i/>
                <w:iCs/>
              </w:rPr>
            </w:pPr>
            <w:r>
              <w:pict w14:anchorId="429AB8EA">
                <v:rect id="_x0000_i1110" style="width:0;height:1.5pt" o:hralign="center" o:hrstd="t" o:hr="t" fillcolor="#a0a0a0" stroked="f"/>
              </w:pict>
            </w:r>
          </w:p>
          <w:p w14:paraId="58FBEC32" w14:textId="77777777" w:rsidR="00E114BB" w:rsidRDefault="00E114BB">
            <w:pPr>
              <w:spacing w:line="240" w:lineRule="auto"/>
              <w:jc w:val="both"/>
              <w:rPr>
                <w:rFonts w:ascii="Times New Roman" w:eastAsia="Times New Roman" w:hAnsi="Times New Roman" w:cs="Times New Roman"/>
                <w:i/>
                <w:iCs/>
              </w:rPr>
            </w:pPr>
          </w:p>
          <w:p w14:paraId="53A131E6"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(3) Pentru a beneficia de dispensa prevăzută la alin. (1), femeile gravide </w:t>
            </w:r>
            <w:r>
              <w:rPr>
                <w:rFonts w:ascii="Times New Roman" w:eastAsia="Times New Roman" w:hAnsi="Times New Roman" w:cs="Times New Roman"/>
                <w:b/>
                <w:bCs/>
              </w:rPr>
              <w:t>informează în scris angajatorul și prezintă un document justificativ</w:t>
            </w:r>
            <w:r>
              <w:rPr>
                <w:rFonts w:ascii="Times New Roman" w:eastAsia="Times New Roman" w:hAnsi="Times New Roman" w:cs="Times New Roman"/>
              </w:rPr>
              <w:t xml:space="preserve"> eliberat de instituția medico-sanitară competentă. </w:t>
            </w:r>
          </w:p>
          <w:p w14:paraId="6A04286F" w14:textId="77777777" w:rsidR="00E114BB" w:rsidRDefault="00E114BB">
            <w:pPr>
              <w:spacing w:line="240" w:lineRule="auto"/>
              <w:jc w:val="both"/>
              <w:rPr>
                <w:rFonts w:ascii="Times New Roman" w:eastAsia="Times New Roman" w:hAnsi="Times New Roman" w:cs="Times New Roman"/>
                <w:b/>
                <w:bCs/>
                <w:i/>
                <w:iCs/>
                <w:highlight w:val="white"/>
              </w:rPr>
            </w:pPr>
          </w:p>
          <w:p w14:paraId="3C900909" w14:textId="77777777" w:rsidR="00E114BB" w:rsidRDefault="00E114BB">
            <w:pPr>
              <w:spacing w:line="240" w:lineRule="auto"/>
              <w:jc w:val="both"/>
              <w:rPr>
                <w:rFonts w:ascii="Times New Roman" w:eastAsia="Times New Roman" w:hAnsi="Times New Roman" w:cs="Times New Roman"/>
                <w:b/>
                <w:bCs/>
                <w:i/>
                <w:iCs/>
                <w:highlight w:val="white"/>
              </w:rPr>
            </w:pPr>
          </w:p>
          <w:p w14:paraId="2331B6BF" w14:textId="77777777" w:rsidR="00E114BB" w:rsidRDefault="00E114BB">
            <w:pPr>
              <w:spacing w:line="240" w:lineRule="auto"/>
              <w:jc w:val="both"/>
              <w:rPr>
                <w:rFonts w:ascii="Times New Roman" w:eastAsia="Times New Roman" w:hAnsi="Times New Roman" w:cs="Times New Roman"/>
                <w:b/>
                <w:bCs/>
                <w:i/>
                <w:iCs/>
                <w:highlight w:val="white"/>
              </w:rPr>
            </w:pPr>
          </w:p>
          <w:p w14:paraId="453C7DC0" w14:textId="77777777" w:rsidR="00E114BB" w:rsidRDefault="00000000">
            <w:pPr>
              <w:spacing w:line="240" w:lineRule="auto"/>
              <w:jc w:val="both"/>
              <w:rPr>
                <w:rFonts w:ascii="Times New Roman" w:eastAsia="Times New Roman" w:hAnsi="Times New Roman" w:cs="Times New Roman"/>
                <w:b/>
                <w:bCs/>
                <w:i/>
                <w:iCs/>
                <w:highlight w:val="white"/>
              </w:rPr>
            </w:pPr>
            <w:r>
              <w:pict w14:anchorId="44B4BB47">
                <v:rect id="_x0000_i1111" style="width:0;height:1.5pt" o:hralign="center" o:hrstd="t" o:hr="t" fillcolor="#a0a0a0" stroked="f"/>
              </w:pict>
            </w:r>
          </w:p>
          <w:p w14:paraId="15B28C57" w14:textId="77777777" w:rsidR="00DB31E6" w:rsidRDefault="00DB31E6">
            <w:pPr>
              <w:spacing w:line="240" w:lineRule="auto"/>
              <w:ind w:firstLine="284"/>
              <w:jc w:val="both"/>
              <w:rPr>
                <w:rFonts w:ascii="Times New Roman" w:eastAsia="Times New Roman" w:hAnsi="Times New Roman" w:cs="Times New Roman"/>
                <w:b/>
                <w:bCs/>
                <w:i/>
                <w:iCs/>
                <w:highlight w:val="white"/>
              </w:rPr>
            </w:pPr>
          </w:p>
          <w:p w14:paraId="3CB109B7" w14:textId="320F72C4" w:rsidR="00E114BB"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6ECE7896"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Urmare analizei proiectului relevă necesitatea unor ajustări ale textului propus, pentru a asigura o transpunere clară a Directivei, precum și o aplicare echilibrată și previzibilă a normei atât pentru salariate, cât și pentru angajatori. </w:t>
            </w:r>
          </w:p>
          <w:p w14:paraId="18535AA4" w14:textId="6B769D51" w:rsidR="00DB31E6" w:rsidRDefault="00000000" w:rsidP="00DB31E6">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b/>
                <w:bCs/>
              </w:rPr>
              <w:t>În primul rând</w:t>
            </w:r>
            <w:r>
              <w:rPr>
                <w:rFonts w:ascii="Times New Roman" w:eastAsia="Times New Roman" w:hAnsi="Times New Roman" w:cs="Times New Roman"/>
              </w:rPr>
              <w:t xml:space="preserve">, considerăm necesară reformularea definiției noțiunii de „dispensă”, pentru a reflecta mai clar caracterul remunerat al acesteia și condițiile în care se acordă. Formularea actuală utilizează expresia „fără afectarea drepturilor salariale”, care nu exprimă cu aceeași claritate garanția remunerării prevăzută de Directiva 92/85/CEE. </w:t>
            </w:r>
          </w:p>
          <w:p w14:paraId="2E461198" w14:textId="77777777" w:rsidR="00E114BB" w:rsidRDefault="00000000">
            <w:pPr>
              <w:spacing w:line="240" w:lineRule="auto"/>
              <w:jc w:val="both"/>
              <w:rPr>
                <w:rFonts w:ascii="Times New Roman" w:eastAsia="Times New Roman" w:hAnsi="Times New Roman" w:cs="Times New Roman"/>
                <w:b/>
                <w:bCs/>
                <w:i/>
                <w:iCs/>
                <w:highlight w:val="white"/>
              </w:rPr>
            </w:pPr>
            <w:r>
              <w:pict w14:anchorId="64817D90">
                <v:rect id="_x0000_i1112" style="width:0;height:1.5pt" o:hralign="center" o:hrstd="t" o:hr="t" fillcolor="#a0a0a0" stroked="f"/>
              </w:pict>
            </w:r>
          </w:p>
          <w:p w14:paraId="511DB183"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Totodată, definiția nu precizează că dispensa se acordă atunci când consultațiile prenatale au loc în timpul programului de muncă.</w:t>
            </w:r>
          </w:p>
          <w:p w14:paraId="7B2FCF65" w14:textId="77777777" w:rsidR="00E114BB" w:rsidRDefault="00E114BB">
            <w:pPr>
              <w:spacing w:line="240" w:lineRule="auto"/>
              <w:jc w:val="both"/>
              <w:rPr>
                <w:rFonts w:ascii="Times New Roman" w:eastAsia="Times New Roman" w:hAnsi="Times New Roman" w:cs="Times New Roman"/>
              </w:rPr>
            </w:pPr>
          </w:p>
          <w:p w14:paraId="7434499A" w14:textId="77777777" w:rsidR="00E114BB" w:rsidRDefault="00000000">
            <w:pPr>
              <w:spacing w:line="240" w:lineRule="auto"/>
              <w:jc w:val="both"/>
              <w:rPr>
                <w:rFonts w:ascii="Times New Roman" w:eastAsia="Times New Roman" w:hAnsi="Times New Roman" w:cs="Times New Roman"/>
                <w:b/>
                <w:bCs/>
              </w:rPr>
            </w:pPr>
            <w:r>
              <w:pict w14:anchorId="56BAF74B">
                <v:rect id="_x0000_i1113" style="width:0;height:1.5pt" o:hralign="center" o:hrstd="t" o:hr="t" fillcolor="#a0a0a0" stroked="f"/>
              </w:pict>
            </w:r>
          </w:p>
          <w:p w14:paraId="14F8992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b/>
                <w:bCs/>
              </w:rPr>
              <w:t>În al doilea rând</w:t>
            </w:r>
            <w:r>
              <w:rPr>
                <w:rFonts w:ascii="Times New Roman" w:eastAsia="Times New Roman" w:hAnsi="Times New Roman" w:cs="Times New Roman"/>
              </w:rPr>
              <w:t xml:space="preserve">, pentru a asigura buna organizare a activității în cadrul unității, considerăm necesară introducerea </w:t>
            </w:r>
            <w:r>
              <w:rPr>
                <w:rFonts w:ascii="Times New Roman" w:eastAsia="Times New Roman" w:hAnsi="Times New Roman" w:cs="Times New Roman"/>
                <w:b/>
                <w:bCs/>
              </w:rPr>
              <w:t>obligației salariatei de a informa angajatorul, într-un termen rezonabil</w:t>
            </w:r>
            <w:r>
              <w:rPr>
                <w:rFonts w:ascii="Times New Roman" w:eastAsia="Times New Roman" w:hAnsi="Times New Roman" w:cs="Times New Roman"/>
              </w:rPr>
              <w:t xml:space="preserve">, despre consultația programată. </w:t>
            </w:r>
          </w:p>
          <w:p w14:paraId="2018188E" w14:textId="77777777" w:rsidR="00E114BB" w:rsidRDefault="00E114BB">
            <w:pPr>
              <w:spacing w:line="240" w:lineRule="auto"/>
              <w:ind w:firstLine="567"/>
              <w:jc w:val="both"/>
              <w:rPr>
                <w:rFonts w:ascii="Times New Roman" w:eastAsia="Times New Roman" w:hAnsi="Times New Roman" w:cs="Times New Roman"/>
              </w:rPr>
            </w:pPr>
          </w:p>
          <w:p w14:paraId="5772B994" w14:textId="77777777" w:rsidR="00E114BB" w:rsidRDefault="00E114BB">
            <w:pPr>
              <w:spacing w:line="240" w:lineRule="auto"/>
              <w:jc w:val="both"/>
              <w:rPr>
                <w:rFonts w:ascii="Times New Roman" w:eastAsia="Times New Roman" w:hAnsi="Times New Roman" w:cs="Times New Roman"/>
              </w:rPr>
            </w:pPr>
          </w:p>
          <w:p w14:paraId="6746533B" w14:textId="77777777" w:rsidR="00E114BB" w:rsidRDefault="00000000">
            <w:pPr>
              <w:spacing w:line="240" w:lineRule="auto"/>
              <w:jc w:val="both"/>
              <w:rPr>
                <w:rFonts w:ascii="Times New Roman" w:eastAsia="Times New Roman" w:hAnsi="Times New Roman" w:cs="Times New Roman"/>
              </w:rPr>
            </w:pPr>
            <w:r>
              <w:pict w14:anchorId="5DADED5C">
                <v:rect id="_x0000_i1114" style="width:0;height:1.5pt" o:hralign="center" o:hrstd="t" o:hr="t" fillcolor="#a0a0a0" stroked="f"/>
              </w:pict>
            </w:r>
          </w:p>
          <w:p w14:paraId="0FF3F0ED"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Informarea ar trebui să se facă în formă scrisă, pentru a permite angajatorului să organizeze activitatea și să asigure evidența absențelor motivate.  </w:t>
            </w:r>
          </w:p>
          <w:p w14:paraId="1C6E7C8E" w14:textId="77777777" w:rsidR="00E114BB" w:rsidRDefault="00E114BB">
            <w:pPr>
              <w:spacing w:line="240" w:lineRule="auto"/>
              <w:jc w:val="both"/>
              <w:rPr>
                <w:rFonts w:ascii="Times New Roman" w:eastAsia="Times New Roman" w:hAnsi="Times New Roman" w:cs="Times New Roman"/>
                <w:b/>
                <w:bCs/>
                <w:i/>
                <w:iCs/>
                <w:highlight w:val="white"/>
              </w:rPr>
            </w:pPr>
          </w:p>
          <w:p w14:paraId="55AD1FDD" w14:textId="77777777" w:rsidR="00E114BB" w:rsidRDefault="00E114BB">
            <w:pPr>
              <w:spacing w:line="240" w:lineRule="auto"/>
              <w:jc w:val="both"/>
              <w:rPr>
                <w:rFonts w:ascii="Times New Roman" w:eastAsia="Times New Roman" w:hAnsi="Times New Roman" w:cs="Times New Roman"/>
                <w:b/>
                <w:bCs/>
                <w:i/>
                <w:iCs/>
                <w:highlight w:val="white"/>
              </w:rPr>
            </w:pPr>
          </w:p>
          <w:p w14:paraId="6DAC37AD" w14:textId="77777777" w:rsidR="00E114BB" w:rsidRDefault="00E114BB">
            <w:pPr>
              <w:spacing w:line="240" w:lineRule="auto"/>
              <w:jc w:val="both"/>
              <w:rPr>
                <w:rFonts w:ascii="Times New Roman" w:eastAsia="Times New Roman" w:hAnsi="Times New Roman" w:cs="Times New Roman"/>
                <w:b/>
                <w:bCs/>
                <w:i/>
                <w:iCs/>
                <w:highlight w:val="white"/>
              </w:rPr>
            </w:pPr>
          </w:p>
          <w:p w14:paraId="02E0D240" w14:textId="77777777" w:rsidR="00E114BB" w:rsidRDefault="00E114BB">
            <w:pPr>
              <w:spacing w:line="240" w:lineRule="auto"/>
              <w:jc w:val="both"/>
              <w:rPr>
                <w:rFonts w:ascii="Times New Roman" w:eastAsia="Times New Roman" w:hAnsi="Times New Roman" w:cs="Times New Roman"/>
                <w:b/>
                <w:bCs/>
                <w:i/>
                <w:iCs/>
                <w:highlight w:val="white"/>
              </w:rPr>
            </w:pPr>
          </w:p>
          <w:p w14:paraId="05EE9208" w14:textId="77777777" w:rsidR="00E114BB" w:rsidRDefault="00000000">
            <w:pPr>
              <w:spacing w:line="240" w:lineRule="auto"/>
              <w:jc w:val="both"/>
              <w:rPr>
                <w:rFonts w:ascii="Times New Roman" w:eastAsia="Times New Roman" w:hAnsi="Times New Roman" w:cs="Times New Roman"/>
                <w:b/>
                <w:bCs/>
                <w:i/>
                <w:iCs/>
                <w:highlight w:val="white"/>
              </w:rPr>
            </w:pPr>
            <w:r>
              <w:pict w14:anchorId="7477B896">
                <v:rect id="_x0000_i1115" style="width:0;height:1.5pt" o:hralign="center" o:hrstd="t" o:hr="t" fillcolor="#a0a0a0" stroked="f"/>
              </w:pict>
            </w:r>
          </w:p>
          <w:p w14:paraId="2C64F9E7"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Totodată, recomandăm completarea normei cu obligația prezentării unui document justificativ eliberat de instituția medico-sanitară competentă, într-un termen determinat după efectuarea consultației, care să confirme participarea la consultația prenatală. </w:t>
            </w:r>
          </w:p>
          <w:p w14:paraId="38D3D7D8" w14:textId="77777777" w:rsidR="00E114BB" w:rsidRDefault="00E114BB">
            <w:pPr>
              <w:spacing w:line="240" w:lineRule="auto"/>
              <w:jc w:val="both"/>
              <w:rPr>
                <w:rFonts w:ascii="Times New Roman" w:eastAsia="Times New Roman" w:hAnsi="Times New Roman" w:cs="Times New Roman"/>
                <w:b/>
                <w:bCs/>
                <w:i/>
                <w:iCs/>
                <w:highlight w:val="white"/>
              </w:rPr>
            </w:pPr>
          </w:p>
          <w:p w14:paraId="320C4842" w14:textId="77777777" w:rsidR="00E114BB" w:rsidRDefault="00E114BB">
            <w:pPr>
              <w:spacing w:line="240" w:lineRule="auto"/>
              <w:jc w:val="both"/>
              <w:rPr>
                <w:rFonts w:ascii="Times New Roman" w:eastAsia="Times New Roman" w:hAnsi="Times New Roman" w:cs="Times New Roman"/>
                <w:b/>
                <w:bCs/>
                <w:i/>
                <w:iCs/>
                <w:highlight w:val="white"/>
              </w:rPr>
            </w:pPr>
          </w:p>
          <w:p w14:paraId="1C3CD269" w14:textId="77777777" w:rsidR="00E114BB" w:rsidRDefault="00000000">
            <w:pPr>
              <w:spacing w:line="240" w:lineRule="auto"/>
              <w:jc w:val="both"/>
              <w:rPr>
                <w:rFonts w:ascii="Times New Roman" w:eastAsia="Times New Roman" w:hAnsi="Times New Roman" w:cs="Times New Roman"/>
                <w:b/>
                <w:bCs/>
                <w:i/>
                <w:iCs/>
                <w:highlight w:val="white"/>
              </w:rPr>
            </w:pPr>
            <w:r>
              <w:pict w14:anchorId="2FF14E5A">
                <v:rect id="_x0000_i1116" style="width:0;height:1.5pt" o:hralign="center" o:hrstd="t" o:hr="t" fillcolor="#a0a0a0" stroked="f"/>
              </w:pict>
            </w:r>
          </w:p>
          <w:p w14:paraId="6460D617" w14:textId="77777777" w:rsidR="00E114BB" w:rsidRDefault="00000000">
            <w:pPr>
              <w:spacing w:line="240" w:lineRule="auto"/>
              <w:ind w:firstLine="567"/>
              <w:jc w:val="both"/>
              <w:rPr>
                <w:rFonts w:ascii="Times New Roman" w:eastAsia="Times New Roman" w:hAnsi="Times New Roman" w:cs="Times New Roman"/>
                <w:b/>
                <w:bCs/>
                <w:i/>
                <w:iCs/>
                <w:highlight w:val="white"/>
              </w:rPr>
            </w:pPr>
            <w:r>
              <w:rPr>
                <w:rFonts w:ascii="Times New Roman" w:eastAsia="Times New Roman" w:hAnsi="Times New Roman" w:cs="Times New Roman"/>
                <w:b/>
                <w:bCs/>
              </w:rPr>
              <w:t>În al treilea rând</w:t>
            </w:r>
            <w:r>
              <w:rPr>
                <w:rFonts w:ascii="Times New Roman" w:eastAsia="Times New Roman" w:hAnsi="Times New Roman" w:cs="Times New Roman"/>
              </w:rPr>
              <w:t xml:space="preserve">, pentru a preveni eventuale dificultăți de aplicare și pentru a asigura un echilibru între dreptul salariatei și necesitățile organizatorice ale angajatorului, considerăm oportună </w:t>
            </w:r>
            <w:r>
              <w:rPr>
                <w:rFonts w:ascii="Times New Roman" w:eastAsia="Times New Roman" w:hAnsi="Times New Roman" w:cs="Times New Roman"/>
                <w:b/>
                <w:bCs/>
              </w:rPr>
              <w:t>stabilirea unor repere privind frecvența sau periodicitatea dispenselor</w:t>
            </w:r>
            <w:r>
              <w:rPr>
                <w:rFonts w:ascii="Times New Roman" w:eastAsia="Times New Roman" w:hAnsi="Times New Roman" w:cs="Times New Roman"/>
              </w:rPr>
              <w:t xml:space="preserve">. În practică, consultațiile prenatale sunt stabilite în baza protocolului medical aprobat prin Ordinul Ministerului Sănătății nr. 311/2023 privind Standardul de </w:t>
            </w:r>
            <w:r>
              <w:rPr>
                <w:rFonts w:ascii="Times New Roman" w:eastAsia="Times New Roman" w:hAnsi="Times New Roman" w:cs="Times New Roman"/>
              </w:rPr>
              <w:lastRenderedPageBreak/>
              <w:t xml:space="preserve">supraveghere a gravidelor cu evoluție fiziologică a sarcinii în condiții de </w:t>
            </w:r>
            <w:proofErr w:type="spellStart"/>
            <w:r>
              <w:rPr>
                <w:rFonts w:ascii="Times New Roman" w:eastAsia="Times New Roman" w:hAnsi="Times New Roman" w:cs="Times New Roman"/>
              </w:rPr>
              <w:t>ambulator</w:t>
            </w:r>
            <w:proofErr w:type="spellEnd"/>
            <w:r>
              <w:rPr>
                <w:rFonts w:ascii="Times New Roman" w:eastAsia="Times New Roman" w:hAnsi="Times New Roman" w:cs="Times New Roman"/>
              </w:rPr>
              <w:t xml:space="preserve">, care prevede o anumită periodicitate a vizitelor medicale. </w:t>
            </w:r>
          </w:p>
          <w:p w14:paraId="72022949" w14:textId="77777777" w:rsidR="00E114BB" w:rsidRDefault="00000000">
            <w:pPr>
              <w:spacing w:line="240" w:lineRule="auto"/>
              <w:jc w:val="both"/>
              <w:rPr>
                <w:rFonts w:ascii="Times New Roman" w:eastAsia="Times New Roman" w:hAnsi="Times New Roman" w:cs="Times New Roman"/>
                <w:b/>
                <w:bCs/>
                <w:i/>
                <w:iCs/>
                <w:highlight w:val="white"/>
              </w:rPr>
            </w:pPr>
            <w:r>
              <w:pict w14:anchorId="57578FE9">
                <v:rect id="_x0000_i1117" style="width:0;height:1.5pt" o:hralign="center" o:hrstd="t" o:hr="t" fillcolor="#a0a0a0" stroked="f"/>
              </w:pict>
            </w:r>
          </w:p>
          <w:p w14:paraId="57F6DC2A" w14:textId="77777777" w:rsidR="00E114BB"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context, norma ar putea face trimitere la programul stabilit de medicul specialist sau ar putea prevedea că dispensa se acordă în limita consultațiilor stabilite conform documentului medical justificativ. </w:t>
            </w:r>
          </w:p>
          <w:p w14:paraId="346920D5"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De asemenea, considerăm oportun ca articolul să precizeze că </w:t>
            </w:r>
            <w:r>
              <w:rPr>
                <w:rFonts w:ascii="Times New Roman" w:eastAsia="Times New Roman" w:hAnsi="Times New Roman" w:cs="Times New Roman"/>
                <w:b/>
                <w:bCs/>
              </w:rPr>
              <w:t>dispensa se acordă pe durata efectivă a consultației prenatale și a timpului necesar deplasării, conform documentului justificativ prezentat de salariată</w:t>
            </w:r>
            <w:r>
              <w:rPr>
                <w:rFonts w:ascii="Times New Roman" w:eastAsia="Times New Roman" w:hAnsi="Times New Roman" w:cs="Times New Roman"/>
              </w:rPr>
              <w:t>.</w:t>
            </w:r>
          </w:p>
          <w:p w14:paraId="401D6299" w14:textId="77777777" w:rsidR="00E114BB" w:rsidRDefault="00E114BB">
            <w:pPr>
              <w:spacing w:line="240" w:lineRule="auto"/>
              <w:jc w:val="both"/>
              <w:rPr>
                <w:rFonts w:ascii="Times New Roman" w:eastAsia="Times New Roman" w:hAnsi="Times New Roman" w:cs="Times New Roman"/>
              </w:rPr>
            </w:pPr>
          </w:p>
          <w:p w14:paraId="425C4B8B" w14:textId="77777777" w:rsidR="00E114BB" w:rsidRDefault="00E114BB">
            <w:pPr>
              <w:spacing w:line="240" w:lineRule="auto"/>
              <w:jc w:val="both"/>
              <w:rPr>
                <w:rFonts w:ascii="Times New Roman" w:eastAsia="Times New Roman" w:hAnsi="Times New Roman" w:cs="Times New Roman"/>
              </w:rPr>
            </w:pPr>
          </w:p>
          <w:p w14:paraId="69CAE3AB" w14:textId="77777777" w:rsidR="00E114BB" w:rsidRDefault="00E114BB">
            <w:pPr>
              <w:spacing w:line="240" w:lineRule="auto"/>
              <w:jc w:val="both"/>
              <w:rPr>
                <w:rFonts w:ascii="Times New Roman" w:eastAsia="Times New Roman" w:hAnsi="Times New Roman" w:cs="Times New Roman"/>
              </w:rPr>
            </w:pPr>
          </w:p>
          <w:p w14:paraId="278CFE99" w14:textId="77777777" w:rsidR="00E114BB" w:rsidRDefault="00000000">
            <w:pPr>
              <w:spacing w:line="240" w:lineRule="auto"/>
              <w:jc w:val="both"/>
              <w:rPr>
                <w:rFonts w:ascii="Times New Roman" w:eastAsia="Times New Roman" w:hAnsi="Times New Roman" w:cs="Times New Roman"/>
                <w:b/>
                <w:bCs/>
                <w:i/>
                <w:iCs/>
                <w:highlight w:val="white"/>
              </w:rPr>
            </w:pPr>
            <w:r>
              <w:pict w14:anchorId="5538C6D8">
                <v:rect id="_x0000_i1118" style="width:0;height:1.5pt" o:hralign="center" o:hrstd="t" o:hr="t" fillcolor="#a0a0a0" stroked="f"/>
              </w:pict>
            </w:r>
          </w:p>
          <w:p w14:paraId="67100780"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În al patrulea rând</w:t>
            </w:r>
            <w:r>
              <w:rPr>
                <w:rFonts w:ascii="Times New Roman" w:eastAsia="Times New Roman" w:hAnsi="Times New Roman" w:cs="Times New Roman"/>
              </w:rPr>
              <w:t xml:space="preserve">, pentru a evita eventuale confuzii în aplicarea normei, este necesară delimitarea expresă între dispensa pentru consultații prenatale și concediul medical. Consultațiile prenatale vizează monitorizarea fiziologică a sarcinii și nu presupun, în mod necesar, incapacitatea temporară de muncă. În schimb, concediul medical intervine în situațiile în care starea de sănătate a salariatei determină incapacitatea temporară de muncă. </w:t>
            </w:r>
          </w:p>
          <w:p w14:paraId="6CFCA41F"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lipsa unei asemenea precizări, pot apărea dificultăți de interpretare în practică privind aplicarea corectă a celor două instituții juridice distincte. În acest sens, recomandăm completarea articolului cu o prevedere care să stabilească expres că dispensa se acordă doar pentru consultațiile prenatale care nu determină incapacitate temporară de muncă și nu impun acordarea concediului medical. </w:t>
            </w:r>
          </w:p>
          <w:p w14:paraId="3331254F"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Astfel, considerăm necesară ajustarea textului propus pentru a asigura: </w:t>
            </w:r>
          </w:p>
          <w:p w14:paraId="7F711ED6"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claritatea și corecta transpunere a Directivei 92/85/CEE; </w:t>
            </w:r>
          </w:p>
          <w:p w14:paraId="31B90176"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•delimitarea expresă între dispensa prenatală și concediul medical; </w:t>
            </w:r>
          </w:p>
          <w:p w14:paraId="2179E050"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stabilirea unor reguli procedurale minime privind informarea angajatorului și prezentarea documentelor justificative; </w:t>
            </w:r>
          </w:p>
          <w:p w14:paraId="5B9F2BBC"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aplicabilitatea practică a normei și prevenirea eventualelor abuzuri. </w:t>
            </w:r>
          </w:p>
          <w:p w14:paraId="045DC0DD"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Aceste ajustări vor contribui la crearea unui cadru normativ echilibrat, care protejează sănătatea salariatelor gravide, menținând în același timp predictibilitatea și buna organizare a activității în cadrul întreprinderilor. </w:t>
            </w:r>
          </w:p>
        </w:tc>
        <w:tc>
          <w:tcPr>
            <w:tcW w:w="5880" w:type="dxa"/>
          </w:tcPr>
          <w:p w14:paraId="1BBC918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parțial. </w:t>
            </w:r>
          </w:p>
          <w:p w14:paraId="2C2817E7"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Cu referire la plafonarea dispenselor, nu poate fi instituită o limită de două dispense pe lună</w:t>
            </w:r>
            <w:r>
              <w:rPr>
                <w:rFonts w:ascii="Times New Roman" w:eastAsia="Times New Roman" w:hAnsi="Times New Roman" w:cs="Times New Roman"/>
                <w:highlight w:val="white"/>
              </w:rPr>
              <w:t>, deoarece dreptul salariatei gravide trebuie raportat la necesitatea medicală reală, nu la un plafon arbitrar stabilit de lege. Frecvența consultațiilor prenatale diferă în funcție de evoluția sarcinii și de recomandarea medicului, iar o limitare rigidă ar putea lipsi de efect util însăși protecția acordată. În plus, art. 9 din Directiva 92/85/CEE are în vedere acordarea timpului necesar pentru efectuarea consultațiilor prenatale atunci când acestea au loc în timpul programului de muncă, nu restrângerea acestui drept la un număr fix de prezentări lunar.</w:t>
            </w:r>
          </w:p>
          <w:p w14:paraId="1929B84F" w14:textId="77777777" w:rsidR="00E114BB" w:rsidRDefault="00000000">
            <w:pPr>
              <w:spacing w:line="240" w:lineRule="auto"/>
              <w:jc w:val="both"/>
              <w:rPr>
                <w:rFonts w:ascii="Times New Roman" w:eastAsia="Times New Roman" w:hAnsi="Times New Roman" w:cs="Times New Roman"/>
                <w:highlight w:val="white"/>
              </w:rPr>
            </w:pPr>
            <w:r>
              <w:pict w14:anchorId="7E312734">
                <v:rect id="_x0000_i1119" style="width:0;height:1.5pt" o:hralign="center" o:hrstd="t" o:hr="t" fillcolor="#a0a0a0" stroked="f"/>
              </w:pict>
            </w:r>
          </w:p>
          <w:p w14:paraId="70907BCC"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71EA3DCA" w14:textId="77777777" w:rsidR="00E114BB" w:rsidRDefault="00E114BB">
            <w:pPr>
              <w:spacing w:line="240" w:lineRule="auto"/>
              <w:jc w:val="both"/>
              <w:rPr>
                <w:rFonts w:ascii="Times New Roman" w:eastAsia="Times New Roman" w:hAnsi="Times New Roman" w:cs="Times New Roman"/>
                <w:highlight w:val="white"/>
              </w:rPr>
            </w:pPr>
          </w:p>
          <w:p w14:paraId="425151D0"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247¹ alin. (3) va avea următoarea redacție:</w:t>
            </w:r>
          </w:p>
          <w:p w14:paraId="44BC73E6"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(3) Pentru a beneficia de dispensa prevăzută la alin. (1), femeia gravidă informează în prealabil angajatorul, inclusiv prin mijloace de comunicare electronică, și prezintă o confirmare eliberată de instituția medico-sanitară competentă privind necesitatea prezentării la consultația prenatală.</w:t>
            </w:r>
            <w:r>
              <w:pict w14:anchorId="3EB9F4D2">
                <v:rect id="_x0000_i1128" style="width:0;height:1.5pt" o:hralign="center" o:hrstd="t" o:hr="t" fillcolor="#a0a0a0" stroked="f"/>
              </w:pict>
            </w:r>
          </w:p>
          <w:p w14:paraId="5D055EB7" w14:textId="77777777" w:rsidR="00DB31E6" w:rsidRDefault="00DB31E6">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CB72882" w14:textId="5F5F1068"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6999B08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Din punct de vedere normativ, formularea acoperă garanția menținerii remunerației și este compatibilă cu scopul de protecție urmărit de Directiva 92/85/CEE, fără a fi necesară o reformulare suplimentară.</w:t>
            </w:r>
          </w:p>
          <w:p w14:paraId="481733AB"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articolului 247¹ alin (4) din proiect prevede expres că:</w:t>
            </w:r>
          </w:p>
          <w:p w14:paraId="4D4BAE9D" w14:textId="407E15ED" w:rsidR="00DB31E6"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Acordarea dispenselor pentru consultații prenatale nu poate constitui temei pentru reducerea drepturilor salariale</w:t>
            </w:r>
            <w:r>
              <w:rPr>
                <w:rFonts w:ascii="Times New Roman" w:eastAsia="Times New Roman" w:hAnsi="Times New Roman" w:cs="Times New Roman"/>
                <w:highlight w:val="white"/>
              </w:rPr>
              <w:t>, modificarea condițiilor de muncă, aplicarea măsurilor disciplinare sau producerea altor consecințe nefavorabile pentru femeile gravide.</w:t>
            </w:r>
          </w:p>
          <w:p w14:paraId="74D4BC7C"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pict w14:anchorId="7EF1EABC">
                <v:rect id="_x0000_i1120" style="width:0;height:1.5pt" o:hralign="center" o:hrstd="t" o:hr="t" fillcolor="#a0a0a0" stroked="f"/>
              </w:pict>
            </w:r>
          </w:p>
          <w:p w14:paraId="204FE76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Nu se acceptă: </w:t>
            </w:r>
          </w:p>
          <w:p w14:paraId="346CDB65"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Conform proiectului de lege, femeile gravide beneficiază de dispense pentru efectuarea consultațiilor prenatale, </w:t>
            </w:r>
            <w:r>
              <w:rPr>
                <w:rFonts w:ascii="Times New Roman" w:eastAsia="Times New Roman" w:hAnsi="Times New Roman" w:cs="Times New Roman"/>
                <w:b/>
                <w:bCs/>
                <w:highlight w:val="white"/>
              </w:rPr>
              <w:t>în cazul în care acestea au loc în timpul programului de muncă</w:t>
            </w:r>
            <w:r>
              <w:rPr>
                <w:rFonts w:ascii="Times New Roman" w:eastAsia="Times New Roman" w:hAnsi="Times New Roman" w:cs="Times New Roman"/>
                <w:highlight w:val="white"/>
              </w:rPr>
              <w:t>.</w:t>
            </w:r>
          </w:p>
          <w:p w14:paraId="4F297307" w14:textId="77777777" w:rsidR="00E114BB" w:rsidRDefault="00000000">
            <w:pPr>
              <w:spacing w:line="240" w:lineRule="auto"/>
              <w:jc w:val="both"/>
              <w:rPr>
                <w:rFonts w:ascii="Times New Roman" w:eastAsia="Times New Roman" w:hAnsi="Times New Roman" w:cs="Times New Roman"/>
                <w:b/>
                <w:bCs/>
                <w:highlight w:val="white"/>
              </w:rPr>
            </w:pPr>
            <w:r>
              <w:pict w14:anchorId="21C73552">
                <v:rect id="_x0000_i1121" style="width:0;height:1.5pt" o:hralign="center" o:hrstd="t" o:hr="t" fillcolor="#a0a0a0" stroked="f"/>
              </w:pict>
            </w:r>
          </w:p>
          <w:p w14:paraId="042EBC5F"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p>
          <w:p w14:paraId="0FFD4069" w14:textId="77777777" w:rsidR="00E114BB" w:rsidRDefault="00000000">
            <w:pPr>
              <w:spacing w:line="240" w:lineRule="auto"/>
              <w:jc w:val="both"/>
              <w:rPr>
                <w:rFonts w:ascii="Times New Roman" w:eastAsia="Times New Roman" w:hAnsi="Times New Roman" w:cs="Times New Roman"/>
                <w:b/>
                <w:bCs/>
                <w:i/>
                <w:iCs/>
                <w:highlight w:val="white"/>
              </w:rPr>
            </w:pPr>
            <w:r>
              <w:rPr>
                <w:rFonts w:ascii="Times New Roman" w:eastAsia="Times New Roman" w:hAnsi="Times New Roman" w:cs="Times New Roman"/>
                <w:highlight w:val="white"/>
              </w:rPr>
              <w:t>Se va menține obligația de informare prealabilă a angajatorului, însă fără instituirea unui termen expres, deoarece consultațiile prenatale pot interveni și în regim urgent ori pot fi programate într-un interval scurt, iar stabilirea unui termen rigid ar putea genera situații formale de nerespectare a normei.</w:t>
            </w:r>
          </w:p>
          <w:p w14:paraId="019CC2F5" w14:textId="77777777" w:rsidR="00E114BB" w:rsidRDefault="00000000">
            <w:pPr>
              <w:spacing w:line="240" w:lineRule="auto"/>
              <w:jc w:val="both"/>
              <w:rPr>
                <w:rFonts w:ascii="Times New Roman" w:eastAsia="Times New Roman" w:hAnsi="Times New Roman" w:cs="Times New Roman"/>
                <w:b/>
                <w:bCs/>
                <w:i/>
                <w:iCs/>
                <w:highlight w:val="white"/>
              </w:rPr>
            </w:pPr>
            <w:r>
              <w:pict w14:anchorId="72554A8D">
                <v:rect id="_x0000_i1122" style="width:0;height:1.5pt" o:hralign="center" o:hrstd="t" o:hr="t" fillcolor="#a0a0a0" stroked="f"/>
              </w:pict>
            </w:r>
          </w:p>
          <w:p w14:paraId="75EFD711"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0D1A8B82"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247¹ alin. (3) va avea următoarea redacție:</w:t>
            </w:r>
          </w:p>
          <w:p w14:paraId="4E66C1A2"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highlight w:val="white"/>
              </w:rPr>
              <w:t>“Pentru a beneficia de dispensa prevăzută la alin. (1), f</w:t>
            </w:r>
            <w:r>
              <w:rPr>
                <w:rFonts w:ascii="Times New Roman" w:eastAsia="Times New Roman" w:hAnsi="Times New Roman" w:cs="Times New Roman"/>
                <w:b/>
                <w:bCs/>
                <w:highlight w:val="white"/>
              </w:rPr>
              <w:t>emeia gravidă informează în prealabil angajatorul, inclusiv prin mijloace de comunicare electronică</w:t>
            </w:r>
            <w:r>
              <w:rPr>
                <w:rFonts w:ascii="Times New Roman" w:eastAsia="Times New Roman" w:hAnsi="Times New Roman" w:cs="Times New Roman"/>
                <w:highlight w:val="white"/>
              </w:rPr>
              <w:t>, și prezintă o confirmare eliberată de instituția medico-sanitară competentă privind necesitatea prezentării la consultația prenatală.”</w:t>
            </w:r>
          </w:p>
          <w:p w14:paraId="571F41A9" w14:textId="77777777" w:rsidR="00E114BB" w:rsidRDefault="00000000">
            <w:pPr>
              <w:spacing w:line="240" w:lineRule="auto"/>
              <w:jc w:val="both"/>
              <w:rPr>
                <w:rFonts w:ascii="Times New Roman" w:eastAsia="Times New Roman" w:hAnsi="Times New Roman" w:cs="Times New Roman"/>
                <w:highlight w:val="white"/>
              </w:rPr>
            </w:pPr>
            <w:r>
              <w:pict w14:anchorId="4D19F32A">
                <v:rect id="_x0000_i1123" style="width:0;height:1.5pt" o:hralign="center" o:hrstd="t" o:hr="t" fillcolor="#a0a0a0" stroked="f"/>
              </w:pict>
            </w:r>
          </w:p>
          <w:p w14:paraId="6526DA1E"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 parțial:</w:t>
            </w:r>
          </w:p>
          <w:p w14:paraId="1E8A960E"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247¹ alin. (3) va avea următoarea redacție:</w:t>
            </w:r>
          </w:p>
          <w:p w14:paraId="45AB52C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“Pentru a beneficia de dispensa prevăzută la alin. (1), femeia gravidă informează în prealabil angajatorul, inclusiv prin mijloace de comunicare electronică, și </w:t>
            </w:r>
            <w:r>
              <w:rPr>
                <w:rFonts w:ascii="Times New Roman" w:eastAsia="Times New Roman" w:hAnsi="Times New Roman" w:cs="Times New Roman"/>
                <w:b/>
                <w:bCs/>
                <w:highlight w:val="white"/>
              </w:rPr>
              <w:t>prezintă o confirmare eliberată de instituția medico-sanitară competentă privind necesitatea prezentării la consultația prenatală</w:t>
            </w:r>
            <w:r>
              <w:rPr>
                <w:rFonts w:ascii="Times New Roman" w:eastAsia="Times New Roman" w:hAnsi="Times New Roman" w:cs="Times New Roman"/>
                <w:highlight w:val="white"/>
              </w:rPr>
              <w:t>.”</w:t>
            </w:r>
          </w:p>
          <w:p w14:paraId="589479C2" w14:textId="77777777" w:rsidR="00E114BB" w:rsidRDefault="00000000">
            <w:pPr>
              <w:spacing w:line="240" w:lineRule="auto"/>
              <w:jc w:val="both"/>
              <w:rPr>
                <w:rFonts w:ascii="Times New Roman" w:eastAsia="Times New Roman" w:hAnsi="Times New Roman" w:cs="Times New Roman"/>
                <w:highlight w:val="white"/>
              </w:rPr>
            </w:pPr>
            <w:r>
              <w:pict w14:anchorId="77927A7B">
                <v:rect id="_x0000_i1124" style="width:0;height:1.5pt" o:hralign="center" o:hrstd="t" o:hr="t" fillcolor="#a0a0a0" stroked="f"/>
              </w:pict>
            </w:r>
          </w:p>
          <w:p w14:paraId="530FE7E9"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2440A6B8"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Periodicitatea consultațiilor prenatale ține de recomandarea medicală și de particularitățile fiecărei sarcini, motiv pentru care nu se consideră oportună stabilirea prin lege a unor repere rigide privind frecvența dispenselor. O asemenea soluție ar putea limita nejustificat aplicarea normei în situațiile în care consultațiile sunt necesare mai frecvent.</w:t>
            </w:r>
          </w:p>
          <w:p w14:paraId="5F48A8D9" w14:textId="77777777" w:rsidR="00E114BB" w:rsidRDefault="00E114BB">
            <w:pPr>
              <w:spacing w:line="240" w:lineRule="auto"/>
              <w:jc w:val="both"/>
              <w:rPr>
                <w:rFonts w:ascii="Times New Roman" w:eastAsia="Times New Roman" w:hAnsi="Times New Roman" w:cs="Times New Roman"/>
                <w:highlight w:val="white"/>
              </w:rPr>
            </w:pPr>
          </w:p>
          <w:p w14:paraId="05DCE14D" w14:textId="77777777" w:rsidR="00E114BB" w:rsidRDefault="00E114BB">
            <w:pPr>
              <w:spacing w:line="240" w:lineRule="auto"/>
              <w:jc w:val="both"/>
              <w:rPr>
                <w:rFonts w:ascii="Times New Roman" w:eastAsia="Times New Roman" w:hAnsi="Times New Roman" w:cs="Times New Roman"/>
                <w:highlight w:val="white"/>
              </w:rPr>
            </w:pPr>
          </w:p>
          <w:p w14:paraId="05BC08C4" w14:textId="77777777" w:rsidR="00E114BB" w:rsidRDefault="00E114BB">
            <w:pPr>
              <w:spacing w:line="240" w:lineRule="auto"/>
              <w:jc w:val="both"/>
              <w:rPr>
                <w:rFonts w:ascii="Times New Roman" w:eastAsia="Times New Roman" w:hAnsi="Times New Roman" w:cs="Times New Roman"/>
                <w:highlight w:val="white"/>
              </w:rPr>
            </w:pPr>
          </w:p>
          <w:p w14:paraId="19A8F23F" w14:textId="77777777" w:rsidR="00E114BB" w:rsidRDefault="00000000">
            <w:pPr>
              <w:spacing w:line="240" w:lineRule="auto"/>
              <w:jc w:val="both"/>
              <w:rPr>
                <w:rFonts w:ascii="Times New Roman" w:eastAsia="Times New Roman" w:hAnsi="Times New Roman" w:cs="Times New Roman"/>
                <w:highlight w:val="white"/>
              </w:rPr>
            </w:pPr>
            <w:r>
              <w:pict w14:anchorId="4971B3EC">
                <v:rect id="_x0000_i1125" style="width:0;height:1.5pt" o:hralign="center" o:hrstd="t" o:hr="t" fillcolor="#a0a0a0" stroked="f"/>
              </w:pict>
            </w:r>
          </w:p>
          <w:p w14:paraId="01622772"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2D8FE62E"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 asemenea redactare ar încărca excesiv norma cu elemente de detaliu ce țin de aplicarea practică și de proba justificativă, nu de conținutul dreptului propriu-zis.</w:t>
            </w:r>
          </w:p>
          <w:p w14:paraId="047E3B2C"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Este suficient ca legea să consacre dreptul salariatei gravide la dispensă pentru consultațiile prenatale efectuate în timpul programului de muncă, pentru timpul necesar, iar aspectele privind confirmarea medicală și justificarea duratei absenței pot fi soluționate în baza documentelor medicale prezentate, fără a fi necesară reglementarea expresă a fiecărui element în textul normei.</w:t>
            </w:r>
          </w:p>
          <w:p w14:paraId="79B0B865" w14:textId="77777777" w:rsidR="00E114BB" w:rsidRDefault="00000000">
            <w:pPr>
              <w:spacing w:line="240" w:lineRule="auto"/>
              <w:jc w:val="both"/>
              <w:rPr>
                <w:rFonts w:ascii="Times New Roman" w:eastAsia="Times New Roman" w:hAnsi="Times New Roman" w:cs="Times New Roman"/>
                <w:b/>
                <w:bCs/>
                <w:i/>
                <w:iCs/>
                <w:highlight w:val="white"/>
              </w:rPr>
            </w:pPr>
            <w:r>
              <w:pict w14:anchorId="2A104CA9">
                <v:rect id="_x0000_i1126" style="width:0;height:1.5pt" o:hralign="center" o:hrstd="t" o:hr="t" fillcolor="#a0a0a0" stroked="f"/>
              </w:pict>
            </w:r>
          </w:p>
          <w:p w14:paraId="0B9F0619" w14:textId="77777777" w:rsidR="00E114BB"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 Nu se acceptă:</w:t>
            </w:r>
          </w:p>
          <w:p w14:paraId="6EB9B1A4" w14:textId="77777777" w:rsidR="00E114BB"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Delimitarea dintre dispensa pentru consultații prenatale și concediul medical rezultă deja din natura juridică distinctă a celor două instituții, astfel încât o precizare expresă în textul articolului nu se consideră necesară. Introducerea unei asemenea prevederi ar încărca inutil norma.</w:t>
            </w:r>
          </w:p>
          <w:p w14:paraId="64E0C22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1D847F60" w14:textId="77777777" w:rsidR="00E114BB" w:rsidRDefault="00E114BB">
            <w:pPr>
              <w:spacing w:line="240" w:lineRule="auto"/>
              <w:jc w:val="both"/>
              <w:rPr>
                <w:rFonts w:ascii="Times New Roman" w:eastAsia="Times New Roman" w:hAnsi="Times New Roman" w:cs="Times New Roman"/>
                <w:b/>
                <w:bCs/>
                <w:highlight w:val="white"/>
              </w:rPr>
            </w:pPr>
          </w:p>
          <w:p w14:paraId="7F17445D" w14:textId="77777777" w:rsidR="00E114BB" w:rsidRDefault="00E114BB">
            <w:pPr>
              <w:spacing w:line="240" w:lineRule="auto"/>
              <w:jc w:val="both"/>
              <w:rPr>
                <w:rFonts w:ascii="Times New Roman" w:eastAsia="Times New Roman" w:hAnsi="Times New Roman" w:cs="Times New Roman"/>
                <w:b/>
                <w:bCs/>
                <w:highlight w:val="white"/>
              </w:rPr>
            </w:pPr>
          </w:p>
          <w:p w14:paraId="3AA6905B" w14:textId="77777777" w:rsidR="00E114BB" w:rsidRDefault="00E114BB">
            <w:pPr>
              <w:spacing w:line="240" w:lineRule="auto"/>
              <w:jc w:val="both"/>
              <w:rPr>
                <w:rFonts w:ascii="Times New Roman" w:eastAsia="Times New Roman" w:hAnsi="Times New Roman" w:cs="Times New Roman"/>
                <w:b/>
                <w:bCs/>
                <w:highlight w:val="white"/>
              </w:rPr>
            </w:pPr>
          </w:p>
          <w:p w14:paraId="22FCD48B" w14:textId="77777777" w:rsidR="00E114BB" w:rsidRDefault="00E114BB">
            <w:pPr>
              <w:spacing w:line="240" w:lineRule="auto"/>
              <w:jc w:val="both"/>
              <w:rPr>
                <w:rFonts w:ascii="Times New Roman" w:eastAsia="Times New Roman" w:hAnsi="Times New Roman" w:cs="Times New Roman"/>
                <w:b/>
                <w:bCs/>
                <w:highlight w:val="white"/>
              </w:rPr>
            </w:pPr>
          </w:p>
          <w:p w14:paraId="58729809" w14:textId="77777777" w:rsidR="00E114BB" w:rsidRDefault="00E114BB">
            <w:pPr>
              <w:spacing w:line="240" w:lineRule="auto"/>
              <w:jc w:val="both"/>
              <w:rPr>
                <w:rFonts w:ascii="Times New Roman" w:eastAsia="Times New Roman" w:hAnsi="Times New Roman" w:cs="Times New Roman"/>
                <w:b/>
                <w:bCs/>
                <w:highlight w:val="white"/>
              </w:rPr>
            </w:pPr>
          </w:p>
          <w:p w14:paraId="3F3F6C4F" w14:textId="77777777" w:rsidR="00E114BB" w:rsidRDefault="00E114BB">
            <w:pPr>
              <w:spacing w:line="240" w:lineRule="auto"/>
              <w:jc w:val="both"/>
              <w:rPr>
                <w:rFonts w:ascii="Times New Roman" w:eastAsia="Times New Roman" w:hAnsi="Times New Roman" w:cs="Times New Roman"/>
                <w:b/>
                <w:bCs/>
                <w:highlight w:val="white"/>
              </w:rPr>
            </w:pPr>
          </w:p>
          <w:p w14:paraId="7F2AE0C5" w14:textId="77777777" w:rsidR="00E114BB" w:rsidRDefault="00E114BB">
            <w:pPr>
              <w:spacing w:line="240" w:lineRule="auto"/>
              <w:jc w:val="both"/>
              <w:rPr>
                <w:rFonts w:ascii="Times New Roman" w:eastAsia="Times New Roman" w:hAnsi="Times New Roman" w:cs="Times New Roman"/>
                <w:b/>
                <w:bCs/>
                <w:highlight w:val="white"/>
              </w:rPr>
            </w:pPr>
          </w:p>
          <w:p w14:paraId="2AFDF01C" w14:textId="77777777" w:rsidR="00E114BB" w:rsidRDefault="00E114BB">
            <w:pPr>
              <w:spacing w:line="240" w:lineRule="auto"/>
              <w:jc w:val="both"/>
              <w:rPr>
                <w:rFonts w:ascii="Times New Roman" w:eastAsia="Times New Roman" w:hAnsi="Times New Roman" w:cs="Times New Roman"/>
                <w:b/>
                <w:bCs/>
                <w:highlight w:val="white"/>
              </w:rPr>
            </w:pPr>
          </w:p>
          <w:p w14:paraId="6AF13677" w14:textId="77777777" w:rsidR="00E114BB" w:rsidRDefault="00E114BB">
            <w:pPr>
              <w:spacing w:line="240" w:lineRule="auto"/>
              <w:jc w:val="both"/>
              <w:rPr>
                <w:rFonts w:ascii="Times New Roman" w:eastAsia="Times New Roman" w:hAnsi="Times New Roman" w:cs="Times New Roman"/>
                <w:b/>
                <w:bCs/>
                <w:highlight w:val="white"/>
              </w:rPr>
            </w:pPr>
          </w:p>
          <w:p w14:paraId="42C35A55" w14:textId="77777777" w:rsidR="00E114BB" w:rsidRDefault="00E114BB">
            <w:pPr>
              <w:spacing w:line="240" w:lineRule="auto"/>
              <w:jc w:val="both"/>
              <w:rPr>
                <w:rFonts w:ascii="Times New Roman" w:eastAsia="Times New Roman" w:hAnsi="Times New Roman" w:cs="Times New Roman"/>
                <w:b/>
                <w:bCs/>
                <w:highlight w:val="white"/>
              </w:rPr>
            </w:pPr>
          </w:p>
          <w:p w14:paraId="5B6D4652" w14:textId="77777777" w:rsidR="00E114BB" w:rsidRDefault="00E114BB">
            <w:pPr>
              <w:spacing w:line="240" w:lineRule="auto"/>
              <w:jc w:val="both"/>
              <w:rPr>
                <w:rFonts w:ascii="Times New Roman" w:eastAsia="Times New Roman" w:hAnsi="Times New Roman" w:cs="Times New Roman"/>
                <w:b/>
                <w:bCs/>
                <w:highlight w:val="white"/>
              </w:rPr>
            </w:pPr>
          </w:p>
          <w:p w14:paraId="0A2F90A8" w14:textId="77777777" w:rsidR="00E114BB" w:rsidRDefault="00E114BB">
            <w:pPr>
              <w:spacing w:line="240" w:lineRule="auto"/>
              <w:jc w:val="both"/>
              <w:rPr>
                <w:rFonts w:ascii="Times New Roman" w:eastAsia="Times New Roman" w:hAnsi="Times New Roman" w:cs="Times New Roman"/>
                <w:b/>
                <w:bCs/>
                <w:highlight w:val="white"/>
              </w:rPr>
            </w:pPr>
          </w:p>
          <w:p w14:paraId="5DCD40D7" w14:textId="77777777" w:rsidR="00E114BB" w:rsidRDefault="00E114BB">
            <w:pPr>
              <w:spacing w:line="240" w:lineRule="auto"/>
              <w:jc w:val="both"/>
              <w:rPr>
                <w:rFonts w:ascii="Times New Roman" w:eastAsia="Times New Roman" w:hAnsi="Times New Roman" w:cs="Times New Roman"/>
                <w:b/>
                <w:bCs/>
                <w:highlight w:val="white"/>
              </w:rPr>
            </w:pPr>
          </w:p>
          <w:p w14:paraId="263D60B5" w14:textId="77777777" w:rsidR="00E114BB" w:rsidRDefault="00E114BB">
            <w:pPr>
              <w:spacing w:line="240" w:lineRule="auto"/>
              <w:jc w:val="both"/>
              <w:rPr>
                <w:rFonts w:ascii="Times New Roman" w:eastAsia="Times New Roman" w:hAnsi="Times New Roman" w:cs="Times New Roman"/>
                <w:b/>
                <w:bCs/>
                <w:highlight w:val="white"/>
              </w:rPr>
            </w:pPr>
          </w:p>
          <w:p w14:paraId="1BB3C91C" w14:textId="77777777" w:rsidR="00E114BB" w:rsidRDefault="00E114BB">
            <w:pPr>
              <w:spacing w:line="240" w:lineRule="auto"/>
              <w:jc w:val="both"/>
              <w:rPr>
                <w:rFonts w:ascii="Times New Roman" w:eastAsia="Times New Roman" w:hAnsi="Times New Roman" w:cs="Times New Roman"/>
                <w:b/>
                <w:bCs/>
                <w:highlight w:val="white"/>
              </w:rPr>
            </w:pPr>
          </w:p>
          <w:p w14:paraId="5B370A57" w14:textId="77777777" w:rsidR="00E114BB" w:rsidRDefault="00E114BB">
            <w:pPr>
              <w:spacing w:line="240" w:lineRule="auto"/>
              <w:jc w:val="both"/>
              <w:rPr>
                <w:rFonts w:ascii="Times New Roman" w:eastAsia="Times New Roman" w:hAnsi="Times New Roman" w:cs="Times New Roman"/>
                <w:b/>
                <w:bCs/>
                <w:highlight w:val="white"/>
              </w:rPr>
            </w:pPr>
          </w:p>
          <w:p w14:paraId="69949D45" w14:textId="77777777" w:rsidR="00E114BB" w:rsidRDefault="00E114BB">
            <w:pPr>
              <w:spacing w:line="240" w:lineRule="auto"/>
              <w:jc w:val="both"/>
              <w:rPr>
                <w:rFonts w:ascii="Times New Roman" w:eastAsia="Times New Roman" w:hAnsi="Times New Roman" w:cs="Times New Roman"/>
                <w:b/>
                <w:bCs/>
                <w:highlight w:val="white"/>
              </w:rPr>
            </w:pPr>
          </w:p>
          <w:p w14:paraId="425E53CB"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3F2A7ABA" w14:textId="77777777">
        <w:trPr>
          <w:trHeight w:val="600"/>
        </w:trPr>
        <w:tc>
          <w:tcPr>
            <w:tcW w:w="555" w:type="dxa"/>
            <w:vMerge/>
          </w:tcPr>
          <w:p w14:paraId="10C61B4F" w14:textId="77777777" w:rsidR="00E114BB" w:rsidRDefault="00E114BB">
            <w:pPr>
              <w:widowControl w:val="0"/>
              <w:rPr>
                <w:rFonts w:ascii="Times New Roman" w:eastAsia="Times New Roman" w:hAnsi="Times New Roman" w:cs="Times New Roman"/>
                <w:highlight w:val="white"/>
              </w:rPr>
            </w:pPr>
          </w:p>
        </w:tc>
        <w:tc>
          <w:tcPr>
            <w:tcW w:w="2700" w:type="dxa"/>
            <w:vMerge/>
          </w:tcPr>
          <w:p w14:paraId="1B1254D5" w14:textId="77777777" w:rsidR="00E114BB" w:rsidRDefault="00E114BB">
            <w:pPr>
              <w:widowControl w:val="0"/>
              <w:rPr>
                <w:rFonts w:ascii="Times New Roman" w:eastAsia="Times New Roman" w:hAnsi="Times New Roman" w:cs="Times New Roman"/>
                <w:highlight w:val="white"/>
              </w:rPr>
            </w:pPr>
          </w:p>
        </w:tc>
        <w:tc>
          <w:tcPr>
            <w:tcW w:w="5880" w:type="dxa"/>
          </w:tcPr>
          <w:p w14:paraId="294D2C86"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Codul contravențional </w:t>
            </w:r>
          </w:p>
          <w:p w14:paraId="10B1CC8D" w14:textId="77777777" w:rsidR="00E114BB" w:rsidRDefault="00000000">
            <w:pPr>
              <w:spacing w:line="240" w:lineRule="auto"/>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 xml:space="preserve">Propunere de redactare: </w:t>
            </w:r>
          </w:p>
          <w:p w14:paraId="1000F5B9" w14:textId="77777777" w:rsidR="00E114BB" w:rsidRDefault="00000000">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Nu suntem de acord cu impunerea incriminării contravenționale în forma propusă. </w:t>
            </w:r>
          </w:p>
          <w:p w14:paraId="0FDF6C0A" w14:textId="77777777" w:rsidR="00E114BB" w:rsidRDefault="00000000">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Articolul 55 alineatul (1) se completează cu litera k) cu următorul cuprins: </w:t>
            </w:r>
          </w:p>
          <w:p w14:paraId="09406718" w14:textId="77777777" w:rsidR="00E114BB" w:rsidRDefault="00000000">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„k) nerespectarea de către angajator a obligației de informare și consultare a salariaților.” </w:t>
            </w:r>
          </w:p>
          <w:p w14:paraId="06BFC4AF" w14:textId="77777777" w:rsidR="00E114BB" w:rsidRDefault="00E114BB">
            <w:pPr>
              <w:spacing w:line="240" w:lineRule="auto"/>
              <w:ind w:firstLine="284"/>
              <w:jc w:val="both"/>
              <w:rPr>
                <w:rFonts w:ascii="Times New Roman" w:eastAsia="Times New Roman" w:hAnsi="Times New Roman" w:cs="Times New Roman"/>
                <w:b/>
                <w:bCs/>
                <w:highlight w:val="white"/>
              </w:rPr>
            </w:pPr>
          </w:p>
          <w:p w14:paraId="05E93390" w14:textId="77777777" w:rsidR="00E114BB" w:rsidRDefault="00000000">
            <w:pPr>
              <w:spacing w:line="240" w:lineRule="auto"/>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5E6BC173"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Introducerea unei contravenții pentru nerespectarea consultării </w:t>
            </w:r>
          </w:p>
          <w:p w14:paraId="66E94413"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Proiectul propune sancționarea contravențională a angajatorului pentru nerespectarea consultării. Această soluție: </w:t>
            </w:r>
          </w:p>
          <w:p w14:paraId="1DE56AF1" w14:textId="77777777" w:rsidR="00E114BB" w:rsidRDefault="00000000">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nu este compatibilă cu natura procedural-evaluativă a obligației de consultare </w:t>
            </w:r>
          </w:p>
          <w:p w14:paraId="05445175" w14:textId="77777777" w:rsidR="00E114BB" w:rsidRDefault="00000000">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dublează mecanismul judiciar existent (alin. 10 art. 42¹) </w:t>
            </w:r>
          </w:p>
          <w:p w14:paraId="28F5A7EF" w14:textId="77777777" w:rsidR="00E114BB" w:rsidRDefault="00000000">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riscă aplicări abuzive și interpretări excesive în lipsa unor criterii clare </w:t>
            </w:r>
          </w:p>
          <w:p w14:paraId="733838AA"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baza celor expuse, proiectul, în forma actuală depășește standardele europene în domeniul consultării și dialogului social, creează riscuri semnificative pentru funcționarea organizațională și securitatea juridică, generează ambiguități și incoerențe tehnice în mai multe articole ale Codului muncii și riscă să </w:t>
            </w:r>
            <w:r>
              <w:rPr>
                <w:rFonts w:ascii="Times New Roman" w:eastAsia="Times New Roman" w:hAnsi="Times New Roman" w:cs="Times New Roman"/>
              </w:rPr>
              <w:lastRenderedPageBreak/>
              <w:t xml:space="preserve">afecteze negativ competitivitatea mediului de afaceri și climatele sociale interne. </w:t>
            </w:r>
          </w:p>
        </w:tc>
        <w:tc>
          <w:tcPr>
            <w:tcW w:w="5880" w:type="dxa"/>
          </w:tcPr>
          <w:p w14:paraId="4EE2BE7A"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6BB23DBD"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Includerea lit. k) în cadrul art. 55 este justificată prin faptul că fapta incriminată – nerespectarea obligației de informare și consultare a salariaților – prezintă un pericol social comparabil cu celelalte încălcări prevăzute de același articol, toate afectând buna desfășurare a relațiilor de muncă. Această obligație are un rol esențial în asigurarea echilibrului dintre părți și în garantarea exercitării efective a drepturilor colective ale salariaților.</w:t>
            </w:r>
          </w:p>
          <w:p w14:paraId="2FF7595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E114BB" w14:paraId="7E47DFAA" w14:textId="77777777" w:rsidTr="00DB31E6">
        <w:trPr>
          <w:trHeight w:val="699"/>
        </w:trPr>
        <w:tc>
          <w:tcPr>
            <w:tcW w:w="555" w:type="dxa"/>
            <w:vMerge/>
          </w:tcPr>
          <w:p w14:paraId="5BB3068A" w14:textId="77777777" w:rsidR="00E114BB" w:rsidRDefault="00E114BB">
            <w:pPr>
              <w:widowControl w:val="0"/>
              <w:rPr>
                <w:rFonts w:ascii="Times New Roman" w:eastAsia="Times New Roman" w:hAnsi="Times New Roman" w:cs="Times New Roman"/>
                <w:highlight w:val="white"/>
              </w:rPr>
            </w:pPr>
          </w:p>
        </w:tc>
        <w:tc>
          <w:tcPr>
            <w:tcW w:w="2700" w:type="dxa"/>
          </w:tcPr>
          <w:p w14:paraId="7E0EB538" w14:textId="77777777" w:rsidR="00E114BB" w:rsidRDefault="00E114BB">
            <w:pPr>
              <w:spacing w:line="240" w:lineRule="auto"/>
              <w:jc w:val="center"/>
              <w:rPr>
                <w:rFonts w:ascii="Times New Roman" w:eastAsia="Times New Roman" w:hAnsi="Times New Roman" w:cs="Times New Roman"/>
              </w:rPr>
            </w:pPr>
          </w:p>
        </w:tc>
        <w:tc>
          <w:tcPr>
            <w:tcW w:w="5880" w:type="dxa"/>
          </w:tcPr>
          <w:p w14:paraId="154B246D" w14:textId="77777777" w:rsidR="00E114BB" w:rsidRDefault="00000000">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Cu privire la modificările propuse la Legea securității și sănătății în muncă nr. 186/2008 </w:t>
            </w:r>
          </w:p>
          <w:p w14:paraId="7EC11F78" w14:textId="77777777" w:rsidR="00E114BB"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Propunere de redactare:</w:t>
            </w:r>
          </w:p>
          <w:p w14:paraId="51E12F6F" w14:textId="77777777" w:rsidR="00E114BB" w:rsidRDefault="00000000">
            <w:pPr>
              <w:spacing w:line="240" w:lineRule="auto"/>
              <w:jc w:val="both"/>
              <w:rPr>
                <w:rFonts w:ascii="Times New Roman" w:eastAsia="Times New Roman" w:hAnsi="Times New Roman" w:cs="Times New Roman"/>
                <w:b/>
                <w:bCs/>
                <w:i/>
                <w:iCs/>
                <w:highlight w:val="white"/>
              </w:rPr>
            </w:pPr>
            <w:r>
              <w:rPr>
                <w:rFonts w:ascii="Caudex" w:eastAsia="Caudex" w:hAnsi="Caudex" w:cs="Caudex"/>
              </w:rPr>
              <w:t xml:space="preserve">− Excluderea sintagmei „profesional” din conținutul art. 10 alin. (3) lit. a), b), c) și alin. (4) lit. a) precum și din art. 13 lit. a) și f), art. 14 lit. a) </w:t>
            </w:r>
          </w:p>
          <w:p w14:paraId="46E5A471" w14:textId="77777777" w:rsidR="00E114BB"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72E26B33"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Se constată că modificarea propusă la art. 10 alin. (3) lit. a), b), c) și alin. (4) lit. a), prin care se exclude cuvântul „profesionale”, afectează claritatea și coerența normei, precum și corelarea acesteia cu cadrul normativ existent în domeniul securității și sănătății în muncă. </w:t>
            </w:r>
          </w:p>
          <w:p w14:paraId="73376FCC"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rPr>
              <w:t xml:space="preserve">Astfel, Legea nr. 186/2008 definește în mod expres noțiunea de „risc profesional” ca reprezentând riscul de accidentare sau de îmbolnăvire profesională, determinat de factorii specifici procesului de muncă. În acest context, utilizarea constantă a sintagmei „riscuri profesionale” în cuprinsul legii are rolul de a delimita sfera obligațiilor angajatorului la acele riscuri care decurg din activitatea profesională și mediul de muncă. </w:t>
            </w:r>
          </w:p>
          <w:p w14:paraId="30C8D115"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Excluderea cuvântului „profesionale” conduce la utilizarea generală a noțiunii de „riscuri”, fără a mai fi clar dacă aceasta se referă exclusiv la riscurile legate de activitatea de muncă sau ar putea include, în mod extensiv, orice tip de risc, inclusiv riscuri care nu se află sub controlul angajatorului și nu derivă din procesul de muncă. O asemenea formulare creează incertitudine juridică și poate genera dificultăți în determinarea întinderii obligațiilor angajatorului. </w:t>
            </w:r>
          </w:p>
          <w:p w14:paraId="2309E2BB" w14:textId="77777777" w:rsidR="00E114BB"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Totodată, această modificare afectează coerența terminologică legii, întrucât noțiunea de „risc profesional” este deja definită și utilizată în mod consecvent în alte dispoziții ale aceluiași act normativ. </w:t>
            </w:r>
          </w:p>
          <w:p w14:paraId="4D4BDA14" w14:textId="77777777" w:rsidR="00E114BB"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rPr>
              <w:lastRenderedPageBreak/>
              <w:t xml:space="preserve">În aceste condiții, excluderea cuvântului „profesionale” nu este justificată și conduce la o diminuare a preciziei reglementării. </w:t>
            </w:r>
          </w:p>
        </w:tc>
        <w:tc>
          <w:tcPr>
            <w:tcW w:w="5880" w:type="dxa"/>
          </w:tcPr>
          <w:p w14:paraId="71FA094E" w14:textId="77777777" w:rsidR="00E114BB"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2043DF96"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Eliminarea cuvântului „profesionale” din articolele respective asigură conformitatea actului național cu Directiva 89/391/CEE privind punerea în aplicare de măsuri pentru promovarea îmbunătățirii securității și sănătății lucrătorilor la locul de muncă. Totodată, articolul 2 din Legea nr 186/2008 securității și sănătății în muncă stabileşte principiile generale privind prevenirea riscurilor profesionale, protecția lucrătorilor și a lucrătorilor independenți la locul de muncă, eliminarea factorilor de risc şi de accidentare, informarea, consultarea, participarea echilibrată, instruirea lucrătorilor, a lucrătorilor independenți și a reprezentanților acestora, precum şi liniile directoare generale privind aplicarea principiilor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w:t>
            </w:r>
          </w:p>
          <w:p w14:paraId="66E546D8" w14:textId="77777777" w:rsidR="00E114BB"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context excluderea cuvântului „profesionale” nu va conduce la abordarea altor riscuri </w:t>
            </w:r>
            <w:proofErr w:type="spellStart"/>
            <w:r>
              <w:rPr>
                <w:rFonts w:ascii="Times New Roman" w:eastAsia="Times New Roman" w:hAnsi="Times New Roman" w:cs="Times New Roman"/>
                <w:highlight w:val="white"/>
              </w:rPr>
              <w:t>riscuri</w:t>
            </w:r>
            <w:proofErr w:type="spellEnd"/>
            <w:r>
              <w:rPr>
                <w:rFonts w:ascii="Times New Roman" w:eastAsia="Times New Roman" w:hAnsi="Times New Roman" w:cs="Times New Roman"/>
                <w:highlight w:val="white"/>
              </w:rPr>
              <w:t xml:space="preserve"> decât a celor generate de sistemul de lucru (om - sarcină de muncă - mediu de lucru - echipament de muncă), la care salariatul poate fi expus în afara exercitării profesiei sale.  Spre exemplu un lucrător poate fi expus riscului comportamental generat de alt lucrător, sau poate fi expus unor riscuri generate de echipamente care nu sunt utilizate nemijlocit de un lucrător concret. În această situație, pentru a lua în considerare și interferența riscurilor care pentru unii salariați nu sunt generate de propria lor profesie, excluderea cuvântului „profesionale” din  articolele menționate este justificată.</w:t>
            </w:r>
          </w:p>
          <w:p w14:paraId="04DBC602" w14:textId="77777777" w:rsidR="00E114BB" w:rsidRDefault="00E114BB">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bl>
    <w:p w14:paraId="265C6BA7" w14:textId="77777777" w:rsidR="00E114BB" w:rsidRDefault="00E114BB">
      <w:pPr>
        <w:rPr>
          <w:rFonts w:ascii="Times New Roman" w:eastAsia="Times New Roman" w:hAnsi="Times New Roman" w:cs="Times New Roman"/>
          <w:b/>
          <w:bCs/>
        </w:rPr>
      </w:pPr>
    </w:p>
    <w:sectPr w:rsidR="00E114BB">
      <w:pgSz w:w="16834" w:h="11909" w:orient="landscape"/>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4E546" w14:textId="77777777" w:rsidR="009524DF" w:rsidRDefault="009524DF">
      <w:pPr>
        <w:spacing w:line="240" w:lineRule="auto"/>
      </w:pPr>
      <w:r>
        <w:separator/>
      </w:r>
    </w:p>
  </w:endnote>
  <w:endnote w:type="continuationSeparator" w:id="0">
    <w:p w14:paraId="174506F8" w14:textId="77777777" w:rsidR="009524DF" w:rsidRDefault="009524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000391D2-3916-4B20-BCAF-86F7E266F3D7}"/>
    <w:embedBold r:id="rId2" w:fontKey="{E7F153AC-C51A-46E4-8C46-587FE466998D}"/>
  </w:font>
  <w:font w:name="Caudex">
    <w:charset w:val="00"/>
    <w:family w:val="auto"/>
    <w:pitch w:val="default"/>
    <w:embedRegular r:id="rId3" w:fontKey="{E905E8FE-03DD-49FD-BE26-C682E94C6B98}"/>
  </w:font>
  <w:font w:name="Calibri">
    <w:panose1 w:val="020F0502020204030204"/>
    <w:charset w:val="00"/>
    <w:family w:val="swiss"/>
    <w:pitch w:val="variable"/>
    <w:sig w:usb0="E4002EFF" w:usb1="C200247B" w:usb2="00000009" w:usb3="00000000" w:csb0="000001FF" w:csb1="00000000"/>
    <w:embedRegular r:id="rId4" w:fontKey="{1FB707A8-AF65-4251-A5BD-6B20B3A17679}"/>
  </w:font>
  <w:font w:name="Cambria">
    <w:panose1 w:val="02040503050406030204"/>
    <w:charset w:val="00"/>
    <w:family w:val="roman"/>
    <w:pitch w:val="variable"/>
    <w:sig w:usb0="E00006FF" w:usb1="420024FF" w:usb2="02000000" w:usb3="00000000" w:csb0="0000019F" w:csb1="00000000"/>
    <w:embedRegular r:id="rId5" w:fontKey="{308FBCE7-6BFC-44C8-A299-88F42E4903B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9FB2" w14:textId="77777777" w:rsidR="009524DF" w:rsidRDefault="009524DF">
      <w:pPr>
        <w:spacing w:line="240" w:lineRule="auto"/>
      </w:pPr>
      <w:r>
        <w:separator/>
      </w:r>
    </w:p>
  </w:footnote>
  <w:footnote w:type="continuationSeparator" w:id="0">
    <w:p w14:paraId="6AD5F2FA" w14:textId="77777777" w:rsidR="009524DF" w:rsidRDefault="009524DF">
      <w:pPr>
        <w:spacing w:line="240" w:lineRule="auto"/>
      </w:pPr>
      <w:r>
        <w:continuationSeparator/>
      </w:r>
    </w:p>
  </w:footnote>
  <w:footnote w:id="1">
    <w:p w14:paraId="78F1CADE" w14:textId="77777777" w:rsidR="00E114BB" w:rsidRDefault="00000000">
      <w:pPr>
        <w:spacing w:line="240" w:lineRule="auto"/>
        <w:rPr>
          <w:rFonts w:ascii="Georgia" w:eastAsia="Georgia" w:hAnsi="Georgia" w:cs="Georgia"/>
          <w:sz w:val="18"/>
          <w:szCs w:val="18"/>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Drept urmare, nu rezultă din Directiva obligația de a consulta reprezentanții salariaților asupra: </w:t>
      </w:r>
    </w:p>
    <w:p w14:paraId="6F008F05" w14:textId="77777777" w:rsidR="00E114BB" w:rsidRDefault="00000000">
      <w:pPr>
        <w:spacing w:line="240" w:lineRule="auto"/>
        <w:rPr>
          <w:sz w:val="20"/>
          <w:szCs w:val="20"/>
        </w:rPr>
      </w:pPr>
      <w:r>
        <w:rPr>
          <w:sz w:val="18"/>
          <w:szCs w:val="18"/>
        </w:rPr>
        <w:t xml:space="preserve">- evoluţiei probabile a activităţilor şi situaţiei economice a unităţii [lit. a) din alineatul (2) art. 421 Codul muncii] </w:t>
      </w:r>
    </w:p>
  </w:footnote>
  <w:footnote w:id="2">
    <w:p w14:paraId="037BB412" w14:textId="77777777" w:rsidR="00E114BB" w:rsidRDefault="00000000">
      <w:pPr>
        <w:spacing w:line="240" w:lineRule="auto"/>
        <w:rPr>
          <w:rFonts w:ascii="Georgia" w:eastAsia="Georgia" w:hAnsi="Georgia" w:cs="Georgia"/>
          <w:sz w:val="24"/>
          <w:szCs w:val="24"/>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Conform definițiilor din dicționarele explicative ale limbii române, termenul „acord” are o conotație juridică pronunțată, desemnând, de regulă, o convenție sau un act de voință formalizat. În schimb, „consens” exprimă mai degrabă o convergență de opinii, o adeziune comună sau ajungerea la o înțelegere asupra unei chestiuni, fără a implica, în mod necesar, existența unei convenții ori a unui act juridic formalizat. </w:t>
      </w:r>
    </w:p>
    <w:p w14:paraId="3BB7D6C1" w14:textId="77777777" w:rsidR="00E114BB" w:rsidRDefault="00E114BB">
      <w:pPr>
        <w:spacing w:line="240" w:lineRule="auto"/>
        <w:rPr>
          <w:sz w:val="20"/>
          <w:szCs w:val="20"/>
        </w:rPr>
      </w:pPr>
    </w:p>
  </w:footnote>
  <w:footnote w:id="3">
    <w:p w14:paraId="16B67724" w14:textId="77777777" w:rsidR="00E114BB" w:rsidRDefault="00000000">
      <w:pPr>
        <w:spacing w:line="240" w:lineRule="auto"/>
        <w:rPr>
          <w:rFonts w:ascii="Georgia" w:eastAsia="Georgia" w:hAnsi="Georgia" w:cs="Georgia"/>
          <w:sz w:val="24"/>
          <w:szCs w:val="24"/>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Metodologia de efectuare a expertizei de comptabilitate a legislației RM cu legislația Uniunii Europene a fost aprobară prin Ordinul Cancelariei de Stat nr. 1 din 9 ianuarie 2023. </w:t>
      </w:r>
    </w:p>
  </w:footnote>
  <w:footnote w:id="4">
    <w:p w14:paraId="71056F6D" w14:textId="77777777" w:rsidR="00E114BB" w:rsidRDefault="00000000">
      <w:pPr>
        <w:spacing w:line="240" w:lineRule="auto"/>
        <w:rPr>
          <w:rFonts w:ascii="Georgia" w:eastAsia="Georgia" w:hAnsi="Georgia" w:cs="Georgia"/>
          <w:sz w:val="24"/>
          <w:szCs w:val="24"/>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Conform secțiunii 3.4.8 a Metodologiei de efectuare a expertizei de comptabilitate a legislației RM cu legislația Uniunii Europene, supra-reglementarea („gold plating”) are loc atunci când transpunerea actului UE se realizează prin depășirea limitelor stabilite de o directivă, respectiv, a minimului necesar pentru a se conforma cu directiva. Acest fapt se realizează prin … extinderea domeniului de aplicare, completarea într-un anumit mod a cerințelor esențiale sau … aplicarea sancțiunilor, a unor mecanisme de executare și a altor aspecte, cum ar fi sarcina probei, impunând astfel o povară mai mare asupra mediului de afaceri decât o cere directiva. </w:t>
      </w:r>
    </w:p>
    <w:p w14:paraId="78909025" w14:textId="77777777" w:rsidR="00E114BB" w:rsidRDefault="00E114BB">
      <w:pPr>
        <w:spacing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C10"/>
    <w:multiLevelType w:val="multilevel"/>
    <w:tmpl w:val="46102FE6"/>
    <w:lvl w:ilvl="0">
      <w:start w:val="2"/>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249ED"/>
    <w:multiLevelType w:val="multilevel"/>
    <w:tmpl w:val="A7AE425E"/>
    <w:lvl w:ilvl="0">
      <w:start w:val="1"/>
      <w:numFmt w:val="decimal"/>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2" w15:restartNumberingAfterBreak="0">
    <w:nsid w:val="04E9017F"/>
    <w:multiLevelType w:val="multilevel"/>
    <w:tmpl w:val="3192FC92"/>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3" w15:restartNumberingAfterBreak="0">
    <w:nsid w:val="0678566A"/>
    <w:multiLevelType w:val="multilevel"/>
    <w:tmpl w:val="E374822A"/>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4" w15:restartNumberingAfterBreak="0">
    <w:nsid w:val="1D916FDB"/>
    <w:multiLevelType w:val="multilevel"/>
    <w:tmpl w:val="EF18F6B6"/>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5" w15:restartNumberingAfterBreak="0">
    <w:nsid w:val="2C1429FD"/>
    <w:multiLevelType w:val="multilevel"/>
    <w:tmpl w:val="F2E28896"/>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6" w15:restartNumberingAfterBreak="0">
    <w:nsid w:val="340F7170"/>
    <w:multiLevelType w:val="multilevel"/>
    <w:tmpl w:val="2A6A939E"/>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7" w15:restartNumberingAfterBreak="0">
    <w:nsid w:val="3B4E5582"/>
    <w:multiLevelType w:val="multilevel"/>
    <w:tmpl w:val="47E47A0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8" w15:restartNumberingAfterBreak="0">
    <w:nsid w:val="41B57B76"/>
    <w:multiLevelType w:val="multilevel"/>
    <w:tmpl w:val="87A2C9C2"/>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9" w15:restartNumberingAfterBreak="0">
    <w:nsid w:val="52CF07A8"/>
    <w:multiLevelType w:val="multilevel"/>
    <w:tmpl w:val="E38E6CAC"/>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0" w15:restartNumberingAfterBreak="0">
    <w:nsid w:val="650E23A6"/>
    <w:multiLevelType w:val="multilevel"/>
    <w:tmpl w:val="C4D8431A"/>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1" w15:restartNumberingAfterBreak="0">
    <w:nsid w:val="6CD445C4"/>
    <w:multiLevelType w:val="multilevel"/>
    <w:tmpl w:val="6132127C"/>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2" w15:restartNumberingAfterBreak="0">
    <w:nsid w:val="6D4707E0"/>
    <w:multiLevelType w:val="multilevel"/>
    <w:tmpl w:val="BBD2FA72"/>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16cid:durableId="1731265344">
    <w:abstractNumId w:val="11"/>
  </w:num>
  <w:num w:numId="2" w16cid:durableId="6175272">
    <w:abstractNumId w:val="12"/>
  </w:num>
  <w:num w:numId="3" w16cid:durableId="1640648334">
    <w:abstractNumId w:val="1"/>
  </w:num>
  <w:num w:numId="4" w16cid:durableId="6566679">
    <w:abstractNumId w:val="7"/>
  </w:num>
  <w:num w:numId="5" w16cid:durableId="1813523142">
    <w:abstractNumId w:val="0"/>
  </w:num>
  <w:num w:numId="6" w16cid:durableId="29309640">
    <w:abstractNumId w:val="9"/>
  </w:num>
  <w:num w:numId="7" w16cid:durableId="1778940954">
    <w:abstractNumId w:val="3"/>
  </w:num>
  <w:num w:numId="8" w16cid:durableId="152306494">
    <w:abstractNumId w:val="2"/>
  </w:num>
  <w:num w:numId="9" w16cid:durableId="2093231173">
    <w:abstractNumId w:val="10"/>
  </w:num>
  <w:num w:numId="10" w16cid:durableId="1473669741">
    <w:abstractNumId w:val="8"/>
  </w:num>
  <w:num w:numId="11" w16cid:durableId="1952980378">
    <w:abstractNumId w:val="4"/>
  </w:num>
  <w:num w:numId="12" w16cid:durableId="1856652222">
    <w:abstractNumId w:val="6"/>
  </w:num>
  <w:num w:numId="13" w16cid:durableId="333849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4BB"/>
    <w:rsid w:val="0048512E"/>
    <w:rsid w:val="009524DF"/>
    <w:rsid w:val="00DB31E6"/>
    <w:rsid w:val="00E114B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4508D"/>
  <w15:docId w15:val="{B40415AB-C872-4699-8F37-93468451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Pr>
  </w:style>
  <w:style w:type="paragraph" w:styleId="a7">
    <w:name w:val="header"/>
    <w:basedOn w:val="a"/>
    <w:link w:val="a8"/>
    <w:uiPriority w:val="99"/>
    <w:unhideWhenUsed/>
    <w:rsid w:val="00DB31E6"/>
    <w:pPr>
      <w:tabs>
        <w:tab w:val="center" w:pos="4513"/>
        <w:tab w:val="right" w:pos="9026"/>
      </w:tabs>
      <w:spacing w:line="240" w:lineRule="auto"/>
    </w:pPr>
  </w:style>
  <w:style w:type="character" w:customStyle="1" w:styleId="a8">
    <w:name w:val="Верхний колонтитул Знак"/>
    <w:basedOn w:val="a0"/>
    <w:link w:val="a7"/>
    <w:uiPriority w:val="99"/>
    <w:rsid w:val="00DB31E6"/>
  </w:style>
  <w:style w:type="paragraph" w:styleId="a9">
    <w:name w:val="footer"/>
    <w:basedOn w:val="a"/>
    <w:link w:val="aa"/>
    <w:uiPriority w:val="99"/>
    <w:unhideWhenUsed/>
    <w:rsid w:val="00DB31E6"/>
    <w:pPr>
      <w:tabs>
        <w:tab w:val="center" w:pos="4513"/>
        <w:tab w:val="right" w:pos="9026"/>
      </w:tabs>
      <w:spacing w:line="240" w:lineRule="auto"/>
    </w:pPr>
  </w:style>
  <w:style w:type="character" w:customStyle="1" w:styleId="aa">
    <w:name w:val="Нижний колонтитул Знак"/>
    <w:basedOn w:val="a0"/>
    <w:link w:val="a9"/>
    <w:uiPriority w:val="99"/>
    <w:rsid w:val="00DB3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16085" TargetMode="External"/><Relationship Id="rId3" Type="http://schemas.openxmlformats.org/officeDocument/2006/relationships/settings" Target="settings.xml"/><Relationship Id="rId7" Type="http://schemas.openxmlformats.org/officeDocument/2006/relationships/hyperlink" Target="http://www.particip.gov.m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ocial.gov.md/comunicare/comunicate/consultari-initiate-pentru-transpunerea-directivelor-ue-in-domeniul-detasarii-transnationale-a-lucratorilor-in-cadrul-prestarii-de-servicii/" TargetMode="External"/><Relationship Id="rId4" Type="http://schemas.openxmlformats.org/officeDocument/2006/relationships/webSettings" Target="webSettings.xml"/><Relationship Id="rId9" Type="http://schemas.openxmlformats.org/officeDocument/2006/relationships/hyperlink" Target="https://social.gov.md/comunicare/comunicate/discutii-prealabile-asupra-initiativei-de-transpunere-a-mai-multor-acte-ue-din-domeniul-muncii-securitatii-si-sanatatii-in-munca-si-egalitatii-de-tratamen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134</Pages>
  <Words>45828</Words>
  <Characters>265805</Characters>
  <Application>Microsoft Office Word</Application>
  <DocSecurity>0</DocSecurity>
  <Lines>2215</Lines>
  <Paragraphs>622</Paragraphs>
  <ScaleCrop>false</ScaleCrop>
  <Company/>
  <LinksUpToDate>false</LinksUpToDate>
  <CharactersWithSpaces>311011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cp:lastPrinted>2026-04-28T07:25:00Z</cp:lastPrinted>
  <dcterms:created xsi:type="dcterms:W3CDTF">2026-04-28T07:26:00Z</dcterms:created>
  <dcterms:modified xsi:type="dcterms:W3CDTF">2026-04-28T07:26:00Z</dcterms:modified>
</cp:coreProperties>
</file>