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B639B" w:rsidRDefault="00000000">
      <w:pPr>
        <w:pBdr>
          <w:top w:val="none" w:sz="0" w:space="0" w:color="000000"/>
          <w:left w:val="none" w:sz="0" w:space="0" w:color="000000"/>
          <w:bottom w:val="none" w:sz="0" w:space="0" w:color="000000"/>
          <w:right w:val="none" w:sz="0" w:space="0" w:color="000000"/>
        </w:pBdr>
        <w:shd w:val="clear" w:color="auto" w:fill="FFFFFF"/>
        <w:tabs>
          <w:tab w:val="left" w:pos="884"/>
          <w:tab w:val="left" w:pos="1196"/>
        </w:tabs>
        <w:spacing w:line="240" w:lineRule="auto"/>
        <w:jc w:val="right"/>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UE</w:t>
      </w:r>
    </w:p>
    <w:p w14:paraId="00000002" w14:textId="77777777" w:rsidR="002B639B" w:rsidRDefault="002B639B">
      <w:pPr>
        <w:pBdr>
          <w:top w:val="none" w:sz="0" w:space="0" w:color="000000"/>
          <w:left w:val="none" w:sz="0" w:space="0" w:color="000000"/>
          <w:bottom w:val="none" w:sz="0" w:space="0" w:color="000000"/>
          <w:right w:val="none" w:sz="0" w:space="0" w:color="000000"/>
        </w:pBdr>
        <w:shd w:val="clear" w:color="auto" w:fill="FFFFFF"/>
        <w:tabs>
          <w:tab w:val="left" w:pos="884"/>
          <w:tab w:val="left" w:pos="1196"/>
        </w:tabs>
        <w:spacing w:line="240" w:lineRule="auto"/>
        <w:jc w:val="right"/>
        <w:rPr>
          <w:rFonts w:ascii="Times New Roman" w:eastAsia="Times New Roman" w:hAnsi="Times New Roman" w:cs="Times New Roman"/>
          <w:b/>
          <w:bCs/>
          <w:sz w:val="26"/>
          <w:szCs w:val="26"/>
        </w:rPr>
      </w:pPr>
    </w:p>
    <w:p w14:paraId="00000003" w14:textId="77777777" w:rsidR="002B639B" w:rsidRDefault="00000000">
      <w:pPr>
        <w:pBdr>
          <w:top w:val="none" w:sz="0" w:space="0" w:color="000000"/>
          <w:left w:val="none" w:sz="0" w:space="0" w:color="000000"/>
          <w:bottom w:val="none" w:sz="0" w:space="0" w:color="000000"/>
          <w:right w:val="none" w:sz="0" w:space="0" w:color="000000"/>
        </w:pBdr>
        <w:shd w:val="clear" w:color="auto" w:fill="FFFFFF"/>
        <w:tabs>
          <w:tab w:val="left" w:pos="884"/>
          <w:tab w:val="left" w:pos="1196"/>
        </w:tabs>
        <w:spacing w:line="240" w:lineRule="auto"/>
        <w:jc w:val="right"/>
        <w:rPr>
          <w:rFonts w:ascii="Times New Roman" w:eastAsia="Times New Roman" w:hAnsi="Times New Roman" w:cs="Times New Roman"/>
          <w:b/>
          <w:bCs/>
          <w:i/>
          <w:iCs/>
          <w:sz w:val="26"/>
          <w:szCs w:val="26"/>
        </w:rPr>
      </w:pPr>
      <w:r>
        <w:rPr>
          <w:rFonts w:ascii="Times New Roman" w:eastAsia="Times New Roman" w:hAnsi="Times New Roman" w:cs="Times New Roman"/>
          <w:b/>
          <w:bCs/>
          <w:i/>
          <w:iCs/>
          <w:sz w:val="26"/>
          <w:szCs w:val="26"/>
        </w:rPr>
        <w:t xml:space="preserve">Proiect </w:t>
      </w:r>
    </w:p>
    <w:p w14:paraId="00000004" w14:textId="77777777" w:rsidR="002B639B" w:rsidRDefault="00000000">
      <w:pPr>
        <w:pBdr>
          <w:top w:val="none" w:sz="0" w:space="0" w:color="000000"/>
          <w:left w:val="none" w:sz="0" w:space="0" w:color="000000"/>
          <w:bottom w:val="none" w:sz="0" w:space="0" w:color="000000"/>
          <w:right w:val="none" w:sz="0" w:space="0" w:color="000000"/>
        </w:pBdr>
        <w:shd w:val="clear" w:color="auto" w:fill="FFFFFF"/>
        <w:tabs>
          <w:tab w:val="left" w:pos="884"/>
          <w:tab w:val="left" w:pos="1196"/>
        </w:tabs>
        <w:spacing w:line="288"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LEGE </w:t>
      </w:r>
    </w:p>
    <w:p w14:paraId="00000005" w14:textId="77777777" w:rsidR="002B639B" w:rsidRDefault="002B639B">
      <w:pPr>
        <w:pBdr>
          <w:top w:val="none" w:sz="0" w:space="0" w:color="000000"/>
          <w:left w:val="none" w:sz="0" w:space="0" w:color="000000"/>
          <w:bottom w:val="none" w:sz="0" w:space="0" w:color="000000"/>
          <w:right w:val="none" w:sz="0" w:space="0" w:color="000000"/>
        </w:pBdr>
        <w:tabs>
          <w:tab w:val="left" w:pos="884"/>
          <w:tab w:val="left" w:pos="1196"/>
        </w:tabs>
        <w:spacing w:line="240" w:lineRule="auto"/>
        <w:jc w:val="center"/>
        <w:rPr>
          <w:rFonts w:ascii="Times New Roman" w:eastAsia="Times New Roman" w:hAnsi="Times New Roman" w:cs="Times New Roman"/>
          <w:b/>
          <w:bCs/>
          <w:sz w:val="26"/>
          <w:szCs w:val="26"/>
        </w:rPr>
      </w:pPr>
    </w:p>
    <w:p w14:paraId="00000006" w14:textId="77777777" w:rsidR="002B639B" w:rsidRDefault="00000000">
      <w:pPr>
        <w:pBdr>
          <w:top w:val="none" w:sz="0" w:space="0" w:color="000000"/>
          <w:left w:val="none" w:sz="0" w:space="0" w:color="000000"/>
          <w:bottom w:val="none" w:sz="0" w:space="0" w:color="000000"/>
          <w:right w:val="none" w:sz="0" w:space="0" w:color="000000"/>
        </w:pBdr>
        <w:tabs>
          <w:tab w:val="left" w:pos="884"/>
          <w:tab w:val="left" w:pos="1196"/>
        </w:tabs>
        <w:spacing w:line="240" w:lineRule="auto"/>
        <w:jc w:val="center"/>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pentru modificarea unor acte normative în domeniul raporturilor de muncă, securității și sănătății în muncă și egalității de tratament</w:t>
      </w:r>
    </w:p>
    <w:p w14:paraId="00000007" w14:textId="77777777" w:rsidR="002B639B" w:rsidRDefault="002B639B">
      <w:pPr>
        <w:spacing w:line="240" w:lineRule="auto"/>
        <w:jc w:val="both"/>
        <w:rPr>
          <w:rFonts w:ascii="Times New Roman" w:eastAsia="Times New Roman" w:hAnsi="Times New Roman" w:cs="Times New Roman"/>
          <w:sz w:val="26"/>
          <w:szCs w:val="26"/>
          <w:highlight w:val="white"/>
        </w:rPr>
      </w:pPr>
    </w:p>
    <w:p w14:paraId="00000008" w14:textId="77777777" w:rsidR="002B639B" w:rsidRDefault="00000000">
      <w:pPr>
        <w:spacing w:line="240" w:lineRule="auto"/>
        <w:ind w:firstLine="700"/>
        <w:jc w:val="both"/>
        <w:rPr>
          <w:rFonts w:ascii="Times New Roman" w:eastAsia="Times New Roman" w:hAnsi="Times New Roman" w:cs="Times New Roman"/>
          <w:sz w:val="26"/>
          <w:szCs w:val="26"/>
        </w:rPr>
      </w:pPr>
      <w:r>
        <w:rPr>
          <w:rFonts w:ascii="Times New Roman" w:eastAsia="Times New Roman" w:hAnsi="Times New Roman" w:cs="Times New Roman"/>
          <w:sz w:val="26"/>
          <w:szCs w:val="26"/>
          <w:highlight w:val="white"/>
        </w:rPr>
        <w:t>Parlamentul</w:t>
      </w:r>
      <w:r>
        <w:rPr>
          <w:rFonts w:ascii="Times New Roman" w:eastAsia="Times New Roman" w:hAnsi="Times New Roman" w:cs="Times New Roman"/>
          <w:sz w:val="26"/>
          <w:szCs w:val="26"/>
        </w:rPr>
        <w:t xml:space="preserve"> adoptă prezenta lege organică.</w:t>
      </w:r>
    </w:p>
    <w:p w14:paraId="00000009" w14:textId="77777777" w:rsidR="002B639B" w:rsidRDefault="002B639B">
      <w:pPr>
        <w:spacing w:line="240" w:lineRule="auto"/>
        <w:ind w:firstLine="700"/>
        <w:jc w:val="both"/>
        <w:rPr>
          <w:rFonts w:ascii="Times New Roman" w:eastAsia="Times New Roman" w:hAnsi="Times New Roman" w:cs="Times New Roman"/>
          <w:sz w:val="26"/>
          <w:szCs w:val="26"/>
        </w:rPr>
      </w:pPr>
    </w:p>
    <w:p w14:paraId="0000000A"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Prezenta lege: </w:t>
      </w:r>
    </w:p>
    <w:p w14:paraId="0000000B"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transpune parțial Directiva 89/391/CEE a Consiliului din 12 iunie 1989 privind punerea în aplicare de măsuri pentru promovarea îmbunătățirii securității și sănătății lucrătorilor la locul de muncă, CELEX: 31989L0391, publicată în Jurnalul Oficial al Uniunii Europene L 183 din 29 iunie 1989, astfel cum a fost modificată ultima oară prin Regulamentul (CE) nr. 1137/2008 al Parlamentului European și al Consiliului din 22 octombrie 2008; </w:t>
      </w:r>
    </w:p>
    <w:p w14:paraId="0000000C"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transpune parțial Directiva 91/383/CEE Consiliului din 25 iunie 1991 de completare a măsurilor destinate să promoveze îmbunătățirea securității și sănătății la locul de muncă în cazul lucrătorilor care au un raport de muncă pe durată determinată sau un raport de muncă temporară, CELEX: 31991L0383, publicată în Jurnalul Oficial al Uniunii Europene L 206 din 29 iulie 1991, astfel cum a fost modificată ultima oară prin Directiva 2007/30/CE a Parlamentului European și a Consiliului din 20 iunie 2007; </w:t>
      </w:r>
    </w:p>
    <w:p w14:paraId="0000000D"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transpune parțial Directiva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CELEX: 31992L0085, publicată în Jurnalul Oficial al Uniunii Europene L 348 din 28 noiembrie 1992, astfel cum a fost modificată ultima oară prin Regulamentul (UE) 2019/1243 al Parlamentului European și al Consiliului din 20 iunie 2019;</w:t>
      </w:r>
    </w:p>
    <w:p w14:paraId="0000000E"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transpune parțial Directiva 2000/43/CE a Consiliului din 29 iunie 2000 de punere în aplicare a principiului egalității de tratament între persoane, fără deosebire de rasă sau origine etnică, CELEX: 32000L0043, publicată în Jurnalul Oficial al Uniunii Europene L 180 din 19 iulie 2000, astfel cum a fost modificată ultima oară prin Directiva (UE) 2024/1499 a Consiliului din 7 mai 2024; </w:t>
      </w:r>
    </w:p>
    <w:p w14:paraId="0000000F"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transpune parțial Directiva 2000/78/CE a Consiliului din 27 noiembrie 2000 de creare a unui cadru general în favoarea egalității de tratament în ceea ce privește încadrarea în muncă și ocuparea forței de muncă, CELEX: 32000L0078, publicată în Jurnalul Oficial al Uniunii Europene L 303 din 02 decembrie 2000; </w:t>
      </w:r>
    </w:p>
    <w:p w14:paraId="00000010"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transpune parțial Directiva 2002/14/CE a Parlamentului European și a Consiliului din 11 martie 2002 de stabilire a unui cadru general de informare și consultare a lucrătorilor din Comunitatea Europeană, CELEX: 32002L0014, publicată în Jurnalul Oficial al Uniunii Europene L 80 din 23 martie 2002, astfel cum a fost modificată ultima oară prin Directiva (UE) 2015/1794 a Parlamentului European și a Consiliului din 6 octombrie 2015; - transpune parțial Directiva 2008/104/CE a </w:t>
      </w:r>
      <w:r>
        <w:rPr>
          <w:rFonts w:ascii="Times New Roman" w:eastAsia="Times New Roman" w:hAnsi="Times New Roman" w:cs="Times New Roman"/>
          <w:sz w:val="26"/>
          <w:szCs w:val="26"/>
          <w:highlight w:val="white"/>
        </w:rPr>
        <w:lastRenderedPageBreak/>
        <w:t xml:space="preserve">Parlamentului European și a Consiliului din 19 noiembrie 2008 privind munca prin agent de muncă temporară, CELEX: 32008L0104, publicată în Jurnalul Oficial al Uniunii Europene L 327 din 05 decembrie 2008; </w:t>
      </w:r>
    </w:p>
    <w:p w14:paraId="00000011"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p w14:paraId="00000012"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creează cadrul necesar aplicării Regulamentului (UE) 2019/1149 al Parlamentului European și al Consiliului din 20 iunie 2019 de instituire a unei Autorități Europene a Muncii, de modificare a Regulamentului (CE) nr. 883/2004, a Regulamentului (UE) nr. 492/2011 și a Regulamentului (UE) 2016/589 și de abrogare a Deciziei (UE) 2016/344, CELEX: 32019R1149, publicat în Jurnalul Oficial al Uniunii Europene L 186 din 11 iulie 2019”.</w:t>
      </w:r>
    </w:p>
    <w:p w14:paraId="00000013" w14:textId="77777777" w:rsidR="002B639B" w:rsidRDefault="002B639B">
      <w:pPr>
        <w:spacing w:line="240" w:lineRule="auto"/>
        <w:jc w:val="both"/>
        <w:rPr>
          <w:rFonts w:ascii="Times New Roman" w:eastAsia="Times New Roman" w:hAnsi="Times New Roman" w:cs="Times New Roman"/>
          <w:b/>
          <w:bCs/>
          <w:sz w:val="26"/>
          <w:szCs w:val="26"/>
          <w:highlight w:val="white"/>
        </w:rPr>
      </w:pPr>
    </w:p>
    <w:p w14:paraId="00000014" w14:textId="77777777" w:rsidR="002B639B" w:rsidRDefault="00000000">
      <w:pPr>
        <w:spacing w:line="240" w:lineRule="auto"/>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Art. I</w:t>
      </w:r>
      <w:r>
        <w:rPr>
          <w:rFonts w:ascii="Times New Roman" w:eastAsia="Times New Roman" w:hAnsi="Times New Roman" w:cs="Times New Roman"/>
          <w:sz w:val="26"/>
          <w:szCs w:val="26"/>
          <w:highlight w:val="white"/>
        </w:rPr>
        <w:t xml:space="preserve">. – </w:t>
      </w:r>
      <w:r>
        <w:rPr>
          <w:rFonts w:ascii="Times New Roman" w:eastAsia="Times New Roman" w:hAnsi="Times New Roman" w:cs="Times New Roman"/>
          <w:b/>
          <w:bCs/>
          <w:sz w:val="26"/>
          <w:szCs w:val="26"/>
          <w:highlight w:val="white"/>
        </w:rPr>
        <w:t xml:space="preserve">Legea nr. 140/2001 privind Inspectoratul de Stat al Muncii </w:t>
      </w:r>
      <w:r>
        <w:rPr>
          <w:rFonts w:ascii="Times New Roman" w:eastAsia="Times New Roman" w:hAnsi="Times New Roman" w:cs="Times New Roman"/>
          <w:sz w:val="26"/>
          <w:szCs w:val="26"/>
          <w:highlight w:val="white"/>
        </w:rPr>
        <w:t>(Monitorul Oficial al Republicii Moldova, 2001, nr. 68–71, art. 505), cu modificările ulterioare, se modifică după cum urmează:</w:t>
      </w:r>
    </w:p>
    <w:p w14:paraId="00000015" w14:textId="77777777" w:rsidR="002B639B" w:rsidRDefault="002B639B">
      <w:pPr>
        <w:spacing w:line="240" w:lineRule="auto"/>
        <w:ind w:firstLine="705"/>
        <w:jc w:val="both"/>
        <w:rPr>
          <w:rFonts w:ascii="Times New Roman" w:eastAsia="Times New Roman" w:hAnsi="Times New Roman" w:cs="Times New Roman"/>
          <w:sz w:val="26"/>
          <w:szCs w:val="26"/>
          <w:highlight w:val="white"/>
        </w:rPr>
      </w:pPr>
    </w:p>
    <w:p w14:paraId="00000016"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1.</w:t>
      </w:r>
      <w:r>
        <w:rPr>
          <w:rFonts w:ascii="Times New Roman" w:eastAsia="Times New Roman" w:hAnsi="Times New Roman" w:cs="Times New Roman"/>
          <w:sz w:val="26"/>
          <w:szCs w:val="26"/>
          <w:highlight w:val="white"/>
        </w:rPr>
        <w:t xml:space="preserve"> După clauza de adoptare se introduce clauza de armonizare cu următorul cuprins:</w:t>
      </w:r>
    </w:p>
    <w:p w14:paraId="00000017" w14:textId="77777777" w:rsidR="002B639B" w:rsidRDefault="00000000">
      <w:pPr>
        <w:shd w:val="clear" w:color="auto" w:fill="FFFFFF"/>
        <w:spacing w:line="240" w:lineRule="auto"/>
        <w:ind w:firstLine="705"/>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highlight w:val="white"/>
        </w:rPr>
        <w:t>„Prezenta lege creează cadrul necesar aplicării Regulamentului (UE) 2019/1149 al Parlamentului European și al Consiliului din 20 iunie 2019 de instituire a unei Autorități Europene a Muncii, de modificare a Regulamentului (CE) nr. 883/2004, a Regulamentului (UE) nr. 492/2011 și a Regulamentului (UE) 2016/589 și de abrogare a Deciziei (UE) 2016/344, CELEX: 32019R1149, publicat în Jurnalul Oficial al Uniunii Europene L 186 din 11 iulie 2019.”</w:t>
      </w:r>
    </w:p>
    <w:p w14:paraId="00000018" w14:textId="77777777" w:rsidR="002B639B" w:rsidRDefault="002B639B">
      <w:pPr>
        <w:shd w:val="clear" w:color="auto" w:fill="FFFFFF"/>
        <w:spacing w:line="240" w:lineRule="auto"/>
        <w:ind w:firstLine="705"/>
        <w:jc w:val="both"/>
        <w:rPr>
          <w:rFonts w:ascii="Times New Roman" w:eastAsia="Times New Roman" w:hAnsi="Times New Roman" w:cs="Times New Roman"/>
          <w:b/>
          <w:bCs/>
          <w:sz w:val="26"/>
          <w:szCs w:val="26"/>
          <w:highlight w:val="white"/>
        </w:rPr>
      </w:pPr>
    </w:p>
    <w:p w14:paraId="00000019"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2. </w:t>
      </w:r>
      <w:r>
        <w:rPr>
          <w:rFonts w:ascii="Times New Roman" w:eastAsia="Times New Roman" w:hAnsi="Times New Roman" w:cs="Times New Roman"/>
          <w:sz w:val="26"/>
          <w:szCs w:val="26"/>
          <w:highlight w:val="white"/>
        </w:rPr>
        <w:t>Articolul 4 se completează cu alin. (3) cu următorul cuprins:</w:t>
      </w:r>
    </w:p>
    <w:p w14:paraId="0000001A"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În vederea aplicării Legii privind detașarea salariaților în cadrul prestării de servicii, Inspectoratul de Stat al Muncii exercită, următoarele atribuții:</w:t>
      </w:r>
    </w:p>
    <w:p w14:paraId="0000001B"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 primește și înregistrează notificările prevăzute la art. 40 din Legea privind detașarea salariaților în cadrul prestării de servicii transnaționale, asigură evidența acestora, inclusiv a actualizărilor, și verifică, în condițiile legii menționate, îndeplinirea cerințelor administrative și a măsurilor de control aferente;</w:t>
      </w:r>
    </w:p>
    <w:p w14:paraId="0000001C"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solicită angajatorilor, beneficiarilor și altor persoane vizate informații și documente relevante pentru constatarea respectării prevederilor privind detașarea, inclusiv documente de salarizare, evidența timpului de muncă și documente ce confirmă cheltuielile specifice detașării, în condițiile legii;</w:t>
      </w:r>
    </w:p>
    <w:p w14:paraId="0000001D"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c) efectuează controlul de stat asupra respectării condițiilor de muncă aplicabile salariaților detașați pe teritoriul Republicii Moldova și emite prescripții obligatorii de remediere, în condițiile legii;</w:t>
      </w:r>
    </w:p>
    <w:p w14:paraId="0000001E"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 constată contravențiile și aplică sancțiunile contravenționale prevăzute la art. 55</w:t>
      </w:r>
      <w:r>
        <w:rPr>
          <w:rFonts w:ascii="Times New Roman" w:eastAsia="Times New Roman" w:hAnsi="Times New Roman" w:cs="Times New Roman"/>
          <w:sz w:val="26"/>
          <w:szCs w:val="26"/>
          <w:highlight w:val="white"/>
          <w:vertAlign w:val="superscript"/>
        </w:rPr>
        <w:t>6</w:t>
      </w:r>
      <w:r>
        <w:rPr>
          <w:rFonts w:ascii="Times New Roman" w:eastAsia="Times New Roman" w:hAnsi="Times New Roman" w:cs="Times New Roman"/>
          <w:highlight w:val="white"/>
          <w:vertAlign w:val="superscript"/>
        </w:rPr>
        <w:t xml:space="preserve"> </w:t>
      </w:r>
      <w:r>
        <w:rPr>
          <w:rFonts w:ascii="Times New Roman" w:eastAsia="Times New Roman" w:hAnsi="Times New Roman" w:cs="Times New Roman"/>
          <w:sz w:val="26"/>
          <w:szCs w:val="26"/>
          <w:highlight w:val="white"/>
        </w:rPr>
        <w:t>din Codul contravențional pentru încălcarea obligațiilor stabilite de Legea privind detașarea salariaților în cadrul prestării de servicii transnaționale;</w:t>
      </w:r>
    </w:p>
    <w:p w14:paraId="0000001F"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e) cooperează cu autoritățile competente ale altor state în scopul prevenirii, identificării și combaterii încălcărilor în materia detașării, inclusiv prin schimb de informații, solicitări motivate și acordarea asistenței administrative, în condițiile legii și ale acordurilor internaționale aplicabile;</w:t>
      </w:r>
    </w:p>
    <w:p w14:paraId="00000020"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f) transmite și primește, după caz, solicitări privind comunicarea actelor, recuperarea sancțiunilor și executarea acestora, potrivit cadrului legal aplicabil;</w:t>
      </w:r>
    </w:p>
    <w:p w14:paraId="00000021"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g) asigură informarea publică privind condițiile de muncă aplicabile salariaților detașați și cerințele administrative stabilite de lege, inclusiv prin publicarea informațiilor relevante pe pagina oficială.”</w:t>
      </w:r>
    </w:p>
    <w:p w14:paraId="00000022" w14:textId="77777777" w:rsidR="002B639B" w:rsidRDefault="002B639B">
      <w:pPr>
        <w:spacing w:line="240" w:lineRule="auto"/>
        <w:ind w:firstLine="566"/>
        <w:jc w:val="both"/>
        <w:rPr>
          <w:rFonts w:ascii="Times New Roman" w:eastAsia="Times New Roman" w:hAnsi="Times New Roman" w:cs="Times New Roman"/>
          <w:sz w:val="26"/>
          <w:szCs w:val="26"/>
          <w:highlight w:val="white"/>
        </w:rPr>
      </w:pPr>
    </w:p>
    <w:p w14:paraId="00000023" w14:textId="77777777" w:rsidR="002B639B" w:rsidRDefault="00000000">
      <w:pPr>
        <w:shd w:val="clear" w:color="auto" w:fill="FFFFFF"/>
        <w:spacing w:line="240" w:lineRule="auto"/>
        <w:ind w:left="72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3</w:t>
      </w:r>
      <w:r>
        <w:rPr>
          <w:rFonts w:ascii="Times New Roman" w:eastAsia="Times New Roman" w:hAnsi="Times New Roman" w:cs="Times New Roman"/>
          <w:sz w:val="26"/>
          <w:szCs w:val="26"/>
          <w:highlight w:val="white"/>
        </w:rPr>
        <w:t>. Articolul 1</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xml:space="preserve"> se completează cu </w:t>
      </w:r>
      <w:proofErr w:type="spellStart"/>
      <w:r>
        <w:rPr>
          <w:rFonts w:ascii="Times New Roman" w:eastAsia="Times New Roman" w:hAnsi="Times New Roman" w:cs="Times New Roman"/>
          <w:sz w:val="26"/>
          <w:szCs w:val="26"/>
          <w:highlight w:val="white"/>
        </w:rPr>
        <w:t>cu</w:t>
      </w:r>
      <w:proofErr w:type="spellEnd"/>
      <w:r>
        <w:rPr>
          <w:rFonts w:ascii="Times New Roman" w:eastAsia="Times New Roman" w:hAnsi="Times New Roman" w:cs="Times New Roman"/>
          <w:sz w:val="26"/>
          <w:szCs w:val="26"/>
          <w:highlight w:val="white"/>
        </w:rPr>
        <w:t xml:space="preserve"> următorul text:</w:t>
      </w:r>
    </w:p>
    <w:p w14:paraId="00000024" w14:textId="77777777" w:rsidR="002B639B" w:rsidRDefault="002B639B">
      <w:pPr>
        <w:shd w:val="clear" w:color="auto" w:fill="FFFFFF"/>
        <w:spacing w:line="240" w:lineRule="auto"/>
        <w:ind w:left="720"/>
        <w:jc w:val="both"/>
        <w:rPr>
          <w:rFonts w:ascii="Times New Roman" w:eastAsia="Times New Roman" w:hAnsi="Times New Roman" w:cs="Times New Roman"/>
          <w:sz w:val="26"/>
          <w:szCs w:val="26"/>
          <w:highlight w:val="white"/>
        </w:rPr>
      </w:pPr>
    </w:p>
    <w:p w14:paraId="00000025" w14:textId="77777777" w:rsidR="002B639B" w:rsidRDefault="00000000">
      <w:pPr>
        <w:shd w:val="clear" w:color="auto" w:fill="FFFFFF"/>
        <w:spacing w:line="240" w:lineRule="auto"/>
        <w:ind w:left="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În sensul prezentei legi, următoarele </w:t>
      </w:r>
      <w:proofErr w:type="spellStart"/>
      <w:r>
        <w:rPr>
          <w:rFonts w:ascii="Times New Roman" w:eastAsia="Times New Roman" w:hAnsi="Times New Roman" w:cs="Times New Roman"/>
          <w:sz w:val="26"/>
          <w:szCs w:val="26"/>
          <w:highlight w:val="white"/>
        </w:rPr>
        <w:t>noţiuni</w:t>
      </w:r>
      <w:proofErr w:type="spellEnd"/>
      <w:r>
        <w:rPr>
          <w:rFonts w:ascii="Times New Roman" w:eastAsia="Times New Roman" w:hAnsi="Times New Roman" w:cs="Times New Roman"/>
          <w:sz w:val="26"/>
          <w:szCs w:val="26"/>
          <w:highlight w:val="white"/>
        </w:rPr>
        <w:t xml:space="preserve"> principale semnifică:</w:t>
      </w:r>
    </w:p>
    <w:p w14:paraId="00000026" w14:textId="77777777" w:rsidR="002B639B" w:rsidRDefault="002B639B">
      <w:pPr>
        <w:shd w:val="clear" w:color="auto" w:fill="FFFFFF"/>
        <w:spacing w:line="240" w:lineRule="auto"/>
        <w:ind w:left="720"/>
        <w:jc w:val="both"/>
        <w:rPr>
          <w:rFonts w:ascii="Times New Roman" w:eastAsia="Times New Roman" w:hAnsi="Times New Roman" w:cs="Times New Roman"/>
          <w:sz w:val="26"/>
          <w:szCs w:val="26"/>
          <w:highlight w:val="white"/>
        </w:rPr>
      </w:pPr>
    </w:p>
    <w:p w14:paraId="00000027" w14:textId="77777777" w:rsidR="002B639B" w:rsidRDefault="00000000">
      <w:pPr>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 „inspecții concertate” – activități de control desfășurate simultan în Republica Moldova și în unul sau mai multe state membre ale Uniunii Europene, privind cazuri conexe, fiecare autoritate competentă operând în propria jurisdicție, cu asistența, după caz, a personalului Autorității Europene a Muncii, în condițiile acordurilor de cooperare interinstituțională încheiate de Inspectoratul de Stat al Muncii;</w:t>
      </w:r>
    </w:p>
    <w:p w14:paraId="00000028" w14:textId="77777777" w:rsidR="002B639B" w:rsidRDefault="002B639B">
      <w:pPr>
        <w:shd w:val="clear" w:color="auto" w:fill="FFFFFF"/>
        <w:spacing w:line="240" w:lineRule="auto"/>
        <w:ind w:firstLine="720"/>
        <w:jc w:val="both"/>
        <w:rPr>
          <w:rFonts w:ascii="Times New Roman" w:eastAsia="Times New Roman" w:hAnsi="Times New Roman" w:cs="Times New Roman"/>
          <w:sz w:val="26"/>
          <w:szCs w:val="26"/>
        </w:rPr>
      </w:pPr>
    </w:p>
    <w:p w14:paraId="00000029" w14:textId="77777777" w:rsidR="002B639B" w:rsidRDefault="00000000">
      <w:pPr>
        <w:shd w:val="clear" w:color="auto" w:fill="FFFFFF"/>
        <w:spacing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b) „inspecții comune” – activități de control desfășurate pe teritoriul Republicii Moldova ori, după caz, pe teritoriul unui stat membru al Uniunii Europene, cu participarea autorităților competente ale unuia sau mai multor state membre ale Uniunii Europene, fiecare autoritate operând în limitele propriei jurisdicții, cu asistența, după caz, a personalului Autorității Europene a Muncii, în condițiile acordurilor de cooperare interinstituțională încheiate de Inspectoratul de Stat al Muncii.</w:t>
      </w:r>
    </w:p>
    <w:p w14:paraId="0000002A" w14:textId="77777777" w:rsidR="002B639B" w:rsidRDefault="002B639B">
      <w:pPr>
        <w:spacing w:line="240" w:lineRule="auto"/>
        <w:ind w:firstLine="566"/>
        <w:jc w:val="both"/>
        <w:rPr>
          <w:rFonts w:ascii="Times New Roman" w:eastAsia="Times New Roman" w:hAnsi="Times New Roman" w:cs="Times New Roman"/>
          <w:sz w:val="26"/>
          <w:szCs w:val="26"/>
          <w:shd w:val="clear" w:color="auto" w:fill="D9EAD3"/>
        </w:rPr>
      </w:pPr>
    </w:p>
    <w:p w14:paraId="0000002B"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4</w:t>
      </w:r>
      <w:r>
        <w:rPr>
          <w:rFonts w:ascii="Times New Roman" w:eastAsia="Times New Roman" w:hAnsi="Times New Roman" w:cs="Times New Roman"/>
          <w:sz w:val="26"/>
          <w:szCs w:val="26"/>
          <w:highlight w:val="white"/>
        </w:rPr>
        <w:t>. Articolul 13 se completează cu alineatul (2</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cu următorul cuprins:</w:t>
      </w:r>
    </w:p>
    <w:p w14:paraId="0000002C" w14:textId="77777777" w:rsidR="002B639B" w:rsidRDefault="00000000">
      <w:pPr>
        <w:shd w:val="clear" w:color="auto" w:fill="FFFFFF"/>
        <w:spacing w:line="240" w:lineRule="auto"/>
        <w:ind w:firstLine="705"/>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highlight w:val="white"/>
        </w:rPr>
        <w:t>„(2</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xml:space="preserve">) Rapoartele vor conține și capitole prevăzute la articolul </w:t>
      </w:r>
      <w:r>
        <w:rPr>
          <w:rFonts w:ascii="Times New Roman" w:eastAsia="Times New Roman" w:hAnsi="Times New Roman" w:cs="Times New Roman"/>
          <w:sz w:val="26"/>
          <w:szCs w:val="26"/>
        </w:rPr>
        <w:t>23</w:t>
      </w:r>
      <w:r>
        <w:rPr>
          <w:rFonts w:ascii="Times New Roman" w:eastAsia="Times New Roman" w:hAnsi="Times New Roman" w:cs="Times New Roman"/>
          <w:sz w:val="26"/>
          <w:szCs w:val="26"/>
          <w:vertAlign w:val="superscript"/>
        </w:rPr>
        <w:t>2</w:t>
      </w:r>
      <w:r>
        <w:rPr>
          <w:rFonts w:ascii="Times New Roman" w:eastAsia="Times New Roman" w:hAnsi="Times New Roman" w:cs="Times New Roman"/>
          <w:sz w:val="26"/>
          <w:szCs w:val="26"/>
          <w:highlight w:val="white"/>
        </w:rPr>
        <w:t xml:space="preserve"> din Legea nr.186/2008 securității și sănătății în muncă.”.</w:t>
      </w:r>
    </w:p>
    <w:p w14:paraId="0000002D"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5.</w:t>
      </w:r>
      <w:r>
        <w:rPr>
          <w:rFonts w:ascii="Times New Roman" w:eastAsia="Times New Roman" w:hAnsi="Times New Roman" w:cs="Times New Roman"/>
          <w:sz w:val="26"/>
          <w:szCs w:val="26"/>
          <w:highlight w:val="white"/>
        </w:rPr>
        <w:t xml:space="preserve"> Se introduce un nou Capitol V¹ cu următorul cuprins:</w:t>
      </w:r>
    </w:p>
    <w:p w14:paraId="0000002E" w14:textId="77777777" w:rsidR="002B639B" w:rsidRDefault="00000000">
      <w:pPr>
        <w:shd w:val="clear" w:color="auto" w:fill="FFFFFF"/>
        <w:spacing w:line="240" w:lineRule="auto"/>
        <w:ind w:firstLine="705"/>
        <w:jc w:val="center"/>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„Capitolul V¹ – Cooperarea Inspectoratului de Stat al Muncii cu Autoritatea Europeană a Muncii</w:t>
      </w:r>
    </w:p>
    <w:p w14:paraId="0000002F" w14:textId="77777777" w:rsidR="002B639B" w:rsidRDefault="002B639B">
      <w:pPr>
        <w:shd w:val="clear" w:color="auto" w:fill="FFFFFF"/>
        <w:spacing w:line="240" w:lineRule="auto"/>
        <w:ind w:firstLine="705"/>
        <w:jc w:val="both"/>
        <w:rPr>
          <w:rFonts w:ascii="Times New Roman" w:eastAsia="Times New Roman" w:hAnsi="Times New Roman" w:cs="Times New Roman"/>
          <w:b/>
          <w:bCs/>
          <w:sz w:val="26"/>
          <w:szCs w:val="26"/>
          <w:highlight w:val="white"/>
        </w:rPr>
      </w:pPr>
    </w:p>
    <w:p w14:paraId="00000030"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Articolul 13</w:t>
      </w:r>
      <w:r>
        <w:rPr>
          <w:rFonts w:ascii="Times New Roman" w:eastAsia="Times New Roman" w:hAnsi="Times New Roman" w:cs="Times New Roman"/>
          <w:b/>
          <w:bCs/>
          <w:sz w:val="26"/>
          <w:szCs w:val="26"/>
          <w:highlight w:val="white"/>
          <w:vertAlign w:val="superscript"/>
        </w:rPr>
        <w:t>1</w:t>
      </w:r>
      <w:r>
        <w:rPr>
          <w:rFonts w:ascii="Times New Roman" w:eastAsia="Times New Roman" w:hAnsi="Times New Roman" w:cs="Times New Roman"/>
          <w:b/>
          <w:bCs/>
          <w:sz w:val="26"/>
          <w:szCs w:val="26"/>
          <w:highlight w:val="white"/>
        </w:rPr>
        <w:t>.</w:t>
      </w:r>
      <w:r>
        <w:rPr>
          <w:rFonts w:ascii="Times New Roman" w:eastAsia="Times New Roman" w:hAnsi="Times New Roman" w:cs="Times New Roman"/>
          <w:sz w:val="26"/>
          <w:szCs w:val="26"/>
          <w:highlight w:val="white"/>
        </w:rPr>
        <w:t xml:space="preserve"> Principiile cooperării</w:t>
      </w:r>
    </w:p>
    <w:p w14:paraId="00000031"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Cooperarea Inspectoratului de Stat al Muncii cu Autoritatea Europeană a Muncii se realizează în baza principiilor parteneriatului, transparenței, reciprocității și respectării drepturilor fundamentale ale lucrătorilor.</w:t>
      </w:r>
    </w:p>
    <w:p w14:paraId="00000032"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Inspectoratul de Stat al Muncii acționează ca autoritate națională de contact în domeniul inspecției muncii în relația cu Autoritatea Europeană a Muncii.</w:t>
      </w:r>
    </w:p>
    <w:p w14:paraId="00000033" w14:textId="77777777" w:rsidR="002B639B" w:rsidRDefault="002B639B">
      <w:pPr>
        <w:shd w:val="clear" w:color="auto" w:fill="FFFFFF"/>
        <w:spacing w:line="240" w:lineRule="auto"/>
        <w:ind w:firstLine="705"/>
        <w:jc w:val="both"/>
        <w:rPr>
          <w:rFonts w:ascii="Times New Roman" w:eastAsia="Times New Roman" w:hAnsi="Times New Roman" w:cs="Times New Roman"/>
          <w:sz w:val="26"/>
          <w:szCs w:val="26"/>
          <w:highlight w:val="white"/>
        </w:rPr>
      </w:pPr>
    </w:p>
    <w:p w14:paraId="00000034"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w:t>
      </w:r>
      <w:r>
        <w:rPr>
          <w:rFonts w:ascii="Times New Roman" w:eastAsia="Times New Roman" w:hAnsi="Times New Roman" w:cs="Times New Roman"/>
          <w:b/>
          <w:bCs/>
          <w:sz w:val="26"/>
          <w:szCs w:val="26"/>
          <w:highlight w:val="white"/>
        </w:rPr>
        <w:t>Articolul 13</w:t>
      </w:r>
      <w:r>
        <w:rPr>
          <w:rFonts w:ascii="Times New Roman" w:eastAsia="Times New Roman" w:hAnsi="Times New Roman" w:cs="Times New Roman"/>
          <w:b/>
          <w:bCs/>
          <w:sz w:val="26"/>
          <w:szCs w:val="26"/>
          <w:highlight w:val="white"/>
          <w:vertAlign w:val="superscript"/>
        </w:rPr>
        <w:t>2</w:t>
      </w:r>
      <w:r>
        <w:rPr>
          <w:rFonts w:ascii="Times New Roman" w:eastAsia="Times New Roman" w:hAnsi="Times New Roman" w:cs="Times New Roman"/>
          <w:b/>
          <w:bCs/>
          <w:sz w:val="26"/>
          <w:szCs w:val="26"/>
          <w:highlight w:val="white"/>
        </w:rPr>
        <w:t>.</w:t>
      </w:r>
      <w:r>
        <w:rPr>
          <w:rFonts w:ascii="Times New Roman" w:eastAsia="Times New Roman" w:hAnsi="Times New Roman" w:cs="Times New Roman"/>
          <w:sz w:val="26"/>
          <w:szCs w:val="26"/>
          <w:highlight w:val="white"/>
        </w:rPr>
        <w:t xml:space="preserve"> Participarea la inspecții comune și concertate</w:t>
      </w:r>
    </w:p>
    <w:p w14:paraId="00000035"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Inspectoratul de Stat al Muncii poate participa la inspecții comune și concertate, organizate cu sprijinul Autorității Europene a Muncii, în domeniile de competență ale acesteia.</w:t>
      </w:r>
    </w:p>
    <w:p w14:paraId="00000036"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(2) Inspecțiile comune și concertate se desfășoară cu respectarea legislației Republicii Moldova, precum și a procedurilor stabilite prin acordurile de cooperare interinstituțională care nu sunt guvernate de normele dreptului internațional public, încheiate cu Autoritatea Europeană a Muncii.</w:t>
      </w:r>
    </w:p>
    <w:p w14:paraId="00000037"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(3) Rezultatele inspecțiilor comune au valoare probatorie în procedurile administrative și judiciare naționale, în condițiile legii. </w:t>
      </w:r>
    </w:p>
    <w:p w14:paraId="00000038" w14:textId="77777777" w:rsidR="002B639B" w:rsidRDefault="002B639B">
      <w:pPr>
        <w:shd w:val="clear" w:color="auto" w:fill="FFFFFF"/>
        <w:spacing w:line="240" w:lineRule="auto"/>
        <w:ind w:firstLine="705"/>
        <w:jc w:val="both"/>
        <w:rPr>
          <w:rFonts w:ascii="Times New Roman" w:eastAsia="Times New Roman" w:hAnsi="Times New Roman" w:cs="Times New Roman"/>
          <w:b/>
          <w:bCs/>
          <w:sz w:val="26"/>
          <w:szCs w:val="26"/>
          <w:highlight w:val="white"/>
        </w:rPr>
      </w:pPr>
    </w:p>
    <w:p w14:paraId="00000039"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Articolul 13</w:t>
      </w:r>
      <w:r>
        <w:rPr>
          <w:rFonts w:ascii="Times New Roman" w:eastAsia="Times New Roman" w:hAnsi="Times New Roman" w:cs="Times New Roman"/>
          <w:b/>
          <w:bCs/>
          <w:sz w:val="26"/>
          <w:szCs w:val="26"/>
          <w:highlight w:val="white"/>
          <w:vertAlign w:val="superscript"/>
        </w:rPr>
        <w:t>3</w:t>
      </w:r>
      <w:r>
        <w:rPr>
          <w:rFonts w:ascii="Times New Roman" w:eastAsia="Times New Roman" w:hAnsi="Times New Roman" w:cs="Times New Roman"/>
          <w:b/>
          <w:bCs/>
          <w:sz w:val="26"/>
          <w:szCs w:val="26"/>
          <w:highlight w:val="white"/>
        </w:rPr>
        <w:t>.</w:t>
      </w:r>
      <w:r>
        <w:rPr>
          <w:rFonts w:ascii="Times New Roman" w:eastAsia="Times New Roman" w:hAnsi="Times New Roman" w:cs="Times New Roman"/>
          <w:sz w:val="26"/>
          <w:szCs w:val="26"/>
          <w:highlight w:val="white"/>
        </w:rPr>
        <w:t xml:space="preserve"> Statutul inspectorilor străini</w:t>
      </w:r>
    </w:p>
    <w:p w14:paraId="0000003A"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Inspectorii desemnați de autoritățile competente din statele membre ale Uniunii Europene și invitați de Autoritatea Europeană a Muncii pot participa, în calitate de observatori sau experți, la inspecții desfășurate pe teritoriul Republicii Moldova.</w:t>
      </w:r>
    </w:p>
    <w:p w14:paraId="0000003B"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Inspectorii desemnați de Autoritatea Europeană a Muncii ori de autoritățile competente ale statelor membre ale Uniunii Europene care participă la inspecțiile comune și concertate pe teritoriul Republicii Moldova au statut de observatori sau experți. Aceștia nu exercită atribuții de prerogativă publică, nu dispun măsuri obligatorii și nu aplică sancțiuni. Accesul acestora la locurile de muncă, documente și informații se asigură numai prin intermediul și sub coordonarea inspectorilor Inspectoratului de Stat al Muncii, în condițiile legii și ale acordurilor de cooperare interinstituțională încheiate de Inspectoratul de Stat al Muncii.</w:t>
      </w:r>
    </w:p>
    <w:p w14:paraId="0000003C"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Inspectoratul de Stat al Muncii asigură condițiile organizatorice necesare pentru participarea inspectorilor străini la activitățile desfășurate în condițiile prezentului capitol, în limitele competențelor sale și în condițiile legii.</w:t>
      </w:r>
    </w:p>
    <w:p w14:paraId="0000003D" w14:textId="77777777" w:rsidR="002B639B" w:rsidRDefault="002B639B">
      <w:pPr>
        <w:shd w:val="clear" w:color="auto" w:fill="FFFFFF"/>
        <w:spacing w:line="240" w:lineRule="auto"/>
        <w:ind w:firstLine="705"/>
        <w:jc w:val="both"/>
        <w:rPr>
          <w:rFonts w:ascii="Times New Roman" w:eastAsia="Times New Roman" w:hAnsi="Times New Roman" w:cs="Times New Roman"/>
          <w:b/>
          <w:bCs/>
          <w:sz w:val="26"/>
          <w:szCs w:val="26"/>
          <w:highlight w:val="white"/>
        </w:rPr>
      </w:pPr>
    </w:p>
    <w:p w14:paraId="0000003E"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Articolul 13</w:t>
      </w:r>
      <w:r>
        <w:rPr>
          <w:rFonts w:ascii="Times New Roman" w:eastAsia="Times New Roman" w:hAnsi="Times New Roman" w:cs="Times New Roman"/>
          <w:b/>
          <w:bCs/>
          <w:sz w:val="26"/>
          <w:szCs w:val="26"/>
          <w:highlight w:val="white"/>
          <w:vertAlign w:val="superscript"/>
        </w:rPr>
        <w:t>4</w:t>
      </w:r>
      <w:r>
        <w:rPr>
          <w:rFonts w:ascii="Times New Roman" w:eastAsia="Times New Roman" w:hAnsi="Times New Roman" w:cs="Times New Roman"/>
          <w:b/>
          <w:bCs/>
          <w:sz w:val="26"/>
          <w:szCs w:val="26"/>
          <w:highlight w:val="white"/>
        </w:rPr>
        <w:t>.</w:t>
      </w:r>
      <w:r>
        <w:rPr>
          <w:rFonts w:ascii="Times New Roman" w:eastAsia="Times New Roman" w:hAnsi="Times New Roman" w:cs="Times New Roman"/>
          <w:sz w:val="26"/>
          <w:szCs w:val="26"/>
          <w:highlight w:val="white"/>
        </w:rPr>
        <w:t xml:space="preserve"> Schimbul de informații și confidențialitatea</w:t>
      </w:r>
    </w:p>
    <w:p w14:paraId="0000003F"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Inspectoratul de Stat al Muncii furnizează informațiile solicitate de Autoritatea Europeană a Muncii și autoritățile competente ale statelor membre, cu respectarea legislației privind protecția datelor cu caracter personal și secretul comercial.</w:t>
      </w:r>
    </w:p>
    <w:p w14:paraId="00000040"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Datele și documentele obținute în cadrul cooperării nu pot fi utilizate în alte scopuri decât cele legate de aplicarea legislației muncii și securității sociale.</w:t>
      </w:r>
    </w:p>
    <w:p w14:paraId="00000041" w14:textId="77777777" w:rsidR="002B639B" w:rsidRDefault="002B639B">
      <w:pPr>
        <w:shd w:val="clear" w:color="auto" w:fill="FFFFFF"/>
        <w:spacing w:line="240" w:lineRule="auto"/>
        <w:ind w:firstLine="705"/>
        <w:jc w:val="both"/>
        <w:rPr>
          <w:rFonts w:ascii="Times New Roman" w:eastAsia="Times New Roman" w:hAnsi="Times New Roman" w:cs="Times New Roman"/>
          <w:b/>
          <w:bCs/>
          <w:sz w:val="26"/>
          <w:szCs w:val="26"/>
          <w:highlight w:val="white"/>
        </w:rPr>
      </w:pPr>
    </w:p>
    <w:p w14:paraId="00000042"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Articolul 13</w:t>
      </w:r>
      <w:r>
        <w:rPr>
          <w:rFonts w:ascii="Times New Roman" w:eastAsia="Times New Roman" w:hAnsi="Times New Roman" w:cs="Times New Roman"/>
          <w:b/>
          <w:bCs/>
          <w:sz w:val="26"/>
          <w:szCs w:val="26"/>
          <w:highlight w:val="white"/>
          <w:vertAlign w:val="superscript"/>
        </w:rPr>
        <w:t>5</w:t>
      </w:r>
      <w:r>
        <w:rPr>
          <w:rFonts w:ascii="Times New Roman" w:eastAsia="Times New Roman" w:hAnsi="Times New Roman" w:cs="Times New Roman"/>
          <w:b/>
          <w:bCs/>
          <w:sz w:val="26"/>
          <w:szCs w:val="26"/>
          <w:highlight w:val="white"/>
        </w:rPr>
        <w:t>.</w:t>
      </w:r>
      <w:r>
        <w:rPr>
          <w:rFonts w:ascii="Times New Roman" w:eastAsia="Times New Roman" w:hAnsi="Times New Roman" w:cs="Times New Roman"/>
          <w:sz w:val="26"/>
          <w:szCs w:val="26"/>
          <w:highlight w:val="white"/>
        </w:rPr>
        <w:t xml:space="preserve"> Formarea și instruirea inspectorilor</w:t>
      </w:r>
    </w:p>
    <w:p w14:paraId="00000043"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Inspectoratul de Stat al Muncii, în cooperare cu Autoritatea Europeană a Muncii, organizează programe de formare și instruire pentru inspectorii săi, în vederea participării la inspecții comune și aplicării standardelor europene de control.</w:t>
      </w:r>
    </w:p>
    <w:p w14:paraId="00000044" w14:textId="77777777" w:rsidR="002B639B" w:rsidRDefault="002B639B">
      <w:pPr>
        <w:shd w:val="clear" w:color="auto" w:fill="FFFFFF"/>
        <w:spacing w:line="240" w:lineRule="auto"/>
        <w:ind w:firstLine="705"/>
        <w:jc w:val="both"/>
        <w:rPr>
          <w:rFonts w:ascii="Times New Roman" w:eastAsia="Times New Roman" w:hAnsi="Times New Roman" w:cs="Times New Roman"/>
          <w:b/>
          <w:bCs/>
          <w:sz w:val="26"/>
          <w:szCs w:val="26"/>
          <w:highlight w:val="white"/>
        </w:rPr>
      </w:pPr>
    </w:p>
    <w:p w14:paraId="00000045"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Articolul 13</w:t>
      </w:r>
      <w:r>
        <w:rPr>
          <w:rFonts w:ascii="Times New Roman" w:eastAsia="Times New Roman" w:hAnsi="Times New Roman" w:cs="Times New Roman"/>
          <w:b/>
          <w:bCs/>
          <w:sz w:val="26"/>
          <w:szCs w:val="26"/>
          <w:highlight w:val="white"/>
          <w:vertAlign w:val="superscript"/>
        </w:rPr>
        <w:t>6</w:t>
      </w:r>
      <w:r>
        <w:rPr>
          <w:rFonts w:ascii="Times New Roman" w:eastAsia="Times New Roman" w:hAnsi="Times New Roman" w:cs="Times New Roman"/>
          <w:b/>
          <w:bCs/>
          <w:sz w:val="26"/>
          <w:szCs w:val="26"/>
          <w:highlight w:val="white"/>
        </w:rPr>
        <w:t xml:space="preserve">. </w:t>
      </w:r>
      <w:r>
        <w:rPr>
          <w:rFonts w:ascii="Times New Roman" w:eastAsia="Times New Roman" w:hAnsi="Times New Roman" w:cs="Times New Roman"/>
          <w:sz w:val="26"/>
          <w:szCs w:val="26"/>
          <w:highlight w:val="white"/>
        </w:rPr>
        <w:t>Procedura de soluționare a litigiilor transfrontaliere prin intermediul Autorității Europene a Muncii</w:t>
      </w:r>
    </w:p>
    <w:p w14:paraId="00000046"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Inspectoratul de Stat al Muncii poate solicita Autorității Europene a Muncii desfășurarea unei proceduri de mediere în cazurile de litigii transfrontaliere privind aplicarea legislației Uniunii Europene în domeniul muncii.</w:t>
      </w:r>
    </w:p>
    <w:p w14:paraId="00000047"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Medierea desfășurată de Autoritatea Europeană a Muncii are caracter de recomandare și se realizează în conformitate cu procedurile stabilite prin prezenta lege.</w:t>
      </w:r>
    </w:p>
    <w:p w14:paraId="00000048"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Rezultatele medierii pot fi utilizate de autoritățile Republicii Moldova în procedurile administrative și judiciare, în condițiile legii.”</w:t>
      </w:r>
    </w:p>
    <w:p w14:paraId="00000049" w14:textId="77777777" w:rsidR="002B639B" w:rsidRDefault="002B639B">
      <w:pPr>
        <w:spacing w:line="240" w:lineRule="auto"/>
        <w:jc w:val="both"/>
        <w:rPr>
          <w:rFonts w:ascii="Times New Roman" w:eastAsia="Times New Roman" w:hAnsi="Times New Roman" w:cs="Times New Roman"/>
          <w:b/>
          <w:bCs/>
          <w:sz w:val="26"/>
          <w:szCs w:val="26"/>
          <w:highlight w:val="white"/>
        </w:rPr>
      </w:pPr>
    </w:p>
    <w:p w14:paraId="0000004A"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lastRenderedPageBreak/>
        <w:t>Art. II.</w:t>
      </w:r>
      <w:r>
        <w:rPr>
          <w:rFonts w:ascii="Times New Roman" w:eastAsia="Times New Roman" w:hAnsi="Times New Roman" w:cs="Times New Roman"/>
          <w:sz w:val="26"/>
          <w:szCs w:val="26"/>
          <w:highlight w:val="white"/>
        </w:rPr>
        <w:t xml:space="preserve"> – </w:t>
      </w:r>
      <w:r>
        <w:rPr>
          <w:rFonts w:ascii="Times New Roman" w:eastAsia="Times New Roman" w:hAnsi="Times New Roman" w:cs="Times New Roman"/>
          <w:b/>
          <w:bCs/>
          <w:sz w:val="26"/>
          <w:szCs w:val="26"/>
          <w:highlight w:val="white"/>
        </w:rPr>
        <w:t>Codul muncii al Republicii Moldova nr. 154/2003</w:t>
      </w:r>
      <w:r>
        <w:rPr>
          <w:rFonts w:ascii="Times New Roman" w:eastAsia="Times New Roman" w:hAnsi="Times New Roman" w:cs="Times New Roman"/>
          <w:sz w:val="26"/>
          <w:szCs w:val="26"/>
          <w:highlight w:val="white"/>
        </w:rPr>
        <w:t xml:space="preserve"> (Monitorul Oficial al Republicii Moldova, 2003, nr. 159–162, art. 648), cu modificările ulterioare, se modifică după cum urmează:</w:t>
      </w:r>
    </w:p>
    <w:p w14:paraId="0000004B" w14:textId="77777777" w:rsidR="002B639B" w:rsidRDefault="002B639B">
      <w:pPr>
        <w:spacing w:line="240" w:lineRule="auto"/>
        <w:ind w:firstLine="705"/>
        <w:jc w:val="both"/>
        <w:rPr>
          <w:rFonts w:ascii="Times New Roman" w:eastAsia="Times New Roman" w:hAnsi="Times New Roman" w:cs="Times New Roman"/>
          <w:b/>
          <w:bCs/>
          <w:sz w:val="26"/>
          <w:szCs w:val="26"/>
          <w:highlight w:val="white"/>
        </w:rPr>
      </w:pPr>
    </w:p>
    <w:p w14:paraId="0000004C"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1. </w:t>
      </w:r>
      <w:r>
        <w:rPr>
          <w:rFonts w:ascii="Times New Roman" w:eastAsia="Times New Roman" w:hAnsi="Times New Roman" w:cs="Times New Roman"/>
          <w:sz w:val="26"/>
          <w:szCs w:val="26"/>
          <w:highlight w:val="white"/>
        </w:rPr>
        <w:t>Clauza de armonizare se completează în final, după cum urmează:</w:t>
      </w:r>
    </w:p>
    <w:p w14:paraId="0000004D"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 transpune parțial Directiva 92/85/CEE a Consiliului din 19 octombrie 1992 privind introducerea de măsuri pentru promovarea îmbunătățirii securității și a sănătății la locul de muncă în cazul lucrătoarelor gravide, care au născut de curând sau care alăptează [a zecea directivă specială în sensul articolului 16 alineatul (1) din Directiva 89/391/CEE], CELEX: 31992L0085, publicată în Jurnalul Oficial al Uniunii Europene L 348 din 28 noiembrie 1992, astfel cum a fost modificată ultima oară prin Regulamentul (UE) 2019/1243 al Parlamentului European și al Consiliului din 20 iunie 2019;</w:t>
      </w:r>
    </w:p>
    <w:p w14:paraId="0000004E" w14:textId="77777777" w:rsidR="002B639B" w:rsidRDefault="00000000">
      <w:pPr>
        <w:spacing w:line="240" w:lineRule="auto"/>
        <w:ind w:firstLine="284"/>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transpune parțial Directiva 2000/43/CE a Consiliului din 29 iunie 2000 de punere în aplicare a principiului egalității de tratament între persoane, fără deosebire de rasă sau origine etnică, CELEX: 32000L0043, publicată în Jurnalul Oficial al Uniunii Europene L 180 din 19 iulie 2000, astfel cum a fost modificată ultima oară prin Directiva (UE) 2024/1499 a Consiliului din 7 mai 2024;</w:t>
      </w:r>
    </w:p>
    <w:p w14:paraId="0000004F" w14:textId="77777777" w:rsidR="002B639B" w:rsidRDefault="00000000">
      <w:pPr>
        <w:spacing w:line="240" w:lineRule="auto"/>
        <w:ind w:firstLine="284"/>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transpune parțial Directiva 2000/78/CE a Consiliului din 27 noiembrie 2000 de creare a unui cadru general în favoarea egalității de tratament în ceea ce privește încadrarea în muncă și ocuparea forței de muncă, CELEX: 32000L0078, publicată în Jurnalul Oficial al Uniunii Europene L 303 din 02 decembrie 2000;</w:t>
      </w:r>
    </w:p>
    <w:p w14:paraId="00000050" w14:textId="77777777" w:rsidR="002B639B" w:rsidRDefault="00000000">
      <w:pPr>
        <w:spacing w:line="240" w:lineRule="auto"/>
        <w:ind w:firstLine="284"/>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transpune parțial Directiva 2002/14/CE a Parlamentului European și a Consiliului din 11 martie 2002 de stabilire a unui cadru general de informare și consultare a lucrătorilor din Comunitatea Europeană, CELEX: 32002L0014, publicată în Jurnalul Oficial al Uniunii Europene L 80 din 23 martie 2002, astfel cum a fost modificată ultima oară prin Directiva (UE) 2015/1794 a Parlamentului European și a Consiliului din 6 octombrie 2015”.</w:t>
      </w:r>
    </w:p>
    <w:p w14:paraId="00000051" w14:textId="77777777" w:rsidR="002B639B" w:rsidRDefault="002B639B">
      <w:pPr>
        <w:spacing w:line="240" w:lineRule="auto"/>
        <w:jc w:val="both"/>
        <w:rPr>
          <w:rFonts w:ascii="Times New Roman" w:eastAsia="Times New Roman" w:hAnsi="Times New Roman" w:cs="Times New Roman"/>
          <w:sz w:val="26"/>
          <w:szCs w:val="26"/>
          <w:highlight w:val="white"/>
        </w:rPr>
      </w:pPr>
    </w:p>
    <w:p w14:paraId="00000052"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2.</w:t>
      </w:r>
      <w:r>
        <w:rPr>
          <w:rFonts w:ascii="Times New Roman" w:eastAsia="Times New Roman" w:hAnsi="Times New Roman" w:cs="Times New Roman"/>
          <w:sz w:val="26"/>
          <w:szCs w:val="26"/>
          <w:highlight w:val="white"/>
        </w:rPr>
        <w:t xml:space="preserve"> Articolul 1 se completează cu o noțiune nouă, cu următorul cuprins:</w:t>
      </w:r>
    </w:p>
    <w:p w14:paraId="00000053"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w:t>
      </w:r>
      <w:r>
        <w:rPr>
          <w:rFonts w:ascii="Times New Roman" w:eastAsia="Times New Roman" w:hAnsi="Times New Roman" w:cs="Times New Roman"/>
          <w:i/>
          <w:iCs/>
          <w:sz w:val="26"/>
          <w:szCs w:val="26"/>
          <w:highlight w:val="white"/>
        </w:rPr>
        <w:t>dispensă</w:t>
      </w:r>
      <w:r>
        <w:rPr>
          <w:rFonts w:ascii="Times New Roman" w:eastAsia="Times New Roman" w:hAnsi="Times New Roman" w:cs="Times New Roman"/>
          <w:sz w:val="26"/>
          <w:szCs w:val="26"/>
          <w:highlight w:val="white"/>
        </w:rPr>
        <w:t xml:space="preserve"> - scutirea temporară de la îndeplinirea obligațiilor de muncă a femeilor gravide pentru timpul necesar efectuării consultației prenatale, fără afectarea drepturilor salariale.”</w:t>
      </w:r>
    </w:p>
    <w:p w14:paraId="00000054" w14:textId="77777777" w:rsidR="002B639B" w:rsidRDefault="002B639B">
      <w:pPr>
        <w:spacing w:line="240" w:lineRule="auto"/>
        <w:ind w:firstLine="700"/>
        <w:jc w:val="both"/>
        <w:rPr>
          <w:rFonts w:ascii="Times New Roman" w:eastAsia="Times New Roman" w:hAnsi="Times New Roman" w:cs="Times New Roman"/>
          <w:sz w:val="26"/>
          <w:szCs w:val="26"/>
          <w:highlight w:val="white"/>
        </w:rPr>
      </w:pPr>
    </w:p>
    <w:p w14:paraId="00000055"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3.</w:t>
      </w:r>
      <w:r>
        <w:rPr>
          <w:rFonts w:ascii="Times New Roman" w:eastAsia="Times New Roman" w:hAnsi="Times New Roman" w:cs="Times New Roman"/>
          <w:sz w:val="26"/>
          <w:szCs w:val="26"/>
          <w:highlight w:val="white"/>
        </w:rPr>
        <w:t xml:space="preserve"> La Articolul 5 literele b</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și e) vor avea următorul cuprins:</w:t>
      </w:r>
    </w:p>
    <w:p w14:paraId="00000056" w14:textId="77777777" w:rsidR="002B639B" w:rsidRDefault="00000000">
      <w:pPr>
        <w:shd w:val="clear" w:color="auto" w:fill="FFFFFF"/>
        <w:ind w:firstLine="68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6"/>
          <w:szCs w:val="26"/>
          <w:highlight w:val="white"/>
        </w:rPr>
        <w:t>interzicerea discriminării în temeiul criteriilor protejate, a violenței și a hărțuirii de orice natură în cadrul  raporturilor de muncă și a altor raporturi legate nemijlocit de acestea;</w:t>
      </w:r>
    </w:p>
    <w:p w14:paraId="00000057" w14:textId="77777777" w:rsidR="002B639B" w:rsidRDefault="00000000">
      <w:pPr>
        <w:shd w:val="clear" w:color="auto" w:fill="FFFFFF"/>
        <w:ind w:firstLine="68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e) egalitatea în drepturi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în </w:t>
      </w:r>
      <w:proofErr w:type="spellStart"/>
      <w:r>
        <w:rPr>
          <w:rFonts w:ascii="Times New Roman" w:eastAsia="Times New Roman" w:hAnsi="Times New Roman" w:cs="Times New Roman"/>
          <w:sz w:val="26"/>
          <w:szCs w:val="26"/>
          <w:highlight w:val="white"/>
        </w:rPr>
        <w:t>posibilităţi</w:t>
      </w:r>
      <w:proofErr w:type="spellEnd"/>
      <w:r>
        <w:rPr>
          <w:rFonts w:ascii="Times New Roman" w:eastAsia="Times New Roman" w:hAnsi="Times New Roman" w:cs="Times New Roman"/>
          <w:sz w:val="26"/>
          <w:szCs w:val="26"/>
          <w:highlight w:val="white"/>
        </w:rPr>
        <w:t xml:space="preserve"> a </w:t>
      </w:r>
      <w:proofErr w:type="spellStart"/>
      <w:r>
        <w:rPr>
          <w:rFonts w:ascii="Times New Roman" w:eastAsia="Times New Roman" w:hAnsi="Times New Roman" w:cs="Times New Roman"/>
          <w:sz w:val="26"/>
          <w:szCs w:val="26"/>
          <w:highlight w:val="white"/>
        </w:rPr>
        <w:t>salariaţilor</w:t>
      </w:r>
      <w:proofErr w:type="spellEnd"/>
      <w:r>
        <w:rPr>
          <w:rFonts w:ascii="Times New Roman" w:eastAsia="Times New Roman" w:hAnsi="Times New Roman" w:cs="Times New Roman"/>
          <w:sz w:val="26"/>
          <w:szCs w:val="26"/>
          <w:highlight w:val="white"/>
        </w:rPr>
        <w:t xml:space="preserve"> în cadrul raporturilor de muncă și a altor raporturi legate nemijlocit de acestea;”</w:t>
      </w:r>
    </w:p>
    <w:p w14:paraId="00000058" w14:textId="77777777" w:rsidR="002B639B" w:rsidRDefault="002B639B">
      <w:pPr>
        <w:shd w:val="clear" w:color="auto" w:fill="FFFFFF"/>
        <w:ind w:firstLine="680"/>
        <w:jc w:val="both"/>
        <w:rPr>
          <w:rFonts w:ascii="Times New Roman" w:eastAsia="Times New Roman" w:hAnsi="Times New Roman" w:cs="Times New Roman"/>
          <w:sz w:val="26"/>
          <w:szCs w:val="26"/>
          <w:highlight w:val="white"/>
        </w:rPr>
      </w:pPr>
    </w:p>
    <w:p w14:paraId="00000059" w14:textId="77777777" w:rsidR="002B639B" w:rsidRDefault="00000000">
      <w:pPr>
        <w:shd w:val="clear" w:color="auto" w:fill="FFFFFF"/>
        <w:ind w:firstLine="68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4.</w:t>
      </w:r>
      <w:r>
        <w:rPr>
          <w:rFonts w:ascii="Times New Roman" w:eastAsia="Times New Roman" w:hAnsi="Times New Roman" w:cs="Times New Roman"/>
          <w:sz w:val="26"/>
          <w:szCs w:val="26"/>
          <w:highlight w:val="white"/>
        </w:rPr>
        <w:t xml:space="preserve"> La Articolul 7 litera e) va avea următorul cuprins:</w:t>
      </w:r>
    </w:p>
    <w:p w14:paraId="0000005A" w14:textId="77777777" w:rsidR="002B639B" w:rsidRDefault="00000000">
      <w:pPr>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„e) ca mijloc de discriminare pe criteriile protejate, stabilite prin Legea nr. 121/2012 cu privire la asigurarea egalității, precum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pe criterii de domiciliu, opțiune politică, apartenență sau activitate sindicală.”</w:t>
      </w:r>
    </w:p>
    <w:p w14:paraId="0000005B" w14:textId="77777777" w:rsidR="002B639B" w:rsidRDefault="002B639B">
      <w:pPr>
        <w:ind w:firstLine="705"/>
        <w:jc w:val="both"/>
        <w:rPr>
          <w:rFonts w:ascii="Times New Roman" w:eastAsia="Times New Roman" w:hAnsi="Times New Roman" w:cs="Times New Roman"/>
          <w:color w:val="FF0000"/>
          <w:sz w:val="26"/>
          <w:szCs w:val="26"/>
          <w:highlight w:val="white"/>
        </w:rPr>
      </w:pPr>
    </w:p>
    <w:p w14:paraId="0000005C"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5.</w:t>
      </w:r>
      <w:r>
        <w:rPr>
          <w:rFonts w:ascii="Times New Roman" w:eastAsia="Times New Roman" w:hAnsi="Times New Roman" w:cs="Times New Roman"/>
          <w:sz w:val="26"/>
          <w:szCs w:val="26"/>
          <w:highlight w:val="white"/>
        </w:rPr>
        <w:t xml:space="preserve"> La Articolul 8:</w:t>
      </w:r>
    </w:p>
    <w:p w14:paraId="0000005D"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alineatul (1) va avea următorul cuprins: </w:t>
      </w:r>
    </w:p>
    <w:p w14:paraId="0000005E"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 În cadrul raporturilor de muncă și a altor raporturi legate nemijlocit de acestea se aplică principiul egalității de tratament. Orice discriminare a salariatului pe criteriile protejate, stabilite prin Legea nr. 121/2012 cu privire la asigurarea egalității, precum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pe criterii de domiciliu, opțiune politică, apartenență sau activitate sindicală sau alte criterii nelegate de calitățile sale profesionale, este interzisă.”</w:t>
      </w:r>
    </w:p>
    <w:p w14:paraId="0000005F"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se completează cu alineatul (1</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cu următorul cuprins:</w:t>
      </w:r>
    </w:p>
    <w:p w14:paraId="00000060"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xml:space="preserve">) Se interzice orice deosebire, excludere, </w:t>
      </w:r>
      <w:proofErr w:type="spellStart"/>
      <w:r>
        <w:rPr>
          <w:rFonts w:ascii="Times New Roman" w:eastAsia="Times New Roman" w:hAnsi="Times New Roman" w:cs="Times New Roman"/>
          <w:sz w:val="26"/>
          <w:szCs w:val="26"/>
          <w:highlight w:val="white"/>
        </w:rPr>
        <w:t>restricţie</w:t>
      </w:r>
      <w:proofErr w:type="spellEnd"/>
      <w:r>
        <w:rPr>
          <w:rFonts w:ascii="Times New Roman" w:eastAsia="Times New Roman" w:hAnsi="Times New Roman" w:cs="Times New Roman"/>
          <w:sz w:val="26"/>
          <w:szCs w:val="26"/>
          <w:highlight w:val="white"/>
        </w:rPr>
        <w:t xml:space="preserve"> sau </w:t>
      </w:r>
      <w:proofErr w:type="spellStart"/>
      <w:r>
        <w:rPr>
          <w:rFonts w:ascii="Times New Roman" w:eastAsia="Times New Roman" w:hAnsi="Times New Roman" w:cs="Times New Roman"/>
          <w:sz w:val="26"/>
          <w:szCs w:val="26"/>
          <w:highlight w:val="white"/>
        </w:rPr>
        <w:t>preferinţă</w:t>
      </w:r>
      <w:proofErr w:type="spellEnd"/>
      <w:r>
        <w:rPr>
          <w:rFonts w:ascii="Times New Roman" w:eastAsia="Times New Roman" w:hAnsi="Times New Roman" w:cs="Times New Roman"/>
          <w:sz w:val="26"/>
          <w:szCs w:val="26"/>
          <w:highlight w:val="white"/>
        </w:rPr>
        <w:t xml:space="preserve"> pe baza criteriilor protejate care au drept scop sau efect limitarea ori subminarea </w:t>
      </w:r>
      <w:proofErr w:type="spellStart"/>
      <w:r>
        <w:rPr>
          <w:rFonts w:ascii="Times New Roman" w:eastAsia="Times New Roman" w:hAnsi="Times New Roman" w:cs="Times New Roman"/>
          <w:sz w:val="26"/>
          <w:szCs w:val="26"/>
          <w:highlight w:val="white"/>
        </w:rPr>
        <w:t>egalităţii</w:t>
      </w:r>
      <w:proofErr w:type="spellEnd"/>
      <w:r>
        <w:rPr>
          <w:rFonts w:ascii="Times New Roman" w:eastAsia="Times New Roman" w:hAnsi="Times New Roman" w:cs="Times New Roman"/>
          <w:sz w:val="26"/>
          <w:szCs w:val="26"/>
          <w:highlight w:val="white"/>
        </w:rPr>
        <w:t xml:space="preserve"> în ceea ce privește:</w:t>
      </w:r>
    </w:p>
    <w:p w14:paraId="00000061"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 condițiile de acces la încadrare în muncă, inclusiv criteriile de selecție și condițiile de recrutare, oricare ar fi ramura de activitate și la toate nivelurile ierarhiei profesionale, inclusiv în materie de promovare;</w:t>
      </w:r>
    </w:p>
    <w:p w14:paraId="00000062"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accesul la toate tipurile și la toate nivelurile de orientare și de formare profesională, de perfecționare și de recalificare, inclusiv dobândirea unei experiențe practice;</w:t>
      </w:r>
    </w:p>
    <w:p w14:paraId="00000063"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c) condițiile de muncă, inclusiv condițiile de remunerare și  de încetare a raporturilor de muncă;</w:t>
      </w:r>
    </w:p>
    <w:p w14:paraId="00000064"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d) </w:t>
      </w:r>
      <w:proofErr w:type="spellStart"/>
      <w:r>
        <w:rPr>
          <w:rFonts w:ascii="Times New Roman" w:eastAsia="Times New Roman" w:hAnsi="Times New Roman" w:cs="Times New Roman"/>
          <w:sz w:val="26"/>
          <w:szCs w:val="26"/>
          <w:highlight w:val="white"/>
        </w:rPr>
        <w:t>apartenenţă</w:t>
      </w:r>
      <w:proofErr w:type="spellEnd"/>
      <w:r>
        <w:rPr>
          <w:rFonts w:ascii="Times New Roman" w:eastAsia="Times New Roman" w:hAnsi="Times New Roman" w:cs="Times New Roman"/>
          <w:sz w:val="26"/>
          <w:szCs w:val="26"/>
          <w:highlight w:val="white"/>
        </w:rPr>
        <w:t xml:space="preserve"> sau activitate sindicală sau patronală, sau orice organizație ai cărei membri exercită o anumită profesie, inclusiv avantajele obținute de acest tip de organizație.”</w:t>
      </w:r>
    </w:p>
    <w:p w14:paraId="00000065"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alineatul (2) va avea următorul cuprins: </w:t>
      </w:r>
    </w:p>
    <w:p w14:paraId="00000066"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Orice diferență de tratament bazată pe o caracteristică legată de unul din criteriile prevăzute la alin. (1) nu constituie o discriminare atunci când, având în vedere natura unei activități profesionale sau condițiile de exercitare a acesteia, caracteristică în cauză constituie o cerință profesională esențială și determinantă, astfel încât obiectivul să fie legitim, iar cerința să fie proporțională.”</w:t>
      </w:r>
    </w:p>
    <w:p w14:paraId="00000067"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se completează cu alineatul (3) cu următorul cuprins:</w:t>
      </w:r>
    </w:p>
    <w:p w14:paraId="00000068"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(3) Nu constituie discriminare stabilirea unor facilități sau drepturi ale salariaților, care au drept scop protecția sănătății și a securității la locul de muncă sau încurajarea integrării în câmpul muncii a persoanelor care necesită o protecție socială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juridică sporită.”</w:t>
      </w:r>
    </w:p>
    <w:p w14:paraId="00000069" w14:textId="77777777" w:rsidR="002B639B" w:rsidRDefault="002B639B">
      <w:pPr>
        <w:spacing w:line="240" w:lineRule="auto"/>
        <w:ind w:firstLine="705"/>
        <w:jc w:val="both"/>
        <w:rPr>
          <w:rFonts w:ascii="Times New Roman" w:eastAsia="Times New Roman" w:hAnsi="Times New Roman" w:cs="Times New Roman"/>
          <w:b/>
          <w:bCs/>
          <w:sz w:val="26"/>
          <w:szCs w:val="26"/>
          <w:highlight w:val="green"/>
        </w:rPr>
      </w:pPr>
    </w:p>
    <w:p w14:paraId="0000006A"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6. </w:t>
      </w:r>
      <w:r>
        <w:rPr>
          <w:rFonts w:ascii="Times New Roman" w:eastAsia="Times New Roman" w:hAnsi="Times New Roman" w:cs="Times New Roman"/>
          <w:sz w:val="26"/>
          <w:szCs w:val="26"/>
          <w:highlight w:val="white"/>
        </w:rPr>
        <w:t xml:space="preserve"> Articolul 42 alineatul (2) litera b) se completează în final cu textul: „Obligația informării ce vizează art. 42</w:t>
      </w:r>
      <w:r>
        <w:rPr>
          <w:rFonts w:ascii="Times New Roman" w:eastAsia="Times New Roman" w:hAnsi="Times New Roman" w:cs="Times New Roman"/>
          <w:sz w:val="26"/>
          <w:szCs w:val="26"/>
          <w:highlight w:val="white"/>
          <w:vertAlign w:val="superscript"/>
        </w:rPr>
        <w:t xml:space="preserve">1 </w:t>
      </w:r>
      <w:r>
        <w:rPr>
          <w:rFonts w:ascii="Times New Roman" w:eastAsia="Times New Roman" w:hAnsi="Times New Roman" w:cs="Times New Roman"/>
          <w:sz w:val="26"/>
          <w:szCs w:val="26"/>
          <w:highlight w:val="white"/>
        </w:rPr>
        <w:t>alin. (2) lit. a), b) și c) se aplică se aplică angajatorilor indiferent de tipul de proprietate, de forma juridică de organizare, cu scop lucrativ sau nu, care încadrează cel puțin 50 de salariați.”</w:t>
      </w:r>
    </w:p>
    <w:p w14:paraId="0000006B" w14:textId="77777777" w:rsidR="002B639B" w:rsidRDefault="002B639B">
      <w:pPr>
        <w:spacing w:line="240" w:lineRule="auto"/>
        <w:jc w:val="both"/>
        <w:rPr>
          <w:rFonts w:ascii="Times New Roman" w:eastAsia="Times New Roman" w:hAnsi="Times New Roman" w:cs="Times New Roman"/>
          <w:sz w:val="26"/>
          <w:szCs w:val="26"/>
          <w:highlight w:val="white"/>
        </w:rPr>
      </w:pPr>
    </w:p>
    <w:p w14:paraId="0000006C" w14:textId="77777777" w:rsidR="002B639B" w:rsidRDefault="002B639B">
      <w:pPr>
        <w:spacing w:line="240" w:lineRule="auto"/>
        <w:ind w:firstLine="705"/>
        <w:jc w:val="both"/>
        <w:rPr>
          <w:rFonts w:ascii="Times New Roman" w:eastAsia="Times New Roman" w:hAnsi="Times New Roman" w:cs="Times New Roman"/>
          <w:sz w:val="26"/>
          <w:szCs w:val="26"/>
          <w:highlight w:val="white"/>
        </w:rPr>
      </w:pPr>
    </w:p>
    <w:p w14:paraId="0000006D"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7.</w:t>
      </w:r>
      <w:r>
        <w:rPr>
          <w:rFonts w:ascii="Times New Roman" w:eastAsia="Times New Roman" w:hAnsi="Times New Roman" w:cs="Times New Roman"/>
          <w:sz w:val="26"/>
          <w:szCs w:val="26"/>
          <w:highlight w:val="white"/>
        </w:rPr>
        <w:t xml:space="preserve"> Articolul 42</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w:t>
      </w:r>
    </w:p>
    <w:p w14:paraId="0000006E" w14:textId="77777777" w:rsidR="002B639B" w:rsidRDefault="00000000">
      <w:pPr>
        <w:shd w:val="clear" w:color="auto" w:fill="FFFFFF"/>
        <w:ind w:firstLine="68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 În vederea asigurării dreptului salariaților la administrarea unității prevăzut la art. 42, angajatorul este obligat să-i informeze și să-i consulte referitor la subiectele relevante în raport cu activitatea lor în cadrul unității. „În sensul prezentului articol prin informare se înțelege transmiterea de date de către angajator salariaților/reprezentanților </w:t>
      </w:r>
      <w:r>
        <w:rPr>
          <w:rFonts w:ascii="Times New Roman" w:eastAsia="Times New Roman" w:hAnsi="Times New Roman" w:cs="Times New Roman"/>
          <w:sz w:val="26"/>
          <w:szCs w:val="26"/>
          <w:highlight w:val="white"/>
        </w:rPr>
        <w:lastRenderedPageBreak/>
        <w:t>salariaților pentru a le permite să se familiarizeze cu subiectul și să-l examineze, iar prin consultare se înțelege schimbul de păreri și stabilirea unui dialog între salariați/reprezentanții salariaților și angajator.”</w:t>
      </w:r>
    </w:p>
    <w:p w14:paraId="0000006F"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alineatul (3) se completează în final cu textul „și formularea unui aviz înainte de adoptarea deciziei de către angajator”;</w:t>
      </w:r>
    </w:p>
    <w:p w14:paraId="00000070"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se completează cu alin. (3</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cu următorul cuprins:</w:t>
      </w:r>
    </w:p>
    <w:p w14:paraId="00000071"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xml:space="preserve">) Reprezentanții salariaților </w:t>
      </w:r>
      <w:proofErr w:type="spellStart"/>
      <w:r>
        <w:rPr>
          <w:rFonts w:ascii="Times New Roman" w:eastAsia="Times New Roman" w:hAnsi="Times New Roman" w:cs="Times New Roman"/>
          <w:sz w:val="26"/>
          <w:szCs w:val="26"/>
          <w:highlight w:val="white"/>
        </w:rPr>
        <w:t>îşi</w:t>
      </w:r>
      <w:proofErr w:type="spellEnd"/>
      <w:r>
        <w:rPr>
          <w:rFonts w:ascii="Times New Roman" w:eastAsia="Times New Roman" w:hAnsi="Times New Roman" w:cs="Times New Roman"/>
          <w:sz w:val="26"/>
          <w:szCs w:val="26"/>
          <w:highlight w:val="white"/>
        </w:rPr>
        <w:t xml:space="preserve"> prezintă opinia în termen de 10 zile lucrătoare de la data </w:t>
      </w:r>
      <w:proofErr w:type="spellStart"/>
      <w:r>
        <w:rPr>
          <w:rFonts w:ascii="Times New Roman" w:eastAsia="Times New Roman" w:hAnsi="Times New Roman" w:cs="Times New Roman"/>
          <w:sz w:val="26"/>
          <w:szCs w:val="26"/>
          <w:highlight w:val="white"/>
        </w:rPr>
        <w:t>recepţionării</w:t>
      </w:r>
      <w:proofErr w:type="spellEnd"/>
      <w:r>
        <w:rPr>
          <w:rFonts w:ascii="Times New Roman" w:eastAsia="Times New Roman" w:hAnsi="Times New Roman" w:cs="Times New Roman"/>
          <w:sz w:val="26"/>
          <w:szCs w:val="26"/>
          <w:highlight w:val="white"/>
        </w:rPr>
        <w:t xml:space="preserve"> datelor.</w:t>
      </w:r>
    </w:p>
    <w:p w14:paraId="00000072"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la alineatul (7) </w:t>
      </w:r>
      <w:proofErr w:type="spellStart"/>
      <w:r>
        <w:rPr>
          <w:rFonts w:ascii="Times New Roman" w:eastAsia="Times New Roman" w:hAnsi="Times New Roman" w:cs="Times New Roman"/>
          <w:sz w:val="26"/>
          <w:szCs w:val="26"/>
          <w:highlight w:val="white"/>
        </w:rPr>
        <w:t>cuvîntul</w:t>
      </w:r>
      <w:proofErr w:type="spellEnd"/>
      <w:r>
        <w:rPr>
          <w:rFonts w:ascii="Times New Roman" w:eastAsia="Times New Roman" w:hAnsi="Times New Roman" w:cs="Times New Roman"/>
          <w:sz w:val="26"/>
          <w:szCs w:val="26"/>
          <w:highlight w:val="white"/>
        </w:rPr>
        <w:t xml:space="preserve"> „consens” se substituie cu </w:t>
      </w:r>
      <w:proofErr w:type="spellStart"/>
      <w:r>
        <w:rPr>
          <w:rFonts w:ascii="Times New Roman" w:eastAsia="Times New Roman" w:hAnsi="Times New Roman" w:cs="Times New Roman"/>
          <w:sz w:val="26"/>
          <w:szCs w:val="26"/>
          <w:highlight w:val="white"/>
        </w:rPr>
        <w:t>cuvîntul</w:t>
      </w:r>
      <w:proofErr w:type="spellEnd"/>
      <w:r>
        <w:rPr>
          <w:rFonts w:ascii="Times New Roman" w:eastAsia="Times New Roman" w:hAnsi="Times New Roman" w:cs="Times New Roman"/>
          <w:sz w:val="26"/>
          <w:szCs w:val="26"/>
          <w:highlight w:val="white"/>
        </w:rPr>
        <w:t xml:space="preserve"> „acord”, în toate cazurile;</w:t>
      </w:r>
    </w:p>
    <w:p w14:paraId="00000073" w14:textId="77777777" w:rsidR="002B639B" w:rsidRDefault="002B639B">
      <w:pPr>
        <w:spacing w:line="240" w:lineRule="auto"/>
        <w:jc w:val="both"/>
        <w:rPr>
          <w:rFonts w:ascii="Times New Roman" w:eastAsia="Times New Roman" w:hAnsi="Times New Roman" w:cs="Times New Roman"/>
          <w:sz w:val="26"/>
          <w:szCs w:val="26"/>
          <w:highlight w:val="green"/>
        </w:rPr>
      </w:pPr>
    </w:p>
    <w:p w14:paraId="00000074"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8.</w:t>
      </w:r>
      <w:r>
        <w:rPr>
          <w:rFonts w:ascii="Times New Roman" w:eastAsia="Times New Roman" w:hAnsi="Times New Roman" w:cs="Times New Roman"/>
          <w:sz w:val="26"/>
          <w:szCs w:val="26"/>
          <w:highlight w:val="white"/>
        </w:rPr>
        <w:t xml:space="preserve"> Articolul 47 alin. (2) va avea următorul cuprins: </w:t>
      </w:r>
    </w:p>
    <w:p w14:paraId="00000075"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(2) Se interzice orice discriminare, la încheierea contractului individual de muncă pe criteriile protejate, stabilite prin Legea nr. 121/2012 cu privire la asigurarea egalității, precum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pe criterii de domiciliu, opțiune politică, apartenență sau activitate sindicală.</w:t>
      </w:r>
    </w:p>
    <w:p w14:paraId="00000076" w14:textId="77777777" w:rsidR="002B639B" w:rsidRDefault="002B639B">
      <w:pPr>
        <w:shd w:val="clear" w:color="auto" w:fill="FFFFFF"/>
        <w:ind w:firstLine="20"/>
        <w:jc w:val="both"/>
        <w:rPr>
          <w:rFonts w:ascii="Times New Roman" w:eastAsia="Times New Roman" w:hAnsi="Times New Roman" w:cs="Times New Roman"/>
          <w:sz w:val="26"/>
          <w:szCs w:val="26"/>
          <w:highlight w:val="white"/>
        </w:rPr>
      </w:pPr>
    </w:p>
    <w:p w14:paraId="00000077" w14:textId="77777777" w:rsidR="002B639B" w:rsidRDefault="00000000">
      <w:pPr>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9. </w:t>
      </w:r>
      <w:r>
        <w:rPr>
          <w:rFonts w:ascii="Times New Roman" w:eastAsia="Times New Roman" w:hAnsi="Times New Roman" w:cs="Times New Roman"/>
          <w:sz w:val="26"/>
          <w:szCs w:val="26"/>
          <w:highlight w:val="white"/>
        </w:rPr>
        <w:t xml:space="preserve">Articolul 128 alin. (2) va avea următorul cuprins: </w:t>
      </w:r>
    </w:p>
    <w:p w14:paraId="00000078" w14:textId="77777777" w:rsidR="002B639B" w:rsidRDefault="00000000">
      <w:pPr>
        <w:ind w:firstLine="705"/>
        <w:jc w:val="both"/>
        <w:rPr>
          <w:rFonts w:ascii="Times New Roman" w:eastAsia="Times New Roman" w:hAnsi="Times New Roman" w:cs="Times New Roman"/>
          <w:highlight w:val="white"/>
        </w:rPr>
      </w:pPr>
      <w:r>
        <w:rPr>
          <w:rFonts w:ascii="Times New Roman" w:eastAsia="Times New Roman" w:hAnsi="Times New Roman" w:cs="Times New Roman"/>
          <w:sz w:val="26"/>
          <w:szCs w:val="26"/>
          <w:highlight w:val="white"/>
        </w:rPr>
        <w:t xml:space="preserve">(2) La stabilirea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achitarea salariului nu se admite nici o discriminare pe criteriile protejate, stabilite prin Legea nr. 121/2012 cu privire la asigurarea egalității, precum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pe criterii de domiciliu, opțiune politică, apartenență sau activitate sindicală.</w:t>
      </w:r>
    </w:p>
    <w:p w14:paraId="00000079" w14:textId="77777777" w:rsidR="002B639B" w:rsidRDefault="002B639B">
      <w:pPr>
        <w:spacing w:line="240" w:lineRule="auto"/>
        <w:jc w:val="both"/>
        <w:rPr>
          <w:rFonts w:ascii="Times New Roman" w:eastAsia="Times New Roman" w:hAnsi="Times New Roman" w:cs="Times New Roman"/>
          <w:sz w:val="26"/>
          <w:szCs w:val="26"/>
          <w:highlight w:val="white"/>
        </w:rPr>
      </w:pPr>
    </w:p>
    <w:p w14:paraId="0000007A"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10. </w:t>
      </w:r>
      <w:r>
        <w:rPr>
          <w:rFonts w:ascii="Times New Roman" w:eastAsia="Times New Roman" w:hAnsi="Times New Roman" w:cs="Times New Roman"/>
          <w:sz w:val="26"/>
          <w:szCs w:val="26"/>
          <w:highlight w:val="white"/>
        </w:rPr>
        <w:t>Se completează cu articolul 71</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xml:space="preserve"> cu următorul cuprins:</w:t>
      </w:r>
    </w:p>
    <w:p w14:paraId="0000007B" w14:textId="77777777" w:rsidR="002B639B" w:rsidRDefault="00000000">
      <w:pPr>
        <w:spacing w:line="240" w:lineRule="auto"/>
        <w:ind w:firstLine="705"/>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sz w:val="26"/>
          <w:szCs w:val="26"/>
          <w:highlight w:val="white"/>
        </w:rPr>
        <w:t>„</w:t>
      </w:r>
      <w:r>
        <w:rPr>
          <w:rFonts w:ascii="Times New Roman" w:eastAsia="Times New Roman" w:hAnsi="Times New Roman" w:cs="Times New Roman"/>
          <w:b/>
          <w:bCs/>
          <w:sz w:val="26"/>
          <w:szCs w:val="26"/>
          <w:highlight w:val="white"/>
        </w:rPr>
        <w:t>Articolul 71</w:t>
      </w:r>
      <w:r>
        <w:rPr>
          <w:rFonts w:ascii="Times New Roman" w:eastAsia="Times New Roman" w:hAnsi="Times New Roman" w:cs="Times New Roman"/>
          <w:b/>
          <w:bCs/>
          <w:sz w:val="26"/>
          <w:szCs w:val="26"/>
          <w:highlight w:val="white"/>
          <w:vertAlign w:val="superscript"/>
        </w:rPr>
        <w:t>1</w:t>
      </w:r>
      <w:r>
        <w:rPr>
          <w:rFonts w:ascii="Times New Roman" w:eastAsia="Times New Roman" w:hAnsi="Times New Roman" w:cs="Times New Roman"/>
          <w:b/>
          <w:bCs/>
          <w:sz w:val="26"/>
          <w:szCs w:val="26"/>
          <w:highlight w:val="white"/>
        </w:rPr>
        <w:t>. Detașarea salariaților în cadrul prestării de servicii transnaționale</w:t>
      </w:r>
    </w:p>
    <w:p w14:paraId="0000007C"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Prin derogare de la art. 71, detașarea în cadrul prestării de servicii transnaționale reprezintă trimiterea temporară a salariatului de către angajator pentru executarea muncii pe teritoriul altui stat sau pe teritoriul Republicii Moldova, în cadrul prestării transnaționale de servicii, în condițiile legii speciale.</w:t>
      </w:r>
    </w:p>
    <w:p w14:paraId="0000007D"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În cazurile prevăzute la alin. (1), se aplică prevederile legii speciale privind detașarea salariaților în cadrul prestării de servicii transnaționale, inclusiv în ceea ce privește condițiile de muncă aplicabile, cerințele administrative și cooperarea dintre autorități.”</w:t>
      </w:r>
    </w:p>
    <w:p w14:paraId="0000007E" w14:textId="77777777" w:rsidR="002B639B" w:rsidRDefault="002B639B">
      <w:pPr>
        <w:spacing w:line="240" w:lineRule="auto"/>
        <w:ind w:firstLine="566"/>
        <w:jc w:val="both"/>
        <w:rPr>
          <w:rFonts w:ascii="Times New Roman" w:eastAsia="Times New Roman" w:hAnsi="Times New Roman" w:cs="Times New Roman"/>
          <w:sz w:val="26"/>
          <w:szCs w:val="26"/>
          <w:highlight w:val="white"/>
        </w:rPr>
      </w:pPr>
    </w:p>
    <w:p w14:paraId="0000007F"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11. </w:t>
      </w:r>
      <w:r>
        <w:rPr>
          <w:rFonts w:ascii="Times New Roman" w:eastAsia="Times New Roman" w:hAnsi="Times New Roman" w:cs="Times New Roman"/>
          <w:sz w:val="26"/>
          <w:szCs w:val="26"/>
          <w:highlight w:val="white"/>
        </w:rPr>
        <w:t>La Articolul 103:</w:t>
      </w:r>
    </w:p>
    <w:p w14:paraId="00000080"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alineatul (3) va avea următorul cuprins: </w:t>
      </w:r>
    </w:p>
    <w:p w14:paraId="00000081" w14:textId="77777777" w:rsidR="002B639B" w:rsidRDefault="00000000">
      <w:pPr>
        <w:spacing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”(3) Prevederile alineatelor (1</w:t>
      </w:r>
      <w:r>
        <w:rPr>
          <w:rFonts w:ascii="Times New Roman" w:eastAsia="Times New Roman" w:hAnsi="Times New Roman" w:cs="Times New Roman"/>
          <w:sz w:val="26"/>
          <w:szCs w:val="26"/>
          <w:vertAlign w:val="superscript"/>
        </w:rPr>
        <w:t>1</w:t>
      </w:r>
      <w:r>
        <w:rPr>
          <w:rFonts w:ascii="Times New Roman" w:eastAsia="Times New Roman" w:hAnsi="Times New Roman" w:cs="Times New Roman"/>
          <w:sz w:val="26"/>
          <w:szCs w:val="26"/>
        </w:rPr>
        <w:t>), (1</w:t>
      </w:r>
      <w:r>
        <w:rPr>
          <w:rFonts w:ascii="Times New Roman" w:eastAsia="Times New Roman" w:hAnsi="Times New Roman" w:cs="Times New Roman"/>
          <w:sz w:val="26"/>
          <w:szCs w:val="26"/>
          <w:vertAlign w:val="superscript"/>
        </w:rPr>
        <w:t>2</w:t>
      </w:r>
      <w:r>
        <w:rPr>
          <w:rFonts w:ascii="Times New Roman" w:eastAsia="Times New Roman" w:hAnsi="Times New Roman" w:cs="Times New Roman"/>
          <w:sz w:val="26"/>
          <w:szCs w:val="26"/>
        </w:rPr>
        <w:t>) și (2),</w:t>
      </w:r>
      <w:r>
        <w:rPr>
          <w:sz w:val="26"/>
          <w:szCs w:val="26"/>
        </w:rPr>
        <w:t xml:space="preserve"> </w:t>
      </w:r>
      <w:r>
        <w:rPr>
          <w:rFonts w:ascii="Times New Roman" w:eastAsia="Times New Roman" w:hAnsi="Times New Roman" w:cs="Times New Roman"/>
          <w:sz w:val="26"/>
          <w:szCs w:val="26"/>
        </w:rPr>
        <w:t>nu se aplică salariaților cărora le este stabilită durata redusă a timpului de muncă, salariaților angajați special pentru munca de noapte, precum și în cazurile în care reducerea timpului de muncă nu este posibilă din cauza specificului activității sau al muncii, care impune prezența permanentă a salariaților la locul de muncă ori din cauza condițiilor tehnice și de producție, în special la unitățile cu flux continuu și în cazul muncii în schimburi, dacă contractul colectiv de muncă nu prevede altfel.”</w:t>
      </w:r>
    </w:p>
    <w:p w14:paraId="00000082" w14:textId="77777777" w:rsidR="002B639B" w:rsidRDefault="002B639B">
      <w:pPr>
        <w:spacing w:line="240" w:lineRule="auto"/>
        <w:jc w:val="both"/>
        <w:rPr>
          <w:rFonts w:ascii="Times New Roman" w:eastAsia="Times New Roman" w:hAnsi="Times New Roman" w:cs="Times New Roman"/>
          <w:sz w:val="26"/>
          <w:szCs w:val="26"/>
          <w:highlight w:val="white"/>
        </w:rPr>
      </w:pPr>
    </w:p>
    <w:p w14:paraId="00000083"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12.</w:t>
      </w:r>
      <w:r>
        <w:rPr>
          <w:rFonts w:ascii="Times New Roman" w:eastAsia="Times New Roman" w:hAnsi="Times New Roman" w:cs="Times New Roman"/>
          <w:sz w:val="26"/>
          <w:szCs w:val="26"/>
          <w:highlight w:val="white"/>
        </w:rPr>
        <w:t xml:space="preserve"> Se completează cu articolul 247</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xml:space="preserve"> cu următorul cuprins:</w:t>
      </w:r>
    </w:p>
    <w:p w14:paraId="00000084" w14:textId="77777777" w:rsidR="002B639B" w:rsidRDefault="00000000">
      <w:pPr>
        <w:spacing w:line="240" w:lineRule="auto"/>
        <w:ind w:firstLine="705"/>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„Articolul 247¹. Dispense pentru consultații prenatale</w:t>
      </w:r>
    </w:p>
    <w:p w14:paraId="00000085"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(1) Femeile gravide beneficiază de dispense pentru efectuarea consultațiilor prenatale, în cazul în care acestea au loc în timpul programului de muncă.</w:t>
      </w:r>
    </w:p>
    <w:p w14:paraId="00000086"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Pe durata dispenselor prevăzute la alin. (1), femeilor gravide li se menține salariul mediu de la locul de muncă. Timpul acordat pentru dispense se include în timpul de muncă și nu constituie absență de la serviciu.</w:t>
      </w:r>
    </w:p>
    <w:p w14:paraId="00000087"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Pentru a beneficia de dispensa prevăzută la alin. (1), femeia gravidă informează în prealabil angajatorul, inclusiv prin mijloace de comunicare electronică, și prezintă o confirmare eliberată de instituția medico-sanitară competentă privind necesitatea prezentării la consultația prenatală.</w:t>
      </w:r>
    </w:p>
    <w:p w14:paraId="00000088"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(4) Acordarea dispenselor pentru consultații prenatale nu poate constitui temei pentru reducerea drepturilor salariale, modificarea condițiilor de muncă, aplicarea măsurilor disciplinare sau producerea altor consecințe nefavorabile pentru femeile gravide.</w:t>
      </w:r>
    </w:p>
    <w:p w14:paraId="00000089" w14:textId="77777777" w:rsidR="002B639B" w:rsidRDefault="002B639B">
      <w:pPr>
        <w:spacing w:line="240" w:lineRule="auto"/>
        <w:rPr>
          <w:rFonts w:ascii="Times New Roman" w:eastAsia="Times New Roman" w:hAnsi="Times New Roman" w:cs="Times New Roman"/>
          <w:sz w:val="26"/>
          <w:szCs w:val="26"/>
        </w:rPr>
      </w:pPr>
    </w:p>
    <w:p w14:paraId="0000008A" w14:textId="77777777" w:rsidR="002B639B" w:rsidRDefault="00000000">
      <w:pPr>
        <w:spacing w:line="240" w:lineRule="auto"/>
        <w:ind w:left="280" w:firstLine="42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13.</w:t>
      </w:r>
      <w:r>
        <w:rPr>
          <w:rFonts w:ascii="Times New Roman" w:eastAsia="Times New Roman" w:hAnsi="Times New Roman" w:cs="Times New Roman"/>
          <w:sz w:val="26"/>
          <w:szCs w:val="26"/>
          <w:highlight w:val="white"/>
        </w:rPr>
        <w:t xml:space="preserve"> La articolul З26</w:t>
      </w:r>
      <w:r>
        <w:rPr>
          <w:rFonts w:ascii="Times New Roman" w:eastAsia="Times New Roman" w:hAnsi="Times New Roman" w:cs="Times New Roman"/>
          <w:sz w:val="26"/>
          <w:szCs w:val="26"/>
          <w:highlight w:val="white"/>
          <w:vertAlign w:val="superscript"/>
        </w:rPr>
        <w:t>3</w:t>
      </w:r>
      <w:r>
        <w:rPr>
          <w:rFonts w:ascii="Times New Roman" w:eastAsia="Times New Roman" w:hAnsi="Times New Roman" w:cs="Times New Roman"/>
          <w:sz w:val="26"/>
          <w:szCs w:val="26"/>
          <w:highlight w:val="white"/>
        </w:rPr>
        <w:t xml:space="preserve"> alineatul (1) textul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cu caracter temporar” se exclude.</w:t>
      </w:r>
    </w:p>
    <w:p w14:paraId="0000008B" w14:textId="77777777" w:rsidR="002B639B" w:rsidRDefault="002B639B">
      <w:pPr>
        <w:spacing w:line="240" w:lineRule="auto"/>
        <w:ind w:left="280" w:firstLine="425"/>
        <w:jc w:val="both"/>
        <w:rPr>
          <w:rFonts w:ascii="Times New Roman" w:eastAsia="Times New Roman" w:hAnsi="Times New Roman" w:cs="Times New Roman"/>
          <w:sz w:val="26"/>
          <w:szCs w:val="26"/>
          <w:highlight w:val="white"/>
        </w:rPr>
      </w:pPr>
    </w:p>
    <w:p w14:paraId="0000008C" w14:textId="77777777" w:rsidR="002B639B" w:rsidRDefault="00000000">
      <w:pPr>
        <w:spacing w:line="240" w:lineRule="auto"/>
        <w:ind w:left="280" w:firstLine="42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14. </w:t>
      </w:r>
      <w:r>
        <w:rPr>
          <w:rFonts w:ascii="Times New Roman" w:eastAsia="Times New Roman" w:hAnsi="Times New Roman" w:cs="Times New Roman"/>
          <w:sz w:val="26"/>
          <w:szCs w:val="26"/>
          <w:highlight w:val="white"/>
        </w:rPr>
        <w:t>La articolul 103 alineatul (3) va avea următorul cuprins:</w:t>
      </w:r>
    </w:p>
    <w:p w14:paraId="0000008D" w14:textId="77777777" w:rsidR="002B639B" w:rsidRDefault="00000000">
      <w:pPr>
        <w:spacing w:line="240" w:lineRule="auto"/>
        <w:ind w:left="280" w:firstLine="42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Prevederile alineatelor (1</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(1</w:t>
      </w:r>
      <w:r>
        <w:rPr>
          <w:rFonts w:ascii="Times New Roman" w:eastAsia="Times New Roman" w:hAnsi="Times New Roman" w:cs="Times New Roman"/>
          <w:sz w:val="26"/>
          <w:szCs w:val="26"/>
          <w:highlight w:val="white"/>
          <w:vertAlign w:val="superscript"/>
        </w:rPr>
        <w:t>2</w:t>
      </w:r>
      <w:r>
        <w:rPr>
          <w:rFonts w:ascii="Times New Roman" w:eastAsia="Times New Roman" w:hAnsi="Times New Roman" w:cs="Times New Roman"/>
          <w:sz w:val="26"/>
          <w:szCs w:val="26"/>
          <w:highlight w:val="white"/>
        </w:rPr>
        <w:t>) și (2), nu se aplică salariaților cărora le este stabilită durata redusă a timpului de muncă, salariaților angajați special pentru munca de noapte, precum și în cazurile în care reducerea timpului de muncă nu este posibilă din cauza specificului activității sau al muncii, care impune prezența permanentă a salariaților la locul de muncă ori din cauza condițiilor tehnice și de producție, în special la unitățile cu flux continuu și în cazul muncii în schimburi, dacă contractul colectiv de muncă nu prevede altfel.”</w:t>
      </w:r>
    </w:p>
    <w:p w14:paraId="0000008E" w14:textId="77777777" w:rsidR="002B639B" w:rsidRDefault="002B639B">
      <w:pPr>
        <w:spacing w:line="240" w:lineRule="auto"/>
        <w:ind w:left="280" w:firstLine="425"/>
        <w:jc w:val="both"/>
        <w:rPr>
          <w:rFonts w:ascii="Times New Roman" w:eastAsia="Times New Roman" w:hAnsi="Times New Roman" w:cs="Times New Roman"/>
          <w:b/>
          <w:bCs/>
          <w:sz w:val="26"/>
          <w:szCs w:val="26"/>
          <w:highlight w:val="white"/>
        </w:rPr>
      </w:pPr>
    </w:p>
    <w:p w14:paraId="0000008F" w14:textId="77777777" w:rsidR="002B639B" w:rsidRDefault="002B639B">
      <w:pPr>
        <w:spacing w:line="240" w:lineRule="auto"/>
        <w:ind w:left="280" w:firstLine="425"/>
        <w:jc w:val="both"/>
        <w:rPr>
          <w:rFonts w:ascii="Times New Roman" w:eastAsia="Times New Roman" w:hAnsi="Times New Roman" w:cs="Times New Roman"/>
          <w:sz w:val="26"/>
          <w:szCs w:val="26"/>
          <w:highlight w:val="white"/>
        </w:rPr>
      </w:pPr>
    </w:p>
    <w:p w14:paraId="00000090"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Art. III. – Legea securității și sănătății în muncă nr. 186/2008</w:t>
      </w:r>
      <w:r>
        <w:rPr>
          <w:rFonts w:ascii="Times New Roman" w:eastAsia="Times New Roman" w:hAnsi="Times New Roman" w:cs="Times New Roman"/>
          <w:sz w:val="26"/>
          <w:szCs w:val="26"/>
          <w:highlight w:val="white"/>
        </w:rPr>
        <w:t xml:space="preserve"> (Monitorul Oficial al Republicii Moldova, 2008, nr. 143–144, art. 587), cu modificările ulterioare, se modifică după cum urmează:</w:t>
      </w:r>
    </w:p>
    <w:p w14:paraId="00000091" w14:textId="77777777" w:rsidR="002B639B" w:rsidRDefault="002B639B">
      <w:pPr>
        <w:spacing w:line="240" w:lineRule="auto"/>
        <w:ind w:firstLine="700"/>
        <w:jc w:val="both"/>
        <w:rPr>
          <w:rFonts w:ascii="Times New Roman" w:eastAsia="Times New Roman" w:hAnsi="Times New Roman" w:cs="Times New Roman"/>
          <w:b/>
          <w:bCs/>
          <w:sz w:val="26"/>
          <w:szCs w:val="26"/>
          <w:highlight w:val="white"/>
        </w:rPr>
      </w:pPr>
    </w:p>
    <w:p w14:paraId="00000092"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1.</w:t>
      </w:r>
      <w:r>
        <w:rPr>
          <w:rFonts w:ascii="Times New Roman" w:eastAsia="Times New Roman" w:hAnsi="Times New Roman" w:cs="Times New Roman"/>
          <w:sz w:val="26"/>
          <w:szCs w:val="26"/>
          <w:highlight w:val="white"/>
        </w:rPr>
        <w:t xml:space="preserve"> În clauza de armonizare, la prima liniuță, sintagma „ parțial (art. 1–15)” se exclude.</w:t>
      </w:r>
    </w:p>
    <w:p w14:paraId="00000093" w14:textId="77777777" w:rsidR="002B639B" w:rsidRDefault="002B639B">
      <w:pPr>
        <w:spacing w:line="240" w:lineRule="auto"/>
        <w:ind w:firstLine="700"/>
        <w:jc w:val="both"/>
        <w:rPr>
          <w:rFonts w:ascii="Times New Roman" w:eastAsia="Times New Roman" w:hAnsi="Times New Roman" w:cs="Times New Roman"/>
          <w:b/>
          <w:bCs/>
          <w:sz w:val="26"/>
          <w:szCs w:val="26"/>
        </w:rPr>
      </w:pPr>
    </w:p>
    <w:p w14:paraId="00000094" w14:textId="77777777" w:rsidR="002B639B" w:rsidRDefault="00000000">
      <w:pPr>
        <w:spacing w:line="240" w:lineRule="auto"/>
        <w:ind w:firstLine="70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rPr>
        <w:t>2.</w:t>
      </w:r>
      <w:r>
        <w:rPr>
          <w:rFonts w:ascii="Times New Roman" w:eastAsia="Times New Roman" w:hAnsi="Times New Roman" w:cs="Times New Roman"/>
          <w:sz w:val="26"/>
          <w:szCs w:val="26"/>
        </w:rPr>
        <w:t xml:space="preserve"> La articolul 7</w:t>
      </w:r>
      <w:r>
        <w:rPr>
          <w:rFonts w:ascii="Times New Roman" w:eastAsia="Times New Roman" w:hAnsi="Times New Roman" w:cs="Times New Roman"/>
          <w:sz w:val="26"/>
          <w:szCs w:val="26"/>
          <w:vertAlign w:val="superscript"/>
        </w:rPr>
        <w:t>1</w:t>
      </w:r>
      <w:r>
        <w:rPr>
          <w:rFonts w:ascii="Times New Roman" w:eastAsia="Times New Roman" w:hAnsi="Times New Roman" w:cs="Times New Roman"/>
          <w:sz w:val="26"/>
          <w:szCs w:val="26"/>
        </w:rPr>
        <w:t xml:space="preserve"> alineatul (2) textul „dispozițiilor Legii nr. 131/2012 privind controlul de stat asupra activității de întreprinzător și ale” se exclude.</w:t>
      </w:r>
    </w:p>
    <w:p w14:paraId="00000095" w14:textId="77777777" w:rsidR="002B639B" w:rsidRDefault="002B639B">
      <w:pPr>
        <w:spacing w:line="240" w:lineRule="auto"/>
        <w:ind w:firstLine="700"/>
        <w:jc w:val="both"/>
        <w:rPr>
          <w:rFonts w:ascii="Times New Roman" w:eastAsia="Times New Roman" w:hAnsi="Times New Roman" w:cs="Times New Roman"/>
          <w:b/>
          <w:bCs/>
          <w:sz w:val="26"/>
          <w:szCs w:val="26"/>
          <w:highlight w:val="white"/>
        </w:rPr>
      </w:pPr>
    </w:p>
    <w:p w14:paraId="00000096"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3.</w:t>
      </w:r>
      <w:r>
        <w:rPr>
          <w:rFonts w:ascii="Times New Roman" w:eastAsia="Times New Roman" w:hAnsi="Times New Roman" w:cs="Times New Roman"/>
          <w:sz w:val="26"/>
          <w:szCs w:val="26"/>
          <w:highlight w:val="white"/>
        </w:rPr>
        <w:t xml:space="preserve"> La articolul 10:</w:t>
      </w:r>
    </w:p>
    <w:p w14:paraId="00000097"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alineatul (3):</w:t>
      </w:r>
    </w:p>
    <w:p w14:paraId="00000098"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litera a) litera b) și litera c) cuvântul „profesionale” se exclude;</w:t>
      </w:r>
    </w:p>
    <w:p w14:paraId="00000099"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litera d) va avea următorul cuprins:</w:t>
      </w:r>
    </w:p>
    <w:p w14:paraId="0000009A"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 adaptarea  muncii la persoană, inclusiv la persoană cu dizabilități, în special în ce privește proiectarea locului de muncă, alegerea echipamentelor de lucru, a metodelor de producție și de lucru, în vederea atenuării muncii monotone și a muncii normate și reducerii efectelor acestora asupra sănătății;”;.</w:t>
      </w:r>
    </w:p>
    <w:p w14:paraId="0000009B"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alineatul (4) litera a) cuvântul „profesionale” se exclude;</w:t>
      </w:r>
    </w:p>
    <w:p w14:paraId="0000009C" w14:textId="77777777" w:rsidR="002B639B" w:rsidRDefault="002B639B">
      <w:pPr>
        <w:spacing w:line="240" w:lineRule="auto"/>
        <w:ind w:firstLine="700"/>
        <w:jc w:val="both"/>
        <w:rPr>
          <w:rFonts w:ascii="Times New Roman" w:eastAsia="Times New Roman" w:hAnsi="Times New Roman" w:cs="Times New Roman"/>
          <w:b/>
          <w:bCs/>
          <w:sz w:val="26"/>
          <w:szCs w:val="26"/>
          <w:highlight w:val="white"/>
        </w:rPr>
      </w:pPr>
    </w:p>
    <w:p w14:paraId="0000009D"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lastRenderedPageBreak/>
        <w:t>4.</w:t>
      </w:r>
      <w:r>
        <w:rPr>
          <w:rFonts w:ascii="Times New Roman" w:eastAsia="Times New Roman" w:hAnsi="Times New Roman" w:cs="Times New Roman"/>
          <w:sz w:val="26"/>
          <w:szCs w:val="26"/>
          <w:highlight w:val="white"/>
        </w:rPr>
        <w:t xml:space="preserve"> La articolul 11: </w:t>
      </w:r>
    </w:p>
    <w:p w14:paraId="0000009E"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alineatul (1</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cuvintele „unor condiții de securitate și sănătate în muncă similare cu ale celorlalți lucrători din unitate” se substituie cu cuvintele „acelorași condiții de securitate și sănătate în muncă ca pentru ceilalți lucrători din această unitate”.</w:t>
      </w:r>
    </w:p>
    <w:p w14:paraId="0000009F"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alineatul (1</w:t>
      </w:r>
      <w:r>
        <w:rPr>
          <w:rFonts w:ascii="Times New Roman" w:eastAsia="Times New Roman" w:hAnsi="Times New Roman" w:cs="Times New Roman"/>
          <w:sz w:val="26"/>
          <w:szCs w:val="26"/>
          <w:highlight w:val="white"/>
          <w:vertAlign w:val="superscript"/>
        </w:rPr>
        <w:t>2</w:t>
      </w:r>
      <w:r>
        <w:rPr>
          <w:rFonts w:ascii="Times New Roman" w:eastAsia="Times New Roman" w:hAnsi="Times New Roman" w:cs="Times New Roman"/>
          <w:sz w:val="26"/>
          <w:szCs w:val="26"/>
          <w:highlight w:val="white"/>
        </w:rPr>
        <w:t>) cuvintele  „unor condiții de securitate și sănătate în muncă similare cu ale celorlalți lucrători” se substituie cu cuvintele „acelorași condiții de securitate și sănătate în muncă ca pentru ceilalți lucrători”.</w:t>
      </w:r>
    </w:p>
    <w:p w14:paraId="000000A0" w14:textId="77777777" w:rsidR="002B639B" w:rsidRDefault="002B639B">
      <w:pPr>
        <w:spacing w:line="240" w:lineRule="auto"/>
        <w:jc w:val="both"/>
        <w:rPr>
          <w:rFonts w:ascii="Times New Roman" w:eastAsia="Times New Roman" w:hAnsi="Times New Roman" w:cs="Times New Roman"/>
          <w:sz w:val="26"/>
          <w:szCs w:val="26"/>
        </w:rPr>
      </w:pPr>
    </w:p>
    <w:p w14:paraId="000000A1"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5.</w:t>
      </w:r>
      <w:r>
        <w:rPr>
          <w:rFonts w:ascii="Times New Roman" w:eastAsia="Times New Roman" w:hAnsi="Times New Roman" w:cs="Times New Roman"/>
          <w:sz w:val="26"/>
          <w:szCs w:val="26"/>
          <w:highlight w:val="white"/>
        </w:rPr>
        <w:t xml:space="preserve"> La articolul 12 alineatul (1) litera b) cuvintele „de protecție și prevenire” se exclud.</w:t>
      </w:r>
    </w:p>
    <w:p w14:paraId="000000A2" w14:textId="77777777" w:rsidR="002B639B" w:rsidRDefault="002B639B">
      <w:pPr>
        <w:spacing w:line="240" w:lineRule="auto"/>
        <w:ind w:firstLine="700"/>
        <w:jc w:val="both"/>
        <w:rPr>
          <w:rFonts w:ascii="Times New Roman" w:eastAsia="Times New Roman" w:hAnsi="Times New Roman" w:cs="Times New Roman"/>
          <w:sz w:val="26"/>
          <w:szCs w:val="26"/>
          <w:highlight w:val="white"/>
        </w:rPr>
      </w:pPr>
    </w:p>
    <w:p w14:paraId="000000A3"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6.</w:t>
      </w:r>
      <w:r>
        <w:rPr>
          <w:rFonts w:ascii="Times New Roman" w:eastAsia="Times New Roman" w:hAnsi="Times New Roman" w:cs="Times New Roman"/>
          <w:sz w:val="26"/>
          <w:szCs w:val="26"/>
          <w:highlight w:val="white"/>
        </w:rPr>
        <w:t xml:space="preserve"> La articolul 13:</w:t>
      </w:r>
    </w:p>
    <w:p w14:paraId="000000A4"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litera a) cuvântul „profesionale” se substituie cu cuvintele „privind securitatea și sănătatea la locul de muncă”;</w:t>
      </w:r>
    </w:p>
    <w:p w14:paraId="000000A5"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litera f) cuvântul „profesional” se exclude.</w:t>
      </w:r>
    </w:p>
    <w:p w14:paraId="000000A6" w14:textId="77777777" w:rsidR="002B639B" w:rsidRDefault="002B639B">
      <w:pPr>
        <w:spacing w:line="240" w:lineRule="auto"/>
        <w:ind w:firstLine="700"/>
        <w:jc w:val="both"/>
        <w:rPr>
          <w:rFonts w:ascii="Times New Roman" w:eastAsia="Times New Roman" w:hAnsi="Times New Roman" w:cs="Times New Roman"/>
          <w:sz w:val="26"/>
          <w:szCs w:val="26"/>
          <w:highlight w:val="white"/>
        </w:rPr>
      </w:pPr>
    </w:p>
    <w:p w14:paraId="000000A7"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7.</w:t>
      </w:r>
      <w:r>
        <w:rPr>
          <w:rFonts w:ascii="Times New Roman" w:eastAsia="Times New Roman" w:hAnsi="Times New Roman" w:cs="Times New Roman"/>
          <w:sz w:val="26"/>
          <w:szCs w:val="26"/>
          <w:highlight w:val="white"/>
        </w:rPr>
        <w:t xml:space="preserve"> La articolul 14 alineatul (1) litera a) cuvântul „profesionale” se substituie cu cuvintele „pentru securitate și sănătate”</w:t>
      </w:r>
    </w:p>
    <w:p w14:paraId="000000A8" w14:textId="77777777" w:rsidR="002B639B" w:rsidRDefault="002B639B">
      <w:pPr>
        <w:spacing w:line="240" w:lineRule="auto"/>
        <w:ind w:firstLine="700"/>
        <w:jc w:val="both"/>
        <w:rPr>
          <w:rFonts w:ascii="Times New Roman" w:eastAsia="Times New Roman" w:hAnsi="Times New Roman" w:cs="Times New Roman"/>
          <w:sz w:val="26"/>
          <w:szCs w:val="26"/>
          <w:shd w:val="clear" w:color="auto" w:fill="93C47D"/>
        </w:rPr>
      </w:pPr>
    </w:p>
    <w:p w14:paraId="000000A9"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8. </w:t>
      </w:r>
      <w:r>
        <w:rPr>
          <w:rFonts w:ascii="Times New Roman" w:eastAsia="Times New Roman" w:hAnsi="Times New Roman" w:cs="Times New Roman"/>
          <w:sz w:val="26"/>
          <w:szCs w:val="26"/>
          <w:highlight w:val="white"/>
        </w:rPr>
        <w:t>La articolul 22 alineatul (1) cuvintele „cu capacități funcționale limitate” se substituie cu cuvântul „dizabilități”.</w:t>
      </w:r>
    </w:p>
    <w:p w14:paraId="000000AA" w14:textId="77777777" w:rsidR="002B639B" w:rsidRDefault="002B639B">
      <w:pPr>
        <w:spacing w:line="240" w:lineRule="auto"/>
        <w:ind w:firstLine="700"/>
        <w:jc w:val="both"/>
        <w:rPr>
          <w:rFonts w:ascii="Times New Roman" w:eastAsia="Times New Roman" w:hAnsi="Times New Roman" w:cs="Times New Roman"/>
          <w:b/>
          <w:bCs/>
          <w:sz w:val="26"/>
          <w:szCs w:val="26"/>
          <w:highlight w:val="white"/>
        </w:rPr>
      </w:pPr>
    </w:p>
    <w:p w14:paraId="000000AB"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9.</w:t>
      </w:r>
      <w:r>
        <w:rPr>
          <w:rFonts w:ascii="Times New Roman" w:eastAsia="Times New Roman" w:hAnsi="Times New Roman" w:cs="Times New Roman"/>
          <w:sz w:val="26"/>
          <w:szCs w:val="26"/>
          <w:highlight w:val="white"/>
        </w:rPr>
        <w:t xml:space="preserve"> Se completează cu articolul 23</w:t>
      </w:r>
      <w:r>
        <w:rPr>
          <w:rFonts w:ascii="Times New Roman" w:eastAsia="Times New Roman" w:hAnsi="Times New Roman" w:cs="Times New Roman"/>
          <w:sz w:val="26"/>
          <w:szCs w:val="26"/>
          <w:highlight w:val="white"/>
          <w:vertAlign w:val="superscript"/>
        </w:rPr>
        <w:t>2</w:t>
      </w:r>
      <w:r>
        <w:rPr>
          <w:rFonts w:ascii="Times New Roman" w:eastAsia="Times New Roman" w:hAnsi="Times New Roman" w:cs="Times New Roman"/>
          <w:sz w:val="26"/>
          <w:szCs w:val="26"/>
          <w:highlight w:val="white"/>
        </w:rPr>
        <w:t xml:space="preserve"> cu următorul cuprins:</w:t>
      </w:r>
    </w:p>
    <w:p w14:paraId="000000AC"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„Articolul 23</w:t>
      </w:r>
      <w:r>
        <w:rPr>
          <w:rFonts w:ascii="Times New Roman" w:eastAsia="Times New Roman" w:hAnsi="Times New Roman" w:cs="Times New Roman"/>
          <w:sz w:val="26"/>
          <w:szCs w:val="26"/>
          <w:highlight w:val="white"/>
          <w:vertAlign w:val="superscript"/>
        </w:rPr>
        <w:t>2</w:t>
      </w:r>
      <w:r>
        <w:rPr>
          <w:rFonts w:ascii="Times New Roman" w:eastAsia="Times New Roman" w:hAnsi="Times New Roman" w:cs="Times New Roman"/>
          <w:sz w:val="26"/>
          <w:szCs w:val="26"/>
          <w:highlight w:val="white"/>
        </w:rPr>
        <w:t>. Raportul privind punerea în aplicare</w:t>
      </w:r>
    </w:p>
    <w:p w14:paraId="000000AD"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Autoritatea publică centrală responsabilă de domeniul securității și sănătății în muncă (Ministerul Muncii și Protecției Sociale, în baza rapoartelor anuale privind activitatea Inspectoratului de Stat al Muncii, întocmite conform art.13 din Legea nr.140/2001, precum și a altor autorități publice de resort), transmite Comisiei Europene, din cinci în cinci ani, un raport unic privind punerea în aplicare a prezentei legi și a actelor normative naționale care transpun directivele speciale adoptate în temeiul acesteia, menționând punctul de vedere al partenerilor sociali. Raportul evaluează diversele aspecte privind punerea în practică a diferitelor directive și furnizează, dacă este necesar și dacă sunt disponibile, informații detaliate pe sexe.</w:t>
      </w:r>
    </w:p>
    <w:p w14:paraId="000000AE"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Raportul prevăzut la alin (1), se elaborează în conformitate cu structura și chestionarul stabilite de Comisia Europeană, în colaborare cu Comitetul consultativ pentru securitate și sănătate la locul de muncă.</w:t>
      </w:r>
    </w:p>
    <w:p w14:paraId="000000AF"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Raportul cuprinde:</w:t>
      </w:r>
    </w:p>
    <w:p w14:paraId="000000B0"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 o parte generală privind principiile și aspectele comune aplicabile tuturor actelor normative menționate la alin. (1);</w:t>
      </w:r>
    </w:p>
    <w:p w14:paraId="000000B1"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capitole specifice referitoare la punerea în aplicare a fiecărui act normativ, inclusiv indicatori specifici, în măsura în care sunt disponibili.</w:t>
      </w:r>
    </w:p>
    <w:p w14:paraId="000000B2"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(4) Raportul se transmite Comisiei Europene în termen de 12 luni de la încheierea perioadei de cinci ani la care se referă.”</w:t>
      </w:r>
    </w:p>
    <w:p w14:paraId="000000B3" w14:textId="77777777" w:rsidR="002B639B" w:rsidRDefault="002B639B">
      <w:pPr>
        <w:spacing w:line="240" w:lineRule="auto"/>
        <w:ind w:firstLine="700"/>
        <w:jc w:val="both"/>
        <w:rPr>
          <w:rFonts w:ascii="Times New Roman" w:eastAsia="Times New Roman" w:hAnsi="Times New Roman" w:cs="Times New Roman"/>
          <w:b/>
          <w:bCs/>
          <w:sz w:val="26"/>
          <w:szCs w:val="26"/>
          <w:highlight w:val="white"/>
        </w:rPr>
      </w:pPr>
    </w:p>
    <w:p w14:paraId="000000B4"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10.</w:t>
      </w:r>
      <w:r>
        <w:rPr>
          <w:rFonts w:ascii="Times New Roman" w:eastAsia="Times New Roman" w:hAnsi="Times New Roman" w:cs="Times New Roman"/>
          <w:sz w:val="26"/>
          <w:szCs w:val="26"/>
          <w:highlight w:val="white"/>
        </w:rPr>
        <w:t xml:space="preserve"> La articolul 24 se completează cu alineatul (3) cu următorul cuprins:</w:t>
      </w:r>
    </w:p>
    <w:p w14:paraId="000000B5"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„(3) Articolul 23</w:t>
      </w:r>
      <w:r>
        <w:rPr>
          <w:rFonts w:ascii="Times New Roman" w:eastAsia="Times New Roman" w:hAnsi="Times New Roman" w:cs="Times New Roman"/>
          <w:sz w:val="26"/>
          <w:szCs w:val="26"/>
          <w:highlight w:val="white"/>
          <w:vertAlign w:val="superscript"/>
        </w:rPr>
        <w:t>2</w:t>
      </w:r>
      <w:r>
        <w:rPr>
          <w:rFonts w:ascii="Times New Roman" w:eastAsia="Times New Roman" w:hAnsi="Times New Roman" w:cs="Times New Roman"/>
          <w:sz w:val="26"/>
          <w:szCs w:val="26"/>
          <w:highlight w:val="white"/>
        </w:rPr>
        <w:t xml:space="preserve"> intră în vigoare la data aderării Republicii Moldova la Uniunea Europeană.”.</w:t>
      </w:r>
    </w:p>
    <w:p w14:paraId="000000B6" w14:textId="77777777" w:rsidR="002B639B" w:rsidRDefault="002B639B">
      <w:pPr>
        <w:spacing w:line="240" w:lineRule="auto"/>
        <w:jc w:val="both"/>
        <w:rPr>
          <w:rFonts w:ascii="Times New Roman" w:eastAsia="Times New Roman" w:hAnsi="Times New Roman" w:cs="Times New Roman"/>
          <w:b/>
          <w:bCs/>
          <w:sz w:val="26"/>
          <w:szCs w:val="26"/>
          <w:highlight w:val="white"/>
        </w:rPr>
      </w:pPr>
    </w:p>
    <w:p w14:paraId="000000B7"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Art. IV. – Codul contravențional al Republicii Moldova nr. 218/2008</w:t>
      </w:r>
      <w:r>
        <w:rPr>
          <w:rFonts w:ascii="Times New Roman" w:eastAsia="Times New Roman" w:hAnsi="Times New Roman" w:cs="Times New Roman"/>
          <w:sz w:val="26"/>
          <w:szCs w:val="26"/>
          <w:highlight w:val="white"/>
        </w:rPr>
        <w:t xml:space="preserve"> (republicat în Monitorul Oficial al Republicii Moldova, 2017, nr. 78–84, art. 100), cu modificările ulterioare, se modifică după cum urmează:</w:t>
      </w:r>
    </w:p>
    <w:p w14:paraId="000000B8" w14:textId="77777777" w:rsidR="002B639B" w:rsidRDefault="002B639B">
      <w:pPr>
        <w:shd w:val="clear" w:color="auto" w:fill="FFFFFF"/>
        <w:spacing w:line="240" w:lineRule="auto"/>
        <w:ind w:firstLine="705"/>
        <w:jc w:val="both"/>
        <w:rPr>
          <w:rFonts w:ascii="Times New Roman" w:eastAsia="Times New Roman" w:hAnsi="Times New Roman" w:cs="Times New Roman"/>
          <w:b/>
          <w:bCs/>
          <w:sz w:val="26"/>
          <w:szCs w:val="26"/>
          <w:highlight w:val="white"/>
        </w:rPr>
      </w:pPr>
    </w:p>
    <w:p w14:paraId="000000B9"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1.</w:t>
      </w:r>
      <w:r>
        <w:rPr>
          <w:rFonts w:ascii="Times New Roman" w:eastAsia="Times New Roman" w:hAnsi="Times New Roman" w:cs="Times New Roman"/>
          <w:sz w:val="26"/>
          <w:szCs w:val="26"/>
          <w:highlight w:val="white"/>
        </w:rPr>
        <w:t xml:space="preserve"> După clauza de adoptare se introduce clauza de armonizare cu următorul cuprins:</w:t>
      </w:r>
    </w:p>
    <w:p w14:paraId="000000BA"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„Prezenta lege:</w:t>
      </w:r>
    </w:p>
    <w:p w14:paraId="000000BB"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transpune parțial Directiva 2002/14/CE a Parlamentului European și a Consiliului din 11 martie 2002 de stabilire a unui cadru general de informare și consultare a lucrătorilor din Comunitatea Europeană, CELEX: 32002L0014, publicată în Jurnalul Oficial al Uniunii Europene L 80 din 23 martie 2002, astfel cum a fost modificată ultima oară prin Directiva (UE) 2015/1794 a Parlamentului European și a Consiliului din 6 octombrie 2015;</w:t>
      </w:r>
    </w:p>
    <w:p w14:paraId="000000BC"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p w14:paraId="000000BD" w14:textId="77777777" w:rsidR="002B639B" w:rsidRDefault="002B639B">
      <w:pPr>
        <w:shd w:val="clear" w:color="auto" w:fill="FFFFFF"/>
        <w:spacing w:line="240" w:lineRule="auto"/>
        <w:jc w:val="both"/>
        <w:rPr>
          <w:rFonts w:ascii="Times New Roman" w:eastAsia="Times New Roman" w:hAnsi="Times New Roman" w:cs="Times New Roman"/>
          <w:sz w:val="26"/>
          <w:szCs w:val="26"/>
          <w:highlight w:val="white"/>
        </w:rPr>
      </w:pPr>
    </w:p>
    <w:p w14:paraId="000000BE"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2. </w:t>
      </w:r>
      <w:r>
        <w:rPr>
          <w:rFonts w:ascii="Times New Roman" w:eastAsia="Times New Roman" w:hAnsi="Times New Roman" w:cs="Times New Roman"/>
          <w:sz w:val="26"/>
          <w:szCs w:val="26"/>
          <w:highlight w:val="white"/>
        </w:rPr>
        <w:t xml:space="preserve">Articolul 55 alineatul (1) se completează cu litera k) cu următorul cuprins: </w:t>
      </w:r>
    </w:p>
    <w:p w14:paraId="000000BF"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„k) nerespectarea de către angajator a obligației de informare și consultare a salariaților în condițiile art. 42</w:t>
      </w:r>
      <w:r>
        <w:rPr>
          <w:rFonts w:ascii="Times New Roman" w:eastAsia="Times New Roman" w:hAnsi="Times New Roman" w:cs="Times New Roman"/>
          <w:sz w:val="26"/>
          <w:szCs w:val="26"/>
          <w:highlight w:val="white"/>
          <w:vertAlign w:val="superscript"/>
        </w:rPr>
        <w:t xml:space="preserve">1 </w:t>
      </w:r>
      <w:r>
        <w:rPr>
          <w:rFonts w:ascii="Times New Roman" w:eastAsia="Times New Roman" w:hAnsi="Times New Roman" w:cs="Times New Roman"/>
          <w:sz w:val="26"/>
          <w:szCs w:val="26"/>
          <w:highlight w:val="white"/>
        </w:rPr>
        <w:t>din Codul muncii.”</w:t>
      </w:r>
    </w:p>
    <w:p w14:paraId="000000C0" w14:textId="77777777" w:rsidR="002B639B" w:rsidRDefault="002B639B">
      <w:pPr>
        <w:spacing w:line="240" w:lineRule="auto"/>
        <w:ind w:firstLine="700"/>
        <w:jc w:val="both"/>
        <w:rPr>
          <w:rFonts w:ascii="Times New Roman" w:eastAsia="Times New Roman" w:hAnsi="Times New Roman" w:cs="Times New Roman"/>
          <w:sz w:val="26"/>
          <w:szCs w:val="26"/>
          <w:highlight w:val="white"/>
        </w:rPr>
      </w:pPr>
    </w:p>
    <w:p w14:paraId="000000C1"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3.</w:t>
      </w:r>
      <w:r>
        <w:rPr>
          <w:rFonts w:ascii="Times New Roman" w:eastAsia="Times New Roman" w:hAnsi="Times New Roman" w:cs="Times New Roman"/>
          <w:sz w:val="26"/>
          <w:szCs w:val="26"/>
          <w:highlight w:val="white"/>
        </w:rPr>
        <w:t xml:space="preserve"> Se completează cu art. 55</w:t>
      </w:r>
      <w:r>
        <w:rPr>
          <w:rFonts w:ascii="Times New Roman" w:eastAsia="Times New Roman" w:hAnsi="Times New Roman" w:cs="Times New Roman"/>
          <w:sz w:val="26"/>
          <w:szCs w:val="26"/>
          <w:highlight w:val="white"/>
          <w:vertAlign w:val="superscript"/>
        </w:rPr>
        <w:t>6</w:t>
      </w:r>
      <w:r>
        <w:rPr>
          <w:rFonts w:ascii="Times New Roman" w:eastAsia="Times New Roman" w:hAnsi="Times New Roman" w:cs="Times New Roman"/>
          <w:sz w:val="26"/>
          <w:szCs w:val="26"/>
          <w:highlight w:val="white"/>
        </w:rPr>
        <w:t xml:space="preserve">  cu următorul cuprins: </w:t>
      </w:r>
    </w:p>
    <w:p w14:paraId="000000C2"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„Articolul 55</w:t>
      </w:r>
      <w:r>
        <w:rPr>
          <w:rFonts w:ascii="Times New Roman" w:eastAsia="Times New Roman" w:hAnsi="Times New Roman" w:cs="Times New Roman"/>
          <w:b/>
          <w:bCs/>
          <w:sz w:val="26"/>
          <w:szCs w:val="26"/>
          <w:highlight w:val="white"/>
          <w:vertAlign w:val="superscript"/>
        </w:rPr>
        <w:t>6</w:t>
      </w:r>
      <w:r>
        <w:rPr>
          <w:rFonts w:ascii="Times New Roman" w:eastAsia="Times New Roman" w:hAnsi="Times New Roman" w:cs="Times New Roman"/>
          <w:sz w:val="26"/>
          <w:szCs w:val="26"/>
          <w:highlight w:val="white"/>
        </w:rPr>
        <w:t>. Încălcarea legislației muncii, în domeniul detașării transnaționale a salariaților</w:t>
      </w:r>
    </w:p>
    <w:p w14:paraId="000000C3"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(1) Încălcarea legislației muncii, în domeniul detașării transnaționale a salariaților, manifestată prin:</w:t>
      </w:r>
    </w:p>
    <w:p w14:paraId="000000C4"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a) modificarea unilaterală de către angajator a </w:t>
      </w:r>
      <w:proofErr w:type="spellStart"/>
      <w:r>
        <w:rPr>
          <w:rFonts w:ascii="Times New Roman" w:eastAsia="Times New Roman" w:hAnsi="Times New Roman" w:cs="Times New Roman"/>
          <w:sz w:val="26"/>
          <w:szCs w:val="26"/>
          <w:highlight w:val="white"/>
        </w:rPr>
        <w:t>relaţiilor</w:t>
      </w:r>
      <w:proofErr w:type="spellEnd"/>
      <w:r>
        <w:rPr>
          <w:rFonts w:ascii="Times New Roman" w:eastAsia="Times New Roman" w:hAnsi="Times New Roman" w:cs="Times New Roman"/>
          <w:sz w:val="26"/>
          <w:szCs w:val="26"/>
          <w:highlight w:val="white"/>
        </w:rPr>
        <w:t xml:space="preserve"> sau a </w:t>
      </w:r>
      <w:proofErr w:type="spellStart"/>
      <w:r>
        <w:rPr>
          <w:rFonts w:ascii="Times New Roman" w:eastAsia="Times New Roman" w:hAnsi="Times New Roman" w:cs="Times New Roman"/>
          <w:sz w:val="26"/>
          <w:szCs w:val="26"/>
          <w:highlight w:val="white"/>
        </w:rPr>
        <w:t>condiţiilor</w:t>
      </w:r>
      <w:proofErr w:type="spellEnd"/>
      <w:r>
        <w:rPr>
          <w:rFonts w:ascii="Times New Roman" w:eastAsia="Times New Roman" w:hAnsi="Times New Roman" w:cs="Times New Roman"/>
          <w:sz w:val="26"/>
          <w:szCs w:val="26"/>
          <w:highlight w:val="white"/>
        </w:rPr>
        <w:t xml:space="preserve"> de muncă, inclusiv concedierea salariatului </w:t>
      </w:r>
      <w:proofErr w:type="spellStart"/>
      <w:r>
        <w:rPr>
          <w:rFonts w:ascii="Times New Roman" w:eastAsia="Times New Roman" w:hAnsi="Times New Roman" w:cs="Times New Roman"/>
          <w:sz w:val="26"/>
          <w:szCs w:val="26"/>
          <w:highlight w:val="white"/>
        </w:rPr>
        <w:t>detaşat</w:t>
      </w:r>
      <w:proofErr w:type="spellEnd"/>
      <w:r>
        <w:rPr>
          <w:rFonts w:ascii="Times New Roman" w:eastAsia="Times New Roman" w:hAnsi="Times New Roman" w:cs="Times New Roman"/>
          <w:sz w:val="26"/>
          <w:szCs w:val="26"/>
          <w:highlight w:val="white"/>
        </w:rPr>
        <w:t xml:space="preserve"> care a înaintat o </w:t>
      </w:r>
      <w:proofErr w:type="spellStart"/>
      <w:r>
        <w:rPr>
          <w:rFonts w:ascii="Times New Roman" w:eastAsia="Times New Roman" w:hAnsi="Times New Roman" w:cs="Times New Roman"/>
          <w:sz w:val="26"/>
          <w:szCs w:val="26"/>
          <w:highlight w:val="white"/>
        </w:rPr>
        <w:t>acţiune</w:t>
      </w:r>
      <w:proofErr w:type="spellEnd"/>
      <w:r>
        <w:rPr>
          <w:rFonts w:ascii="Times New Roman" w:eastAsia="Times New Roman" w:hAnsi="Times New Roman" w:cs="Times New Roman"/>
          <w:sz w:val="26"/>
          <w:szCs w:val="26"/>
          <w:highlight w:val="white"/>
        </w:rPr>
        <w:t xml:space="preserve"> administrativă ori care a depus o plângere la </w:t>
      </w:r>
      <w:proofErr w:type="spellStart"/>
      <w:r>
        <w:rPr>
          <w:rFonts w:ascii="Times New Roman" w:eastAsia="Times New Roman" w:hAnsi="Times New Roman" w:cs="Times New Roman"/>
          <w:sz w:val="26"/>
          <w:szCs w:val="26"/>
          <w:highlight w:val="white"/>
        </w:rPr>
        <w:t>instanţele</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judecătoreşti</w:t>
      </w:r>
      <w:proofErr w:type="spellEnd"/>
      <w:r>
        <w:rPr>
          <w:rFonts w:ascii="Times New Roman" w:eastAsia="Times New Roman" w:hAnsi="Times New Roman" w:cs="Times New Roman"/>
          <w:sz w:val="26"/>
          <w:szCs w:val="26"/>
          <w:highlight w:val="white"/>
        </w:rPr>
        <w:t xml:space="preserve"> competente în vederea aplicării prevederilor Legii privind detașarea salariaților în cadrul prestării de servicii transnaționale,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după ce hotărârea judecătorească a rămas definitivă;</w:t>
      </w:r>
    </w:p>
    <w:p w14:paraId="000000C5"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încălcarea obligației de informare a agentului de muncă temporară, de către întreprinderea utilizatoare înființată sau care își desfășoară activitatea pe teritoriul Republicii Moldova conform art. 7 alin. (2) al Legii privind detașarea salariaților în cadrul prestării de servicii transnaționale;</w:t>
      </w:r>
    </w:p>
    <w:p w14:paraId="000000C6"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se </w:t>
      </w:r>
      <w:proofErr w:type="spellStart"/>
      <w:r>
        <w:rPr>
          <w:rFonts w:ascii="Times New Roman" w:eastAsia="Times New Roman" w:hAnsi="Times New Roman" w:cs="Times New Roman"/>
          <w:sz w:val="26"/>
          <w:szCs w:val="26"/>
          <w:highlight w:val="white"/>
        </w:rPr>
        <w:t>sancţionează</w:t>
      </w:r>
      <w:proofErr w:type="spellEnd"/>
      <w:r>
        <w:rPr>
          <w:rFonts w:ascii="Times New Roman" w:eastAsia="Times New Roman" w:hAnsi="Times New Roman" w:cs="Times New Roman"/>
          <w:sz w:val="26"/>
          <w:szCs w:val="26"/>
          <w:highlight w:val="white"/>
        </w:rPr>
        <w:t xml:space="preserve">, cu amendă de la 1000 la 1500 de </w:t>
      </w:r>
      <w:proofErr w:type="spellStart"/>
      <w:r>
        <w:rPr>
          <w:rFonts w:ascii="Times New Roman" w:eastAsia="Times New Roman" w:hAnsi="Times New Roman" w:cs="Times New Roman"/>
          <w:sz w:val="26"/>
          <w:szCs w:val="26"/>
          <w:highlight w:val="white"/>
        </w:rPr>
        <w:t>unităţi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cu </w:t>
      </w:r>
      <w:proofErr w:type="spellStart"/>
      <w:r>
        <w:rPr>
          <w:rFonts w:ascii="Times New Roman" w:eastAsia="Times New Roman" w:hAnsi="Times New Roman" w:cs="Times New Roman"/>
          <w:sz w:val="26"/>
          <w:szCs w:val="26"/>
          <w:highlight w:val="white"/>
        </w:rPr>
        <w:t>funcţie</w:t>
      </w:r>
      <w:proofErr w:type="spellEnd"/>
      <w:r>
        <w:rPr>
          <w:rFonts w:ascii="Times New Roman" w:eastAsia="Times New Roman" w:hAnsi="Times New Roman" w:cs="Times New Roman"/>
          <w:sz w:val="26"/>
          <w:szCs w:val="26"/>
          <w:highlight w:val="white"/>
        </w:rPr>
        <w:t xml:space="preserve"> de răspundere, cu amendă de la 1000 la 1500 de </w:t>
      </w:r>
      <w:proofErr w:type="spellStart"/>
      <w:r>
        <w:rPr>
          <w:rFonts w:ascii="Times New Roman" w:eastAsia="Times New Roman" w:hAnsi="Times New Roman" w:cs="Times New Roman"/>
          <w:sz w:val="26"/>
          <w:szCs w:val="26"/>
          <w:highlight w:val="white"/>
        </w:rPr>
        <w:t>unităţi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juridice.</w:t>
      </w:r>
    </w:p>
    <w:p w14:paraId="000000C7"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(2) Încălcarea legislației muncii, în domeniul detașării transnaționale a salariaților, manifestată prin:</w:t>
      </w:r>
    </w:p>
    <w:p w14:paraId="000000C8"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lastRenderedPageBreak/>
        <w:t xml:space="preserve">a) încălcarea, de către întreprinderile stabilite pe teritoriul Republicii Moldova care, în cadrul prestării de servicii </w:t>
      </w:r>
      <w:proofErr w:type="spellStart"/>
      <w:r>
        <w:rPr>
          <w:rFonts w:ascii="Times New Roman" w:eastAsia="Times New Roman" w:hAnsi="Times New Roman" w:cs="Times New Roman"/>
          <w:sz w:val="26"/>
          <w:szCs w:val="26"/>
          <w:highlight w:val="white"/>
        </w:rPr>
        <w:t>transnaţionale</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detaşează</w:t>
      </w:r>
      <w:proofErr w:type="spellEnd"/>
      <w:r>
        <w:rPr>
          <w:rFonts w:ascii="Times New Roman" w:eastAsia="Times New Roman" w:hAnsi="Times New Roman" w:cs="Times New Roman"/>
          <w:sz w:val="26"/>
          <w:szCs w:val="26"/>
          <w:highlight w:val="white"/>
        </w:rPr>
        <w:t xml:space="preserve">, pe teritoriul unui stat membru, altul decât Republica Moldova, sau pe teritoriul </w:t>
      </w:r>
      <w:proofErr w:type="spellStart"/>
      <w:r>
        <w:rPr>
          <w:rFonts w:ascii="Times New Roman" w:eastAsia="Times New Roman" w:hAnsi="Times New Roman" w:cs="Times New Roman"/>
          <w:sz w:val="26"/>
          <w:szCs w:val="26"/>
          <w:highlight w:val="white"/>
        </w:rPr>
        <w:t>Confederaţiei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Elveţiene</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salariaţi</w:t>
      </w:r>
      <w:proofErr w:type="spellEnd"/>
      <w:r>
        <w:rPr>
          <w:rFonts w:ascii="Times New Roman" w:eastAsia="Times New Roman" w:hAnsi="Times New Roman" w:cs="Times New Roman"/>
          <w:sz w:val="26"/>
          <w:szCs w:val="26"/>
          <w:highlight w:val="white"/>
        </w:rPr>
        <w:t xml:space="preserve"> cu care au stabilite raporturi de muncă, a obligației de a informa, în scris, salariatul </w:t>
      </w:r>
      <w:proofErr w:type="spellStart"/>
      <w:r>
        <w:rPr>
          <w:rFonts w:ascii="Times New Roman" w:eastAsia="Times New Roman" w:hAnsi="Times New Roman" w:cs="Times New Roman"/>
          <w:sz w:val="26"/>
          <w:szCs w:val="26"/>
          <w:highlight w:val="white"/>
        </w:rPr>
        <w:t>detaşat</w:t>
      </w:r>
      <w:proofErr w:type="spellEnd"/>
      <w:r>
        <w:rPr>
          <w:rFonts w:ascii="Times New Roman" w:eastAsia="Times New Roman" w:hAnsi="Times New Roman" w:cs="Times New Roman"/>
          <w:sz w:val="26"/>
          <w:szCs w:val="26"/>
          <w:highlight w:val="white"/>
        </w:rPr>
        <w:t xml:space="preserve"> de pe teritoriul Republicii Moldova, anterior </w:t>
      </w:r>
      <w:proofErr w:type="spellStart"/>
      <w:r>
        <w:rPr>
          <w:rFonts w:ascii="Times New Roman" w:eastAsia="Times New Roman" w:hAnsi="Times New Roman" w:cs="Times New Roman"/>
          <w:sz w:val="26"/>
          <w:szCs w:val="26"/>
          <w:highlight w:val="white"/>
        </w:rPr>
        <w:t>detaşării</w:t>
      </w:r>
      <w:proofErr w:type="spellEnd"/>
      <w:r>
        <w:rPr>
          <w:rFonts w:ascii="Times New Roman" w:eastAsia="Times New Roman" w:hAnsi="Times New Roman" w:cs="Times New Roman"/>
          <w:sz w:val="26"/>
          <w:szCs w:val="26"/>
          <w:highlight w:val="white"/>
        </w:rPr>
        <w:t>, cu privire la:</w:t>
      </w:r>
    </w:p>
    <w:p w14:paraId="000000C9"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1. elementele constitutive ale </w:t>
      </w:r>
      <w:proofErr w:type="spellStart"/>
      <w:r>
        <w:rPr>
          <w:rFonts w:ascii="Times New Roman" w:eastAsia="Times New Roman" w:hAnsi="Times New Roman" w:cs="Times New Roman"/>
          <w:sz w:val="26"/>
          <w:szCs w:val="26"/>
          <w:highlight w:val="white"/>
        </w:rPr>
        <w:t>remuneraţiei</w:t>
      </w:r>
      <w:proofErr w:type="spellEnd"/>
      <w:r>
        <w:rPr>
          <w:rFonts w:ascii="Times New Roman" w:eastAsia="Times New Roman" w:hAnsi="Times New Roman" w:cs="Times New Roman"/>
          <w:sz w:val="26"/>
          <w:szCs w:val="26"/>
          <w:highlight w:val="white"/>
        </w:rPr>
        <w:t xml:space="preserve"> la care are dreptul salariatul, în conformitate cu </w:t>
      </w:r>
      <w:proofErr w:type="spellStart"/>
      <w:r>
        <w:rPr>
          <w:rFonts w:ascii="Times New Roman" w:eastAsia="Times New Roman" w:hAnsi="Times New Roman" w:cs="Times New Roman"/>
          <w:sz w:val="26"/>
          <w:szCs w:val="26"/>
          <w:highlight w:val="white"/>
        </w:rPr>
        <w:t>legislaţia</w:t>
      </w:r>
      <w:proofErr w:type="spellEnd"/>
      <w:r>
        <w:rPr>
          <w:rFonts w:ascii="Times New Roman" w:eastAsia="Times New Roman" w:hAnsi="Times New Roman" w:cs="Times New Roman"/>
          <w:sz w:val="26"/>
          <w:szCs w:val="26"/>
          <w:highlight w:val="white"/>
        </w:rPr>
        <w:t xml:space="preserve"> aplicabilă în statul membru gazdă,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nivelul acestora;</w:t>
      </w:r>
    </w:p>
    <w:p w14:paraId="000000CA"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2. cuantumul total al </w:t>
      </w:r>
      <w:proofErr w:type="spellStart"/>
      <w:r>
        <w:rPr>
          <w:rFonts w:ascii="Times New Roman" w:eastAsia="Times New Roman" w:hAnsi="Times New Roman" w:cs="Times New Roman"/>
          <w:sz w:val="26"/>
          <w:szCs w:val="26"/>
          <w:highlight w:val="white"/>
        </w:rPr>
        <w:t>remuneraţiei</w:t>
      </w:r>
      <w:proofErr w:type="spellEnd"/>
      <w:r>
        <w:rPr>
          <w:rFonts w:ascii="Times New Roman" w:eastAsia="Times New Roman" w:hAnsi="Times New Roman" w:cs="Times New Roman"/>
          <w:sz w:val="26"/>
          <w:szCs w:val="26"/>
          <w:highlight w:val="white"/>
        </w:rPr>
        <w:t xml:space="preserve"> acordate salariatului pe perioada </w:t>
      </w:r>
      <w:proofErr w:type="spellStart"/>
      <w:r>
        <w:rPr>
          <w:rFonts w:ascii="Times New Roman" w:eastAsia="Times New Roman" w:hAnsi="Times New Roman" w:cs="Times New Roman"/>
          <w:sz w:val="26"/>
          <w:szCs w:val="26"/>
          <w:highlight w:val="white"/>
        </w:rPr>
        <w:t>detaşării</w:t>
      </w:r>
      <w:proofErr w:type="spellEnd"/>
      <w:r>
        <w:rPr>
          <w:rFonts w:ascii="Times New Roman" w:eastAsia="Times New Roman" w:hAnsi="Times New Roman" w:cs="Times New Roman"/>
          <w:sz w:val="26"/>
          <w:szCs w:val="26"/>
          <w:highlight w:val="white"/>
        </w:rPr>
        <w:t xml:space="preserve">, cu </w:t>
      </w:r>
      <w:proofErr w:type="spellStart"/>
      <w:r>
        <w:rPr>
          <w:rFonts w:ascii="Times New Roman" w:eastAsia="Times New Roman" w:hAnsi="Times New Roman" w:cs="Times New Roman"/>
          <w:sz w:val="26"/>
          <w:szCs w:val="26"/>
          <w:highlight w:val="white"/>
        </w:rPr>
        <w:t>evidenţierea</w:t>
      </w:r>
      <w:proofErr w:type="spellEnd"/>
      <w:r>
        <w:rPr>
          <w:rFonts w:ascii="Times New Roman" w:eastAsia="Times New Roman" w:hAnsi="Times New Roman" w:cs="Times New Roman"/>
          <w:sz w:val="26"/>
          <w:szCs w:val="26"/>
          <w:highlight w:val="white"/>
        </w:rPr>
        <w:t xml:space="preserve"> distinctă a </w:t>
      </w:r>
      <w:proofErr w:type="spellStart"/>
      <w:r>
        <w:rPr>
          <w:rFonts w:ascii="Times New Roman" w:eastAsia="Times New Roman" w:hAnsi="Times New Roman" w:cs="Times New Roman"/>
          <w:sz w:val="26"/>
          <w:szCs w:val="26"/>
          <w:highlight w:val="white"/>
        </w:rPr>
        <w:t>indemnizaţiei</w:t>
      </w:r>
      <w:proofErr w:type="spellEnd"/>
      <w:r>
        <w:rPr>
          <w:rFonts w:ascii="Times New Roman" w:eastAsia="Times New Roman" w:hAnsi="Times New Roman" w:cs="Times New Roman"/>
          <w:sz w:val="26"/>
          <w:szCs w:val="26"/>
          <w:highlight w:val="white"/>
        </w:rPr>
        <w:t xml:space="preserve"> specifice </w:t>
      </w:r>
      <w:proofErr w:type="spellStart"/>
      <w:r>
        <w:rPr>
          <w:rFonts w:ascii="Times New Roman" w:eastAsia="Times New Roman" w:hAnsi="Times New Roman" w:cs="Times New Roman"/>
          <w:sz w:val="26"/>
          <w:szCs w:val="26"/>
          <w:highlight w:val="white"/>
        </w:rPr>
        <w:t>detaşării</w:t>
      </w:r>
      <w:proofErr w:type="spellEnd"/>
      <w:r>
        <w:rPr>
          <w:rFonts w:ascii="Times New Roman" w:eastAsia="Times New Roman" w:hAnsi="Times New Roman" w:cs="Times New Roman"/>
          <w:sz w:val="26"/>
          <w:szCs w:val="26"/>
          <w:highlight w:val="white"/>
        </w:rPr>
        <w:t>, atunci când aceasta este acordată;</w:t>
      </w:r>
    </w:p>
    <w:p w14:paraId="000000CB"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3. cheltuielile efectiv generate de </w:t>
      </w:r>
      <w:proofErr w:type="spellStart"/>
      <w:r>
        <w:rPr>
          <w:rFonts w:ascii="Times New Roman" w:eastAsia="Times New Roman" w:hAnsi="Times New Roman" w:cs="Times New Roman"/>
          <w:sz w:val="26"/>
          <w:szCs w:val="26"/>
          <w:highlight w:val="white"/>
        </w:rPr>
        <w:t>detaşare</w:t>
      </w:r>
      <w:proofErr w:type="spellEnd"/>
      <w:r>
        <w:rPr>
          <w:rFonts w:ascii="Times New Roman" w:eastAsia="Times New Roman" w:hAnsi="Times New Roman" w:cs="Times New Roman"/>
          <w:sz w:val="26"/>
          <w:szCs w:val="26"/>
          <w:highlight w:val="white"/>
        </w:rPr>
        <w:t xml:space="preserve">, precum transportul, cazarea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masa, precum </w:t>
      </w:r>
      <w:proofErr w:type="spellStart"/>
      <w:r>
        <w:rPr>
          <w:rFonts w:ascii="Times New Roman" w:eastAsia="Times New Roman" w:hAnsi="Times New Roman" w:cs="Times New Roman"/>
          <w:sz w:val="26"/>
          <w:szCs w:val="26"/>
          <w:highlight w:val="white"/>
        </w:rPr>
        <w:t>şi</w:t>
      </w:r>
      <w:proofErr w:type="spellEnd"/>
      <w:r>
        <w:rPr>
          <w:rFonts w:ascii="Times New Roman" w:eastAsia="Times New Roman" w:hAnsi="Times New Roman" w:cs="Times New Roman"/>
          <w:sz w:val="26"/>
          <w:szCs w:val="26"/>
          <w:highlight w:val="white"/>
        </w:rPr>
        <w:t xml:space="preserve"> modalitatea de acordare sau de rambursare a acestora, respectiv modalitatea de asigurare a transportului, cazării sau mesei, după caz;</w:t>
      </w:r>
    </w:p>
    <w:p w14:paraId="000000CC"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4. linkul către site-ul oficial </w:t>
      </w:r>
      <w:proofErr w:type="spellStart"/>
      <w:r>
        <w:rPr>
          <w:rFonts w:ascii="Times New Roman" w:eastAsia="Times New Roman" w:hAnsi="Times New Roman" w:cs="Times New Roman"/>
          <w:sz w:val="26"/>
          <w:szCs w:val="26"/>
          <w:highlight w:val="white"/>
        </w:rPr>
        <w:t>naţional</w:t>
      </w:r>
      <w:proofErr w:type="spellEnd"/>
      <w:r>
        <w:rPr>
          <w:rFonts w:ascii="Times New Roman" w:eastAsia="Times New Roman" w:hAnsi="Times New Roman" w:cs="Times New Roman"/>
          <w:sz w:val="26"/>
          <w:szCs w:val="26"/>
          <w:highlight w:val="white"/>
        </w:rPr>
        <w:t xml:space="preserve"> unic creat de statul membru gazdă</w:t>
      </w:r>
    </w:p>
    <w:p w14:paraId="000000CD"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nerespectarea, de către întreprinderile stabilite pe teritoriul unui stat membru, altul decât Republica Moldova, sau pe teritoriul Confederației Elvețiene, care, în cadrul prestării de servicii transnaționale, detașează pe teritoriul Republicii Moldova salariați, a obligațiilor speciale privind condițiile de muncă și de încadrare în muncă aplicabile salariaților detașați pe teritoriul Republicii Moldova, prevăzute de Legea privind detașarea salariaților în cadrul prestării de servicii transnaționale,</w:t>
      </w:r>
    </w:p>
    <w:p w14:paraId="000000CE"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se </w:t>
      </w:r>
      <w:proofErr w:type="spellStart"/>
      <w:r>
        <w:rPr>
          <w:rFonts w:ascii="Times New Roman" w:eastAsia="Times New Roman" w:hAnsi="Times New Roman" w:cs="Times New Roman"/>
          <w:sz w:val="26"/>
          <w:szCs w:val="26"/>
          <w:highlight w:val="white"/>
        </w:rPr>
        <w:t>sancţionează</w:t>
      </w:r>
      <w:proofErr w:type="spellEnd"/>
      <w:r>
        <w:rPr>
          <w:rFonts w:ascii="Times New Roman" w:eastAsia="Times New Roman" w:hAnsi="Times New Roman" w:cs="Times New Roman"/>
          <w:sz w:val="26"/>
          <w:szCs w:val="26"/>
          <w:highlight w:val="white"/>
        </w:rPr>
        <w:t xml:space="preserve">, cu amendă de la 1000 la 1500 de </w:t>
      </w:r>
      <w:proofErr w:type="spellStart"/>
      <w:r>
        <w:rPr>
          <w:rFonts w:ascii="Times New Roman" w:eastAsia="Times New Roman" w:hAnsi="Times New Roman" w:cs="Times New Roman"/>
          <w:sz w:val="26"/>
          <w:szCs w:val="26"/>
          <w:highlight w:val="white"/>
        </w:rPr>
        <w:t>unităţi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cu </w:t>
      </w:r>
      <w:proofErr w:type="spellStart"/>
      <w:r>
        <w:rPr>
          <w:rFonts w:ascii="Times New Roman" w:eastAsia="Times New Roman" w:hAnsi="Times New Roman" w:cs="Times New Roman"/>
          <w:sz w:val="26"/>
          <w:szCs w:val="26"/>
          <w:highlight w:val="white"/>
        </w:rPr>
        <w:t>funcţie</w:t>
      </w:r>
      <w:proofErr w:type="spellEnd"/>
      <w:r>
        <w:rPr>
          <w:rFonts w:ascii="Times New Roman" w:eastAsia="Times New Roman" w:hAnsi="Times New Roman" w:cs="Times New Roman"/>
          <w:sz w:val="26"/>
          <w:szCs w:val="26"/>
          <w:highlight w:val="white"/>
        </w:rPr>
        <w:t xml:space="preserve"> de răspundere, cu amendă de la 1000 la 1500 de </w:t>
      </w:r>
      <w:proofErr w:type="spellStart"/>
      <w:r>
        <w:rPr>
          <w:rFonts w:ascii="Times New Roman" w:eastAsia="Times New Roman" w:hAnsi="Times New Roman" w:cs="Times New Roman"/>
          <w:sz w:val="26"/>
          <w:szCs w:val="26"/>
          <w:highlight w:val="white"/>
        </w:rPr>
        <w:t>unităţi</w:t>
      </w:r>
      <w:proofErr w:type="spellEnd"/>
      <w:r>
        <w:rPr>
          <w:rFonts w:ascii="Times New Roman" w:eastAsia="Times New Roman" w:hAnsi="Times New Roman" w:cs="Times New Roman"/>
          <w:sz w:val="26"/>
          <w:szCs w:val="26"/>
          <w:highlight w:val="white"/>
        </w:rPr>
        <w:t xml:space="preserve"> </w:t>
      </w:r>
      <w:proofErr w:type="spellStart"/>
      <w:r>
        <w:rPr>
          <w:rFonts w:ascii="Times New Roman" w:eastAsia="Times New Roman" w:hAnsi="Times New Roman" w:cs="Times New Roman"/>
          <w:sz w:val="26"/>
          <w:szCs w:val="26"/>
          <w:highlight w:val="white"/>
        </w:rPr>
        <w:t>convenţionale</w:t>
      </w:r>
      <w:proofErr w:type="spellEnd"/>
      <w:r>
        <w:rPr>
          <w:rFonts w:ascii="Times New Roman" w:eastAsia="Times New Roman" w:hAnsi="Times New Roman" w:cs="Times New Roman"/>
          <w:sz w:val="26"/>
          <w:szCs w:val="26"/>
          <w:highlight w:val="white"/>
        </w:rPr>
        <w:t xml:space="preserve"> aplicată persoanei juridice.</w:t>
      </w:r>
    </w:p>
    <w:p w14:paraId="000000CF"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(3) Încălcarea cerințelor administrative și a măsurilor de control în domeniul detașării transnaționale a salariaților, manifestată prin:</w:t>
      </w:r>
    </w:p>
    <w:p w14:paraId="000000D0"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a) neprezentarea sau prezentarea tardivă a declarației prevăzute la art. 39 alin. (2) lit. a) din Legea privind detașarea salariaților în cadrul prestării de servicii transnaționale;</w:t>
      </w:r>
    </w:p>
    <w:p w14:paraId="000000D1"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b) neasigurarea păstrării și/sau neprezentarea documentelor prevăzute la art. 39 alin. (2) lit. b)–d) din Legea privind detașarea salariaților în cadrul prestării de servicii transnaționale;</w:t>
      </w:r>
    </w:p>
    <w:p w14:paraId="000000D2"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c) </w:t>
      </w:r>
      <w:proofErr w:type="spellStart"/>
      <w:r>
        <w:rPr>
          <w:rFonts w:ascii="Times New Roman" w:eastAsia="Times New Roman" w:hAnsi="Times New Roman" w:cs="Times New Roman"/>
          <w:sz w:val="26"/>
          <w:szCs w:val="26"/>
          <w:highlight w:val="white"/>
        </w:rPr>
        <w:t>nedesemnarea</w:t>
      </w:r>
      <w:proofErr w:type="spellEnd"/>
      <w:r>
        <w:rPr>
          <w:rFonts w:ascii="Times New Roman" w:eastAsia="Times New Roman" w:hAnsi="Times New Roman" w:cs="Times New Roman"/>
          <w:sz w:val="26"/>
          <w:szCs w:val="26"/>
          <w:highlight w:val="white"/>
        </w:rPr>
        <w:t xml:space="preserve"> persoanei de legătură prevăzute la art. 39 alin. (2) lit. e) din Legea privind detașarea salariaților în cadrul prestării de servicii transnaționale și/sau a persoanei de contact prevăzute la art. 39 alin. (2) lit. f) din Legea privind detașarea salariaților în cadrul prestării de servicii transnaționale;</w:t>
      </w:r>
    </w:p>
    <w:p w14:paraId="000000D3"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d) neexecutarea obligației de a furniza documentele după încetarea detașării, în termenul stabilit la art. 39 alin. (2) lit. c) din Legea privind detașarea salariaților în cadrul prestării de servicii transnaționale,</w:t>
      </w:r>
    </w:p>
    <w:p w14:paraId="000000D4"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se sancționează cu amendă de la 1000 la 1500 unități convenționale aplicată persoanei cu funcție de răspundere și cu amendă de la 1000 la 1500 unități convenționale aplicată persoanei juridice.</w:t>
      </w:r>
    </w:p>
    <w:p w14:paraId="000000D5" w14:textId="77777777" w:rsidR="002B639B" w:rsidRDefault="00000000">
      <w:pPr>
        <w:spacing w:line="240" w:lineRule="auto"/>
        <w:ind w:firstLine="566"/>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 xml:space="preserve"> </w:t>
      </w:r>
    </w:p>
    <w:p w14:paraId="000000D6" w14:textId="77777777" w:rsidR="002B639B" w:rsidRDefault="00000000">
      <w:pPr>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Art. V. </w:t>
      </w:r>
      <w:r>
        <w:rPr>
          <w:rFonts w:ascii="Times New Roman" w:eastAsia="Times New Roman" w:hAnsi="Times New Roman" w:cs="Times New Roman"/>
          <w:sz w:val="26"/>
          <w:szCs w:val="26"/>
          <w:highlight w:val="white"/>
        </w:rPr>
        <w:t>Codul de executare al Republicii Moldova nr. 443/2004 (republicat în Monitorul Oficial al Republicii Moldova, 2010, nr.214–220, art.704) cu modificările ulterioare</w:t>
      </w:r>
    </w:p>
    <w:p w14:paraId="000000D7" w14:textId="77777777" w:rsidR="002B639B" w:rsidRDefault="002B639B">
      <w:pPr>
        <w:spacing w:line="240" w:lineRule="auto"/>
        <w:ind w:firstLine="700"/>
        <w:jc w:val="both"/>
        <w:rPr>
          <w:rFonts w:ascii="Times New Roman" w:eastAsia="Times New Roman" w:hAnsi="Times New Roman" w:cs="Times New Roman"/>
          <w:sz w:val="26"/>
          <w:szCs w:val="26"/>
          <w:highlight w:val="white"/>
        </w:rPr>
      </w:pPr>
    </w:p>
    <w:p w14:paraId="000000D8"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lastRenderedPageBreak/>
        <w:t xml:space="preserve">1. </w:t>
      </w:r>
      <w:r>
        <w:rPr>
          <w:rFonts w:ascii="Times New Roman" w:eastAsia="Times New Roman" w:hAnsi="Times New Roman" w:cs="Times New Roman"/>
          <w:sz w:val="26"/>
          <w:szCs w:val="26"/>
          <w:highlight w:val="white"/>
        </w:rPr>
        <w:t>După clauza de adoptare se introduce clauza de armonizare cu următorul cuprins:</w:t>
      </w:r>
    </w:p>
    <w:p w14:paraId="000000D9" w14:textId="77777777" w:rsidR="002B639B" w:rsidRDefault="00000000">
      <w:pPr>
        <w:shd w:val="clear" w:color="auto" w:fill="FFFFFF"/>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„Prezenta lege transpune parțial Directiva 2014/67/UE a Parlamentului European și a Consiliului din 15 mai 2014 privind asigurarea respectării aplicării Directivei 96/71/CE privind detașarea lucrătorilor în cadrul prestării de servicii și de modificare a Regulamentului (UE) nr. 1024/2012 privind cooperarea administrativă prin intermediul Sistemului de informare al pieței interne ( „Regulamentul IMI” ), CELEX: 32014L0067, publicată în Jurnalul Oficial al Uniunii Europene L 159 din 28 mai 2014”.</w:t>
      </w:r>
    </w:p>
    <w:p w14:paraId="000000DA" w14:textId="77777777" w:rsidR="002B639B" w:rsidRDefault="002B639B">
      <w:pPr>
        <w:shd w:val="clear" w:color="auto" w:fill="FFFFFF"/>
        <w:spacing w:line="240" w:lineRule="auto"/>
        <w:jc w:val="both"/>
        <w:rPr>
          <w:rFonts w:ascii="Times New Roman" w:eastAsia="Times New Roman" w:hAnsi="Times New Roman" w:cs="Times New Roman"/>
          <w:sz w:val="26"/>
          <w:szCs w:val="26"/>
          <w:highlight w:val="white"/>
        </w:rPr>
      </w:pPr>
    </w:p>
    <w:p w14:paraId="000000DB" w14:textId="77777777" w:rsidR="002B639B" w:rsidRDefault="00000000">
      <w:pPr>
        <w:shd w:val="clear" w:color="auto" w:fill="FFFFFF"/>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2.</w:t>
      </w:r>
      <w:r>
        <w:rPr>
          <w:rFonts w:ascii="Times New Roman" w:eastAsia="Times New Roman" w:hAnsi="Times New Roman" w:cs="Times New Roman"/>
          <w:sz w:val="26"/>
          <w:szCs w:val="26"/>
          <w:highlight w:val="white"/>
        </w:rPr>
        <w:t xml:space="preserve"> Articolul 11 se completează cu litera f</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cu următorul cuprins:</w:t>
      </w:r>
    </w:p>
    <w:p w14:paraId="000000DC" w14:textId="77777777" w:rsidR="002B639B" w:rsidRDefault="00000000">
      <w:pPr>
        <w:shd w:val="clear" w:color="auto" w:fill="FFFFFF"/>
        <w:spacing w:line="240" w:lineRule="auto"/>
        <w:ind w:firstLine="70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highlight w:val="white"/>
        </w:rPr>
        <w:t>f</w:t>
      </w:r>
      <w:r>
        <w:rPr>
          <w:rFonts w:ascii="Times New Roman" w:eastAsia="Times New Roman" w:hAnsi="Times New Roman" w:cs="Times New Roman"/>
          <w:sz w:val="26"/>
          <w:szCs w:val="26"/>
          <w:highlight w:val="white"/>
          <w:vertAlign w:val="superscript"/>
        </w:rPr>
        <w:t>1</w:t>
      </w:r>
      <w:r>
        <w:rPr>
          <w:rFonts w:ascii="Times New Roman" w:eastAsia="Times New Roman" w:hAnsi="Times New Roman" w:cs="Times New Roman"/>
          <w:sz w:val="26"/>
          <w:szCs w:val="26"/>
          <w:highlight w:val="white"/>
        </w:rPr>
        <w:t>) actul de aplicare a sancțiunii contravenționale în domeniul detașării transnaționale a salariaților.</w:t>
      </w:r>
    </w:p>
    <w:p w14:paraId="000000DD" w14:textId="77777777" w:rsidR="002B639B" w:rsidRDefault="002B639B">
      <w:pPr>
        <w:spacing w:line="240" w:lineRule="auto"/>
        <w:ind w:firstLine="700"/>
        <w:jc w:val="both"/>
        <w:rPr>
          <w:rFonts w:ascii="Times New Roman" w:eastAsia="Times New Roman" w:hAnsi="Times New Roman" w:cs="Times New Roman"/>
          <w:b/>
          <w:bCs/>
          <w:sz w:val="26"/>
          <w:szCs w:val="26"/>
          <w:highlight w:val="white"/>
        </w:rPr>
      </w:pPr>
    </w:p>
    <w:p w14:paraId="000000DE" w14:textId="77777777" w:rsidR="002B639B" w:rsidRDefault="00000000">
      <w:pPr>
        <w:spacing w:line="240" w:lineRule="auto"/>
        <w:ind w:firstLine="700"/>
        <w:jc w:val="both"/>
        <w:rPr>
          <w:rFonts w:ascii="Times New Roman" w:eastAsia="Times New Roman" w:hAnsi="Times New Roman" w:cs="Times New Roman"/>
          <w:b/>
          <w:bCs/>
          <w:sz w:val="26"/>
          <w:szCs w:val="26"/>
          <w:highlight w:val="white"/>
        </w:rPr>
      </w:pPr>
      <w:r>
        <w:rPr>
          <w:rFonts w:ascii="Times New Roman" w:eastAsia="Times New Roman" w:hAnsi="Times New Roman" w:cs="Times New Roman"/>
          <w:b/>
          <w:bCs/>
          <w:sz w:val="26"/>
          <w:szCs w:val="26"/>
          <w:highlight w:val="white"/>
        </w:rPr>
        <w:t xml:space="preserve">Art. VI.  – Dispoziții finale și tranzitorii  </w:t>
      </w:r>
    </w:p>
    <w:p w14:paraId="000000DF"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 xml:space="preserve">(1) </w:t>
      </w:r>
      <w:r>
        <w:rPr>
          <w:rFonts w:ascii="Times New Roman" w:eastAsia="Times New Roman" w:hAnsi="Times New Roman" w:cs="Times New Roman"/>
          <w:sz w:val="26"/>
          <w:szCs w:val="26"/>
          <w:highlight w:val="white"/>
        </w:rPr>
        <w:t>Prezenta lege intră în vigoare la data publicării în Monitorul Oficial al Republicii Moldova, cu excepția Art. I pct. 2, Art. II pct. 7, Art. IV pct. 3 și Art. V, care intră în vigoare la data aderării Republicii Moldova la Uniunea Europeană.</w:t>
      </w:r>
    </w:p>
    <w:p w14:paraId="000000E0"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(2)</w:t>
      </w:r>
      <w:r>
        <w:rPr>
          <w:rFonts w:ascii="Times New Roman" w:eastAsia="Times New Roman" w:hAnsi="Times New Roman" w:cs="Times New Roman"/>
          <w:sz w:val="26"/>
          <w:szCs w:val="26"/>
          <w:highlight w:val="white"/>
        </w:rPr>
        <w:t xml:space="preserve"> Guvernul, în termen de 6 luni de la data publicării prezentei legi va aproba Regulamentul privind procedura de cooperare a Inspectoratului de Stat al muncii cu Autoritatea Europeană a Muncii.</w:t>
      </w:r>
    </w:p>
    <w:p w14:paraId="000000E1" w14:textId="77777777" w:rsidR="002B639B" w:rsidRDefault="00000000">
      <w:pPr>
        <w:spacing w:line="240" w:lineRule="auto"/>
        <w:ind w:firstLine="705"/>
        <w:jc w:val="both"/>
        <w:rPr>
          <w:rFonts w:ascii="Times New Roman" w:eastAsia="Times New Roman" w:hAnsi="Times New Roman" w:cs="Times New Roman"/>
          <w:sz w:val="26"/>
          <w:szCs w:val="26"/>
          <w:highlight w:val="white"/>
        </w:rPr>
      </w:pPr>
      <w:r>
        <w:rPr>
          <w:rFonts w:ascii="Times New Roman" w:eastAsia="Times New Roman" w:hAnsi="Times New Roman" w:cs="Times New Roman"/>
          <w:b/>
          <w:bCs/>
          <w:sz w:val="26"/>
          <w:szCs w:val="26"/>
          <w:highlight w:val="white"/>
        </w:rPr>
        <w:t>(3)</w:t>
      </w:r>
      <w:r>
        <w:rPr>
          <w:rFonts w:ascii="Times New Roman" w:eastAsia="Times New Roman" w:hAnsi="Times New Roman" w:cs="Times New Roman"/>
          <w:sz w:val="26"/>
          <w:szCs w:val="26"/>
          <w:highlight w:val="white"/>
        </w:rPr>
        <w:t xml:space="preserve"> Inspectoratul de Stat al Muncii va organiza, în termen de 12 luni de la data publicării prezentei legi, programe de instruire inițiale și continue a personalului privind aplicarea Regulamentului (UE) 2019/1149 și cooperarea cu Autoritatea Europeană a Muncii.</w:t>
      </w:r>
    </w:p>
    <w:p w14:paraId="000000E2" w14:textId="77777777" w:rsidR="002B639B" w:rsidRDefault="002B639B">
      <w:pPr>
        <w:spacing w:line="240" w:lineRule="auto"/>
        <w:jc w:val="both"/>
        <w:rPr>
          <w:rFonts w:ascii="Times New Roman" w:eastAsia="Times New Roman" w:hAnsi="Times New Roman" w:cs="Times New Roman"/>
          <w:sz w:val="26"/>
          <w:szCs w:val="26"/>
          <w:highlight w:val="white"/>
        </w:rPr>
      </w:pPr>
    </w:p>
    <w:p w14:paraId="000000E3" w14:textId="77777777" w:rsidR="002B639B" w:rsidRDefault="002B639B">
      <w:pPr>
        <w:spacing w:line="240" w:lineRule="auto"/>
        <w:jc w:val="both"/>
        <w:rPr>
          <w:rFonts w:ascii="Times New Roman" w:eastAsia="Times New Roman" w:hAnsi="Times New Roman" w:cs="Times New Roman"/>
          <w:sz w:val="26"/>
          <w:szCs w:val="26"/>
          <w:highlight w:val="white"/>
        </w:rPr>
      </w:pPr>
    </w:p>
    <w:p w14:paraId="000000E4" w14:textId="77777777" w:rsidR="002B639B" w:rsidRDefault="00000000">
      <w:pPr>
        <w:spacing w:line="240" w:lineRule="auto"/>
        <w:ind w:firstLine="700"/>
        <w:jc w:val="both"/>
        <w:rPr>
          <w:rFonts w:ascii="Times New Roman" w:eastAsia="Times New Roman" w:hAnsi="Times New Roman" w:cs="Times New Roman"/>
          <w:sz w:val="26"/>
          <w:szCs w:val="26"/>
        </w:rPr>
      </w:pPr>
      <w:r>
        <w:rPr>
          <w:rFonts w:ascii="Times New Roman" w:eastAsia="Times New Roman" w:hAnsi="Times New Roman" w:cs="Times New Roman"/>
          <w:b/>
          <w:bCs/>
          <w:sz w:val="26"/>
          <w:szCs w:val="26"/>
          <w:highlight w:val="white"/>
        </w:rPr>
        <w:t xml:space="preserve">PREȘEDINTELE  PARLAMENTULUI                                     </w:t>
      </w:r>
    </w:p>
    <w:p w14:paraId="000000E5" w14:textId="77777777" w:rsidR="002B639B" w:rsidRDefault="002B639B">
      <w:pPr>
        <w:spacing w:line="240" w:lineRule="auto"/>
        <w:ind w:firstLine="700"/>
        <w:jc w:val="both"/>
        <w:rPr>
          <w:rFonts w:ascii="Times New Roman" w:eastAsia="Times New Roman" w:hAnsi="Times New Roman" w:cs="Times New Roman"/>
          <w:b/>
          <w:bCs/>
          <w:sz w:val="26"/>
          <w:szCs w:val="26"/>
          <w:highlight w:val="white"/>
        </w:rPr>
      </w:pPr>
    </w:p>
    <w:sectPr w:rsidR="002B639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7A8B739-797B-4C7A-88A0-82DB2D51FE04}"/>
  </w:font>
  <w:font w:name="Cambria">
    <w:panose1 w:val="02040503050406030204"/>
    <w:charset w:val="00"/>
    <w:family w:val="roman"/>
    <w:pitch w:val="variable"/>
    <w:sig w:usb0="E00006FF" w:usb1="420024FF" w:usb2="02000000" w:usb3="00000000" w:csb0="0000019F" w:csb1="00000000"/>
    <w:embedRegular r:id="rId2" w:fontKey="{FEE57536-5898-457E-91C7-7EB27BFE09D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39B"/>
    <w:rsid w:val="002B639B"/>
    <w:rsid w:val="009B4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A16602-3E2A-47BC-8B0E-17AE8BFD7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4953</Words>
  <Characters>28234</Characters>
  <Application>Microsoft Office Word</Application>
  <DocSecurity>0</DocSecurity>
  <Lines>235</Lines>
  <Paragraphs>66</Paragraphs>
  <ScaleCrop>false</ScaleCrop>
  <Company/>
  <LinksUpToDate>false</LinksUpToDate>
  <CharactersWithSpaces>33121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Bacalim</dc:creator>
  <cp:lastModifiedBy>Direcția Politici în Domeniul Raporturi de Muncă</cp:lastModifiedBy>
  <cp:revision>2</cp:revision>
  <dcterms:created xsi:type="dcterms:W3CDTF">2026-04-02T10:52:00Z</dcterms:created>
  <dcterms:modified xsi:type="dcterms:W3CDTF">2026-04-02T10:52:00Z</dcterms:modified>
</cp:coreProperties>
</file>