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B9D02" w14:textId="1586D3FD" w:rsidR="00A30A0E" w:rsidRPr="00E40A66" w:rsidRDefault="00EC694B" w:rsidP="00EC694B">
      <w:pPr>
        <w:jc w:val="right"/>
        <w:rPr>
          <w:rFonts w:ascii="Times New Roman" w:hAnsi="Times New Roman" w:cs="Times New Roman"/>
          <w:sz w:val="24"/>
          <w:szCs w:val="24"/>
          <w:lang w:val="pt-BR" w:eastAsia="ru-RU"/>
        </w:rPr>
      </w:pPr>
      <w:r w:rsidRPr="00E40A66">
        <w:rPr>
          <w:rFonts w:ascii="Times New Roman" w:hAnsi="Times New Roman" w:cs="Times New Roman"/>
          <w:sz w:val="24"/>
          <w:szCs w:val="24"/>
          <w:lang w:val="pt-BR" w:eastAsia="ru-RU"/>
        </w:rPr>
        <w:t>A</w:t>
      </w:r>
      <w:r w:rsidR="0017243C" w:rsidRPr="00E40A66">
        <w:rPr>
          <w:rFonts w:ascii="Times New Roman" w:hAnsi="Times New Roman" w:cs="Times New Roman"/>
          <w:sz w:val="24"/>
          <w:szCs w:val="24"/>
          <w:lang w:val="pt-BR" w:eastAsia="ru-RU"/>
        </w:rPr>
        <w:t>nexa</w:t>
      </w:r>
      <w:r w:rsidRPr="00E40A66">
        <w:rPr>
          <w:rFonts w:ascii="Times New Roman" w:hAnsi="Times New Roman" w:cs="Times New Roman"/>
          <w:sz w:val="24"/>
          <w:szCs w:val="24"/>
          <w:lang w:val="pt-BR" w:eastAsia="ru-RU"/>
        </w:rPr>
        <w:t xml:space="preserve"> </w:t>
      </w:r>
      <w:r w:rsidR="00C03226" w:rsidRPr="00E40A66">
        <w:rPr>
          <w:rFonts w:ascii="Times New Roman" w:hAnsi="Times New Roman" w:cs="Times New Roman"/>
          <w:sz w:val="24"/>
          <w:szCs w:val="24"/>
          <w:lang w:val="pt-BR" w:eastAsia="ru-RU"/>
        </w:rPr>
        <w:t>nr.</w:t>
      </w:r>
      <w:r w:rsidRPr="00E40A66">
        <w:rPr>
          <w:rFonts w:ascii="Times New Roman" w:hAnsi="Times New Roman" w:cs="Times New Roman"/>
          <w:sz w:val="24"/>
          <w:szCs w:val="24"/>
          <w:lang w:val="pt-BR" w:eastAsia="ru-RU"/>
        </w:rPr>
        <w:t>1</w:t>
      </w:r>
    </w:p>
    <w:p w14:paraId="766B203F" w14:textId="10F76BAC" w:rsidR="004F1180" w:rsidRDefault="004F1180" w:rsidP="009D392A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pt-BR" w:eastAsia="ru-RU"/>
        </w:rPr>
      </w:pPr>
      <w:r w:rsidRPr="004F1180">
        <w:rPr>
          <w:rFonts w:ascii="Times New Roman" w:hAnsi="Times New Roman" w:cs="Times New Roman"/>
          <w:b/>
          <w:bCs/>
          <w:sz w:val="24"/>
          <w:szCs w:val="24"/>
          <w:lang w:val="pt-BR" w:eastAsia="ru-RU"/>
        </w:rPr>
        <w:t xml:space="preserve">Modelul </w:t>
      </w:r>
      <w:bookmarkStart w:id="0" w:name="_Hlk227066784"/>
      <w:r w:rsidR="00DC589F" w:rsidRPr="00227C1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de evaluare </w:t>
      </w:r>
      <w:r w:rsidR="00DC589F">
        <w:rPr>
          <w:rFonts w:ascii="Times New Roman" w:hAnsi="Times New Roman" w:cs="Times New Roman"/>
          <w:b/>
          <w:bCs/>
          <w:sz w:val="24"/>
          <w:szCs w:val="24"/>
          <w:lang w:val="ro-RO"/>
        </w:rPr>
        <w:t>a bunurilor imobile cu destinație comercială și industrială, la care sunt atribuite construcțiile și încăperile izolate cu destinație nelocativă, precum și terenurile pe care sunt amplasate sau urmează a fi amplasate astfel de construcții, din toate</w:t>
      </w:r>
      <w:r w:rsidR="00DC589F" w:rsidRPr="00227C1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localitățile Republicii Moldova, în scopul impozitării</w:t>
      </w:r>
      <w:bookmarkEnd w:id="0"/>
    </w:p>
    <w:p w14:paraId="19DEC2DE" w14:textId="77777777" w:rsidR="009D392A" w:rsidRDefault="009D392A" w:rsidP="008A45E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pt-BR" w:eastAsia="ru-RU"/>
        </w:rPr>
      </w:pPr>
    </w:p>
    <w:p w14:paraId="36382456" w14:textId="2A15E6A5" w:rsidR="000E097E" w:rsidRPr="007C0B97" w:rsidRDefault="000E097E" w:rsidP="000E097E">
      <w:p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pt-BR"/>
        </w:rPr>
      </w:pPr>
      <w:r w:rsidRPr="007C0B97">
        <w:rPr>
          <w:rFonts w:ascii="Times New Roman" w:hAnsi="Times New Roman" w:cs="Times New Roman"/>
          <w:sz w:val="24"/>
          <w:szCs w:val="28"/>
          <w:lang w:val="pt-BR"/>
        </w:rPr>
        <w:t>1. În calitate de Obiect al evaluării se consideră:</w:t>
      </w:r>
    </w:p>
    <w:p w14:paraId="22D6C40C" w14:textId="43641435" w:rsidR="000E097E" w:rsidRPr="007C0B97" w:rsidRDefault="00DC589F" w:rsidP="000E097E">
      <w:pPr>
        <w:pStyle w:val="a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pt-BR"/>
        </w:rPr>
      </w:pPr>
      <w:r>
        <w:rPr>
          <w:rFonts w:ascii="Times New Roman" w:hAnsi="Times New Roman" w:cs="Times New Roman"/>
          <w:sz w:val="24"/>
          <w:szCs w:val="28"/>
          <w:lang w:val="pt-BR"/>
        </w:rPr>
        <w:t>T</w:t>
      </w:r>
      <w:r w:rsidR="000E097E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eren </w:t>
      </w:r>
      <w:r>
        <w:rPr>
          <w:rFonts w:ascii="Times New Roman" w:hAnsi="Times New Roman" w:cs="Times New Roman"/>
          <w:sz w:val="24"/>
          <w:szCs w:val="28"/>
          <w:lang w:val="pt-BR"/>
        </w:rPr>
        <w:t xml:space="preserve">(liber) </w:t>
      </w:r>
      <w:r w:rsidR="000E097E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destinat </w:t>
      </w:r>
      <w:r>
        <w:rPr>
          <w:rFonts w:ascii="Times New Roman" w:hAnsi="Times New Roman" w:cs="Times New Roman"/>
          <w:sz w:val="24"/>
          <w:szCs w:val="28"/>
          <w:lang w:val="pt-BR"/>
        </w:rPr>
        <w:t>pentru construcți</w:t>
      </w:r>
      <w:r w:rsidR="00E817B1">
        <w:rPr>
          <w:rFonts w:ascii="Times New Roman" w:hAnsi="Times New Roman" w:cs="Times New Roman"/>
          <w:sz w:val="24"/>
          <w:szCs w:val="28"/>
          <w:lang w:val="pt-BR"/>
        </w:rPr>
        <w:t>e</w:t>
      </w:r>
      <w:r>
        <w:rPr>
          <w:rFonts w:ascii="Times New Roman" w:hAnsi="Times New Roman" w:cs="Times New Roman"/>
          <w:sz w:val="24"/>
          <w:szCs w:val="28"/>
          <w:lang w:val="pt-BR"/>
        </w:rPr>
        <w:t xml:space="preserve"> </w:t>
      </w:r>
      <w:r w:rsidR="000E097E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comercială </w:t>
      </w:r>
      <w:r>
        <w:rPr>
          <w:rFonts w:ascii="Times New Roman" w:hAnsi="Times New Roman" w:cs="Times New Roman"/>
          <w:sz w:val="24"/>
          <w:szCs w:val="28"/>
          <w:lang w:val="pt-BR"/>
        </w:rPr>
        <w:t>sau</w:t>
      </w:r>
      <w:r w:rsidR="000E097E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 industrială, amplasat</w:t>
      </w:r>
      <w:r>
        <w:rPr>
          <w:rFonts w:ascii="Times New Roman" w:hAnsi="Times New Roman" w:cs="Times New Roman"/>
          <w:sz w:val="24"/>
          <w:szCs w:val="28"/>
          <w:lang w:val="pt-BR"/>
        </w:rPr>
        <w:t xml:space="preserve"> </w:t>
      </w:r>
      <w:r w:rsidR="000E097E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în </w:t>
      </w:r>
      <w:r>
        <w:rPr>
          <w:rFonts w:ascii="Times New Roman" w:hAnsi="Times New Roman" w:cs="Times New Roman"/>
          <w:sz w:val="24"/>
          <w:szCs w:val="28"/>
          <w:lang w:val="pt-BR"/>
        </w:rPr>
        <w:t xml:space="preserve">toate </w:t>
      </w:r>
      <w:r w:rsidR="000E097E" w:rsidRPr="007C0B97">
        <w:rPr>
          <w:rFonts w:ascii="Times New Roman" w:hAnsi="Times New Roman" w:cs="Times New Roman"/>
          <w:sz w:val="24"/>
          <w:szCs w:val="28"/>
          <w:lang w:val="pt-BR"/>
        </w:rPr>
        <w:t>localitățile Republicii Moldova;</w:t>
      </w:r>
    </w:p>
    <w:p w14:paraId="242BBACE" w14:textId="1C77D3E2" w:rsidR="000E097E" w:rsidRPr="007C0B97" w:rsidRDefault="00DC589F" w:rsidP="000E097E">
      <w:pPr>
        <w:pStyle w:val="a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pt-BR"/>
        </w:rPr>
      </w:pPr>
      <w:r>
        <w:rPr>
          <w:rFonts w:ascii="Times New Roman" w:hAnsi="Times New Roman" w:cs="Times New Roman"/>
          <w:sz w:val="24"/>
          <w:szCs w:val="28"/>
          <w:lang w:val="pt-BR"/>
        </w:rPr>
        <w:t>T</w:t>
      </w:r>
      <w:r w:rsidR="000E097E" w:rsidRPr="007C0B97">
        <w:rPr>
          <w:rFonts w:ascii="Times New Roman" w:hAnsi="Times New Roman" w:cs="Times New Roman"/>
          <w:sz w:val="24"/>
          <w:szCs w:val="28"/>
          <w:lang w:val="pt-BR"/>
        </w:rPr>
        <w:t>eren aferent construcți</w:t>
      </w:r>
      <w:r>
        <w:rPr>
          <w:rFonts w:ascii="Times New Roman" w:hAnsi="Times New Roman" w:cs="Times New Roman"/>
          <w:sz w:val="24"/>
          <w:szCs w:val="28"/>
          <w:lang w:val="pt-BR"/>
        </w:rPr>
        <w:t>e</w:t>
      </w:r>
      <w:r w:rsidR="002801DE">
        <w:rPr>
          <w:rFonts w:ascii="Times New Roman" w:hAnsi="Times New Roman" w:cs="Times New Roman"/>
          <w:sz w:val="24"/>
          <w:szCs w:val="28"/>
          <w:lang w:val="pt-BR"/>
        </w:rPr>
        <w:t>i</w:t>
      </w:r>
      <w:r w:rsidR="000E097E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 </w:t>
      </w:r>
      <w:r w:rsidRPr="007C0B97">
        <w:rPr>
          <w:rFonts w:ascii="Times New Roman" w:hAnsi="Times New Roman" w:cs="Times New Roman"/>
          <w:sz w:val="24"/>
          <w:szCs w:val="28"/>
          <w:lang w:val="pt-BR"/>
        </w:rPr>
        <w:t>comercial</w:t>
      </w:r>
      <w:r w:rsidR="00E817B1">
        <w:rPr>
          <w:rFonts w:ascii="Times New Roman" w:hAnsi="Times New Roman" w:cs="Times New Roman"/>
          <w:sz w:val="24"/>
          <w:szCs w:val="28"/>
          <w:lang w:val="pt-BR"/>
        </w:rPr>
        <w:t>e</w:t>
      </w:r>
      <w:r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pt-BR"/>
        </w:rPr>
        <w:t>sau</w:t>
      </w:r>
      <w:r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 industrial</w:t>
      </w:r>
      <w:r w:rsidR="00E817B1">
        <w:rPr>
          <w:rFonts w:ascii="Times New Roman" w:hAnsi="Times New Roman" w:cs="Times New Roman"/>
          <w:sz w:val="24"/>
          <w:szCs w:val="28"/>
          <w:lang w:val="pt-BR"/>
        </w:rPr>
        <w:t>e</w:t>
      </w:r>
      <w:r w:rsidR="000E097E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, </w:t>
      </w:r>
      <w:r w:rsidR="00354EB9" w:rsidRPr="007C0B97">
        <w:rPr>
          <w:rFonts w:ascii="Times New Roman" w:hAnsi="Times New Roman" w:cs="Times New Roman"/>
          <w:sz w:val="24"/>
          <w:szCs w:val="28"/>
          <w:lang w:val="pt-BR"/>
        </w:rPr>
        <w:t>amplasat</w:t>
      </w:r>
      <w:r w:rsidR="00354EB9">
        <w:rPr>
          <w:rFonts w:ascii="Times New Roman" w:hAnsi="Times New Roman" w:cs="Times New Roman"/>
          <w:sz w:val="24"/>
          <w:szCs w:val="28"/>
          <w:lang w:val="pt-BR"/>
        </w:rPr>
        <w:t xml:space="preserve"> </w:t>
      </w:r>
      <w:r w:rsidR="00354EB9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în </w:t>
      </w:r>
      <w:r w:rsidR="00354EB9">
        <w:rPr>
          <w:rFonts w:ascii="Times New Roman" w:hAnsi="Times New Roman" w:cs="Times New Roman"/>
          <w:sz w:val="24"/>
          <w:szCs w:val="28"/>
          <w:lang w:val="pt-BR"/>
        </w:rPr>
        <w:t xml:space="preserve">toate </w:t>
      </w:r>
      <w:r w:rsidR="00354EB9" w:rsidRPr="007C0B97">
        <w:rPr>
          <w:rFonts w:ascii="Times New Roman" w:hAnsi="Times New Roman" w:cs="Times New Roman"/>
          <w:sz w:val="24"/>
          <w:szCs w:val="28"/>
          <w:lang w:val="pt-BR"/>
        </w:rPr>
        <w:t>localitățile Republicii Moldova</w:t>
      </w:r>
      <w:r w:rsidR="000E097E" w:rsidRPr="007C0B97">
        <w:rPr>
          <w:rFonts w:ascii="Times New Roman" w:hAnsi="Times New Roman" w:cs="Times New Roman"/>
          <w:sz w:val="24"/>
          <w:szCs w:val="28"/>
          <w:lang w:val="pt-BR"/>
        </w:rPr>
        <w:t>;</w:t>
      </w:r>
    </w:p>
    <w:p w14:paraId="3CAA3E63" w14:textId="3A2A918B" w:rsidR="000E097E" w:rsidRPr="007C0B97" w:rsidRDefault="00820B68" w:rsidP="000E097E">
      <w:pPr>
        <w:pStyle w:val="a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pt-BR"/>
        </w:rPr>
      </w:pPr>
      <w:r>
        <w:rPr>
          <w:rFonts w:ascii="Times New Roman" w:hAnsi="Times New Roman" w:cs="Times New Roman"/>
          <w:sz w:val="24"/>
          <w:szCs w:val="28"/>
          <w:lang w:val="pt-BR"/>
        </w:rPr>
        <w:t xml:space="preserve">Construcție </w:t>
      </w:r>
      <w:r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cu destinație comercială </w:t>
      </w:r>
      <w:r>
        <w:rPr>
          <w:rFonts w:ascii="Times New Roman" w:hAnsi="Times New Roman" w:cs="Times New Roman"/>
          <w:sz w:val="24"/>
          <w:szCs w:val="28"/>
          <w:lang w:val="pt-BR"/>
        </w:rPr>
        <w:t>sau</w:t>
      </w:r>
      <w:r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 industrială</w:t>
      </w:r>
      <w:r>
        <w:rPr>
          <w:rFonts w:ascii="Times New Roman" w:hAnsi="Times New Roman" w:cs="Times New Roman"/>
          <w:sz w:val="24"/>
          <w:szCs w:val="28"/>
          <w:lang w:val="pt-BR"/>
        </w:rPr>
        <w:t>, inclusiv cu alte destinații</w:t>
      </w:r>
      <w:r w:rsidR="00E817B1">
        <w:rPr>
          <w:rFonts w:ascii="Times New Roman" w:hAnsi="Times New Roman" w:cs="Times New Roman"/>
          <w:sz w:val="24"/>
          <w:szCs w:val="28"/>
          <w:lang w:val="pt-BR"/>
        </w:rPr>
        <w:t>: administrativă, auxiliară, etc.</w:t>
      </w:r>
      <w:r w:rsidR="000E097E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, </w:t>
      </w:r>
      <w:r w:rsidRPr="007C0B97">
        <w:rPr>
          <w:rFonts w:ascii="Times New Roman" w:hAnsi="Times New Roman" w:cs="Times New Roman"/>
          <w:sz w:val="24"/>
          <w:szCs w:val="28"/>
          <w:lang w:val="pt-BR"/>
        </w:rPr>
        <w:t>amplasat</w:t>
      </w:r>
      <w:r>
        <w:rPr>
          <w:rFonts w:ascii="Times New Roman" w:hAnsi="Times New Roman" w:cs="Times New Roman"/>
          <w:sz w:val="24"/>
          <w:szCs w:val="28"/>
          <w:lang w:val="pt-BR"/>
        </w:rPr>
        <w:t xml:space="preserve">ă </w:t>
      </w:r>
      <w:r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în </w:t>
      </w:r>
      <w:r>
        <w:rPr>
          <w:rFonts w:ascii="Times New Roman" w:hAnsi="Times New Roman" w:cs="Times New Roman"/>
          <w:sz w:val="24"/>
          <w:szCs w:val="28"/>
          <w:lang w:val="pt-BR"/>
        </w:rPr>
        <w:t xml:space="preserve">toate </w:t>
      </w:r>
      <w:r w:rsidRPr="007C0B97">
        <w:rPr>
          <w:rFonts w:ascii="Times New Roman" w:hAnsi="Times New Roman" w:cs="Times New Roman"/>
          <w:sz w:val="24"/>
          <w:szCs w:val="28"/>
          <w:lang w:val="pt-BR"/>
        </w:rPr>
        <w:t>localitățile Republicii Moldova</w:t>
      </w:r>
      <w:r w:rsidR="000E097E" w:rsidRPr="007C0B97">
        <w:rPr>
          <w:rFonts w:ascii="Times New Roman" w:hAnsi="Times New Roman" w:cs="Times New Roman"/>
          <w:sz w:val="24"/>
          <w:szCs w:val="28"/>
          <w:lang w:val="pt-BR"/>
        </w:rPr>
        <w:t>;</w:t>
      </w:r>
    </w:p>
    <w:p w14:paraId="52415D23" w14:textId="3C084DEF" w:rsidR="00263CBA" w:rsidRPr="00820B68" w:rsidRDefault="00820B68" w:rsidP="00820B68">
      <w:pPr>
        <w:pStyle w:val="aa"/>
        <w:numPr>
          <w:ilvl w:val="0"/>
          <w:numId w:val="30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8"/>
          <w:lang w:val="pt-BR"/>
        </w:rPr>
      </w:pPr>
      <w:r>
        <w:rPr>
          <w:rFonts w:ascii="Times New Roman" w:hAnsi="Times New Roman" w:cs="Times New Roman"/>
          <w:sz w:val="24"/>
          <w:szCs w:val="28"/>
          <w:lang w:val="pt-BR"/>
        </w:rPr>
        <w:t>În</w:t>
      </w:r>
      <w:r w:rsidR="000E097E" w:rsidRPr="007C0B97">
        <w:rPr>
          <w:rFonts w:ascii="Times New Roman" w:hAnsi="Times New Roman" w:cs="Times New Roman"/>
          <w:sz w:val="24"/>
          <w:szCs w:val="28"/>
          <w:lang w:val="pt-BR"/>
        </w:rPr>
        <w:t>căpe</w:t>
      </w:r>
      <w:r>
        <w:rPr>
          <w:rFonts w:ascii="Times New Roman" w:hAnsi="Times New Roman" w:cs="Times New Roman"/>
          <w:sz w:val="24"/>
          <w:szCs w:val="28"/>
          <w:lang w:val="pt-BR"/>
        </w:rPr>
        <w:t>re</w:t>
      </w:r>
      <w:r w:rsidR="000E097E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 </w:t>
      </w:r>
      <w:r>
        <w:rPr>
          <w:rFonts w:ascii="Times New Roman" w:hAnsi="Times New Roman" w:cs="Times New Roman"/>
          <w:sz w:val="24"/>
          <w:szCs w:val="28"/>
          <w:lang w:val="pt-BR"/>
        </w:rPr>
        <w:t xml:space="preserve">izolată </w:t>
      </w:r>
      <w:r w:rsidRPr="00820B68">
        <w:rPr>
          <w:rFonts w:ascii="Times New Roman" w:hAnsi="Times New Roman" w:cs="Times New Roman"/>
          <w:sz w:val="24"/>
          <w:szCs w:val="28"/>
          <w:lang w:val="pt-BR"/>
        </w:rPr>
        <w:t>înregistrată în Registrul bunurilor imobile cu destinația „nelocativă”</w:t>
      </w:r>
      <w:r>
        <w:rPr>
          <w:rFonts w:ascii="Times New Roman" w:hAnsi="Times New Roman" w:cs="Times New Roman"/>
          <w:sz w:val="24"/>
          <w:szCs w:val="28"/>
          <w:lang w:val="pt-BR"/>
        </w:rPr>
        <w:t xml:space="preserve">, utilizată ca încăpere cu destinație </w:t>
      </w:r>
      <w:r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comercială </w:t>
      </w:r>
      <w:r>
        <w:rPr>
          <w:rFonts w:ascii="Times New Roman" w:hAnsi="Times New Roman" w:cs="Times New Roman"/>
          <w:sz w:val="24"/>
          <w:szCs w:val="28"/>
          <w:lang w:val="pt-BR"/>
        </w:rPr>
        <w:t>sau</w:t>
      </w:r>
      <w:r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 industrială</w:t>
      </w:r>
      <w:r>
        <w:rPr>
          <w:rFonts w:ascii="Times New Roman" w:hAnsi="Times New Roman" w:cs="Times New Roman"/>
          <w:sz w:val="24"/>
          <w:szCs w:val="28"/>
          <w:lang w:val="pt-BR"/>
        </w:rPr>
        <w:t xml:space="preserve">, </w:t>
      </w:r>
      <w:r w:rsidR="000132E5" w:rsidRPr="007C0B97">
        <w:rPr>
          <w:rFonts w:ascii="Times New Roman" w:hAnsi="Times New Roman" w:cs="Times New Roman"/>
          <w:sz w:val="24"/>
          <w:szCs w:val="28"/>
          <w:lang w:val="pt-BR"/>
        </w:rPr>
        <w:t>situat</w:t>
      </w:r>
      <w:r w:rsidR="000132E5">
        <w:rPr>
          <w:rFonts w:ascii="Times New Roman" w:hAnsi="Times New Roman" w:cs="Times New Roman"/>
          <w:sz w:val="24"/>
          <w:szCs w:val="28"/>
          <w:lang w:val="pt-BR"/>
        </w:rPr>
        <w:t>ă</w:t>
      </w:r>
      <w:r w:rsidR="000132E5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 în cadrul </w:t>
      </w:r>
      <w:r w:rsidR="000132E5">
        <w:rPr>
          <w:rFonts w:ascii="Times New Roman" w:hAnsi="Times New Roman" w:cs="Times New Roman"/>
          <w:sz w:val="24"/>
          <w:szCs w:val="28"/>
          <w:lang w:val="pt-BR"/>
        </w:rPr>
        <w:t xml:space="preserve">construcțiilor </w:t>
      </w:r>
      <w:r w:rsidR="000132E5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cu destinație comercială </w:t>
      </w:r>
      <w:r w:rsidR="000132E5">
        <w:rPr>
          <w:rFonts w:ascii="Times New Roman" w:hAnsi="Times New Roman" w:cs="Times New Roman"/>
          <w:sz w:val="24"/>
          <w:szCs w:val="28"/>
          <w:lang w:val="pt-BR"/>
        </w:rPr>
        <w:t>sau</w:t>
      </w:r>
      <w:r w:rsidR="000132E5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 industrială</w:t>
      </w:r>
      <w:r w:rsidR="000132E5">
        <w:rPr>
          <w:rFonts w:ascii="Times New Roman" w:hAnsi="Times New Roman" w:cs="Times New Roman"/>
          <w:sz w:val="24"/>
          <w:szCs w:val="28"/>
          <w:lang w:val="pt-BR"/>
        </w:rPr>
        <w:t>, blocurilor locative,</w:t>
      </w:r>
      <w:r w:rsidR="000132E5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 amplasat</w:t>
      </w:r>
      <w:r w:rsidR="000132E5">
        <w:rPr>
          <w:rFonts w:ascii="Times New Roman" w:hAnsi="Times New Roman" w:cs="Times New Roman"/>
          <w:sz w:val="24"/>
          <w:szCs w:val="28"/>
          <w:lang w:val="pt-BR"/>
        </w:rPr>
        <w:t xml:space="preserve">ă </w:t>
      </w:r>
      <w:r w:rsidR="000132E5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în </w:t>
      </w:r>
      <w:r w:rsidR="000132E5">
        <w:rPr>
          <w:rFonts w:ascii="Times New Roman" w:hAnsi="Times New Roman" w:cs="Times New Roman"/>
          <w:sz w:val="24"/>
          <w:szCs w:val="28"/>
          <w:lang w:val="pt-BR"/>
        </w:rPr>
        <w:t xml:space="preserve">toate </w:t>
      </w:r>
      <w:r w:rsidR="000132E5" w:rsidRPr="007C0B97">
        <w:rPr>
          <w:rFonts w:ascii="Times New Roman" w:hAnsi="Times New Roman" w:cs="Times New Roman"/>
          <w:sz w:val="24"/>
          <w:szCs w:val="28"/>
          <w:lang w:val="pt-BR"/>
        </w:rPr>
        <w:t>localitățile Republicii Moldova</w:t>
      </w:r>
      <w:r w:rsidR="00263CBA" w:rsidRPr="00820B68">
        <w:rPr>
          <w:rFonts w:ascii="Times New Roman" w:hAnsi="Times New Roman" w:cs="Times New Roman"/>
          <w:bCs/>
          <w:sz w:val="24"/>
          <w:szCs w:val="28"/>
          <w:lang w:val="pt-BR"/>
        </w:rPr>
        <w:t>.</w:t>
      </w:r>
    </w:p>
    <w:p w14:paraId="4780181E" w14:textId="77777777" w:rsidR="00034B2E" w:rsidRDefault="00034B2E" w:rsidP="008A45E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o-RO"/>
        </w:rPr>
      </w:pPr>
    </w:p>
    <w:p w14:paraId="666D4391" w14:textId="55D30DE2" w:rsidR="00A30A0E" w:rsidRPr="000E097E" w:rsidRDefault="000E097E" w:rsidP="002801DE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</w:t>
      </w:r>
      <w:r w:rsidR="00A30A0E" w:rsidRPr="000E097E">
        <w:rPr>
          <w:rFonts w:ascii="Times New Roman" w:hAnsi="Times New Roman" w:cs="Times New Roman"/>
          <w:sz w:val="24"/>
          <w:szCs w:val="24"/>
          <w:lang w:val="ro-RO"/>
        </w:rPr>
        <w:t xml:space="preserve">Valoarea estimată a </w:t>
      </w:r>
      <w:r w:rsidR="002801DE">
        <w:rPr>
          <w:rFonts w:ascii="Times New Roman" w:hAnsi="Times New Roman" w:cs="Times New Roman"/>
          <w:sz w:val="24"/>
          <w:szCs w:val="28"/>
          <w:lang w:val="pt-BR"/>
        </w:rPr>
        <w:t>t</w:t>
      </w:r>
      <w:r w:rsidR="002801DE" w:rsidRPr="007C0B97">
        <w:rPr>
          <w:rFonts w:ascii="Times New Roman" w:hAnsi="Times New Roman" w:cs="Times New Roman"/>
          <w:sz w:val="24"/>
          <w:szCs w:val="28"/>
          <w:lang w:val="pt-BR"/>
        </w:rPr>
        <w:t>eren</w:t>
      </w:r>
      <w:r w:rsidR="002801DE">
        <w:rPr>
          <w:rFonts w:ascii="Times New Roman" w:hAnsi="Times New Roman" w:cs="Times New Roman"/>
          <w:sz w:val="24"/>
          <w:szCs w:val="28"/>
          <w:lang w:val="pt-BR"/>
        </w:rPr>
        <w:t>ului</w:t>
      </w:r>
      <w:r w:rsidR="002801DE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 </w:t>
      </w:r>
      <w:r w:rsidR="002801DE">
        <w:rPr>
          <w:rFonts w:ascii="Times New Roman" w:hAnsi="Times New Roman" w:cs="Times New Roman"/>
          <w:sz w:val="24"/>
          <w:szCs w:val="28"/>
          <w:lang w:val="pt-BR"/>
        </w:rPr>
        <w:t xml:space="preserve">(liber) </w:t>
      </w:r>
      <w:r w:rsidR="002801DE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destinat </w:t>
      </w:r>
      <w:r w:rsidR="002801DE">
        <w:rPr>
          <w:rFonts w:ascii="Times New Roman" w:hAnsi="Times New Roman" w:cs="Times New Roman"/>
          <w:sz w:val="24"/>
          <w:szCs w:val="28"/>
          <w:lang w:val="pt-BR"/>
        </w:rPr>
        <w:t>pentru construcți</w:t>
      </w:r>
      <w:r w:rsidR="007A0F5D">
        <w:rPr>
          <w:rFonts w:ascii="Times New Roman" w:hAnsi="Times New Roman" w:cs="Times New Roman"/>
          <w:sz w:val="24"/>
          <w:szCs w:val="28"/>
          <w:lang w:val="pt-BR"/>
        </w:rPr>
        <w:t>e</w:t>
      </w:r>
      <w:r w:rsidR="002801DE">
        <w:rPr>
          <w:rFonts w:ascii="Times New Roman" w:hAnsi="Times New Roman" w:cs="Times New Roman"/>
          <w:sz w:val="24"/>
          <w:szCs w:val="28"/>
          <w:lang w:val="pt-BR"/>
        </w:rPr>
        <w:t xml:space="preserve"> </w:t>
      </w:r>
      <w:r w:rsidR="002801DE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comercială </w:t>
      </w:r>
      <w:r w:rsidR="002801DE">
        <w:rPr>
          <w:rFonts w:ascii="Times New Roman" w:hAnsi="Times New Roman" w:cs="Times New Roman"/>
          <w:sz w:val="24"/>
          <w:szCs w:val="28"/>
          <w:lang w:val="pt-BR"/>
        </w:rPr>
        <w:t>sau</w:t>
      </w:r>
      <w:r w:rsidR="002801DE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 industrială</w:t>
      </w:r>
      <w:r w:rsidR="002801DE">
        <w:rPr>
          <w:rFonts w:ascii="Times New Roman" w:hAnsi="Times New Roman" w:cs="Times New Roman"/>
          <w:sz w:val="24"/>
          <w:szCs w:val="28"/>
          <w:lang w:val="pt-BR"/>
        </w:rPr>
        <w:t xml:space="preserve">, și a terenului </w:t>
      </w:r>
      <w:r w:rsidR="002801DE" w:rsidRPr="007C0B97">
        <w:rPr>
          <w:rFonts w:ascii="Times New Roman" w:hAnsi="Times New Roman" w:cs="Times New Roman"/>
          <w:sz w:val="24"/>
          <w:szCs w:val="28"/>
          <w:lang w:val="pt-BR"/>
        </w:rPr>
        <w:t>aferent construcți</w:t>
      </w:r>
      <w:r w:rsidR="002801DE">
        <w:rPr>
          <w:rFonts w:ascii="Times New Roman" w:hAnsi="Times New Roman" w:cs="Times New Roman"/>
          <w:sz w:val="24"/>
          <w:szCs w:val="28"/>
          <w:lang w:val="pt-BR"/>
        </w:rPr>
        <w:t>ei</w:t>
      </w:r>
      <w:r w:rsidR="002801DE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 cu destinație comercială </w:t>
      </w:r>
      <w:r w:rsidR="002801DE">
        <w:rPr>
          <w:rFonts w:ascii="Times New Roman" w:hAnsi="Times New Roman" w:cs="Times New Roman"/>
          <w:sz w:val="24"/>
          <w:szCs w:val="28"/>
          <w:lang w:val="pt-BR"/>
        </w:rPr>
        <w:t>sau</w:t>
      </w:r>
      <w:r w:rsidR="002801DE" w:rsidRPr="007C0B97">
        <w:rPr>
          <w:rFonts w:ascii="Times New Roman" w:hAnsi="Times New Roman" w:cs="Times New Roman"/>
          <w:sz w:val="24"/>
          <w:szCs w:val="28"/>
          <w:lang w:val="pt-BR"/>
        </w:rPr>
        <w:t xml:space="preserve"> industrială</w:t>
      </w:r>
      <w:r w:rsidR="002801DE">
        <w:rPr>
          <w:rFonts w:ascii="Times New Roman" w:hAnsi="Times New Roman" w:cs="Times New Roman"/>
          <w:sz w:val="24"/>
          <w:szCs w:val="28"/>
          <w:lang w:val="pt-BR"/>
        </w:rPr>
        <w:t xml:space="preserve">, </w:t>
      </w:r>
      <w:r w:rsidR="00A30A0E" w:rsidRPr="000E097E">
        <w:rPr>
          <w:rFonts w:ascii="Times New Roman" w:hAnsi="Times New Roman" w:cs="Times New Roman"/>
          <w:sz w:val="24"/>
          <w:szCs w:val="24"/>
          <w:lang w:val="ro-RO"/>
        </w:rPr>
        <w:t>se va determina după următoarea formulă:</w:t>
      </w:r>
    </w:p>
    <w:p w14:paraId="08C61255" w14:textId="77777777" w:rsidR="00A30A0E" w:rsidRPr="0029225E" w:rsidRDefault="00A30A0E" w:rsidP="00A30A0E">
      <w:pPr>
        <w:pStyle w:val="aa"/>
        <w:spacing w:line="276" w:lineRule="auto"/>
        <w:ind w:left="36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8931"/>
        <w:gridCol w:w="567"/>
      </w:tblGrid>
      <w:tr w:rsidR="00A30A0E" w:rsidRPr="00DF5267" w14:paraId="1C403E37" w14:textId="77777777" w:rsidTr="008570EF">
        <w:trPr>
          <w:jc w:val="center"/>
        </w:trPr>
        <w:tc>
          <w:tcPr>
            <w:tcW w:w="8931" w:type="dxa"/>
            <w:vAlign w:val="center"/>
          </w:tcPr>
          <w:p w14:paraId="31B9F5A3" w14:textId="21B8E2C9" w:rsidR="00A30A0E" w:rsidRPr="00DF5267" w:rsidRDefault="00A30A0E" w:rsidP="008E4EA4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V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ro-RO"/>
              </w:rPr>
              <w:t>TPC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= 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TPC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* </w:t>
            </w:r>
            <w:r w:rsidRPr="00DF526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ro-MD"/>
              </w:rPr>
              <w:t>EXP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(Int.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ro-RO"/>
              </w:rPr>
              <w:t xml:space="preserve"> TPC</w:t>
            </w:r>
            <w:r w:rsidR="007C2BC9" w:rsidRPr="007C2BC9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bscript"/>
                <w:lang w:val="ro-RO"/>
              </w:rPr>
              <w:t>i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ro-RO"/>
              </w:rPr>
              <w:t xml:space="preserve"> 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+</w:t>
            </w:r>
            <w:r w:rsidR="00A314F6"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L</w:t>
            </w:r>
            <w:r w:rsidR="008E5C1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</w:t>
            </w:r>
            <w:r w:rsidR="00A3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</w:t>
            </w:r>
            <w:r w:rsidR="00A314F6"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="00A314F6"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TPC</w:t>
            </w:r>
            <w:r w:rsidR="00A3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+1</w:t>
            </w:r>
            <w:r w:rsidR="00A314F6" w:rsidRPr="00A3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)</w:t>
            </w:r>
            <w:r w:rsidR="0040716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*</w:t>
            </w:r>
            <w:r w:rsidR="0040716F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A314F6"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KL</w:t>
            </w:r>
            <w:r w:rsidR="00E95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</w:t>
            </w:r>
            <w:r w:rsidR="00A3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</w:t>
            </w:r>
            <w:r w:rsidR="00A314F6"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="00A314F6"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TPC</w:t>
            </w:r>
            <w:r w:rsidR="00A314F6" w:rsidRPr="007C2BC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RO"/>
              </w:rPr>
              <w:t>i</w:t>
            </w:r>
            <w:r w:rsidR="00A314F6" w:rsidRPr="00A314F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)</w:t>
            </w:r>
            <w:r w:rsidR="00A314F6" w:rsidRPr="00A314F6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+ 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K</w:t>
            </w:r>
            <w:r w:rsidR="00AA09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tip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*</w:t>
            </w:r>
            <w:r w:rsidR="00AA09E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K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ro-RO"/>
              </w:rPr>
              <w:t>ZV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+ 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KAjC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ro-RO"/>
              </w:rPr>
              <w:t>TPC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567" w:type="dxa"/>
            <w:vAlign w:val="center"/>
          </w:tcPr>
          <w:p w14:paraId="46112EE1" w14:textId="55ED16AB" w:rsidR="00A30A0E" w:rsidRPr="00DF5267" w:rsidRDefault="00A30A0E" w:rsidP="008E4EA4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</w:t>
            </w:r>
            <w:r w:rsidR="0092710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1</w:t>
            </w:r>
            <w:r w:rsidRPr="00DF52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</w:t>
            </w:r>
          </w:p>
        </w:tc>
      </w:tr>
    </w:tbl>
    <w:p w14:paraId="679F7A9A" w14:textId="77777777" w:rsidR="00A30A0E" w:rsidRPr="00DF5267" w:rsidRDefault="00A30A0E" w:rsidP="00927101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5267">
        <w:rPr>
          <w:rFonts w:ascii="Times New Roman" w:hAnsi="Times New Roman" w:cs="Times New Roman"/>
          <w:sz w:val="24"/>
          <w:szCs w:val="24"/>
          <w:lang w:val="ro-RO"/>
        </w:rPr>
        <w:t>unde:</w:t>
      </w:r>
      <w:r w:rsidRPr="00DF526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ab/>
      </w:r>
      <w:r w:rsidRPr="00DF52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30"/>
        <w:gridCol w:w="7725"/>
      </w:tblGrid>
      <w:tr w:rsidR="00A30A0E" w:rsidRPr="00896FD8" w14:paraId="6D922179" w14:textId="77777777" w:rsidTr="00A314F6">
        <w:trPr>
          <w:trHeight w:val="315"/>
        </w:trPr>
        <w:tc>
          <w:tcPr>
            <w:tcW w:w="871" w:type="pct"/>
            <w:noWrap/>
          </w:tcPr>
          <w:p w14:paraId="6C2F4FBE" w14:textId="6A6BA80A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TPC</w:t>
            </w:r>
          </w:p>
        </w:tc>
        <w:tc>
          <w:tcPr>
            <w:tcW w:w="4129" w:type="pct"/>
            <w:noWrap/>
          </w:tcPr>
          <w:p w14:paraId="33E50E7B" w14:textId="77777777" w:rsidR="00586AAF" w:rsidRDefault="00A30A0E" w:rsidP="008E4EA4">
            <w:pPr>
              <w:spacing w:after="0" w:line="240" w:lineRule="auto"/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valoarea estimată a terenului </w:t>
            </w:r>
            <w:r w:rsidR="00586AA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(liber) sau aferent, lei.</w:t>
            </w:r>
          </w:p>
          <w:p w14:paraId="6E131824" w14:textId="0542D9C7" w:rsidR="00A30A0E" w:rsidRPr="00DF5267" w:rsidRDefault="00A94429" w:rsidP="008E4EA4">
            <w:pPr>
              <w:spacing w:after="0" w:line="240" w:lineRule="auto"/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944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Terenul se consideră o parte din teritoriu având hotare închise a cărei suprafaţă, al cărei amplasament şi ale cărei caracteristici sunt reflectate în cadastrul bunurilor imobile, cu modul de folosință “teren pentru amplasarea construcțiilor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comerciale sau industriale</w:t>
            </w:r>
            <w:r w:rsidRPr="00A9442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” sau “pentru construcții”, înregistrat în Registrul bunurilor imobile, destinat pentru construcția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 destinație comercială sau industrială;</w:t>
            </w:r>
          </w:p>
        </w:tc>
      </w:tr>
      <w:tr w:rsidR="00A30A0E" w:rsidRPr="00896FD8" w14:paraId="4A3AE31F" w14:textId="77777777" w:rsidTr="00A314F6">
        <w:trPr>
          <w:trHeight w:val="315"/>
        </w:trPr>
        <w:tc>
          <w:tcPr>
            <w:tcW w:w="871" w:type="pct"/>
            <w:noWrap/>
            <w:hideMark/>
          </w:tcPr>
          <w:p w14:paraId="1A1B1DAA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TPC</w:t>
            </w:r>
          </w:p>
        </w:tc>
        <w:tc>
          <w:tcPr>
            <w:tcW w:w="4129" w:type="pct"/>
            <w:noWrap/>
            <w:hideMark/>
          </w:tcPr>
          <w:p w14:paraId="1D4DBC3B" w14:textId="758F88CB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suprafața terenului </w:t>
            </w:r>
            <w:r w:rsidR="009339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înregistrat</w:t>
            </w:r>
            <w:r w:rsidR="008570E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ă</w:t>
            </w: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în Registrul bunurilor imobile, </w:t>
            </w:r>
            <w:r w:rsidRPr="00FF2AFE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val="ro-RO" w:eastAsia="ru-RU"/>
              </w:rPr>
              <w:t>convertit</w:t>
            </w: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ă în metri pătrați (precizia 1,0);</w:t>
            </w:r>
          </w:p>
        </w:tc>
      </w:tr>
      <w:tr w:rsidR="00E958F2" w:rsidRPr="00E958F2" w14:paraId="0C9A115E" w14:textId="77777777" w:rsidTr="00A314F6">
        <w:trPr>
          <w:trHeight w:val="315"/>
        </w:trPr>
        <w:tc>
          <w:tcPr>
            <w:tcW w:w="871" w:type="pct"/>
            <w:noWrap/>
          </w:tcPr>
          <w:p w14:paraId="6CE95159" w14:textId="7078B105" w:rsidR="00E958F2" w:rsidRPr="00DF5267" w:rsidRDefault="00E958F2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EXP</w:t>
            </w:r>
          </w:p>
        </w:tc>
        <w:tc>
          <w:tcPr>
            <w:tcW w:w="4129" w:type="pct"/>
            <w:noWrap/>
          </w:tcPr>
          <w:p w14:paraId="4DE2B081" w14:textId="0B3ACD4D" w:rsidR="00E958F2" w:rsidRPr="00DF5267" w:rsidRDefault="00E958F2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funcție exponențială;</w:t>
            </w:r>
          </w:p>
        </w:tc>
      </w:tr>
      <w:tr w:rsidR="00A30A0E" w:rsidRPr="00896FD8" w14:paraId="6B72AE2C" w14:textId="77777777" w:rsidTr="00A314F6">
        <w:trPr>
          <w:trHeight w:val="315"/>
        </w:trPr>
        <w:tc>
          <w:tcPr>
            <w:tcW w:w="871" w:type="pct"/>
            <w:noWrap/>
          </w:tcPr>
          <w:p w14:paraId="48DEA311" w14:textId="59B3D2D1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Int.</w:t>
            </w: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ro-RO" w:eastAsia="ru-RU"/>
              </w:rPr>
              <w:t>TPC</w:t>
            </w:r>
            <w:r w:rsidR="00864550" w:rsidRPr="0086455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RO" w:eastAsia="ru-RU"/>
              </w:rPr>
              <w:t>i</w:t>
            </w:r>
          </w:p>
        </w:tc>
        <w:tc>
          <w:tcPr>
            <w:tcW w:w="4129" w:type="pct"/>
            <w:noWrap/>
          </w:tcPr>
          <w:p w14:paraId="2022A077" w14:textId="3ECCA072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– intercepta ecuației de regresie. Reprezintă componenta liberă (constantă) a modelului de evaluare </w:t>
            </w:r>
            <w:r w:rsidR="009339BC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masivă</w:t>
            </w: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</w:p>
        </w:tc>
      </w:tr>
      <w:tr w:rsidR="00E958F2" w:rsidRPr="00E958F2" w14:paraId="41E95F33" w14:textId="77777777" w:rsidTr="00A314F6">
        <w:trPr>
          <w:trHeight w:val="315"/>
        </w:trPr>
        <w:tc>
          <w:tcPr>
            <w:tcW w:w="871" w:type="pct"/>
            <w:noWrap/>
          </w:tcPr>
          <w:p w14:paraId="49F02D2B" w14:textId="6A23535C" w:rsidR="00E958F2" w:rsidRPr="00DF5267" w:rsidRDefault="00E958F2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LN</w:t>
            </w:r>
          </w:p>
        </w:tc>
        <w:tc>
          <w:tcPr>
            <w:tcW w:w="4129" w:type="pct"/>
            <w:noWrap/>
          </w:tcPr>
          <w:p w14:paraId="1E01B0D3" w14:textId="362A88DA" w:rsidR="00E958F2" w:rsidRPr="00DF5267" w:rsidRDefault="00E958F2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funcție logaritm natural;</w:t>
            </w:r>
          </w:p>
        </w:tc>
      </w:tr>
      <w:tr w:rsidR="00A30A0E" w:rsidRPr="00896FD8" w14:paraId="020CDB71" w14:textId="77777777" w:rsidTr="00A314F6">
        <w:trPr>
          <w:trHeight w:val="315"/>
        </w:trPr>
        <w:tc>
          <w:tcPr>
            <w:tcW w:w="871" w:type="pct"/>
            <w:noWrap/>
            <w:hideMark/>
          </w:tcPr>
          <w:p w14:paraId="52E27505" w14:textId="2B2ED502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B7F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KL</w:t>
            </w:r>
            <w:r w:rsidR="00E958F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</w:t>
            </w:r>
            <w:r w:rsidR="008932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(</w:t>
            </w:r>
            <w:r w:rsidRPr="00DB7F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</w:t>
            </w:r>
            <w:r w:rsidRPr="00DB7F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ro-RO"/>
              </w:rPr>
              <w:t>TPC</w:t>
            </w:r>
            <w:r w:rsidR="00864550" w:rsidRPr="008645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val="ro-RO"/>
              </w:rPr>
              <w:t>i</w:t>
            </w:r>
            <w:r w:rsidR="008932C6" w:rsidRPr="008932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)</w:t>
            </w:r>
          </w:p>
        </w:tc>
        <w:tc>
          <w:tcPr>
            <w:tcW w:w="4129" w:type="pct"/>
            <w:noWrap/>
            <w:hideMark/>
          </w:tcPr>
          <w:p w14:paraId="54B0146F" w14:textId="5FF8A73A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MD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– 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coeficientul factorului valoric </w:t>
            </w:r>
            <w:r w:rsidR="00D77682" w:rsidRPr="00D776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aferent variabilei transformate LN(S</w:t>
            </w:r>
            <w:r w:rsidR="00D77682" w:rsidRPr="00D77682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TPC</w:t>
            </w:r>
            <w:r w:rsidR="00D77682" w:rsidRPr="00D776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+1), care reflectă influența neliniară a </w:t>
            </w:r>
            <w:r w:rsidR="00D776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D77682" w:rsidRPr="00D776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suprafeței terenului</w:t>
            </w:r>
            <w:r w:rsidR="00D776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D77682" w:rsidRPr="00D7768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asupra valorii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997AAF" w:rsidRPr="00896FD8" w14:paraId="61ADED3B" w14:textId="77777777" w:rsidTr="00556BAA">
        <w:trPr>
          <w:trHeight w:val="315"/>
        </w:trPr>
        <w:tc>
          <w:tcPr>
            <w:tcW w:w="871" w:type="pct"/>
            <w:noWrap/>
            <w:vAlign w:val="center"/>
          </w:tcPr>
          <w:p w14:paraId="424B2DDB" w14:textId="396066AA" w:rsidR="00997AAF" w:rsidRPr="00DF5267" w:rsidRDefault="00997AAF" w:rsidP="00997A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tip</w:t>
            </w:r>
            <w:proofErr w:type="spellEnd"/>
          </w:p>
        </w:tc>
        <w:tc>
          <w:tcPr>
            <w:tcW w:w="4129" w:type="pct"/>
            <w:noWrap/>
          </w:tcPr>
          <w:p w14:paraId="592B000E" w14:textId="15361532" w:rsidR="00997AAF" w:rsidRPr="00DF5267" w:rsidRDefault="00997AAF" w:rsidP="00997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coeficientul factorului valoric “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tipul bunului imobil</w:t>
            </w: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 w:rsidR="007F1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 sau construcție</w:t>
            </w:r>
            <w:r w:rsidR="007F1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997AAF" w:rsidRPr="00896FD8" w14:paraId="412BE18A" w14:textId="77777777" w:rsidTr="00A314F6">
        <w:trPr>
          <w:trHeight w:val="315"/>
        </w:trPr>
        <w:tc>
          <w:tcPr>
            <w:tcW w:w="871" w:type="pct"/>
            <w:noWrap/>
          </w:tcPr>
          <w:p w14:paraId="3FB487DA" w14:textId="3788FD6B" w:rsidR="00997AAF" w:rsidRDefault="00997AAF" w:rsidP="00997A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K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ZV</w:t>
            </w:r>
          </w:p>
        </w:tc>
        <w:tc>
          <w:tcPr>
            <w:tcW w:w="4129" w:type="pct"/>
            <w:noWrap/>
          </w:tcPr>
          <w:p w14:paraId="0BCC8C37" w14:textId="0FC6F2E5" w:rsidR="00997AAF" w:rsidRPr="00DF5267" w:rsidRDefault="00997AAF" w:rsidP="00997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coeficientul factorului valoric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A0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“zon</w:t>
            </w:r>
            <w:r w:rsidR="0040716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2A0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valorică”</w:t>
            </w:r>
            <w:r w:rsidR="007F1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7F1941" w:rsidRPr="007F1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reflectă influența amplas</w:t>
            </w:r>
            <w:r w:rsidR="007F1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 bunului imobil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997AAF" w:rsidRPr="00896FD8" w14:paraId="122B259A" w14:textId="77777777" w:rsidTr="00A314F6">
        <w:trPr>
          <w:trHeight w:val="315"/>
        </w:trPr>
        <w:tc>
          <w:tcPr>
            <w:tcW w:w="871" w:type="pct"/>
            <w:noWrap/>
          </w:tcPr>
          <w:p w14:paraId="70750D24" w14:textId="77777777" w:rsidR="00997AAF" w:rsidRPr="00DF5267" w:rsidRDefault="00997AAF" w:rsidP="00997A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KAjC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TPC</w:t>
            </w:r>
            <w:proofErr w:type="spellEnd"/>
          </w:p>
        </w:tc>
        <w:tc>
          <w:tcPr>
            <w:tcW w:w="4129" w:type="pct"/>
            <w:noWrap/>
          </w:tcPr>
          <w:p w14:paraId="55860999" w14:textId="5D48D917" w:rsidR="00997AAF" w:rsidRPr="004F1180" w:rsidRDefault="00997AAF" w:rsidP="00997A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coeficientul ajustărilor comune </w:t>
            </w:r>
            <w:r w:rsidR="0067674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aplicabil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terenului (liber) sau aferent</w:t>
            </w: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(se va determina conform formulei 2 din pct. 3)</w:t>
            </w:r>
            <w:r w:rsidR="00E958F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</w:tr>
    </w:tbl>
    <w:p w14:paraId="2F5978AB" w14:textId="77777777" w:rsidR="00A935C2" w:rsidRDefault="00A935C2" w:rsidP="008A45E7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0D4D5D4" w14:textId="6749DBC8" w:rsidR="00A30A0E" w:rsidRPr="00DF5267" w:rsidRDefault="00927101" w:rsidP="00A30A0E">
      <w:pPr>
        <w:pStyle w:val="a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</w:t>
      </w:r>
      <w:r w:rsidR="00A30A0E" w:rsidRPr="00DF5267">
        <w:rPr>
          <w:rFonts w:ascii="Times New Roman" w:hAnsi="Times New Roman" w:cs="Times New Roman"/>
          <w:sz w:val="24"/>
          <w:szCs w:val="24"/>
          <w:lang w:val="ro-RO"/>
        </w:rPr>
        <w:t xml:space="preserve">. Coeficientul ajustărilor comune </w:t>
      </w:r>
      <w:r w:rsidR="00097B93">
        <w:rPr>
          <w:rFonts w:ascii="Times New Roman" w:hAnsi="Times New Roman" w:cs="Times New Roman"/>
          <w:sz w:val="24"/>
          <w:szCs w:val="24"/>
          <w:lang w:val="ro-RO"/>
        </w:rPr>
        <w:t xml:space="preserve">terenului (liber) sau </w:t>
      </w:r>
      <w:r w:rsidR="007A0F5D">
        <w:rPr>
          <w:rFonts w:ascii="Times New Roman" w:hAnsi="Times New Roman" w:cs="Times New Roman"/>
          <w:sz w:val="24"/>
          <w:szCs w:val="24"/>
          <w:lang w:val="ro-RO"/>
        </w:rPr>
        <w:t xml:space="preserve">terenului </w:t>
      </w:r>
      <w:r w:rsidR="00097B93">
        <w:rPr>
          <w:rFonts w:ascii="Times New Roman" w:hAnsi="Times New Roman" w:cs="Times New Roman"/>
          <w:sz w:val="24"/>
          <w:szCs w:val="24"/>
          <w:lang w:val="ro-RO"/>
        </w:rPr>
        <w:t>aferent</w:t>
      </w:r>
      <w:r w:rsidR="00097B93" w:rsidRPr="00DF52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30A0E" w:rsidRPr="00DF5267">
        <w:rPr>
          <w:rFonts w:ascii="Times New Roman" w:hAnsi="Times New Roman" w:cs="Times New Roman"/>
          <w:sz w:val="24"/>
          <w:szCs w:val="24"/>
          <w:lang w:val="ro-RO"/>
        </w:rPr>
        <w:t>se va determina după următoarea formulă:</w:t>
      </w:r>
    </w:p>
    <w:tbl>
      <w:tblPr>
        <w:tblW w:w="9357" w:type="dxa"/>
        <w:jc w:val="center"/>
        <w:tblLook w:val="04A0" w:firstRow="1" w:lastRow="0" w:firstColumn="1" w:lastColumn="0" w:noHBand="0" w:noVBand="1"/>
      </w:tblPr>
      <w:tblGrid>
        <w:gridCol w:w="8442"/>
        <w:gridCol w:w="915"/>
      </w:tblGrid>
      <w:tr w:rsidR="00A30A0E" w:rsidRPr="00DF5267" w14:paraId="54E75C9A" w14:textId="77777777" w:rsidTr="008E4EA4">
        <w:trPr>
          <w:jc w:val="center"/>
        </w:trPr>
        <w:tc>
          <w:tcPr>
            <w:tcW w:w="8442" w:type="dxa"/>
            <w:vAlign w:val="center"/>
          </w:tcPr>
          <w:p w14:paraId="501BDF1C" w14:textId="0C26C041" w:rsidR="00A30A0E" w:rsidRPr="00DF5267" w:rsidRDefault="00A30A0E" w:rsidP="008E4EA4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KAjC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ro-RO"/>
              </w:rPr>
              <w:t>TPC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= (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KAS 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+ KDA + KIT + KGA + KAp + KCA + KEL + </w:t>
            </w:r>
            <w:r w:rsidRPr="00DF5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KUTIL</w:t>
            </w:r>
            <w:r w:rsidR="00F04C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+ KST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915" w:type="dxa"/>
            <w:vAlign w:val="center"/>
          </w:tcPr>
          <w:p w14:paraId="584B1EBF" w14:textId="038B7F75" w:rsidR="00A30A0E" w:rsidRPr="00DF5267" w:rsidRDefault="00A30A0E" w:rsidP="008E4EA4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2</w:t>
            </w:r>
            <w:r w:rsidRPr="00DF52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</w:t>
            </w:r>
          </w:p>
        </w:tc>
      </w:tr>
    </w:tbl>
    <w:p w14:paraId="4AD86A45" w14:textId="77777777" w:rsidR="00A30A0E" w:rsidRPr="00DF5267" w:rsidRDefault="00A30A0E" w:rsidP="009271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5267">
        <w:rPr>
          <w:rFonts w:ascii="Times New Roman" w:hAnsi="Times New Roman" w:cs="Times New Roman"/>
          <w:sz w:val="24"/>
          <w:szCs w:val="24"/>
          <w:lang w:val="ro-RO"/>
        </w:rPr>
        <w:lastRenderedPageBreak/>
        <w:t>unde: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8309"/>
      </w:tblGrid>
      <w:tr w:rsidR="00A30A0E" w:rsidRPr="00896FD8" w14:paraId="14CBF136" w14:textId="77777777" w:rsidTr="00097B93">
        <w:trPr>
          <w:trHeight w:val="315"/>
        </w:trPr>
        <w:tc>
          <w:tcPr>
            <w:tcW w:w="559" w:type="pct"/>
          </w:tcPr>
          <w:p w14:paraId="6B71A93D" w14:textId="45AA2ACC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KAS </w:t>
            </w:r>
          </w:p>
        </w:tc>
        <w:tc>
          <w:tcPr>
            <w:tcW w:w="4441" w:type="pct"/>
          </w:tcPr>
          <w:p w14:paraId="027670A4" w14:textId="79A017AC" w:rsidR="00A30A0E" w:rsidRPr="00DF5267" w:rsidRDefault="00A30A0E" w:rsidP="008E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–</w:t>
            </w:r>
            <w:r w:rsidRPr="00DF5267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 xml:space="preserve"> coeficientul factorului valoric „amplasarea față de stradă”</w:t>
            </w:r>
            <w:r w:rsidR="000D6F0A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;</w:t>
            </w:r>
          </w:p>
        </w:tc>
      </w:tr>
      <w:tr w:rsidR="00A30A0E" w:rsidRPr="00896FD8" w14:paraId="61E80781" w14:textId="77777777" w:rsidTr="00097B93">
        <w:trPr>
          <w:trHeight w:val="315"/>
        </w:trPr>
        <w:tc>
          <w:tcPr>
            <w:tcW w:w="559" w:type="pct"/>
          </w:tcPr>
          <w:p w14:paraId="6EF16FD8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KDA</w:t>
            </w:r>
          </w:p>
        </w:tc>
        <w:tc>
          <w:tcPr>
            <w:tcW w:w="4441" w:type="pct"/>
          </w:tcPr>
          <w:p w14:paraId="3F5CB066" w14:textId="5557CA06" w:rsidR="00A30A0E" w:rsidRPr="00DF5267" w:rsidRDefault="00A30A0E" w:rsidP="008E4E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– </w:t>
            </w:r>
            <w:r w:rsidRPr="00DF5267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coeficientul factorului valoric „drumul de acces”;</w:t>
            </w:r>
          </w:p>
        </w:tc>
      </w:tr>
      <w:tr w:rsidR="00A30A0E" w:rsidRPr="00896FD8" w14:paraId="67E7E340" w14:textId="77777777" w:rsidTr="00097B93">
        <w:trPr>
          <w:trHeight w:val="315"/>
        </w:trPr>
        <w:tc>
          <w:tcPr>
            <w:tcW w:w="559" w:type="pct"/>
          </w:tcPr>
          <w:p w14:paraId="1D74C086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KIT</w:t>
            </w:r>
          </w:p>
        </w:tc>
        <w:tc>
          <w:tcPr>
            <w:tcW w:w="4441" w:type="pct"/>
          </w:tcPr>
          <w:p w14:paraId="230A944C" w14:textId="73D85F81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– </w:t>
            </w:r>
            <w:r w:rsidRPr="00DF5267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coeficientul factorului valoric „intensitatea generală a traficului”</w:t>
            </w:r>
            <w:r w:rsidR="000D6F0A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;</w:t>
            </w:r>
          </w:p>
        </w:tc>
      </w:tr>
      <w:tr w:rsidR="00A30A0E" w:rsidRPr="00896FD8" w14:paraId="037DD923" w14:textId="77777777" w:rsidTr="00097B93">
        <w:trPr>
          <w:trHeight w:val="315"/>
        </w:trPr>
        <w:tc>
          <w:tcPr>
            <w:tcW w:w="559" w:type="pct"/>
            <w:hideMark/>
          </w:tcPr>
          <w:p w14:paraId="4605FE91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KGA</w:t>
            </w:r>
          </w:p>
        </w:tc>
        <w:tc>
          <w:tcPr>
            <w:tcW w:w="4441" w:type="pct"/>
            <w:hideMark/>
          </w:tcPr>
          <w:p w14:paraId="6F03E53A" w14:textId="6B0A3C83" w:rsidR="00A30A0E" w:rsidRPr="00DF5267" w:rsidRDefault="000D6F0A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– </w:t>
            </w:r>
            <w:r w:rsidR="00A30A0E"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coeficientul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A30A0E"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factorului valoric „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existența</w:t>
            </w:r>
            <w:r w:rsidR="00A30A0E"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gazoductului”;</w:t>
            </w:r>
          </w:p>
        </w:tc>
      </w:tr>
      <w:tr w:rsidR="00A30A0E" w:rsidRPr="00896FD8" w14:paraId="6403881E" w14:textId="77777777" w:rsidTr="00097B93">
        <w:trPr>
          <w:trHeight w:val="315"/>
        </w:trPr>
        <w:tc>
          <w:tcPr>
            <w:tcW w:w="559" w:type="pct"/>
            <w:hideMark/>
          </w:tcPr>
          <w:p w14:paraId="0DFFB8F5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proofErr w:type="spellStart"/>
            <w:r w:rsidRPr="00DF5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KAp</w:t>
            </w:r>
            <w:proofErr w:type="spellEnd"/>
          </w:p>
        </w:tc>
        <w:tc>
          <w:tcPr>
            <w:tcW w:w="4441" w:type="pct"/>
            <w:hideMark/>
          </w:tcPr>
          <w:p w14:paraId="26674D0C" w14:textId="65B9316D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 coeficientul factorului valoric „</w:t>
            </w:r>
            <w:r w:rsidR="000D6F0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existența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apeductului”;</w:t>
            </w:r>
          </w:p>
        </w:tc>
      </w:tr>
      <w:tr w:rsidR="00A30A0E" w:rsidRPr="00896FD8" w14:paraId="41D7B138" w14:textId="77777777" w:rsidTr="00097B93">
        <w:trPr>
          <w:trHeight w:val="315"/>
        </w:trPr>
        <w:tc>
          <w:tcPr>
            <w:tcW w:w="559" w:type="pct"/>
            <w:hideMark/>
          </w:tcPr>
          <w:p w14:paraId="7689E107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KCA</w:t>
            </w:r>
          </w:p>
        </w:tc>
        <w:tc>
          <w:tcPr>
            <w:tcW w:w="4441" w:type="pct"/>
            <w:hideMark/>
          </w:tcPr>
          <w:p w14:paraId="228ACC98" w14:textId="3479CD2F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 coeficientul factorului valoric „</w:t>
            </w:r>
            <w:r w:rsidR="000D6F0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existența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canalizării”;</w:t>
            </w:r>
          </w:p>
        </w:tc>
      </w:tr>
      <w:tr w:rsidR="00A30A0E" w:rsidRPr="00896FD8" w14:paraId="295B24DC" w14:textId="77777777" w:rsidTr="00097B93">
        <w:trPr>
          <w:trHeight w:val="315"/>
        </w:trPr>
        <w:tc>
          <w:tcPr>
            <w:tcW w:w="559" w:type="pct"/>
          </w:tcPr>
          <w:p w14:paraId="0AB68E8F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KEL</w:t>
            </w:r>
          </w:p>
        </w:tc>
        <w:tc>
          <w:tcPr>
            <w:tcW w:w="4441" w:type="pct"/>
          </w:tcPr>
          <w:p w14:paraId="1887B5EE" w14:textId="376ADCA3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 coeficientul factorului valoric „</w:t>
            </w:r>
            <w:r w:rsidR="00DD1E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existența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rețelei de electricitate”;</w:t>
            </w:r>
          </w:p>
        </w:tc>
      </w:tr>
      <w:tr w:rsidR="00A30A0E" w:rsidRPr="00896FD8" w14:paraId="0CF359F7" w14:textId="77777777" w:rsidTr="00097B93">
        <w:trPr>
          <w:trHeight w:val="315"/>
        </w:trPr>
        <w:tc>
          <w:tcPr>
            <w:tcW w:w="559" w:type="pct"/>
          </w:tcPr>
          <w:p w14:paraId="6ECD96C9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KUTIL</w:t>
            </w:r>
          </w:p>
        </w:tc>
        <w:tc>
          <w:tcPr>
            <w:tcW w:w="4441" w:type="pct"/>
          </w:tcPr>
          <w:p w14:paraId="601E7ECD" w14:textId="1FCB0208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– coeficientul factorului valoric „tipul de utilizare </w:t>
            </w:r>
            <w:r w:rsidR="00DD1E1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</w:t>
            </w:r>
            <w:r w:rsidRPr="00DF5267">
              <w:rPr>
                <w:rFonts w:ascii="Times New Roman" w:hAnsi="Times New Roman" w:cs="Times New Roman"/>
                <w:bCs/>
                <w:sz w:val="24"/>
                <w:szCs w:val="24"/>
                <w:lang w:val="pt-BR" w:eastAsia="ru-RU"/>
              </w:rPr>
              <w:t>terenului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”; </w:t>
            </w:r>
          </w:p>
        </w:tc>
      </w:tr>
      <w:tr w:rsidR="00F04C73" w:rsidRPr="00896FD8" w14:paraId="2C2D5381" w14:textId="77777777" w:rsidTr="00097B93">
        <w:trPr>
          <w:trHeight w:val="315"/>
        </w:trPr>
        <w:tc>
          <w:tcPr>
            <w:tcW w:w="559" w:type="pct"/>
          </w:tcPr>
          <w:p w14:paraId="7E6D4F81" w14:textId="0721C4D1" w:rsidR="00F04C73" w:rsidRPr="00D077C1" w:rsidRDefault="00F04C73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077C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KST</w:t>
            </w:r>
          </w:p>
        </w:tc>
        <w:tc>
          <w:tcPr>
            <w:tcW w:w="4441" w:type="pct"/>
          </w:tcPr>
          <w:p w14:paraId="429012C8" w14:textId="62A9E11E" w:rsidR="00F04C73" w:rsidRPr="00D077C1" w:rsidRDefault="00E958F2" w:rsidP="00D077C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</w:t>
            </w:r>
            <w:r w:rsidR="00F04C73" w:rsidRPr="00D077C1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coeficientul factorului valoric „statutul terenului în cadrul bunului imobil”</w:t>
            </w:r>
            <w:r w:rsidR="00D077C1" w:rsidRPr="00D077C1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6ECF03E3" w14:textId="77777777" w:rsidR="00A30A0E" w:rsidRDefault="00A30A0E" w:rsidP="008A45E7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6499BA8" w14:textId="7EF9AB57" w:rsidR="00A30A0E" w:rsidRPr="00662D0B" w:rsidRDefault="00927101" w:rsidP="00A30A0E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109FE">
        <w:rPr>
          <w:rFonts w:ascii="Times New Roman" w:hAnsi="Times New Roman" w:cs="Times New Roman"/>
          <w:sz w:val="24"/>
          <w:szCs w:val="24"/>
          <w:lang w:val="ro-RO"/>
        </w:rPr>
        <w:t>4</w:t>
      </w:r>
      <w:r w:rsidR="00A30A0E" w:rsidRPr="003109FE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3109FE" w:rsidRPr="003109FE">
        <w:rPr>
          <w:rFonts w:ascii="Times New Roman" w:hAnsi="Times New Roman" w:cs="Times New Roman"/>
          <w:sz w:val="24"/>
          <w:szCs w:val="24"/>
          <w:lang w:val="ro-RO"/>
        </w:rPr>
        <w:t>Valoarea estimată a construcți</w:t>
      </w:r>
      <w:r w:rsidR="00A35531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C37443">
        <w:rPr>
          <w:rFonts w:ascii="Times New Roman" w:hAnsi="Times New Roman" w:cs="Times New Roman"/>
          <w:sz w:val="24"/>
          <w:szCs w:val="24"/>
          <w:lang w:val="ro-RO"/>
        </w:rPr>
        <w:t>i</w:t>
      </w:r>
      <w:r w:rsidR="003109FE" w:rsidRPr="003109FE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A35531">
        <w:rPr>
          <w:rFonts w:ascii="Times New Roman" w:hAnsi="Times New Roman" w:cs="Times New Roman"/>
          <w:sz w:val="24"/>
          <w:szCs w:val="24"/>
          <w:lang w:val="ro-RO"/>
        </w:rPr>
        <w:t xml:space="preserve">fără </w:t>
      </w:r>
      <w:r w:rsidR="003109FE" w:rsidRPr="003109FE">
        <w:rPr>
          <w:rFonts w:ascii="Times New Roman" w:hAnsi="Times New Roman" w:cs="Times New Roman"/>
          <w:sz w:val="24"/>
          <w:szCs w:val="24"/>
          <w:lang w:val="ro-RO"/>
        </w:rPr>
        <w:t>valo</w:t>
      </w:r>
      <w:r w:rsidR="008B2B9F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A35531">
        <w:rPr>
          <w:rFonts w:ascii="Times New Roman" w:hAnsi="Times New Roman" w:cs="Times New Roman"/>
          <w:sz w:val="24"/>
          <w:szCs w:val="24"/>
          <w:lang w:val="ro-RO"/>
        </w:rPr>
        <w:t>rea estimată a</w:t>
      </w:r>
      <w:r w:rsidR="003109FE" w:rsidRPr="003109FE">
        <w:rPr>
          <w:rFonts w:ascii="Times New Roman" w:hAnsi="Times New Roman" w:cs="Times New Roman"/>
          <w:sz w:val="24"/>
          <w:szCs w:val="24"/>
          <w:lang w:val="ro-RO"/>
        </w:rPr>
        <w:t xml:space="preserve"> terenului și fără </w:t>
      </w:r>
      <w:r w:rsidR="00A35531">
        <w:rPr>
          <w:rFonts w:ascii="Times New Roman" w:hAnsi="Times New Roman" w:cs="Times New Roman"/>
          <w:sz w:val="24"/>
          <w:szCs w:val="24"/>
          <w:lang w:val="ro-RO"/>
        </w:rPr>
        <w:t>taxa pe valoare adăugată (TVA)</w:t>
      </w:r>
      <w:r w:rsidR="003109FE" w:rsidRPr="003109FE">
        <w:rPr>
          <w:rFonts w:ascii="Times New Roman" w:hAnsi="Times New Roman" w:cs="Times New Roman"/>
          <w:sz w:val="24"/>
          <w:szCs w:val="24"/>
          <w:lang w:val="ro-RO"/>
        </w:rPr>
        <w:t xml:space="preserve">, se </w:t>
      </w:r>
      <w:r w:rsidR="00A35531">
        <w:rPr>
          <w:rFonts w:ascii="Times New Roman" w:hAnsi="Times New Roman" w:cs="Times New Roman"/>
          <w:sz w:val="24"/>
          <w:szCs w:val="24"/>
          <w:lang w:val="ro-RO"/>
        </w:rPr>
        <w:t xml:space="preserve">va </w:t>
      </w:r>
      <w:r w:rsidR="003109FE" w:rsidRPr="003109FE">
        <w:rPr>
          <w:rFonts w:ascii="Times New Roman" w:hAnsi="Times New Roman" w:cs="Times New Roman"/>
          <w:sz w:val="24"/>
          <w:szCs w:val="24"/>
          <w:lang w:val="ro-RO"/>
        </w:rPr>
        <w:t>determin</w:t>
      </w:r>
      <w:r w:rsidR="00A3553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3109FE" w:rsidRPr="003109FE">
        <w:rPr>
          <w:rFonts w:ascii="Times New Roman" w:hAnsi="Times New Roman" w:cs="Times New Roman"/>
          <w:sz w:val="24"/>
          <w:szCs w:val="24"/>
          <w:lang w:val="ro-RO"/>
        </w:rPr>
        <w:t xml:space="preserve"> în funcție de caracteristicile construcției și ale terenului aferent, </w:t>
      </w:r>
      <w:r w:rsidR="003109FE" w:rsidRPr="00C06A86">
        <w:rPr>
          <w:rFonts w:ascii="Times New Roman" w:hAnsi="Times New Roman" w:cs="Times New Roman"/>
          <w:sz w:val="24"/>
          <w:szCs w:val="24"/>
          <w:highlight w:val="yellow"/>
          <w:lang w:val="ro-RO"/>
        </w:rPr>
        <w:t xml:space="preserve">după următoarea </w:t>
      </w:r>
      <w:r w:rsidR="00A35531" w:rsidRPr="00C06A86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formulă</w:t>
      </w:r>
      <w:r w:rsidR="003109FE" w:rsidRPr="00C06A86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:</w:t>
      </w:r>
    </w:p>
    <w:tbl>
      <w:tblPr>
        <w:tblW w:w="9498" w:type="dxa"/>
        <w:jc w:val="center"/>
        <w:tblLook w:val="04A0" w:firstRow="1" w:lastRow="0" w:firstColumn="1" w:lastColumn="0" w:noHBand="0" w:noVBand="1"/>
      </w:tblPr>
      <w:tblGrid>
        <w:gridCol w:w="8931"/>
        <w:gridCol w:w="567"/>
      </w:tblGrid>
      <w:tr w:rsidR="003667AC" w:rsidRPr="003667AC" w14:paraId="171555E1" w14:textId="77777777" w:rsidTr="00CD40DA">
        <w:trPr>
          <w:jc w:val="center"/>
        </w:trPr>
        <w:tc>
          <w:tcPr>
            <w:tcW w:w="8931" w:type="dxa"/>
            <w:vAlign w:val="center"/>
          </w:tcPr>
          <w:p w14:paraId="2FB09CB4" w14:textId="592DAB74" w:rsidR="003667AC" w:rsidRPr="00CB2158" w:rsidRDefault="003667AC" w:rsidP="00407D5C">
            <w:pPr>
              <w:pStyle w:val="aa"/>
              <w:spacing w:line="276" w:lineRule="auto"/>
              <w:ind w:left="0"/>
              <w:rPr>
                <w:rFonts w:ascii="Times New Roman" w:hAnsi="Times New Roman" w:cs="Times New Roman"/>
                <w:b/>
                <w:bCs/>
                <w:iCs/>
                <w:lang w:val="ro-RO"/>
              </w:rPr>
            </w:pPr>
            <w:r w:rsidRPr="00CB2158">
              <w:rPr>
                <w:rFonts w:ascii="Times New Roman" w:hAnsi="Times New Roman" w:cs="Times New Roman"/>
                <w:b/>
                <w:lang w:val="ro-RO"/>
              </w:rPr>
              <w:t>V</w:t>
            </w:r>
            <w:r w:rsidRPr="00CB2158">
              <w:rPr>
                <w:rFonts w:ascii="Times New Roman" w:hAnsi="Times New Roman" w:cs="Times New Roman"/>
                <w:b/>
                <w:vertAlign w:val="subscript"/>
                <w:lang w:val="ro-RO"/>
              </w:rPr>
              <w:t>CT</w:t>
            </w:r>
            <w:r w:rsidRPr="00CB2158">
              <w:rPr>
                <w:rFonts w:ascii="Times New Roman" w:hAnsi="Times New Roman" w:cs="Times New Roman"/>
                <w:b/>
                <w:i/>
                <w:iCs/>
                <w:vertAlign w:val="subscript"/>
                <w:lang w:val="ro-RO"/>
              </w:rPr>
              <w:t>i</w:t>
            </w:r>
            <w:r w:rsidRPr="00CB2158">
              <w:rPr>
                <w:rFonts w:ascii="Times New Roman" w:hAnsi="Times New Roman" w:cs="Times New Roman"/>
                <w:b/>
                <w:lang w:val="ro-RO"/>
              </w:rPr>
              <w:t xml:space="preserve"> = </w:t>
            </w:r>
            <w:r w:rsidRPr="00CB2158">
              <w:rPr>
                <w:rFonts w:ascii="Times New Roman" w:hAnsi="Times New Roman" w:cs="Times New Roman"/>
                <w:b/>
                <w:bCs/>
                <w:lang w:val="ro-RO"/>
              </w:rPr>
              <w:t>S</w:t>
            </w:r>
            <w:r w:rsidRPr="00CB2158">
              <w:rPr>
                <w:rFonts w:ascii="Times New Roman" w:hAnsi="Times New Roman" w:cs="Times New Roman"/>
                <w:b/>
                <w:bCs/>
                <w:vertAlign w:val="subscript"/>
                <w:lang w:val="ro-RO"/>
              </w:rPr>
              <w:t>TPC</w:t>
            </w:r>
            <w:r w:rsidRPr="00CB2158">
              <w:rPr>
                <w:rFonts w:ascii="Times New Roman" w:hAnsi="Times New Roman" w:cs="Times New Roman"/>
                <w:b/>
                <w:lang w:val="ro-RO"/>
              </w:rPr>
              <w:t xml:space="preserve"> * </w:t>
            </w:r>
            <w:r w:rsidRPr="00CB2158">
              <w:rPr>
                <w:rFonts w:ascii="Times New Roman" w:eastAsia="PMingLiU" w:hAnsi="Times New Roman" w:cs="Times New Roman"/>
                <w:b/>
                <w:bCs/>
                <w:lang w:val="ro-MD"/>
              </w:rPr>
              <w:t>EXP[</w:t>
            </w:r>
            <w:r w:rsidRPr="00CB2158">
              <w:rPr>
                <w:rFonts w:ascii="Times New Roman" w:hAnsi="Times New Roman" w:cs="Times New Roman"/>
                <w:b/>
                <w:lang w:val="ro-RO"/>
              </w:rPr>
              <w:t xml:space="preserve"> (Int.</w:t>
            </w:r>
            <w:r w:rsidRPr="00CB2158">
              <w:rPr>
                <w:rFonts w:ascii="Times New Roman" w:hAnsi="Times New Roman" w:cs="Times New Roman"/>
                <w:b/>
                <w:vertAlign w:val="subscript"/>
                <w:lang w:val="ro-RO"/>
              </w:rPr>
              <w:t xml:space="preserve"> TPC</w:t>
            </w:r>
            <w:r w:rsidRPr="00CB2158">
              <w:rPr>
                <w:rFonts w:ascii="Times New Roman" w:hAnsi="Times New Roman" w:cs="Times New Roman"/>
                <w:b/>
                <w:i/>
                <w:iCs/>
                <w:vertAlign w:val="subscript"/>
                <w:lang w:val="ro-RO"/>
              </w:rPr>
              <w:t xml:space="preserve">i </w:t>
            </w:r>
            <w:r w:rsidRPr="00CB2158">
              <w:rPr>
                <w:rFonts w:ascii="Times New Roman" w:hAnsi="Times New Roman" w:cs="Times New Roman"/>
                <w:b/>
                <w:lang w:val="ro-RO"/>
              </w:rPr>
              <w:t xml:space="preserve">+ </w:t>
            </w:r>
            <w:r w:rsidR="0040716F" w:rsidRPr="00CB2158">
              <w:rPr>
                <w:rFonts w:ascii="Times New Roman" w:hAnsi="Times New Roman" w:cs="Times New Roman"/>
                <w:b/>
                <w:bCs/>
                <w:lang w:val="ro-RO"/>
              </w:rPr>
              <w:t>L</w:t>
            </w:r>
            <w:r w:rsidR="007E2F92">
              <w:rPr>
                <w:rFonts w:ascii="Times New Roman" w:hAnsi="Times New Roman" w:cs="Times New Roman"/>
                <w:b/>
                <w:bCs/>
                <w:lang w:val="ro-RO"/>
              </w:rPr>
              <w:t>N</w:t>
            </w:r>
            <w:r w:rsidR="00AB3CCA" w:rsidRPr="00CB2158">
              <w:rPr>
                <w:rFonts w:ascii="Times New Roman" w:hAnsi="Times New Roman" w:cs="Times New Roman"/>
                <w:b/>
                <w:bCs/>
                <w:lang w:val="ro-RO"/>
              </w:rPr>
              <w:t>(</w:t>
            </w:r>
            <w:r w:rsidR="0040716F" w:rsidRPr="00CB2158">
              <w:rPr>
                <w:rFonts w:ascii="Times New Roman" w:hAnsi="Times New Roman" w:cs="Times New Roman"/>
                <w:b/>
                <w:bCs/>
                <w:lang w:val="ro-RO"/>
              </w:rPr>
              <w:t>S</w:t>
            </w:r>
            <w:r w:rsidR="0040716F" w:rsidRPr="00CB2158">
              <w:rPr>
                <w:rFonts w:ascii="Times New Roman" w:hAnsi="Times New Roman" w:cs="Times New Roman"/>
                <w:b/>
                <w:bCs/>
                <w:vertAlign w:val="subscript"/>
                <w:lang w:val="ro-RO"/>
              </w:rPr>
              <w:t>TPC</w:t>
            </w:r>
            <w:r w:rsidR="00AB3CCA" w:rsidRPr="00CB215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+ 1)</w:t>
            </w:r>
            <w:r w:rsidR="0040716F" w:rsidRPr="00CB215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</w:t>
            </w:r>
            <w:r w:rsidRPr="00CB215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* </w:t>
            </w:r>
            <w:r w:rsidR="0040716F" w:rsidRPr="00CB2158">
              <w:rPr>
                <w:rFonts w:ascii="Times New Roman" w:hAnsi="Times New Roman" w:cs="Times New Roman"/>
                <w:b/>
                <w:bCs/>
                <w:lang w:val="ro-RO"/>
              </w:rPr>
              <w:t>KL</w:t>
            </w:r>
            <w:r w:rsidR="007E2F92">
              <w:rPr>
                <w:rFonts w:ascii="Times New Roman" w:hAnsi="Times New Roman" w:cs="Times New Roman"/>
                <w:b/>
                <w:bCs/>
                <w:lang w:val="ro-RO"/>
              </w:rPr>
              <w:t>N</w:t>
            </w:r>
            <w:r w:rsidR="0040716F" w:rsidRPr="00CB2158">
              <w:rPr>
                <w:rFonts w:ascii="Times New Roman" w:hAnsi="Times New Roman" w:cs="Times New Roman"/>
                <w:b/>
                <w:bCs/>
                <w:lang w:val="ro-RO"/>
              </w:rPr>
              <w:t>(S</w:t>
            </w:r>
            <w:r w:rsidR="0040716F" w:rsidRPr="00CB2158">
              <w:rPr>
                <w:rFonts w:ascii="Times New Roman" w:hAnsi="Times New Roman" w:cs="Times New Roman"/>
                <w:b/>
                <w:bCs/>
                <w:vertAlign w:val="subscript"/>
                <w:lang w:val="ro-RO"/>
              </w:rPr>
              <w:t>TPC</w:t>
            </w:r>
            <w:r w:rsidR="0040716F" w:rsidRPr="00CB2158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ro-RO"/>
              </w:rPr>
              <w:t>i</w:t>
            </w:r>
            <w:r w:rsidR="00AB3CCA" w:rsidRPr="00CB215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) </w:t>
            </w:r>
            <w:r w:rsidRPr="00CB2158">
              <w:rPr>
                <w:rFonts w:ascii="Times New Roman" w:hAnsi="Times New Roman" w:cs="Times New Roman"/>
                <w:b/>
                <w:bCs/>
                <w:lang w:val="ro-RO"/>
              </w:rPr>
              <w:t>+ K</w:t>
            </w:r>
            <w:r w:rsidR="00AB3CCA" w:rsidRPr="00CB215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tip </w:t>
            </w:r>
            <w:r w:rsidRPr="00CB2158">
              <w:rPr>
                <w:rFonts w:ascii="Times New Roman" w:hAnsi="Times New Roman" w:cs="Times New Roman"/>
                <w:b/>
                <w:bCs/>
                <w:lang w:val="ro-RO"/>
              </w:rPr>
              <w:t>*</w:t>
            </w:r>
            <w:r w:rsidRPr="00CB2158">
              <w:rPr>
                <w:rFonts w:ascii="Times New Roman" w:hAnsi="Times New Roman" w:cs="Times New Roman"/>
                <w:b/>
                <w:lang w:val="ro-RO"/>
              </w:rPr>
              <w:t xml:space="preserve"> </w:t>
            </w:r>
            <w:r w:rsidR="002D2464" w:rsidRPr="00CB2158">
              <w:rPr>
                <w:rFonts w:ascii="Times New Roman" w:hAnsi="Times New Roman" w:cs="Times New Roman"/>
                <w:b/>
                <w:lang w:val="ro-RO"/>
              </w:rPr>
              <w:t>K</w:t>
            </w:r>
            <w:r w:rsidRPr="00CB2158">
              <w:rPr>
                <w:rFonts w:ascii="Times New Roman" w:hAnsi="Times New Roman" w:cs="Times New Roman"/>
                <w:b/>
                <w:vertAlign w:val="subscript"/>
                <w:lang w:val="ro-RO"/>
              </w:rPr>
              <w:t>ZV</w:t>
            </w:r>
            <w:r w:rsidRPr="00CB215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 + </w:t>
            </w:r>
            <w:r w:rsidRPr="00CB2158">
              <w:rPr>
                <w:rFonts w:ascii="Times New Roman" w:hAnsi="Times New Roman" w:cs="Times New Roman"/>
                <w:b/>
                <w:lang w:val="ro-RO"/>
              </w:rPr>
              <w:t>KAjC</w:t>
            </w:r>
            <w:r w:rsidRPr="00CB2158">
              <w:rPr>
                <w:rFonts w:ascii="Times New Roman" w:hAnsi="Times New Roman" w:cs="Times New Roman"/>
                <w:b/>
                <w:vertAlign w:val="subscript"/>
                <w:lang w:val="ro-RO"/>
              </w:rPr>
              <w:t>TPC</w:t>
            </w:r>
            <w:r w:rsidRPr="00CB215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) </w:t>
            </w:r>
            <w:r w:rsidR="00CB2158" w:rsidRPr="00CB2158">
              <w:rPr>
                <w:rFonts w:ascii="Times New Roman" w:hAnsi="Times New Roman" w:cs="Times New Roman"/>
                <w:b/>
                <w:bCs/>
                <w:lang w:val="ro-RO"/>
              </w:rPr>
              <w:t>+ L</w:t>
            </w:r>
            <w:r w:rsidR="007E2F92">
              <w:rPr>
                <w:rFonts w:ascii="Times New Roman" w:hAnsi="Times New Roman" w:cs="Times New Roman"/>
                <w:b/>
                <w:bCs/>
                <w:lang w:val="ro-RO"/>
              </w:rPr>
              <w:t>N</w:t>
            </w:r>
            <w:r w:rsidR="00CB2158" w:rsidRPr="00CB2158">
              <w:rPr>
                <w:rFonts w:ascii="Times New Roman" w:hAnsi="Times New Roman" w:cs="Times New Roman"/>
                <w:b/>
                <w:bCs/>
                <w:lang w:val="ro-RO"/>
              </w:rPr>
              <w:t>(EXP(L</w:t>
            </w:r>
            <w:r w:rsidR="007E2F92">
              <w:rPr>
                <w:rFonts w:ascii="Times New Roman" w:hAnsi="Times New Roman" w:cs="Times New Roman"/>
                <w:b/>
                <w:bCs/>
                <w:lang w:val="ro-RO"/>
              </w:rPr>
              <w:t>N</w:t>
            </w:r>
            <w:r w:rsidR="00CB2158" w:rsidRPr="00CB2158">
              <w:rPr>
                <w:rFonts w:ascii="Times New Roman" w:hAnsi="Times New Roman" w:cs="Times New Roman"/>
                <w:b/>
                <w:bCs/>
                <w:lang w:val="ro-RO"/>
              </w:rPr>
              <w:t>(RDS</w:t>
            </w:r>
            <w:r w:rsidR="00CB2158" w:rsidRPr="00CB2158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ro-RO"/>
              </w:rPr>
              <w:t>i</w:t>
            </w:r>
            <w:r w:rsidR="00CB2158" w:rsidRPr="00CB2158">
              <w:rPr>
                <w:rFonts w:ascii="Times New Roman" w:hAnsi="Times New Roman" w:cs="Times New Roman"/>
                <w:b/>
                <w:bCs/>
                <w:lang w:val="ro-RO"/>
              </w:rPr>
              <w:t>) * KL</w:t>
            </w:r>
            <w:r w:rsidR="007E2F92">
              <w:rPr>
                <w:rFonts w:ascii="Times New Roman" w:hAnsi="Times New Roman" w:cs="Times New Roman"/>
                <w:b/>
                <w:bCs/>
                <w:lang w:val="ro-RO"/>
              </w:rPr>
              <w:t>N</w:t>
            </w:r>
            <w:r w:rsidR="00CB2158" w:rsidRPr="00CB2158">
              <w:rPr>
                <w:rFonts w:ascii="Times New Roman" w:hAnsi="Times New Roman" w:cs="Times New Roman"/>
                <w:b/>
                <w:bCs/>
                <w:lang w:val="ro-RO"/>
              </w:rPr>
              <w:t>(RDS</w:t>
            </w:r>
            <w:r w:rsidR="00CB2158" w:rsidRPr="00CB2158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ro-RO"/>
              </w:rPr>
              <w:t>i</w:t>
            </w:r>
            <w:r w:rsidR="00CB2158" w:rsidRPr="00CB215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) </w:t>
            </w:r>
            <w:r w:rsidRPr="00CB2158">
              <w:rPr>
                <w:rFonts w:ascii="Times New Roman" w:hAnsi="Times New Roman" w:cs="Times New Roman"/>
                <w:b/>
                <w:bCs/>
                <w:lang w:val="ro-RO"/>
              </w:rPr>
              <w:t xml:space="preserve">+ </w:t>
            </w:r>
            <w:r w:rsidR="00CB2158" w:rsidRPr="00CB2158">
              <w:rPr>
                <w:rFonts w:ascii="Times New Roman" w:hAnsi="Times New Roman" w:cs="Times New Roman"/>
                <w:b/>
                <w:bCs/>
                <w:lang w:val="ro-RO"/>
              </w:rPr>
              <w:t>L</w:t>
            </w:r>
            <w:r w:rsidR="007E2F92">
              <w:rPr>
                <w:rFonts w:ascii="Times New Roman" w:hAnsi="Times New Roman" w:cs="Times New Roman"/>
                <w:b/>
                <w:bCs/>
                <w:lang w:val="ro-RO"/>
              </w:rPr>
              <w:t>N</w:t>
            </w:r>
            <w:r w:rsidR="00CB2158" w:rsidRPr="00CB2158">
              <w:rPr>
                <w:rFonts w:ascii="Times New Roman" w:hAnsi="Times New Roman" w:cs="Times New Roman"/>
                <w:b/>
                <w:bCs/>
                <w:lang w:val="ro-RO"/>
              </w:rPr>
              <w:t>(IAaj</w:t>
            </w:r>
            <w:r w:rsidR="00CD40DA">
              <w:rPr>
                <w:rFonts w:ascii="Times New Roman" w:hAnsi="Times New Roman" w:cs="Times New Roman"/>
                <w:b/>
                <w:bCs/>
                <w:lang w:val="ro-RO"/>
              </w:rPr>
              <w:t>+1</w:t>
            </w:r>
            <w:r w:rsidR="00CB2158" w:rsidRPr="00CB2158">
              <w:rPr>
                <w:rFonts w:ascii="Times New Roman" w:hAnsi="Times New Roman" w:cs="Times New Roman"/>
                <w:b/>
                <w:bCs/>
                <w:lang w:val="ro-RO"/>
              </w:rPr>
              <w:t>) * KL</w:t>
            </w:r>
            <w:r w:rsidR="007E2F92">
              <w:rPr>
                <w:rFonts w:ascii="Times New Roman" w:hAnsi="Times New Roman" w:cs="Times New Roman"/>
                <w:b/>
                <w:bCs/>
                <w:lang w:val="ro-RO"/>
              </w:rPr>
              <w:t>N</w:t>
            </w:r>
            <w:r w:rsidR="00CB2158" w:rsidRPr="00CB2158">
              <w:rPr>
                <w:rFonts w:ascii="Times New Roman" w:hAnsi="Times New Roman" w:cs="Times New Roman"/>
                <w:b/>
                <w:bCs/>
                <w:lang w:val="ro-RO"/>
              </w:rPr>
              <w:t>(IAaj) + KAjC</w:t>
            </w:r>
            <w:r w:rsidR="00CB2158" w:rsidRPr="00CB2158">
              <w:rPr>
                <w:rFonts w:ascii="Times New Roman" w:hAnsi="Times New Roman" w:cs="Times New Roman"/>
                <w:b/>
                <w:bCs/>
                <w:vertAlign w:val="subscript"/>
                <w:lang w:val="ro-RO"/>
              </w:rPr>
              <w:t>CT</w:t>
            </w:r>
            <w:r w:rsidR="00CB2158" w:rsidRPr="00CB2158">
              <w:rPr>
                <w:rFonts w:ascii="Times New Roman" w:hAnsi="Times New Roman" w:cs="Times New Roman"/>
                <w:b/>
                <w:bCs/>
                <w:i/>
                <w:iCs/>
                <w:vertAlign w:val="subscript"/>
                <w:lang w:val="ro-RO"/>
              </w:rPr>
              <w:t>i</w:t>
            </w:r>
            <w:r w:rsidR="00CB2158" w:rsidRPr="00CB2158">
              <w:rPr>
                <w:rFonts w:ascii="Times New Roman" w:hAnsi="Times New Roman" w:cs="Times New Roman"/>
                <w:b/>
                <w:bCs/>
                <w:lang w:val="ro-RO"/>
              </w:rPr>
              <w:t>) -1)</w:t>
            </w:r>
            <w:r w:rsidR="00A021D2" w:rsidRPr="00CB2158">
              <w:rPr>
                <w:rFonts w:ascii="Times New Roman" w:eastAsiaTheme="minorEastAsia" w:hAnsi="Times New Roman" w:cs="Times New Roman"/>
                <w:b/>
                <w:lang w:val="ro-RO"/>
              </w:rPr>
              <w:t>]</w:t>
            </w:r>
            <w:r w:rsidR="00CB2158" w:rsidRPr="00CB2158">
              <w:rPr>
                <w:rFonts w:ascii="Times New Roman" w:eastAsiaTheme="minorEastAsia" w:hAnsi="Times New Roman" w:cs="Times New Roman"/>
                <w:b/>
                <w:lang w:val="ro-RO"/>
              </w:rPr>
              <w:t xml:space="preserve"> * </w:t>
            </w:r>
            <m:oMath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lang w:val="ro-RO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kern w:val="2"/>
                      <w:lang w:val="ro-RO"/>
                      <w14:ligatures w14:val="standardContextual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cs="Times New Roman"/>
                      <w:lang w:val="ro-RO"/>
                    </w:rPr>
                    <m:t>(1+TVA)</m:t>
                  </m:r>
                </m:den>
              </m:f>
            </m:oMath>
            <w:r w:rsidR="002112EC" w:rsidRPr="00CB2158">
              <w:rPr>
                <w:rFonts w:ascii="Times New Roman" w:eastAsiaTheme="minorEastAsia" w:hAnsi="Times New Roman" w:cs="Times New Roman"/>
                <w:b/>
                <w:bCs/>
                <w:lang w:val="ro-RO"/>
              </w:rPr>
              <w:t>;</w:t>
            </w:r>
          </w:p>
        </w:tc>
        <w:tc>
          <w:tcPr>
            <w:tcW w:w="567" w:type="dxa"/>
            <w:vAlign w:val="center"/>
          </w:tcPr>
          <w:p w14:paraId="25786708" w14:textId="2B624341" w:rsidR="003667AC" w:rsidRPr="00DF5267" w:rsidRDefault="003667AC" w:rsidP="003667AC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3</w:t>
            </w:r>
            <w:r w:rsidRPr="00DF52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</w:t>
            </w:r>
          </w:p>
        </w:tc>
      </w:tr>
    </w:tbl>
    <w:p w14:paraId="6FEC695F" w14:textId="77777777" w:rsidR="006A130F" w:rsidRPr="004C5926" w:rsidRDefault="006A130F" w:rsidP="00927101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sz w:val="16"/>
          <w:szCs w:val="16"/>
          <w:lang w:val="ro-RO"/>
        </w:rPr>
      </w:pPr>
    </w:p>
    <w:p w14:paraId="725EBE1D" w14:textId="3EB63A6E" w:rsidR="00A30A0E" w:rsidRPr="00DF5267" w:rsidRDefault="00A30A0E" w:rsidP="00927101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5267">
        <w:rPr>
          <w:rFonts w:ascii="Times New Roman" w:hAnsi="Times New Roman" w:cs="Times New Roman"/>
          <w:sz w:val="24"/>
          <w:szCs w:val="24"/>
          <w:lang w:val="ro-RO"/>
        </w:rPr>
        <w:t>unde:</w:t>
      </w:r>
      <w:r w:rsidRPr="00DF526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ab/>
      </w:r>
      <w:r w:rsidRPr="00DF52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630"/>
        <w:gridCol w:w="7725"/>
      </w:tblGrid>
      <w:tr w:rsidR="00A30A0E" w:rsidRPr="00896FD8" w14:paraId="0DB8F8BC" w14:textId="77777777" w:rsidTr="00723C4F">
        <w:trPr>
          <w:trHeight w:val="315"/>
        </w:trPr>
        <w:tc>
          <w:tcPr>
            <w:tcW w:w="871" w:type="pct"/>
            <w:noWrap/>
          </w:tcPr>
          <w:p w14:paraId="37B05B97" w14:textId="4CA666CF" w:rsidR="00A30A0E" w:rsidRPr="00DB7F20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B7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</w:t>
            </w:r>
            <w:r w:rsidR="00007982" w:rsidRPr="00DB7F2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CT</w:t>
            </w:r>
            <w:r w:rsidR="003F52FE" w:rsidRPr="003F52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RO"/>
              </w:rPr>
              <w:t>i</w:t>
            </w:r>
          </w:p>
        </w:tc>
        <w:tc>
          <w:tcPr>
            <w:tcW w:w="4129" w:type="pct"/>
            <w:noWrap/>
          </w:tcPr>
          <w:p w14:paraId="03B68FD8" w14:textId="13A622BC" w:rsidR="00A30A0E" w:rsidRPr="00DB7F20" w:rsidRDefault="00A30A0E" w:rsidP="008E4EA4">
            <w:pPr>
              <w:spacing w:after="0" w:line="240" w:lineRule="auto"/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="008327FE" w:rsidRPr="008327F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valoarea estimată a construcției (fără valoarea terenului și fără TVA)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C37443" w:rsidRPr="00896FD8" w14:paraId="24516D01" w14:textId="77777777" w:rsidTr="00723C4F">
        <w:trPr>
          <w:trHeight w:val="315"/>
        </w:trPr>
        <w:tc>
          <w:tcPr>
            <w:tcW w:w="871" w:type="pct"/>
            <w:noWrap/>
          </w:tcPr>
          <w:p w14:paraId="69D42E63" w14:textId="7B0CBCAB" w:rsidR="00C37443" w:rsidRPr="00DB7F20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B7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DB7F2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TPC</w:t>
            </w:r>
          </w:p>
        </w:tc>
        <w:tc>
          <w:tcPr>
            <w:tcW w:w="4129" w:type="pct"/>
            <w:noWrap/>
          </w:tcPr>
          <w:p w14:paraId="0C04843A" w14:textId="32AEEA14" w:rsidR="00C37443" w:rsidRPr="00DB7F20" w:rsidRDefault="00C37443" w:rsidP="00C37443">
            <w:pPr>
              <w:spacing w:after="0" w:line="240" w:lineRule="auto"/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DB7F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suprafața terenului înscrisă în Registrul bunurilor imobile, convertită în metri pătrați (precizia 1,0); </w:t>
            </w:r>
          </w:p>
        </w:tc>
      </w:tr>
      <w:tr w:rsidR="00C37443" w:rsidRPr="00E958F2" w14:paraId="29E71813" w14:textId="77777777" w:rsidTr="00723C4F">
        <w:trPr>
          <w:trHeight w:val="315"/>
        </w:trPr>
        <w:tc>
          <w:tcPr>
            <w:tcW w:w="871" w:type="pct"/>
            <w:noWrap/>
          </w:tcPr>
          <w:p w14:paraId="28B6DDB1" w14:textId="33F6B508" w:rsidR="00C37443" w:rsidRPr="00DB7F20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EXP</w:t>
            </w:r>
          </w:p>
        </w:tc>
        <w:tc>
          <w:tcPr>
            <w:tcW w:w="4129" w:type="pct"/>
            <w:noWrap/>
          </w:tcPr>
          <w:p w14:paraId="0A6398BC" w14:textId="342857E9" w:rsidR="00C37443" w:rsidRPr="00DB7F20" w:rsidRDefault="00C37443" w:rsidP="00C37443">
            <w:pPr>
              <w:spacing w:after="0" w:line="240" w:lineRule="auto"/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funcție exponențială;</w:t>
            </w:r>
          </w:p>
        </w:tc>
      </w:tr>
      <w:tr w:rsidR="00C37443" w:rsidRPr="00896FD8" w14:paraId="35583D5A" w14:textId="77777777" w:rsidTr="00723C4F">
        <w:trPr>
          <w:trHeight w:val="315"/>
        </w:trPr>
        <w:tc>
          <w:tcPr>
            <w:tcW w:w="871" w:type="pct"/>
            <w:noWrap/>
          </w:tcPr>
          <w:p w14:paraId="02A928CC" w14:textId="2446BEB1" w:rsidR="00C37443" w:rsidRPr="00DF5267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Int.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  <w:lang w:val="ro-RO" w:eastAsia="ru-RU"/>
              </w:rPr>
              <w:t>TPC</w:t>
            </w:r>
            <w:r w:rsidRPr="0000798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RO" w:eastAsia="ru-RU"/>
              </w:rPr>
              <w:t>i</w:t>
            </w:r>
          </w:p>
        </w:tc>
        <w:tc>
          <w:tcPr>
            <w:tcW w:w="4129" w:type="pct"/>
            <w:noWrap/>
          </w:tcPr>
          <w:p w14:paraId="2E8EBF93" w14:textId="47B4A8AE" w:rsidR="00C37443" w:rsidRPr="00DF5267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– intercepta ecuației de regresie. Reprezintă componenta liberă (constantă) a modelului de evaluare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masivă</w:t>
            </w: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</w:p>
        </w:tc>
      </w:tr>
      <w:tr w:rsidR="00C37443" w:rsidRPr="00E958F2" w14:paraId="430BD94D" w14:textId="77777777" w:rsidTr="00723C4F">
        <w:trPr>
          <w:trHeight w:val="315"/>
        </w:trPr>
        <w:tc>
          <w:tcPr>
            <w:tcW w:w="871" w:type="pct"/>
            <w:noWrap/>
          </w:tcPr>
          <w:p w14:paraId="560CA01D" w14:textId="4438436F" w:rsidR="00C37443" w:rsidRPr="00DB7F20" w:rsidRDefault="00EB2A9C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LN</w:t>
            </w:r>
          </w:p>
        </w:tc>
        <w:tc>
          <w:tcPr>
            <w:tcW w:w="4129" w:type="pct"/>
            <w:noWrap/>
          </w:tcPr>
          <w:p w14:paraId="3D6767F4" w14:textId="06A746BF" w:rsidR="00C37443" w:rsidRPr="00C073A1" w:rsidRDefault="00EB2A9C" w:rsidP="00C3744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funcție logaritm natural;</w:t>
            </w:r>
          </w:p>
        </w:tc>
      </w:tr>
      <w:tr w:rsidR="00C37443" w:rsidRPr="00896FD8" w14:paraId="247D32FD" w14:textId="77777777" w:rsidTr="00723C4F">
        <w:trPr>
          <w:trHeight w:val="663"/>
        </w:trPr>
        <w:tc>
          <w:tcPr>
            <w:tcW w:w="871" w:type="pct"/>
            <w:noWrap/>
            <w:hideMark/>
          </w:tcPr>
          <w:p w14:paraId="2076E54B" w14:textId="3C27F74A" w:rsidR="00C37443" w:rsidRPr="00DF5267" w:rsidRDefault="00C37443" w:rsidP="00C374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B7F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KL</w:t>
            </w:r>
            <w:r w:rsidR="00EB2A9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(</w:t>
            </w:r>
            <w:r w:rsidRPr="00DB7F20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</w:t>
            </w:r>
            <w:r w:rsidRPr="00DB7F2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bscript"/>
                <w:lang w:val="ro-RO"/>
              </w:rPr>
              <w:t>TPC</w:t>
            </w:r>
            <w:r w:rsidRPr="00864550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vertAlign w:val="subscript"/>
                <w:lang w:val="ro-RO"/>
              </w:rPr>
              <w:t>i</w:t>
            </w:r>
            <w:r w:rsidRPr="008932C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)</w:t>
            </w:r>
          </w:p>
        </w:tc>
        <w:tc>
          <w:tcPr>
            <w:tcW w:w="4129" w:type="pct"/>
            <w:noWrap/>
            <w:hideMark/>
          </w:tcPr>
          <w:p w14:paraId="0C47405F" w14:textId="4FC2C125" w:rsidR="00C37443" w:rsidRPr="00DF5267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MD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– 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coeficientul factorului valoric </w:t>
            </w:r>
            <w:r w:rsidR="00525FBC" w:rsidRPr="00525F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aferent variabilei transformate </w:t>
            </w:r>
            <w:r w:rsidR="00525FBC" w:rsidRPr="00C06A86"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  <w:t>LN(S</w:t>
            </w:r>
            <w:r w:rsidR="00525FBC" w:rsidRPr="00C06A86">
              <w:rPr>
                <w:rFonts w:ascii="Times New Roman" w:hAnsi="Times New Roman" w:cs="Times New Roman"/>
                <w:sz w:val="24"/>
                <w:szCs w:val="24"/>
                <w:highlight w:val="yellow"/>
                <w:vertAlign w:val="subscript"/>
                <w:lang w:val="ro-RO"/>
              </w:rPr>
              <w:t>TPC</w:t>
            </w:r>
            <w:r w:rsidR="00525FBC" w:rsidRPr="00C06A86">
              <w:rPr>
                <w:rFonts w:ascii="Times New Roman" w:hAnsi="Times New Roman" w:cs="Times New Roman"/>
                <w:sz w:val="24"/>
                <w:szCs w:val="24"/>
                <w:highlight w:val="yellow"/>
                <w:lang w:val="ro-RO"/>
              </w:rPr>
              <w:t>+1),</w:t>
            </w:r>
            <w:r w:rsidR="00525FBC" w:rsidRPr="00525F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care reflectă influența neliniară a „suprafeței terenului” asupra valorii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525FBC" w:rsidRPr="00896FD8" w14:paraId="37BCBAC4" w14:textId="77777777" w:rsidTr="004909AB">
        <w:trPr>
          <w:trHeight w:val="315"/>
        </w:trPr>
        <w:tc>
          <w:tcPr>
            <w:tcW w:w="871" w:type="pct"/>
            <w:noWrap/>
            <w:vAlign w:val="center"/>
          </w:tcPr>
          <w:p w14:paraId="66D060FD" w14:textId="5067E19A" w:rsidR="00525FBC" w:rsidRPr="00DF5267" w:rsidRDefault="00525FBC" w:rsidP="00525F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K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tip</w:t>
            </w:r>
            <w:proofErr w:type="spellEnd"/>
          </w:p>
        </w:tc>
        <w:tc>
          <w:tcPr>
            <w:tcW w:w="4129" w:type="pct"/>
            <w:noWrap/>
          </w:tcPr>
          <w:p w14:paraId="6325AF23" w14:textId="00D8B2C1" w:rsidR="00525FBC" w:rsidRPr="00DB7F20" w:rsidRDefault="00525FBC" w:rsidP="0052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coeficientul factorului valoric “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tipul bunului imobil</w:t>
            </w: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(teren sau construcție)</w:t>
            </w: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525FBC" w:rsidRPr="00896FD8" w14:paraId="169E1DA0" w14:textId="77777777" w:rsidTr="00723C4F">
        <w:trPr>
          <w:trHeight w:val="315"/>
        </w:trPr>
        <w:tc>
          <w:tcPr>
            <w:tcW w:w="871" w:type="pct"/>
            <w:noWrap/>
          </w:tcPr>
          <w:p w14:paraId="7E711E88" w14:textId="1747FB9D" w:rsidR="00525FBC" w:rsidRPr="00DF5267" w:rsidRDefault="00525FBC" w:rsidP="00525F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K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ZV</w:t>
            </w:r>
          </w:p>
        </w:tc>
        <w:tc>
          <w:tcPr>
            <w:tcW w:w="4129" w:type="pct"/>
            <w:noWrap/>
          </w:tcPr>
          <w:p w14:paraId="54AD4788" w14:textId="0A357721" w:rsidR="00525FBC" w:rsidRPr="00DB7F20" w:rsidRDefault="00525FBC" w:rsidP="00525F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 coeficientul factorului valoric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A0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“zon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2A01D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valorică”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Pr="007F194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care reflectă influența amplas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ării bunului imobil;</w:t>
            </w:r>
          </w:p>
        </w:tc>
      </w:tr>
      <w:tr w:rsidR="00C37443" w:rsidRPr="00896FD8" w14:paraId="54B18C23" w14:textId="77777777" w:rsidTr="00723C4F">
        <w:trPr>
          <w:trHeight w:val="315"/>
        </w:trPr>
        <w:tc>
          <w:tcPr>
            <w:tcW w:w="871" w:type="pct"/>
            <w:noWrap/>
          </w:tcPr>
          <w:p w14:paraId="5B135218" w14:textId="03050CCD" w:rsidR="00C37443" w:rsidRPr="00DF5267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KAjC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TPC</w:t>
            </w:r>
            <w:proofErr w:type="spellEnd"/>
          </w:p>
        </w:tc>
        <w:tc>
          <w:tcPr>
            <w:tcW w:w="4129" w:type="pct"/>
            <w:noWrap/>
          </w:tcPr>
          <w:p w14:paraId="0F413C43" w14:textId="0BE9FD09" w:rsidR="00C37443" w:rsidRPr="00DB7F20" w:rsidRDefault="00C37443" w:rsidP="00C37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coeficientul ajustărilor comune </w:t>
            </w:r>
            <w:r w:rsidR="00AC047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aplicabil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terenului aferent</w:t>
            </w: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(se va determina conform formulei 2 din pct. 3);</w:t>
            </w:r>
          </w:p>
        </w:tc>
      </w:tr>
      <w:tr w:rsidR="00C37443" w:rsidRPr="00896FD8" w14:paraId="7C1F178B" w14:textId="77777777" w:rsidTr="00723C4F">
        <w:trPr>
          <w:trHeight w:val="315"/>
        </w:trPr>
        <w:tc>
          <w:tcPr>
            <w:tcW w:w="871" w:type="pct"/>
            <w:noWrap/>
          </w:tcPr>
          <w:p w14:paraId="4BD10651" w14:textId="120FCBFE" w:rsidR="00C37443" w:rsidRPr="00DF5267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proofErr w:type="spellStart"/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en-US"/>
              </w:rPr>
              <w:t>INT</w:t>
            </w:r>
            <w:r w:rsidRPr="003109FE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4129" w:type="pct"/>
            <w:noWrap/>
          </w:tcPr>
          <w:p w14:paraId="15919B5E" w14:textId="77777777" w:rsidR="00C37443" w:rsidRDefault="00C37443" w:rsidP="00C37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– suprafața 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totală 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interioar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ă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 construcției </w:t>
            </w:r>
            <w:r w:rsidRPr="00500ADE">
              <w:rPr>
                <w:rFonts w:ascii="Times New Roman" w:hAnsi="Times New Roman" w:cs="Times New Roman"/>
                <w:i/>
                <w:iCs/>
                <w:kern w:val="2"/>
                <w:sz w:val="24"/>
                <w:szCs w:val="24"/>
                <w:lang w:val="pt-BR"/>
                <w14:ligatures w14:val="standardContextual"/>
              </w:rPr>
              <w:t>i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, m.p.</w:t>
            </w:r>
          </w:p>
          <w:p w14:paraId="2CEC30F6" w14:textId="3C5CC03B" w:rsidR="00C37443" w:rsidRPr="004F1180" w:rsidRDefault="00C06A86" w:rsidP="00C37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C06A86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S</w:t>
            </w:r>
            <w:r w:rsidRPr="00C06A86">
              <w:rPr>
                <w:rFonts w:ascii="Times New Roman" w:hAnsi="Times New Roman" w:cs="Times New Roman"/>
                <w:sz w:val="24"/>
                <w:szCs w:val="24"/>
                <w:highlight w:val="yellow"/>
                <w:lang w:val="pt-BR"/>
              </w:rPr>
              <w:t>uprafaţă desfăşurată pe perimetrul interior al tuturor încăperilor integrate în clădire;</w:t>
            </w:r>
          </w:p>
        </w:tc>
      </w:tr>
      <w:tr w:rsidR="00C37443" w:rsidRPr="00896FD8" w14:paraId="28A0B686" w14:textId="77777777" w:rsidTr="00723C4F">
        <w:trPr>
          <w:trHeight w:val="315"/>
        </w:trPr>
        <w:tc>
          <w:tcPr>
            <w:tcW w:w="871" w:type="pct"/>
            <w:noWrap/>
          </w:tcPr>
          <w:p w14:paraId="6CD6B5C6" w14:textId="36B18A18" w:rsidR="00C37443" w:rsidRPr="00DF5267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RDS</w:t>
            </w:r>
            <w:r w:rsidRPr="00231B6F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RO"/>
              </w:rPr>
              <w:t>i</w:t>
            </w:r>
            <w:proofErr w:type="spellEnd"/>
          </w:p>
        </w:tc>
        <w:tc>
          <w:tcPr>
            <w:tcW w:w="4129" w:type="pct"/>
            <w:noWrap/>
          </w:tcPr>
          <w:p w14:paraId="4E9AEDC6" w14:textId="235220B2" w:rsidR="00C37443" w:rsidRPr="00D265EC" w:rsidRDefault="005168C1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</w:t>
            </w:r>
            <w:r w:rsidR="00C37443"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reprezintă raportul dintre supraf</w:t>
            </w:r>
            <w:r w:rsidR="00C37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C37443"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 w:rsidR="00C37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="00C37443"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total</w:t>
            </w:r>
            <w:r w:rsidR="00C37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C37443"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interioar</w:t>
            </w:r>
            <w:r w:rsidR="00C37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="00C37443"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</w:t>
            </w:r>
            <w:r w:rsidR="00C37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construcției (S</w:t>
            </w:r>
            <w:r w:rsidR="00C37443" w:rsidRPr="00A9305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INT</w:t>
            </w:r>
            <w:r w:rsidR="00C37443" w:rsidRPr="00A9305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i</w:t>
            </w:r>
            <w:r w:rsidR="00C37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  <w:r w:rsidR="00C37443"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suprafața terenului</w:t>
            </w:r>
            <w:r w:rsidR="00C37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</w:t>
            </w:r>
            <w:r w:rsidR="00C37443" w:rsidRPr="00A9305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TPC</w:t>
            </w:r>
            <w:r w:rsidR="00C37443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);</w:t>
            </w:r>
          </w:p>
        </w:tc>
      </w:tr>
      <w:tr w:rsidR="00C37443" w:rsidRPr="00896FD8" w14:paraId="53A1E080" w14:textId="77777777" w:rsidTr="00723C4F">
        <w:trPr>
          <w:trHeight w:val="315"/>
        </w:trPr>
        <w:tc>
          <w:tcPr>
            <w:tcW w:w="871" w:type="pct"/>
            <w:noWrap/>
          </w:tcPr>
          <w:p w14:paraId="3886F43E" w14:textId="07281F05" w:rsidR="00C37443" w:rsidRPr="00DB7F20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B7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L</w:t>
            </w:r>
            <w:r w:rsidR="00EB2A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</w:t>
            </w:r>
            <w:proofErr w:type="spellStart"/>
            <w:r w:rsidRPr="00DB7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RDS</w:t>
            </w:r>
            <w:r w:rsidRPr="006B61B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RO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4129" w:type="pct"/>
            <w:noWrap/>
          </w:tcPr>
          <w:p w14:paraId="22C4AB87" w14:textId="77777777" w:rsidR="000E19D4" w:rsidRDefault="00C37443" w:rsidP="00D317F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="001635E5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47C19">
              <w:rPr>
                <w:rFonts w:ascii="Times New Roman" w:eastAsia="PMingLiU" w:hAnsi="Times New Roman" w:cs="Times New Roman"/>
                <w:sz w:val="24"/>
                <w:szCs w:val="24"/>
                <w:highlight w:val="yellow"/>
                <w:lang w:val="ro-MD"/>
              </w:rPr>
              <w:t>valoarea</w:t>
            </w:r>
            <w:r w:rsidRPr="00DB7F20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 xml:space="preserve"> logaritmului natural al 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raportului dintre supraf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total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interioar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construcției (S</w:t>
            </w:r>
            <w:r w:rsidRPr="00A9305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INT</w:t>
            </w:r>
            <w:r w:rsidRPr="00A9305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suprafața terenului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</w:t>
            </w:r>
            <w:r w:rsidRPr="00A9305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TPC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). Se calculează după următoarea formulă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: </w:t>
            </w:r>
          </w:p>
          <w:p w14:paraId="4B388DB9" w14:textId="3DD1555D" w:rsidR="00C37443" w:rsidRPr="00DB7F20" w:rsidRDefault="00C37443" w:rsidP="000E19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EB2A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RDS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 xml:space="preserve"> </w:t>
            </w:r>
            <w:r w:rsidRPr="00DB7F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=</w:t>
            </w:r>
            <w:r w:rsidRPr="00DB7F20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 xml:space="preserve"> 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</w:t>
            </w:r>
            <w:r w:rsidR="00EB2A9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</w:t>
            </w:r>
            <w:r w:rsidRPr="00DB7F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1 + 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RDS </w:t>
            </w:r>
            <w:r w:rsidRPr="00DB7F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+ 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RDS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o-RO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);</w:t>
            </w:r>
          </w:p>
        </w:tc>
      </w:tr>
      <w:tr w:rsidR="00C37443" w:rsidRPr="00896FD8" w14:paraId="22051F31" w14:textId="77777777" w:rsidTr="00723C4F">
        <w:trPr>
          <w:trHeight w:val="315"/>
        </w:trPr>
        <w:tc>
          <w:tcPr>
            <w:tcW w:w="871" w:type="pct"/>
            <w:noWrap/>
          </w:tcPr>
          <w:p w14:paraId="042E76BB" w14:textId="4C3C6F3F" w:rsidR="00C37443" w:rsidRPr="00DF5267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KL</w:t>
            </w:r>
            <w:r w:rsidR="00EB2A9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RDS</w:t>
            </w:r>
            <w:r w:rsidRPr="0099415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  <w:r w:rsidRPr="0099415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129" w:type="pct"/>
            <w:noWrap/>
          </w:tcPr>
          <w:p w14:paraId="058D8A73" w14:textId="7AD20A22" w:rsidR="00C37443" w:rsidRPr="00DF5267" w:rsidRDefault="00C37443" w:rsidP="00C37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– 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coeficientul factorului valoric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valoarea logaritmului natural 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dintre supraf</w:t>
            </w:r>
            <w:r w:rsidR="00726F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ț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total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interioar</w:t>
            </w:r>
            <w:r w:rsidR="00726F5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ă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construcției (S</w:t>
            </w:r>
            <w:r w:rsidRPr="00A9305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INT</w:t>
            </w:r>
            <w:r w:rsidRPr="00A93058">
              <w:rPr>
                <w:rFonts w:ascii="Times New Roman" w:hAnsi="Times New Roman" w:cs="Times New Roman"/>
                <w:i/>
                <w:iCs/>
                <w:sz w:val="24"/>
                <w:szCs w:val="24"/>
                <w:vertAlign w:val="subscript"/>
                <w:lang w:val="ro-RO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) 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și suprafața terenului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(S</w:t>
            </w:r>
            <w:r w:rsidRPr="00A93058">
              <w:rPr>
                <w:rFonts w:ascii="Times New Roman" w:hAnsi="Times New Roman" w:cs="Times New Roman"/>
                <w:sz w:val="24"/>
                <w:szCs w:val="24"/>
                <w:vertAlign w:val="subscript"/>
                <w:lang w:val="ro-RO"/>
              </w:rPr>
              <w:t>TPC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”;</w:t>
            </w:r>
          </w:p>
        </w:tc>
      </w:tr>
      <w:tr w:rsidR="00C37443" w:rsidRPr="00896FD8" w14:paraId="4AB4B042" w14:textId="77777777" w:rsidTr="00723C4F">
        <w:trPr>
          <w:trHeight w:val="315"/>
        </w:trPr>
        <w:tc>
          <w:tcPr>
            <w:tcW w:w="871" w:type="pct"/>
            <w:noWrap/>
          </w:tcPr>
          <w:p w14:paraId="242DDBEC" w14:textId="7A5F10EC" w:rsidR="00C37443" w:rsidRPr="00C073A1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wRDS</w:t>
            </w:r>
            <w:proofErr w:type="spellEnd"/>
          </w:p>
        </w:tc>
        <w:tc>
          <w:tcPr>
            <w:tcW w:w="4129" w:type="pct"/>
            <w:noWrap/>
          </w:tcPr>
          <w:p w14:paraId="7CDCA835" w14:textId="034EBC62" w:rsidR="00247210" w:rsidRPr="00247210" w:rsidRDefault="000F1DDD" w:rsidP="0024721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 w:rsidR="002472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u-RU"/>
              </w:rPr>
              <w:t>p</w:t>
            </w:r>
            <w:r w:rsidR="00247210" w:rsidRPr="00247210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o-RO" w:eastAsia="ru-RU"/>
              </w:rPr>
              <w:t>rin derogare de la aplicarea factorului valoric RDS</w:t>
            </w:r>
            <w:r w:rsidR="00247210" w:rsidRPr="0024721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vertAlign w:val="subscript"/>
                <w:lang w:val="ro-RO" w:eastAsia="ru-RU"/>
              </w:rPr>
              <w:t>i</w:t>
            </w:r>
            <w:r w:rsidR="00247210" w:rsidRPr="002472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, în scopul evitării supraevaluării construcțiilor amplasate pe terenuri cu un grad redus de utilizare, influența acestuia se ajustează prin aplicarea unui coeficient de ponderare determinat în funcție de indicatorul RDS.</w:t>
            </w:r>
          </w:p>
          <w:p w14:paraId="05CCC4CC" w14:textId="7B167F9A" w:rsidR="00C37443" w:rsidRPr="00DB7F20" w:rsidRDefault="00247210" w:rsidP="0024721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4721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>Coeficientul de ponderare se calculează după cum urmează:</w:t>
            </w:r>
          </w:p>
          <w:p w14:paraId="1BA66E59" w14:textId="031FCE2E" w:rsidR="00C37443" w:rsidRPr="00DB7F20" w:rsidRDefault="00C37443" w:rsidP="009079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wRDS=</m:t>
                </m:r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  <w:lang w:val="pt-BR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  <w:lang w:val="pt-BR"/>
                      </w:rPr>
                      <m:t>min</m:t>
                    </m:r>
                  </m:fName>
                  <m:e>
                    <m:d>
                      <m:dPr>
                        <m:sepChr m:val=","/>
                        <m:ctrl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pt-BR"/>
                          </w:rPr>
                          <m:t>1</m:t>
                        </m:r>
                      </m:e>
                      <m:e>
                        <m:r>
                          <m:rPr>
                            <m:nor/>
                          </m:r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pt-BR"/>
                          </w:rPr>
                          <m:t>  </m:t>
                        </m:r>
                        <m:f>
                          <m:fPr>
                            <m:ctrl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R</m:t>
                            </m:r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en-US"/>
                              </w:rPr>
                              <m:t>DS</m:t>
                            </m:r>
                          </m:num>
                          <m:den>
                            <m:r>
                              <w:rPr>
                                <w:rFonts w:ascii="Cambria Math" w:eastAsia="Times New Roman" w:hAnsi="Cambria Math" w:cs="Times New Roman"/>
                                <w:sz w:val="24"/>
                                <w:szCs w:val="24"/>
                                <w:lang w:eastAsia="ru-RU"/>
                              </w:rPr>
                              <m:t>RD</m:t>
                            </m:r>
                            <m:sSubSup>
                              <m:sSubSupPr>
                                <m:ctrlP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ru-RU"/>
                                  </w:rPr>
                                </m:ctrlPr>
                              </m:sSubSupPr>
                              <m:e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m:t>S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m:t>norm</m:t>
                                </m:r>
                              </m:sub>
                              <m:sup>
                                <m:r>
                                  <w:rPr>
                                    <w:rFonts w:ascii="Cambria Math" w:eastAsia="Times New Roman" w:hAnsi="Cambria Math" w:cs="Times New Roman"/>
                                    <w:sz w:val="24"/>
                                    <w:szCs w:val="24"/>
                                    <w:lang w:eastAsia="ru-RU"/>
                                  </w:rPr>
                                  <m:t>min</m:t>
                                </m:r>
                              </m:sup>
                            </m:sSubSup>
                          </m:den>
                        </m:f>
                      </m:e>
                    </m:d>
                  </m:e>
                </m:func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,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w:br/>
                </m:r>
              </m:oMath>
            </m:oMathPara>
            <w:r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unde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RD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norm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min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 xml:space="preserve">  </m:t>
              </m:r>
            </m:oMath>
            <w:r w:rsidR="005162A0" w:rsidRPr="005162A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reprezintă pragul minim normativ al gradului de utilizare a terenului, stabilit pentru delimitarea situațiilor de subutilizare, inclusiv a terenurilor ocupate de construcții de dimensiuni reduse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  <w:p w14:paraId="59AABAF5" w14:textId="75D598CB" w:rsidR="00C37443" w:rsidRPr="00DB7F20" w:rsidRDefault="00C37443" w:rsidP="009079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</w:pPr>
            <w:r w:rsidRPr="00DB7F2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 xml:space="preserve">Valorile normative minime ale indicatorului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RD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norm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min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pt-BR" w:eastAsia="ru-RU"/>
                </w:rPr>
                <m:t xml:space="preserve"> </m:t>
              </m:r>
            </m:oMath>
            <w:r w:rsidRPr="00DB7F2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se stabilesc în conformitate cu prevederile NCM B.01.05:2019, după cum urmează:</w:t>
            </w:r>
          </w:p>
          <w:p w14:paraId="13310483" w14:textId="513C293B" w:rsidR="00C37443" w:rsidRPr="00205FD1" w:rsidRDefault="00C37443" w:rsidP="00C37443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205FD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pentru bunuri imobile comerciale:</w:t>
            </w:r>
            <w:r w:rsidR="00205FD1" w:rsidRPr="00205FD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RD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norm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min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en-US" w:eastAsia="ru-RU"/>
                </w:rPr>
                <m:t>=0,125</m:t>
              </m:r>
            </m:oMath>
            <w:r w:rsidR="00205FD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;</w:t>
            </w:r>
          </w:p>
          <w:p w14:paraId="0E5AC142" w14:textId="0F8DE2A2" w:rsidR="00C37443" w:rsidRPr="00DB7F20" w:rsidRDefault="00C37443" w:rsidP="00205FD1">
            <w:pPr>
              <w:numPr>
                <w:ilvl w:val="0"/>
                <w:numId w:val="37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B7F20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>pentru bunuri imobile industriale:</w:t>
            </w:r>
            <w:r w:rsidR="00205FD1">
              <w:rPr>
                <w:rFonts w:ascii="Times New Roman" w:eastAsia="Times New Roman" w:hAnsi="Times New Roman" w:cs="Times New Roman"/>
                <w:sz w:val="24"/>
                <w:szCs w:val="24"/>
                <w:lang w:val="pt-BR" w:eastAsia="ru-RU"/>
              </w:rPr>
              <w:t xml:space="preserve"> </w:t>
            </w:r>
            <m:oMath>
              <m:r>
                <w:rPr>
                  <w:rFonts w:ascii="Cambria Math" w:eastAsia="Times New Roman" w:hAnsi="Cambria Math" w:cs="Times New Roman"/>
                  <w:sz w:val="24"/>
                  <w:szCs w:val="24"/>
                  <w:lang w:eastAsia="ru-RU"/>
                </w:rPr>
                <m:t>RD</m:t>
              </m:r>
              <m:sSubSup>
                <m:sSubSupPr>
                  <m:ctrl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</m:ctrlPr>
                </m:sSub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S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norm</m:t>
                  </m:r>
                </m:sub>
                <m:sup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min</m:t>
                  </m:r>
                </m:sup>
              </m:sSubSup>
              <m:r>
                <w:rPr>
                  <w:rFonts w:ascii="Cambria Math" w:eastAsia="Times New Roman" w:hAnsi="Cambria Math" w:cs="Times New Roman"/>
                  <w:sz w:val="24"/>
                  <w:szCs w:val="24"/>
                  <w:lang w:val="pt-BR" w:eastAsia="ru-RU"/>
                </w:rPr>
                <m:t>=0,248</m:t>
              </m:r>
            </m:oMath>
            <w:r w:rsidR="00205FD1">
              <w:rPr>
                <w:rFonts w:ascii="Times New Roman" w:eastAsiaTheme="minorEastAsia" w:hAnsi="Times New Roman" w:cs="Times New Roman"/>
                <w:sz w:val="24"/>
                <w:szCs w:val="24"/>
                <w:lang w:val="pt-BR" w:eastAsia="ru-RU"/>
              </w:rPr>
              <w:t>;</w:t>
            </w:r>
          </w:p>
        </w:tc>
      </w:tr>
      <w:tr w:rsidR="00C37443" w:rsidRPr="00896FD8" w14:paraId="36F59179" w14:textId="77777777" w:rsidTr="00723C4F">
        <w:trPr>
          <w:trHeight w:val="315"/>
        </w:trPr>
        <w:tc>
          <w:tcPr>
            <w:tcW w:w="871" w:type="pct"/>
            <w:noWrap/>
          </w:tcPr>
          <w:p w14:paraId="0DF0B299" w14:textId="1FF14737" w:rsidR="00C37443" w:rsidRPr="007022F0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FC4C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IAaj</w:t>
            </w:r>
            <w:proofErr w:type="spellEnd"/>
          </w:p>
        </w:tc>
        <w:tc>
          <w:tcPr>
            <w:tcW w:w="4129" w:type="pct"/>
            <w:noWrap/>
          </w:tcPr>
          <w:p w14:paraId="404E5DF4" w14:textId="4615D286" w:rsidR="00C37443" w:rsidRPr="00DB7F20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="00A26C58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>i</w:t>
            </w:r>
            <w:r w:rsidR="00A26C58" w:rsidRPr="00A26C58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 xml:space="preserve">ndicele ajustat al duratei de viață rămase </w:t>
            </w:r>
            <w:r w:rsidR="00A26C58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>-</w:t>
            </w:r>
            <w:r w:rsidR="00A26C58" w:rsidRPr="00A26C58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 xml:space="preserve"> exprimă deprecierea construcției în funcție de vârsta </w:t>
            </w:r>
            <w:r w:rsidR="00A26C58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 xml:space="preserve">cronologică a </w:t>
            </w:r>
            <w:r w:rsidR="00A26C58" w:rsidRPr="00A26C58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 xml:space="preserve">acesteia, prin aplicarea </w:t>
            </w:r>
            <w:r w:rsidR="00A26C58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>următoarei</w:t>
            </w:r>
            <w:r w:rsidR="00A26C58" w:rsidRPr="00A26C58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 xml:space="preserve"> funcții logistice</w:t>
            </w:r>
            <w:r w:rsidRPr="00395314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>: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639A8A25" w14:textId="0645C633" w:rsidR="00A26C58" w:rsidRPr="00F13DCF" w:rsidRDefault="00A26C58" w:rsidP="00A26C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IA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aj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=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u-MD"/>
                </w:rPr>
                <m:t>w</m:t>
              </m:r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RDS* 1/(1+EXP(((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ron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 xml:space="preserve"> 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-50)/10)))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;</w:t>
            </w:r>
          </w:p>
          <w:p w14:paraId="5F076B14" w14:textId="5A2D7C75" w:rsidR="00C37443" w:rsidRPr="00DB7F20" w:rsidRDefault="00C37443" w:rsidP="00D56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Vârsta cronologică </w:t>
            </w:r>
            <w:r w:rsidR="0082412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a construcției 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se calculează ca diferență dintre anul evaluării/reevaluării masive și </w:t>
            </w:r>
            <w:r w:rsidRPr="005D16EF">
              <w:rPr>
                <w:rFonts w:ascii="Times New Roman" w:hAnsi="Times New Roman" w:cs="Times New Roman"/>
                <w:sz w:val="24"/>
                <w:szCs w:val="24"/>
                <w:highlight w:val="yellow"/>
                <w:lang w:val="pt-BR"/>
              </w:rPr>
              <w:t>anul construcției:</w:t>
            </w:r>
          </w:p>
          <w:p w14:paraId="38E899A8" w14:textId="721F6A5B" w:rsidR="00D56F49" w:rsidRPr="00D56F49" w:rsidRDefault="00E603D5" w:rsidP="00D56F49">
            <w:pPr>
              <w:spacing w:after="0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ron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=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eval</m:t>
                  </m:r>
                </m:sub>
              </m:sSub>
              <m:r>
                <w:rPr>
                  <w:rFonts w:ascii="Cambria Math" w:hAnsi="Cambria Math" w:cs="Times New Roman"/>
                  <w:sz w:val="24"/>
                  <w:szCs w:val="24"/>
                  <w:lang w:val="pt-BR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ct</m:t>
                  </m:r>
                </m:sub>
              </m:sSub>
            </m:oMath>
            <w:r w:rsidR="00C37443" w:rsidRPr="00D56F49"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>,</w:t>
            </w:r>
          </w:p>
          <w:p w14:paraId="3AA3D7A6" w14:textId="45ED3A76" w:rsidR="00C37443" w:rsidRPr="00DB7F20" w:rsidRDefault="00C37443" w:rsidP="00D56F49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B7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unde</w:t>
            </w:r>
            <w:proofErr w:type="spellEnd"/>
            <w:r w:rsidRPr="00DB7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  <w:p w14:paraId="3A94DF09" w14:textId="77777777" w:rsidR="00C37443" w:rsidRPr="00DB7F20" w:rsidRDefault="00E603D5" w:rsidP="00D56F49">
            <w:pPr>
              <w:numPr>
                <w:ilvl w:val="0"/>
                <w:numId w:val="33"/>
              </w:numPr>
              <w:spacing w:after="0" w:line="278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ron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 xml:space="preserve"> </m:t>
                  </m:r>
                </m:sub>
              </m:sSub>
            </m:oMath>
            <w:r w:rsidR="00C37443"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 vârsta cronologică a construcției</w:t>
            </w:r>
            <w:r w:rsidR="00C3744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, </w:t>
            </w:r>
            <w:r w:rsidR="00C37443" w:rsidRPr="00DD7DAA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ani</w:t>
            </w:r>
            <w:r w:rsidR="00C37443"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  <w:p w14:paraId="512BF5E1" w14:textId="77777777" w:rsidR="00222755" w:rsidRPr="00222755" w:rsidRDefault="00E603D5" w:rsidP="00D56F49">
            <w:pPr>
              <w:numPr>
                <w:ilvl w:val="0"/>
                <w:numId w:val="33"/>
              </w:numPr>
              <w:spacing w:after="0" w:line="278" w:lineRule="auto"/>
              <w:jc w:val="both"/>
              <w:rPr>
                <w:rFonts w:ascii="Times New Roman" w:hAnsi="Times New Roman" w:cs="Times New Roman"/>
                <w:lang w:val="pt-BR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eval </m:t>
                  </m:r>
                </m:sub>
              </m:sSub>
            </m:oMath>
            <w:r w:rsidR="00C37443" w:rsidRPr="00DB7F20">
              <w:rPr>
                <w:rFonts w:ascii="Times New Roman" w:hAnsi="Times New Roman" w:cs="Times New Roman"/>
                <w:sz w:val="24"/>
                <w:szCs w:val="24"/>
              </w:rPr>
              <w:t>– anul evaluării</w:t>
            </w:r>
            <w:r w:rsidR="00C37443" w:rsidRPr="00DB7F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(2024)</w:t>
            </w:r>
            <w:r w:rsidR="00C37443" w:rsidRPr="00DB7F2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6005CD0" w14:textId="423AA985" w:rsidR="00C37443" w:rsidRPr="00DB7F20" w:rsidRDefault="00E603D5" w:rsidP="00D56F49">
            <w:pPr>
              <w:numPr>
                <w:ilvl w:val="0"/>
                <w:numId w:val="33"/>
              </w:numPr>
              <w:spacing w:after="0" w:line="278" w:lineRule="auto"/>
              <w:jc w:val="both"/>
              <w:rPr>
                <w:rFonts w:ascii="Times New Roman" w:hAnsi="Times New Roman" w:cs="Times New Roman"/>
                <w:lang w:val="pt-BR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ct</m:t>
                  </m:r>
                </m:sub>
              </m:sSub>
            </m:oMath>
            <w:r w:rsidR="00C37443"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 anul construcției, conform Registrului bunurilor imobile</w:t>
            </w:r>
            <w:r w:rsidR="00C37443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</w:tc>
      </w:tr>
      <w:tr w:rsidR="00C37443" w:rsidRPr="00896FD8" w14:paraId="790C0165" w14:textId="77777777" w:rsidTr="00723C4F">
        <w:trPr>
          <w:trHeight w:val="315"/>
        </w:trPr>
        <w:tc>
          <w:tcPr>
            <w:tcW w:w="871" w:type="pct"/>
            <w:noWrap/>
          </w:tcPr>
          <w:p w14:paraId="05DA96BE" w14:textId="07ACB7AB" w:rsidR="00C37443" w:rsidRPr="00DB7F20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B7F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LN</w:t>
            </w:r>
            <w:r w:rsidR="00CD40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DB7F2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aj</w:t>
            </w:r>
            <w:proofErr w:type="spellEnd"/>
            <w:r w:rsidR="00CD40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4129" w:type="pct"/>
            <w:noWrap/>
          </w:tcPr>
          <w:p w14:paraId="2DD5AAF3" w14:textId="74E8EB6B" w:rsidR="00C37443" w:rsidRPr="00DB7F20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B7F20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– 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coeficientul factorului valoric </w:t>
            </w:r>
            <w:r w:rsidR="001B688A" w:rsidRPr="00525F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aferent variabilei transformate LN(</w:t>
            </w:r>
            <w:r w:rsidR="001B68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IAaj</w:t>
            </w:r>
            <w:r w:rsidR="00C44C7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+1</w:t>
            </w:r>
            <w:r w:rsidR="001B688A" w:rsidRPr="00525F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), care reflectă influența neliniară a „</w:t>
            </w:r>
            <w:r w:rsidR="001B68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v</w:t>
            </w:r>
            <w:r w:rsidR="008241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â</w:t>
            </w:r>
            <w:r w:rsidR="001B688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rstei cronologice</w:t>
            </w:r>
            <w:r w:rsidR="008241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 construcției</w:t>
            </w:r>
            <w:r w:rsidR="001B688A" w:rsidRPr="00525FB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asupra valorii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C37443" w:rsidRPr="00896FD8" w14:paraId="3B25ED48" w14:textId="77777777" w:rsidTr="00723C4F">
        <w:trPr>
          <w:trHeight w:val="315"/>
        </w:trPr>
        <w:tc>
          <w:tcPr>
            <w:tcW w:w="871" w:type="pct"/>
            <w:noWrap/>
          </w:tcPr>
          <w:p w14:paraId="5C9E66B7" w14:textId="77777777" w:rsidR="00C37443" w:rsidRPr="00DF5267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KAjC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TPC</w:t>
            </w:r>
            <w:proofErr w:type="spellEnd"/>
          </w:p>
        </w:tc>
        <w:tc>
          <w:tcPr>
            <w:tcW w:w="4129" w:type="pct"/>
            <w:noWrap/>
          </w:tcPr>
          <w:p w14:paraId="43D77164" w14:textId="12B66284" w:rsidR="00C37443" w:rsidRPr="004F1180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coeficientul ajustărilor comune </w:t>
            </w:r>
            <w:r w:rsidR="008241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aplicabil terenului aferent </w:t>
            </w: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(se va determina conform formulei 2 din pct. 3);</w:t>
            </w:r>
          </w:p>
        </w:tc>
      </w:tr>
      <w:tr w:rsidR="00C37443" w:rsidRPr="00896FD8" w14:paraId="15138ED1" w14:textId="77777777" w:rsidTr="00723C4F">
        <w:trPr>
          <w:trHeight w:val="315"/>
        </w:trPr>
        <w:tc>
          <w:tcPr>
            <w:tcW w:w="871" w:type="pct"/>
            <w:noWrap/>
          </w:tcPr>
          <w:p w14:paraId="390CC8D6" w14:textId="3411F1FD" w:rsidR="00C37443" w:rsidRPr="00DF5267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KAjC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CT</w:t>
            </w:r>
            <w:r w:rsidRPr="001E27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RO"/>
              </w:rPr>
              <w:t>i</w:t>
            </w:r>
            <w:proofErr w:type="spellEnd"/>
          </w:p>
        </w:tc>
        <w:tc>
          <w:tcPr>
            <w:tcW w:w="4129" w:type="pct"/>
            <w:noWrap/>
          </w:tcPr>
          <w:p w14:paraId="3A817FE0" w14:textId="7A709147" w:rsidR="00C37443" w:rsidRPr="004F1180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coeficientul ajustărilor comune </w:t>
            </w:r>
            <w:r w:rsidR="0082412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aplicabil construcției </w:t>
            </w: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(se va determina conform formulei 4 din pct. 5);</w:t>
            </w:r>
          </w:p>
        </w:tc>
      </w:tr>
      <w:tr w:rsidR="00C37443" w:rsidRPr="00896FD8" w14:paraId="25620F00" w14:textId="77777777" w:rsidTr="00723C4F">
        <w:trPr>
          <w:trHeight w:val="315"/>
        </w:trPr>
        <w:tc>
          <w:tcPr>
            <w:tcW w:w="871" w:type="pct"/>
            <w:noWrap/>
          </w:tcPr>
          <w:p w14:paraId="236DF623" w14:textId="3F91A243" w:rsidR="00C37443" w:rsidRPr="00DF5267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TVA</w:t>
            </w:r>
          </w:p>
        </w:tc>
        <w:tc>
          <w:tcPr>
            <w:tcW w:w="4129" w:type="pct"/>
            <w:noWrap/>
          </w:tcPr>
          <w:p w14:paraId="4C885642" w14:textId="69427CFA" w:rsidR="00C37443" w:rsidRPr="00DF5267" w:rsidRDefault="00C37443" w:rsidP="00C3744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Pr="00DF526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cota taxei pe valoarea adăugată</w:t>
            </w:r>
            <w:r w:rsidR="000D4B50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(20%)</w:t>
            </w:r>
            <w:r w:rsidRPr="00DF5267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, exprimată în formă fracționară (0,20)</w:t>
            </w:r>
            <w:r w:rsidR="005962FF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.</w:t>
            </w:r>
          </w:p>
        </w:tc>
      </w:tr>
    </w:tbl>
    <w:p w14:paraId="3ADDFECB" w14:textId="77777777" w:rsidR="00195FF0" w:rsidRPr="00FC4C0B" w:rsidRDefault="00195FF0" w:rsidP="00A30A0E">
      <w:pPr>
        <w:pStyle w:val="a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055218C9" w14:textId="417935D0" w:rsidR="00A30A0E" w:rsidRPr="00DF5267" w:rsidRDefault="00927101" w:rsidP="00A30A0E">
      <w:pPr>
        <w:pStyle w:val="a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A30A0E" w:rsidRPr="00DF5267">
        <w:rPr>
          <w:rFonts w:ascii="Times New Roman" w:hAnsi="Times New Roman" w:cs="Times New Roman"/>
          <w:sz w:val="24"/>
          <w:szCs w:val="24"/>
          <w:lang w:val="ro-RO"/>
        </w:rPr>
        <w:t xml:space="preserve">. Coeficientul ajustărilor comune </w:t>
      </w:r>
      <w:r w:rsidR="00616479">
        <w:rPr>
          <w:rFonts w:ascii="Times New Roman" w:hAnsi="Times New Roman" w:cs="Times New Roman"/>
          <w:sz w:val="24"/>
          <w:szCs w:val="24"/>
          <w:lang w:val="ro-RO"/>
        </w:rPr>
        <w:t xml:space="preserve">aplicabil </w:t>
      </w:r>
      <w:r w:rsidR="00A30A0E" w:rsidRPr="00DF5267">
        <w:rPr>
          <w:rFonts w:ascii="Times New Roman" w:hAnsi="Times New Roman" w:cs="Times New Roman"/>
          <w:sz w:val="24"/>
          <w:szCs w:val="24"/>
          <w:lang w:val="ro-RO"/>
        </w:rPr>
        <w:t>construc</w:t>
      </w:r>
      <w:r w:rsidR="00A30A0E" w:rsidRPr="00DF5267">
        <w:rPr>
          <w:rFonts w:ascii="Times New Roman" w:hAnsi="Times New Roman" w:cs="Times New Roman"/>
          <w:sz w:val="24"/>
          <w:szCs w:val="24"/>
          <w:lang w:val="ro-MD"/>
        </w:rPr>
        <w:t>ți</w:t>
      </w:r>
      <w:r w:rsidR="00616479">
        <w:rPr>
          <w:rFonts w:ascii="Times New Roman" w:hAnsi="Times New Roman" w:cs="Times New Roman"/>
          <w:sz w:val="24"/>
          <w:szCs w:val="24"/>
          <w:lang w:val="ro-MD"/>
        </w:rPr>
        <w:t>ei</w:t>
      </w:r>
      <w:r w:rsidR="00A30A0E" w:rsidRPr="00DF5267">
        <w:rPr>
          <w:rFonts w:ascii="Times New Roman" w:hAnsi="Times New Roman" w:cs="Times New Roman"/>
          <w:sz w:val="24"/>
          <w:szCs w:val="24"/>
          <w:lang w:val="ro-RO"/>
        </w:rPr>
        <w:t xml:space="preserve"> se va determina după următoarea formulă:</w:t>
      </w:r>
    </w:p>
    <w:tbl>
      <w:tblPr>
        <w:tblW w:w="9357" w:type="dxa"/>
        <w:jc w:val="center"/>
        <w:tblLook w:val="04A0" w:firstRow="1" w:lastRow="0" w:firstColumn="1" w:lastColumn="0" w:noHBand="0" w:noVBand="1"/>
      </w:tblPr>
      <w:tblGrid>
        <w:gridCol w:w="8442"/>
        <w:gridCol w:w="915"/>
      </w:tblGrid>
      <w:tr w:rsidR="00A30A0E" w:rsidRPr="00DF5267" w14:paraId="0BCC79C5" w14:textId="77777777" w:rsidTr="008E4EA4">
        <w:trPr>
          <w:jc w:val="center"/>
        </w:trPr>
        <w:tc>
          <w:tcPr>
            <w:tcW w:w="8442" w:type="dxa"/>
            <w:vAlign w:val="center"/>
          </w:tcPr>
          <w:p w14:paraId="398D96B6" w14:textId="3F1DABF3" w:rsidR="00A30A0E" w:rsidRPr="00DF5267" w:rsidRDefault="00A30A0E" w:rsidP="008E4EA4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proofErr w:type="spellStart"/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KAjC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ro-RO"/>
              </w:rPr>
              <w:t>CT</w:t>
            </w:r>
            <w:r w:rsidR="00384804" w:rsidRPr="0038480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bscript"/>
                <w:lang w:val="ro-RO"/>
              </w:rPr>
              <w:t>i</w:t>
            </w:r>
            <w:proofErr w:type="spellEnd"/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= </w:t>
            </w:r>
            <w:proofErr w:type="spellStart"/>
            <w:r w:rsidR="00435D97"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  <w:t>wRDS</w:t>
            </w:r>
            <w:r w:rsidR="00435D97" w:rsidRPr="00435D9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bscript"/>
                <w:lang w:val="ro-MD"/>
              </w:rPr>
              <w:t>i</w:t>
            </w:r>
            <w:proofErr w:type="spellEnd"/>
            <w:r w:rsidR="00435D97"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="00435D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* 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</w:t>
            </w:r>
            <w:proofErr w:type="spellStart"/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>KUTIL</w:t>
            </w:r>
            <w:r w:rsidR="00384804" w:rsidRPr="003848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</w:t>
            </w:r>
            <w:proofErr w:type="spellEnd"/>
            <w:r w:rsidRPr="003848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+ </w:t>
            </w:r>
            <w:proofErr w:type="spellStart"/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KÎN</w:t>
            </w:r>
            <w:r w:rsidR="00384804" w:rsidRPr="003848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ru-RU"/>
              </w:rPr>
              <w:t>i</w:t>
            </w:r>
            <w:proofErr w:type="spellEnd"/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+ </w:t>
            </w:r>
            <w:proofErr w:type="spellStart"/>
            <w:r w:rsidRPr="00A30A0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</w:t>
            </w:r>
            <w:r w:rsidRPr="00A30A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STC</w:t>
            </w:r>
            <w:r w:rsidR="00384804" w:rsidRPr="003848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proofErr w:type="spellEnd"/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  <w:r w:rsidR="002112EC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;</w:t>
            </w:r>
          </w:p>
        </w:tc>
        <w:tc>
          <w:tcPr>
            <w:tcW w:w="915" w:type="dxa"/>
            <w:vAlign w:val="center"/>
          </w:tcPr>
          <w:p w14:paraId="07DB86BB" w14:textId="4309596F" w:rsidR="00A30A0E" w:rsidRPr="00DF5267" w:rsidRDefault="00A30A0E" w:rsidP="008E4EA4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</w:t>
            </w:r>
            <w:r w:rsidR="00927101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4</w:t>
            </w:r>
            <w:r w:rsidRPr="00DF52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</w:t>
            </w:r>
          </w:p>
        </w:tc>
      </w:tr>
    </w:tbl>
    <w:p w14:paraId="3E683922" w14:textId="77777777" w:rsidR="00A30A0E" w:rsidRPr="00DF5267" w:rsidRDefault="00A30A0E" w:rsidP="009271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5267">
        <w:rPr>
          <w:rFonts w:ascii="Times New Roman" w:hAnsi="Times New Roman" w:cs="Times New Roman"/>
          <w:sz w:val="24"/>
          <w:szCs w:val="24"/>
          <w:lang w:val="ro-RO"/>
        </w:rPr>
        <w:t>unde: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8309"/>
      </w:tblGrid>
      <w:tr w:rsidR="00A30A0E" w:rsidRPr="00896FD8" w14:paraId="515E17D3" w14:textId="77777777" w:rsidTr="00723C4F">
        <w:trPr>
          <w:trHeight w:val="315"/>
        </w:trPr>
        <w:tc>
          <w:tcPr>
            <w:tcW w:w="559" w:type="pct"/>
          </w:tcPr>
          <w:p w14:paraId="3F649A87" w14:textId="56797DBE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KUTIL</w:t>
            </w:r>
            <w:r w:rsidR="00384804" w:rsidRPr="0038480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o-RO" w:eastAsia="ru-RU"/>
              </w:rPr>
              <w:t>i</w:t>
            </w:r>
          </w:p>
        </w:tc>
        <w:tc>
          <w:tcPr>
            <w:tcW w:w="4441" w:type="pct"/>
          </w:tcPr>
          <w:p w14:paraId="11890A55" w14:textId="7EDCDB2F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 c</w:t>
            </w:r>
            <w:r w:rsidRPr="00DF526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oeficientul factorului valoric </w:t>
            </w:r>
            <w:r w:rsidR="003F4FD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„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tipul de utilizare a construcției</w:t>
            </w:r>
            <w:r w:rsidRPr="00DF526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</w:tc>
      </w:tr>
      <w:tr w:rsidR="00A30A0E" w:rsidRPr="00896FD8" w14:paraId="364A1342" w14:textId="77777777" w:rsidTr="00723C4F">
        <w:trPr>
          <w:trHeight w:val="315"/>
        </w:trPr>
        <w:tc>
          <w:tcPr>
            <w:tcW w:w="559" w:type="pct"/>
          </w:tcPr>
          <w:p w14:paraId="00F0DB6D" w14:textId="585AE088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proofErr w:type="spellStart"/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KÎN</w:t>
            </w:r>
            <w:r w:rsidR="00384804" w:rsidRPr="003848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o-RO" w:eastAsia="ru-RU"/>
              </w:rPr>
              <w:t>i</w:t>
            </w:r>
            <w:proofErr w:type="spellEnd"/>
          </w:p>
        </w:tc>
        <w:tc>
          <w:tcPr>
            <w:tcW w:w="4441" w:type="pct"/>
          </w:tcPr>
          <w:p w14:paraId="331E8E69" w14:textId="4653E4A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 c</w:t>
            </w:r>
            <w:r w:rsidRPr="00DF526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oeficientul factorului valoric </w:t>
            </w:r>
            <w:r w:rsidR="003F4FD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„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tipul de încălzire în construcţie</w:t>
            </w:r>
            <w:r w:rsidRPr="00DF526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;</w:t>
            </w:r>
          </w:p>
        </w:tc>
      </w:tr>
      <w:tr w:rsidR="00A30A0E" w:rsidRPr="00896FD8" w14:paraId="4788A2E4" w14:textId="77777777" w:rsidTr="00723C4F">
        <w:trPr>
          <w:trHeight w:val="315"/>
        </w:trPr>
        <w:tc>
          <w:tcPr>
            <w:tcW w:w="559" w:type="pct"/>
          </w:tcPr>
          <w:p w14:paraId="52D1AA66" w14:textId="7EC74E8E" w:rsidR="00A30A0E" w:rsidRPr="00384804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DB7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DB7F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STC</w:t>
            </w:r>
            <w:proofErr w:type="spellStart"/>
            <w:r w:rsidR="00384804" w:rsidRPr="0038480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proofErr w:type="spellEnd"/>
          </w:p>
        </w:tc>
        <w:tc>
          <w:tcPr>
            <w:tcW w:w="4441" w:type="pct"/>
          </w:tcPr>
          <w:p w14:paraId="5082DDED" w14:textId="7C0F3D27" w:rsidR="00A30A0E" w:rsidRPr="00DB7F20" w:rsidRDefault="00A30A0E" w:rsidP="008E4E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MD"/>
              </w:rPr>
            </w:pPr>
            <w:r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– coeficientul factorului valoric „starea </w:t>
            </w:r>
            <w:r w:rsidR="00DA014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tehnică a </w:t>
            </w:r>
            <w:r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construcției”</w:t>
            </w:r>
            <w:r w:rsidR="005962F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.</w:t>
            </w:r>
          </w:p>
        </w:tc>
      </w:tr>
    </w:tbl>
    <w:p w14:paraId="6F3C2EC6" w14:textId="77777777" w:rsidR="00C37C6D" w:rsidRDefault="00C37C6D" w:rsidP="00C37C6D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pt-BR"/>
        </w:rPr>
      </w:pPr>
    </w:p>
    <w:p w14:paraId="6F2AB0A0" w14:textId="294080ED" w:rsidR="00A30A0E" w:rsidRPr="00DF5267" w:rsidRDefault="007F69E5" w:rsidP="00A30A0E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6</w:t>
      </w:r>
      <w:r w:rsidR="00A30A0E" w:rsidRPr="00DF5267">
        <w:rPr>
          <w:rFonts w:ascii="Times New Roman" w:hAnsi="Times New Roman" w:cs="Times New Roman"/>
          <w:sz w:val="24"/>
          <w:szCs w:val="24"/>
          <w:lang w:val="ro-MD"/>
        </w:rPr>
        <w:t xml:space="preserve">. Valoarea estimată a încăperii </w:t>
      </w:r>
      <w:r w:rsidR="001D69F7">
        <w:rPr>
          <w:rFonts w:ascii="Times New Roman" w:hAnsi="Times New Roman" w:cs="Times New Roman"/>
          <w:sz w:val="24"/>
          <w:szCs w:val="24"/>
          <w:lang w:val="ro-MD"/>
        </w:rPr>
        <w:t>izolate</w:t>
      </w:r>
      <w:r w:rsidR="00A30A0E" w:rsidRPr="00DF5267">
        <w:rPr>
          <w:rFonts w:ascii="Times New Roman" w:hAnsi="Times New Roman" w:cs="Times New Roman"/>
          <w:sz w:val="24"/>
          <w:szCs w:val="24"/>
          <w:lang w:val="ro-MD"/>
        </w:rPr>
        <w:t>, se va determina după următoarea formulă:</w:t>
      </w:r>
    </w:p>
    <w:tbl>
      <w:tblPr>
        <w:tblW w:w="9722" w:type="dxa"/>
        <w:tblInd w:w="-142" w:type="dxa"/>
        <w:tblLook w:val="04A0" w:firstRow="1" w:lastRow="0" w:firstColumn="1" w:lastColumn="0" w:noHBand="0" w:noVBand="1"/>
      </w:tblPr>
      <w:tblGrid>
        <w:gridCol w:w="9106"/>
        <w:gridCol w:w="616"/>
      </w:tblGrid>
      <w:tr w:rsidR="00A30A0E" w:rsidRPr="008D2F05" w14:paraId="6EEC859C" w14:textId="77777777" w:rsidTr="004F7C7E">
        <w:tc>
          <w:tcPr>
            <w:tcW w:w="9106" w:type="dxa"/>
            <w:vAlign w:val="center"/>
          </w:tcPr>
          <w:p w14:paraId="53C6E2C2" w14:textId="671BF2D4" w:rsidR="00A30A0E" w:rsidRPr="008D2F05" w:rsidRDefault="00A30A0E" w:rsidP="008E4EA4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</w:pPr>
            <w:r w:rsidRPr="008D2F05"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  <w:t>VE</w:t>
            </w:r>
            <w:r w:rsidRPr="008D2F05">
              <w:rPr>
                <w:rFonts w:ascii="Times New Roman" w:hAnsi="Times New Roman" w:cs="Times New Roman"/>
                <w:b/>
                <w:sz w:val="21"/>
                <w:szCs w:val="21"/>
                <w:vertAlign w:val="subscript"/>
                <w:lang w:val="ro-RO"/>
              </w:rPr>
              <w:t>ÎNC</w:t>
            </w:r>
            <w:r w:rsidRPr="008D2F05"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  <w:t xml:space="preserve"> = </w:t>
            </w:r>
            <w:r w:rsidRPr="008D2F05">
              <w:rPr>
                <w:rFonts w:ascii="Times New Roman" w:eastAsia="PMingLiU" w:hAnsi="Times New Roman" w:cs="Times New Roman"/>
                <w:b/>
                <w:bCs/>
                <w:sz w:val="21"/>
                <w:szCs w:val="21"/>
                <w:lang w:val="ro-MD"/>
              </w:rPr>
              <w:t>EXP</w:t>
            </w:r>
            <w:r w:rsidRPr="008D2F05"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  <w:t xml:space="preserve"> (Int.</w:t>
            </w:r>
            <w:r w:rsidRPr="008D2F05">
              <w:rPr>
                <w:rFonts w:ascii="Times New Roman" w:hAnsi="Times New Roman" w:cs="Times New Roman"/>
                <w:b/>
                <w:sz w:val="21"/>
                <w:szCs w:val="21"/>
                <w:vertAlign w:val="subscript"/>
                <w:lang w:val="ro-RO"/>
              </w:rPr>
              <w:t xml:space="preserve"> ÎNC</w:t>
            </w:r>
            <w:r w:rsidR="006D6BFE" w:rsidRPr="008D2F05">
              <w:rPr>
                <w:rFonts w:ascii="Times New Roman" w:hAnsi="Times New Roman" w:cs="Times New Roman"/>
                <w:b/>
                <w:i/>
                <w:iCs/>
                <w:sz w:val="21"/>
                <w:szCs w:val="21"/>
                <w:vertAlign w:val="subscript"/>
                <w:lang w:val="ro-RO"/>
              </w:rPr>
              <w:t>i</w:t>
            </w:r>
            <w:r w:rsidRPr="008D2F05">
              <w:rPr>
                <w:rFonts w:ascii="Times New Roman" w:hAnsi="Times New Roman" w:cs="Times New Roman"/>
                <w:b/>
                <w:sz w:val="21"/>
                <w:szCs w:val="21"/>
                <w:vertAlign w:val="subscript"/>
                <w:lang w:val="ro-RO"/>
              </w:rPr>
              <w:t xml:space="preserve"> </w:t>
            </w:r>
            <w:r w:rsidRPr="008D2F05"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  <w:t xml:space="preserve">+ </w:t>
            </w:r>
            <w:r w:rsidR="00402FEE"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LN(S</w:t>
            </w:r>
            <w:r w:rsidR="00402FEE"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bscript"/>
                <w:lang w:val="ro-RO"/>
              </w:rPr>
              <w:t>ÎNC</w:t>
            </w:r>
            <w:r w:rsidR="00E02297"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+1</w:t>
            </w:r>
            <w:r w:rsidR="00402FEE"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 xml:space="preserve">) * </w:t>
            </w:r>
            <w:r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KLN</w:t>
            </w:r>
            <w:r w:rsidR="00402FEE"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(</w:t>
            </w:r>
            <w:r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S</w:t>
            </w:r>
            <w:r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bscript"/>
                <w:lang w:val="ro-RO"/>
              </w:rPr>
              <w:t>ÎNC</w:t>
            </w:r>
            <w:r w:rsidR="006D6BFE" w:rsidRPr="008D2F05">
              <w:rPr>
                <w:rFonts w:ascii="Times New Roman" w:hAnsi="Times New Roman" w:cs="Times New Roman"/>
                <w:b/>
                <w:bCs/>
                <w:i/>
                <w:iCs/>
                <w:sz w:val="21"/>
                <w:szCs w:val="21"/>
                <w:vertAlign w:val="subscript"/>
                <w:lang w:val="ro-RO"/>
              </w:rPr>
              <w:t>i</w:t>
            </w:r>
            <w:r w:rsidR="00402FEE"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)</w:t>
            </w:r>
            <w:r w:rsidRPr="008D2F05"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  <w:t xml:space="preserve"> + </w:t>
            </w:r>
            <w:r w:rsidR="00D75FB9" w:rsidRPr="008D2F05"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  <w:t xml:space="preserve">IA * </w:t>
            </w:r>
            <w:r w:rsidRPr="008D2F05"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  <w:t>K</w:t>
            </w:r>
            <w:r w:rsidR="002A01D1" w:rsidRPr="008D2F05"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  <w:t>I</w:t>
            </w:r>
            <w:r w:rsidRPr="008D2F05"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  <w:t>A</w:t>
            </w:r>
            <w:r w:rsidR="00D75FB9" w:rsidRPr="008D2F05"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  <w:t xml:space="preserve"> </w:t>
            </w:r>
            <w:r w:rsidRPr="008D2F05"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  <w:t xml:space="preserve">+ </w:t>
            </w:r>
            <w:r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K</w:t>
            </w:r>
            <w:r w:rsidR="00D75FB9"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tip</w:t>
            </w:r>
            <w:r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*</w:t>
            </w:r>
            <w:r w:rsidRPr="008D2F05"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  <w:t xml:space="preserve"> </w:t>
            </w:r>
            <w:r w:rsidR="00D75FB9" w:rsidRPr="008D2F05"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  <w:t>K</w:t>
            </w:r>
            <w:r w:rsidRPr="008D2F05">
              <w:rPr>
                <w:rFonts w:ascii="Times New Roman" w:hAnsi="Times New Roman" w:cs="Times New Roman"/>
                <w:b/>
                <w:sz w:val="21"/>
                <w:szCs w:val="21"/>
                <w:vertAlign w:val="subscript"/>
                <w:lang w:val="ro-RO"/>
              </w:rPr>
              <w:t>ZV</w:t>
            </w:r>
            <w:r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 xml:space="preserve"> + </w:t>
            </w:r>
            <w:r w:rsidRPr="008D2F05"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  <w:t>KAjC</w:t>
            </w:r>
            <w:r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bscript"/>
                <w:lang w:val="ro-RO"/>
              </w:rPr>
              <w:t>ÎNC</w:t>
            </w:r>
            <w:r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)</w:t>
            </w:r>
            <w:r w:rsidR="002112EC" w:rsidRPr="008D2F05">
              <w:rPr>
                <w:rFonts w:ascii="Cambria Math" w:hAnsi="Cambria Math" w:cs="Times New Roman"/>
                <w:b/>
                <w:bCs/>
                <w:sz w:val="21"/>
                <w:szCs w:val="21"/>
                <w:lang w:val="ro-RO"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="Times New Roman"/>
                  <w:sz w:val="21"/>
                  <w:szCs w:val="21"/>
                  <w:lang w:val="ro-RO"/>
                </w:rPr>
                <m:t xml:space="preserve">* </m:t>
              </m:r>
              <m:f>
                <m:fPr>
                  <m:ctrlPr>
                    <w:rPr>
                      <w:rFonts w:ascii="Cambria Math" w:hAnsi="Cambria Math" w:cs="Times New Roman"/>
                      <w:b/>
                      <w:bCs/>
                      <w:sz w:val="21"/>
                      <w:szCs w:val="21"/>
                      <w:lang w:val="ro-RO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 w:cs="Cambria Math"/>
                      <w:sz w:val="21"/>
                      <w:szCs w:val="21"/>
                      <w:lang w:val="ro-RO"/>
                    </w:rPr>
                    <m:t>1</m:t>
                  </m:r>
                </m:num>
                <m:den>
                  <m:d>
                    <m:dPr>
                      <m:ctrlPr>
                        <w:rPr>
                          <w:rFonts w:ascii="Cambria Math" w:hAnsi="Cambria Math" w:cs="Cambria Math"/>
                          <w:b/>
                          <w:sz w:val="21"/>
                          <w:szCs w:val="21"/>
                          <w:lang w:val="ro-RO"/>
                        </w:rPr>
                      </m:ctrlPr>
                    </m:d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Cambria Math"/>
                          <w:sz w:val="21"/>
                          <w:szCs w:val="21"/>
                          <w:lang w:val="ro-RO"/>
                        </w:rPr>
                        <m:t>1+TVA</m:t>
                      </m:r>
                    </m:e>
                  </m:d>
                </m:den>
              </m:f>
              <m:r>
                <m:rPr>
                  <m:sty m:val="bi"/>
                </m:rPr>
                <w:rPr>
                  <w:rFonts w:ascii="Cambria Math" w:hAnsi="Cambria Math" w:cs="Times New Roman"/>
                  <w:sz w:val="21"/>
                  <w:szCs w:val="21"/>
                  <w:lang w:val="ro-RO"/>
                </w:rPr>
                <m:t>;</m:t>
              </m:r>
            </m:oMath>
          </w:p>
        </w:tc>
        <w:tc>
          <w:tcPr>
            <w:tcW w:w="616" w:type="dxa"/>
            <w:vAlign w:val="center"/>
          </w:tcPr>
          <w:p w14:paraId="0FF61767" w14:textId="1B17E27A" w:rsidR="00A30A0E" w:rsidRPr="008D2F05" w:rsidRDefault="00A30A0E" w:rsidP="008E4EA4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ro-RO"/>
              </w:rPr>
            </w:pPr>
            <w:r w:rsidRPr="008D2F05">
              <w:rPr>
                <w:rFonts w:ascii="Times New Roman" w:hAnsi="Times New Roman" w:cs="Times New Roman"/>
                <w:bCs/>
                <w:sz w:val="21"/>
                <w:szCs w:val="21"/>
                <w:lang w:val="ro-RO"/>
              </w:rPr>
              <w:t>(</w:t>
            </w:r>
            <w:r w:rsidR="007F69E5" w:rsidRPr="008D2F05">
              <w:rPr>
                <w:rFonts w:ascii="Times New Roman" w:hAnsi="Times New Roman" w:cs="Times New Roman"/>
                <w:bCs/>
                <w:sz w:val="21"/>
                <w:szCs w:val="21"/>
                <w:lang w:val="ro-RO"/>
              </w:rPr>
              <w:t>5</w:t>
            </w:r>
            <w:r w:rsidRPr="008D2F05">
              <w:rPr>
                <w:rFonts w:ascii="Times New Roman" w:hAnsi="Times New Roman" w:cs="Times New Roman"/>
                <w:bCs/>
                <w:sz w:val="21"/>
                <w:szCs w:val="21"/>
                <w:lang w:val="ro-RO"/>
              </w:rPr>
              <w:t>)</w:t>
            </w:r>
          </w:p>
        </w:tc>
      </w:tr>
    </w:tbl>
    <w:p w14:paraId="02CE9E8C" w14:textId="77777777" w:rsidR="00A30A0E" w:rsidRPr="00DF5267" w:rsidRDefault="00A30A0E" w:rsidP="00927101">
      <w:pPr>
        <w:pStyle w:val="aa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5267">
        <w:rPr>
          <w:rFonts w:ascii="Times New Roman" w:hAnsi="Times New Roman" w:cs="Times New Roman"/>
          <w:sz w:val="24"/>
          <w:szCs w:val="24"/>
          <w:lang w:val="ro-RO"/>
        </w:rPr>
        <w:t>unde:</w:t>
      </w:r>
      <w:r w:rsidRPr="00DF5267">
        <w:rPr>
          <w:rFonts w:ascii="Times New Roman" w:hAnsi="Times New Roman" w:cs="Times New Roman"/>
          <w:sz w:val="24"/>
          <w:szCs w:val="24"/>
          <w:vertAlign w:val="subscript"/>
          <w:lang w:val="ro-RO"/>
        </w:rPr>
        <w:tab/>
      </w:r>
      <w:r w:rsidRPr="00DF526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18"/>
        <w:gridCol w:w="7937"/>
      </w:tblGrid>
      <w:tr w:rsidR="00A30A0E" w:rsidRPr="00896FD8" w14:paraId="162B618F" w14:textId="77777777" w:rsidTr="00D56F49">
        <w:trPr>
          <w:trHeight w:val="315"/>
        </w:trPr>
        <w:tc>
          <w:tcPr>
            <w:tcW w:w="758" w:type="pct"/>
            <w:noWrap/>
          </w:tcPr>
          <w:p w14:paraId="4BA5117D" w14:textId="4D7AAD84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VE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ro-RO"/>
              </w:rPr>
              <w:t>ÎNC</w:t>
            </w:r>
          </w:p>
        </w:tc>
        <w:tc>
          <w:tcPr>
            <w:tcW w:w="4242" w:type="pct"/>
            <w:noWrap/>
          </w:tcPr>
          <w:p w14:paraId="169CBDD5" w14:textId="47B0E779" w:rsidR="00A30A0E" w:rsidRPr="00DF5267" w:rsidRDefault="00A30A0E" w:rsidP="008E4EA4">
            <w:pPr>
              <w:spacing w:after="0" w:line="240" w:lineRule="auto"/>
              <w:ind w:left="39" w:hanging="39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valoarea estimată a încăperii </w:t>
            </w:r>
            <w:r w:rsidR="00D75FB9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izolate;</w:t>
            </w:r>
          </w:p>
        </w:tc>
      </w:tr>
      <w:tr w:rsidR="00A30A0E" w:rsidRPr="00896FD8" w14:paraId="7DE9306C" w14:textId="77777777" w:rsidTr="00D56F49">
        <w:trPr>
          <w:trHeight w:val="315"/>
        </w:trPr>
        <w:tc>
          <w:tcPr>
            <w:tcW w:w="758" w:type="pct"/>
            <w:noWrap/>
            <w:hideMark/>
          </w:tcPr>
          <w:p w14:paraId="194A61E0" w14:textId="765F83DB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ÎNC</w:t>
            </w:r>
          </w:p>
        </w:tc>
        <w:tc>
          <w:tcPr>
            <w:tcW w:w="4242" w:type="pct"/>
            <w:noWrap/>
            <w:hideMark/>
          </w:tcPr>
          <w:p w14:paraId="55998752" w14:textId="41845286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–</w:t>
            </w: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suprafața încăperii </w:t>
            </w:r>
            <w:r w:rsidR="004F7C7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izolate</w:t>
            </w: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înscrisă în Registrul bunurilor imobile, în metri pătrați (precizia 1,0);</w:t>
            </w:r>
          </w:p>
        </w:tc>
      </w:tr>
      <w:tr w:rsidR="00A30A0E" w:rsidRPr="00DF5267" w14:paraId="4209316D" w14:textId="77777777" w:rsidTr="00D56F49">
        <w:trPr>
          <w:trHeight w:val="315"/>
        </w:trPr>
        <w:tc>
          <w:tcPr>
            <w:tcW w:w="758" w:type="pct"/>
            <w:noWrap/>
          </w:tcPr>
          <w:p w14:paraId="75F3A50E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F5267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val="ro-MD"/>
              </w:rPr>
              <w:t>EXP</w:t>
            </w:r>
          </w:p>
        </w:tc>
        <w:tc>
          <w:tcPr>
            <w:tcW w:w="4242" w:type="pct"/>
            <w:noWrap/>
          </w:tcPr>
          <w:p w14:paraId="1F0FF3D0" w14:textId="06F7AFF1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– funcți</w:t>
            </w:r>
            <w:r w:rsidR="004F7C7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 exponențială;</w:t>
            </w:r>
          </w:p>
        </w:tc>
      </w:tr>
      <w:tr w:rsidR="00A30A0E" w:rsidRPr="00896FD8" w14:paraId="0DA068B2" w14:textId="77777777" w:rsidTr="00D56F49">
        <w:trPr>
          <w:trHeight w:val="315"/>
        </w:trPr>
        <w:tc>
          <w:tcPr>
            <w:tcW w:w="758" w:type="pct"/>
            <w:noWrap/>
          </w:tcPr>
          <w:p w14:paraId="75BA0BA5" w14:textId="4E6FD0E6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Int.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ro-RO"/>
              </w:rPr>
              <w:t xml:space="preserve"> ÎNC</w:t>
            </w:r>
            <w:r w:rsidR="00384804" w:rsidRPr="00384804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vertAlign w:val="subscript"/>
                <w:lang w:val="ro-RO"/>
              </w:rPr>
              <w:t>i</w:t>
            </w:r>
          </w:p>
        </w:tc>
        <w:tc>
          <w:tcPr>
            <w:tcW w:w="4242" w:type="pct"/>
            <w:noWrap/>
          </w:tcPr>
          <w:p w14:paraId="7D5DAC1A" w14:textId="30FB4555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– intercepta ecuației de regresie. Reprezintă componenta liberă (constantă) a modelului de evaluare </w:t>
            </w:r>
            <w:r w:rsidR="002638EE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masivă</w:t>
            </w: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;</w:t>
            </w:r>
          </w:p>
        </w:tc>
      </w:tr>
      <w:tr w:rsidR="00FA28A6" w:rsidRPr="00E958F2" w14:paraId="364BC2B2" w14:textId="77777777" w:rsidTr="00D56F49">
        <w:trPr>
          <w:trHeight w:val="315"/>
        </w:trPr>
        <w:tc>
          <w:tcPr>
            <w:tcW w:w="758" w:type="pct"/>
            <w:noWrap/>
          </w:tcPr>
          <w:p w14:paraId="1FF5174B" w14:textId="20DC2BA7" w:rsidR="00FA28A6" w:rsidRPr="00DF5267" w:rsidRDefault="00FA28A6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LN</w:t>
            </w:r>
          </w:p>
        </w:tc>
        <w:tc>
          <w:tcPr>
            <w:tcW w:w="4242" w:type="pct"/>
            <w:noWrap/>
          </w:tcPr>
          <w:p w14:paraId="188B626E" w14:textId="46E5ADB7" w:rsidR="00FA28A6" w:rsidRPr="00DF5267" w:rsidRDefault="00FA28A6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funcție logaritm natural;</w:t>
            </w:r>
          </w:p>
        </w:tc>
      </w:tr>
      <w:tr w:rsidR="00A30A0E" w:rsidRPr="00896FD8" w14:paraId="6A10A8F2" w14:textId="77777777" w:rsidTr="00D56F49">
        <w:trPr>
          <w:trHeight w:val="315"/>
        </w:trPr>
        <w:tc>
          <w:tcPr>
            <w:tcW w:w="758" w:type="pct"/>
            <w:noWrap/>
            <w:hideMark/>
          </w:tcPr>
          <w:p w14:paraId="638DAC42" w14:textId="40DF7578" w:rsidR="00A30A0E" w:rsidRPr="00B66422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B664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lastRenderedPageBreak/>
              <w:t>KLN</w:t>
            </w:r>
            <w:r w:rsidR="007F47D1" w:rsidRPr="00B664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(</w:t>
            </w:r>
            <w:r w:rsidRPr="00B664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S</w:t>
            </w:r>
            <w:r w:rsidRPr="00B66422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ÎNC</w:t>
            </w:r>
            <w:r w:rsidR="00384804" w:rsidRPr="00B6642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bscript"/>
                <w:lang w:val="ro-RO"/>
              </w:rPr>
              <w:t>i</w:t>
            </w:r>
            <w:r w:rsidR="007F47D1" w:rsidRPr="00B6642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)</w:t>
            </w:r>
          </w:p>
        </w:tc>
        <w:tc>
          <w:tcPr>
            <w:tcW w:w="4242" w:type="pct"/>
            <w:noWrap/>
            <w:hideMark/>
          </w:tcPr>
          <w:p w14:paraId="4D1642E2" w14:textId="57DC7770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ro-MD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– 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coeficientul factorului valoric </w:t>
            </w:r>
            <w:r w:rsidR="00984612" w:rsidRPr="009846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aferent variabilei transformate LN(</w:t>
            </w:r>
            <w:r w:rsidR="00984612"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S</w:t>
            </w:r>
            <w:r w:rsidR="00984612"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vertAlign w:val="subscript"/>
                <w:lang w:val="ro-RO"/>
              </w:rPr>
              <w:t>ÎNC</w:t>
            </w:r>
            <w:r w:rsidR="00984612" w:rsidRPr="008D2F05">
              <w:rPr>
                <w:rFonts w:ascii="Times New Roman" w:hAnsi="Times New Roman" w:cs="Times New Roman"/>
                <w:b/>
                <w:bCs/>
                <w:sz w:val="21"/>
                <w:szCs w:val="21"/>
                <w:lang w:val="ro-RO"/>
              </w:rPr>
              <w:t>+1</w:t>
            </w:r>
            <w:r w:rsidR="00984612" w:rsidRPr="009846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), care reflectă influența neliniară a „</w:t>
            </w:r>
            <w:r w:rsidR="009846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suprafeței încăperii izolate</w:t>
            </w:r>
            <w:r w:rsidR="00984612" w:rsidRPr="0098461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 asupra valorii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A30A0E" w:rsidRPr="00896FD8" w14:paraId="5D6264F9" w14:textId="77777777" w:rsidTr="00AE61C6">
        <w:trPr>
          <w:trHeight w:val="2787"/>
        </w:trPr>
        <w:tc>
          <w:tcPr>
            <w:tcW w:w="758" w:type="pct"/>
            <w:noWrap/>
          </w:tcPr>
          <w:p w14:paraId="1C2E4BBF" w14:textId="4DC792F8" w:rsidR="00A30A0E" w:rsidRPr="00DF5267" w:rsidRDefault="002A01D1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="00A30A0E" w:rsidRPr="00DF5267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4242" w:type="pct"/>
            <w:noWrap/>
          </w:tcPr>
          <w:p w14:paraId="7D5392A8" w14:textId="5194ED12" w:rsidR="00D56F49" w:rsidRDefault="002A01D1" w:rsidP="00D56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2A01D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– </w:t>
            </w:r>
            <w:r w:rsidR="00D56F49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>i</w:t>
            </w:r>
            <w:r w:rsidR="00D56F49" w:rsidRPr="00A26C58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 xml:space="preserve">ndicele duratei de viață rămase </w:t>
            </w:r>
            <w:r w:rsidR="00D56F49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>-</w:t>
            </w:r>
            <w:r w:rsidR="00D56F49" w:rsidRPr="00A26C58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 xml:space="preserve"> exprimă deprecierea construcției în funcție de vârsta </w:t>
            </w:r>
            <w:r w:rsidR="00D56F49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 xml:space="preserve">cronologică a </w:t>
            </w:r>
            <w:r w:rsidR="00D56F49" w:rsidRPr="00A26C58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 xml:space="preserve">acesteia, prin aplicarea </w:t>
            </w:r>
            <w:r w:rsidR="00D56F49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>următoarei</w:t>
            </w:r>
            <w:r w:rsidR="00D56F49" w:rsidRPr="00A26C58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 xml:space="preserve"> funcții logistice</w:t>
            </w:r>
            <w:r w:rsidR="00D56F49" w:rsidRPr="00395314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>:</w:t>
            </w:r>
            <w:r w:rsidR="00D56F49" w:rsidRPr="00DB7F2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</w:p>
          <w:p w14:paraId="322E1782" w14:textId="5455DEDC" w:rsidR="00D56F49" w:rsidRPr="002E6503" w:rsidRDefault="00D56F49" w:rsidP="00D56F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56F49"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 xml:space="preserve">IA = EXP(- </w:t>
            </w:r>
            <m:oMath>
              <m:sSub>
                <m:sSubPr>
                  <m:ctrlPr>
                    <w:rPr>
                      <w:rFonts w:ascii="Cambria Math" w:hAnsi="Cambria Math" w:cs="Times New Roman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</w:rPr>
                    <m:t>c</m:t>
                  </m:r>
                  <m:r>
                    <w:rPr>
                      <w:rFonts w:ascii="Cambria Math" w:hAnsi="Cambria Math" w:cs="Times New Roman"/>
                      <w:lang w:val="en-US"/>
                    </w:rPr>
                    <m:t>ron</m:t>
                  </m:r>
                  <m:r>
                    <w:rPr>
                      <w:rFonts w:ascii="Cambria Math" w:hAnsi="Cambria Math" w:cs="Times New Roman"/>
                      <w:lang w:val="pt-BR"/>
                    </w:rPr>
                    <m:t xml:space="preserve"> </m:t>
                  </m:r>
                </m:sub>
              </m:sSub>
            </m:oMath>
            <w:r w:rsidRPr="00D56F49"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  <w:t>/100)</w:t>
            </w:r>
          </w:p>
          <w:p w14:paraId="5A7E3E55" w14:textId="77777777" w:rsidR="00D56F49" w:rsidRPr="00D56F49" w:rsidRDefault="00D56F49" w:rsidP="00D56F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56F4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Vârsta cronologică a construcției se calculează ca diferență dintre anul evaluării/reevaluării masive și anul construcției:</w:t>
            </w:r>
          </w:p>
          <w:p w14:paraId="6BE1D026" w14:textId="77777777" w:rsidR="00984612" w:rsidRPr="00984612" w:rsidRDefault="00E603D5" w:rsidP="00D56F4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en-US"/>
                      </w:rPr>
                      <m:t>ron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=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eval</m:t>
                    </m:r>
                  </m:sub>
                </m:sSub>
                <m:r>
                  <w:rPr>
                    <w:rFonts w:ascii="Cambria Math" w:hAnsi="Cambria Math" w:cs="Times New Roman"/>
                    <w:sz w:val="24"/>
                    <w:szCs w:val="24"/>
                    <w:lang w:val="pt-BR"/>
                  </w:rPr>
                  <m:t>-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ct</m:t>
                    </m:r>
                  </m:sub>
                </m:sSub>
              </m:oMath>
            </m:oMathPara>
          </w:p>
          <w:p w14:paraId="42E46D48" w14:textId="633463B4" w:rsidR="00D56F49" w:rsidRPr="00984612" w:rsidRDefault="00D56F49" w:rsidP="00D56F49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pt-BR"/>
              </w:rPr>
            </w:pPr>
            <w:r w:rsidRPr="00D56F4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unde:</w:t>
            </w:r>
          </w:p>
          <w:p w14:paraId="5041489C" w14:textId="36A28C11" w:rsidR="00D56F49" w:rsidRPr="00D56F49" w:rsidRDefault="00E603D5" w:rsidP="00D56F49">
            <w:pPr>
              <w:pStyle w:val="a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en-US"/>
                    </w:rPr>
                    <m:t>ron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  <w:lang w:val="pt-BR"/>
                    </w:rPr>
                    <m:t xml:space="preserve"> </m:t>
                  </m:r>
                </m:sub>
              </m:sSub>
            </m:oMath>
            <w:r w:rsidR="00D56F49" w:rsidRPr="00D56F4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 vârsta cronologică a construcției, ani;</w:t>
            </w:r>
          </w:p>
          <w:p w14:paraId="3B538208" w14:textId="052E5311" w:rsidR="00D56F49" w:rsidRPr="00D56F49" w:rsidRDefault="00E603D5" w:rsidP="00D56F49">
            <w:pPr>
              <w:pStyle w:val="a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eval </m:t>
                  </m:r>
                </m:sub>
              </m:sSub>
            </m:oMath>
            <w:r w:rsidR="00D56F49" w:rsidRPr="00D56F4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 anul evaluării (2024);</w:t>
            </w:r>
          </w:p>
          <w:p w14:paraId="371C8D38" w14:textId="011368AA" w:rsidR="005954FA" w:rsidRPr="00D56F49" w:rsidRDefault="00E603D5" w:rsidP="00D56F49">
            <w:pPr>
              <w:pStyle w:val="a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ct</m:t>
                  </m:r>
                </m:sub>
              </m:sSub>
            </m:oMath>
            <w:r w:rsidR="00D56F49" w:rsidRPr="00D56F49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 anul construcției, conform Registrului bunurilor imobile;</w:t>
            </w:r>
          </w:p>
        </w:tc>
      </w:tr>
      <w:tr w:rsidR="00A30A0E" w:rsidRPr="00896FD8" w14:paraId="446A50F2" w14:textId="77777777" w:rsidTr="00D56F49">
        <w:trPr>
          <w:trHeight w:val="315"/>
        </w:trPr>
        <w:tc>
          <w:tcPr>
            <w:tcW w:w="758" w:type="pct"/>
            <w:noWrap/>
          </w:tcPr>
          <w:p w14:paraId="58EB4D40" w14:textId="424E98B5" w:rsidR="00A30A0E" w:rsidRPr="0030285B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30285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K</w:t>
            </w:r>
            <w:r w:rsidR="002A01D1" w:rsidRPr="0030285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I</w:t>
            </w:r>
            <w:r w:rsidRPr="0030285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</w:p>
        </w:tc>
        <w:tc>
          <w:tcPr>
            <w:tcW w:w="4242" w:type="pct"/>
            <w:noWrap/>
          </w:tcPr>
          <w:p w14:paraId="55FF764D" w14:textId="428F5109" w:rsidR="00A30A0E" w:rsidRPr="008822DD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30285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– </w:t>
            </w:r>
            <w:r w:rsidR="008822DD" w:rsidRPr="008822DD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coeficientul factorului valoric </w:t>
            </w:r>
            <w:r w:rsidR="00E05E4C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„</w:t>
            </w:r>
            <w:r w:rsidR="00E05E4C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>i</w:t>
            </w:r>
            <w:r w:rsidR="00E05E4C" w:rsidRPr="00A26C58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>ndicele duratei de viață rămase</w:t>
            </w:r>
            <w:r w:rsidR="00E05E4C">
              <w:rPr>
                <w:rFonts w:ascii="Times New Roman" w:eastAsia="PMingLiU" w:hAnsi="Times New Roman" w:cs="Times New Roman"/>
                <w:sz w:val="24"/>
                <w:szCs w:val="24"/>
                <w:lang w:val="ro-MD"/>
              </w:rPr>
              <w:t>”</w:t>
            </w:r>
            <w:r w:rsidRPr="0030285B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</w:tc>
      </w:tr>
      <w:tr w:rsidR="00A30A0E" w:rsidRPr="00896FD8" w14:paraId="5FAFF9C6" w14:textId="77777777" w:rsidTr="00D56F49">
        <w:trPr>
          <w:trHeight w:val="315"/>
        </w:trPr>
        <w:tc>
          <w:tcPr>
            <w:tcW w:w="758" w:type="pct"/>
            <w:noWrap/>
          </w:tcPr>
          <w:p w14:paraId="09D92581" w14:textId="6CD48972" w:rsidR="00A30A0E" w:rsidRPr="00DF5267" w:rsidRDefault="007016A7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K</w:t>
            </w:r>
            <w:r w:rsidR="00A30A0E"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bscript"/>
                <w:lang w:val="ro-RO"/>
              </w:rPr>
              <w:t>ZV</w:t>
            </w:r>
          </w:p>
        </w:tc>
        <w:tc>
          <w:tcPr>
            <w:tcW w:w="4242" w:type="pct"/>
            <w:noWrap/>
          </w:tcPr>
          <w:p w14:paraId="6A808660" w14:textId="1BABE1CE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="007016A7" w:rsidRPr="007016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coeficientul factorului valoric </w:t>
            </w:r>
            <w:r w:rsidR="00FB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7016A7" w:rsidRPr="007016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zona valorică”, care reflectă influența amplasării bunului imobil</w:t>
            </w:r>
            <w:r w:rsidR="007016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A30A0E" w:rsidRPr="00896FD8" w14:paraId="43BBC215" w14:textId="77777777" w:rsidTr="00D56F49">
        <w:trPr>
          <w:trHeight w:val="315"/>
        </w:trPr>
        <w:tc>
          <w:tcPr>
            <w:tcW w:w="758" w:type="pct"/>
            <w:noWrap/>
            <w:vAlign w:val="center"/>
          </w:tcPr>
          <w:p w14:paraId="7D0E0628" w14:textId="4F788409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K</w:t>
            </w:r>
            <w:r w:rsidR="0098072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tip</w:t>
            </w:r>
            <w:proofErr w:type="spellEnd"/>
          </w:p>
        </w:tc>
        <w:tc>
          <w:tcPr>
            <w:tcW w:w="4242" w:type="pct"/>
            <w:noWrap/>
          </w:tcPr>
          <w:p w14:paraId="1E0F1595" w14:textId="74160EC7" w:rsidR="00A30A0E" w:rsidRPr="004F1180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="00C029FD" w:rsidRPr="00C02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coeficientul factorului valoric </w:t>
            </w:r>
            <w:r w:rsidR="00FB2DA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„</w:t>
            </w:r>
            <w:r w:rsidR="00C029FD" w:rsidRPr="00C02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tipul bunului imobil” (</w:t>
            </w:r>
            <w:r w:rsidR="00C02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încăpere izolată</w:t>
            </w:r>
            <w:r w:rsidR="00C029FD" w:rsidRPr="00C029F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A30A0E" w:rsidRPr="00896FD8" w14:paraId="61AC2391" w14:textId="77777777" w:rsidTr="00D56F49">
        <w:trPr>
          <w:trHeight w:val="315"/>
        </w:trPr>
        <w:tc>
          <w:tcPr>
            <w:tcW w:w="758" w:type="pct"/>
            <w:noWrap/>
          </w:tcPr>
          <w:p w14:paraId="15116803" w14:textId="687FD094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proofErr w:type="spellStart"/>
            <w:r w:rsidRPr="00DF526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KAjC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ro-RO"/>
              </w:rPr>
              <w:t>ÎNC</w:t>
            </w:r>
            <w:proofErr w:type="spellEnd"/>
          </w:p>
        </w:tc>
        <w:tc>
          <w:tcPr>
            <w:tcW w:w="4242" w:type="pct"/>
            <w:noWrap/>
          </w:tcPr>
          <w:p w14:paraId="57D00066" w14:textId="55E918D9" w:rsidR="00A30A0E" w:rsidRPr="004F1180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="00821F8F"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coeficientul ajustărilor comune </w:t>
            </w:r>
            <w:r w:rsidR="00821F8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aplicabil încăperii izolate </w:t>
            </w:r>
            <w:r w:rsidR="00821F8F"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(se va determina conform formulei </w:t>
            </w:r>
            <w:r w:rsidR="00C64F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</w:t>
            </w:r>
            <w:r w:rsidR="00821F8F"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din pct. </w:t>
            </w:r>
            <w:r w:rsidR="00C64F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</w:t>
            </w:r>
            <w:r w:rsidR="00821F8F"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)</w:t>
            </w:r>
            <w:r w:rsidRPr="004F1180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;</w:t>
            </w:r>
          </w:p>
        </w:tc>
      </w:tr>
      <w:tr w:rsidR="00FC60E0" w:rsidRPr="00896FD8" w14:paraId="4DE4D297" w14:textId="77777777" w:rsidTr="00D56F49">
        <w:trPr>
          <w:trHeight w:val="315"/>
        </w:trPr>
        <w:tc>
          <w:tcPr>
            <w:tcW w:w="758" w:type="pct"/>
            <w:noWrap/>
          </w:tcPr>
          <w:p w14:paraId="5319A699" w14:textId="2A79965E" w:rsidR="00FC60E0" w:rsidRPr="00DF5267" w:rsidRDefault="00FC60E0" w:rsidP="00FC60E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TVA</w:t>
            </w:r>
          </w:p>
        </w:tc>
        <w:tc>
          <w:tcPr>
            <w:tcW w:w="4242" w:type="pct"/>
            <w:noWrap/>
          </w:tcPr>
          <w:p w14:paraId="1A190BC2" w14:textId="2900A324" w:rsidR="00FC60E0" w:rsidRPr="004F1180" w:rsidRDefault="00FC60E0" w:rsidP="00FC60E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– </w:t>
            </w:r>
            <w:r w:rsidRPr="00F076A6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pt-BR"/>
              </w:rPr>
              <w:t>cota taxei pe valoarea adăugată, exprimată în formă fracționară (20% se notează ca 0,20)</w:t>
            </w:r>
            <w:r w:rsidR="00BE304D" w:rsidRPr="00F076A6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  <w:lang w:val="pt-BR"/>
              </w:rPr>
              <w:t>.</w:t>
            </w:r>
          </w:p>
        </w:tc>
      </w:tr>
    </w:tbl>
    <w:p w14:paraId="23DD5BB4" w14:textId="77777777" w:rsidR="00A30A0E" w:rsidRPr="0029225E" w:rsidRDefault="00A30A0E" w:rsidP="0029225E">
      <w:pPr>
        <w:spacing w:after="0"/>
        <w:jc w:val="both"/>
        <w:rPr>
          <w:rFonts w:ascii="Times New Roman" w:hAnsi="Times New Roman" w:cs="Times New Roman"/>
          <w:bCs/>
          <w:sz w:val="16"/>
          <w:szCs w:val="16"/>
          <w:lang w:val="pt-BR"/>
        </w:rPr>
      </w:pPr>
    </w:p>
    <w:p w14:paraId="75DA97C2" w14:textId="3F42A4E1" w:rsidR="00A30A0E" w:rsidRPr="00DF5267" w:rsidRDefault="005C0460" w:rsidP="00A30A0E">
      <w:pPr>
        <w:pStyle w:val="aa"/>
        <w:spacing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7</w:t>
      </w:r>
      <w:r w:rsidR="00A30A0E" w:rsidRPr="00DF5267">
        <w:rPr>
          <w:rFonts w:ascii="Times New Roman" w:hAnsi="Times New Roman" w:cs="Times New Roman"/>
          <w:sz w:val="24"/>
          <w:szCs w:val="24"/>
          <w:lang w:val="ro-RO"/>
        </w:rPr>
        <w:t xml:space="preserve">. Coeficientul ajustărilor comune </w:t>
      </w:r>
      <w:r w:rsidR="00A30A0E" w:rsidRPr="00DF5267">
        <w:rPr>
          <w:rFonts w:ascii="Times New Roman" w:hAnsi="Times New Roman" w:cs="Times New Roman"/>
          <w:sz w:val="24"/>
          <w:szCs w:val="24"/>
          <w:lang w:val="pt-BR"/>
        </w:rPr>
        <w:t>a</w:t>
      </w:r>
      <w:r w:rsidR="00E54DEB">
        <w:rPr>
          <w:rFonts w:ascii="Times New Roman" w:hAnsi="Times New Roman" w:cs="Times New Roman"/>
          <w:sz w:val="24"/>
          <w:szCs w:val="24"/>
          <w:lang w:val="pt-BR"/>
        </w:rPr>
        <w:t>plicabil</w:t>
      </w:r>
      <w:r w:rsidR="00A30A0E" w:rsidRPr="00DF5267">
        <w:rPr>
          <w:rFonts w:ascii="Times New Roman" w:hAnsi="Times New Roman" w:cs="Times New Roman"/>
          <w:sz w:val="24"/>
          <w:szCs w:val="24"/>
          <w:lang w:val="pt-BR"/>
        </w:rPr>
        <w:t xml:space="preserve"> încăperii </w:t>
      </w:r>
      <w:r w:rsidR="00E54DEB">
        <w:rPr>
          <w:rFonts w:ascii="Times New Roman" w:hAnsi="Times New Roman" w:cs="Times New Roman"/>
          <w:sz w:val="24"/>
          <w:szCs w:val="24"/>
          <w:lang w:val="pt-BR"/>
        </w:rPr>
        <w:t xml:space="preserve">izolate </w:t>
      </w:r>
      <w:r w:rsidR="00A30A0E" w:rsidRPr="00DF5267">
        <w:rPr>
          <w:rFonts w:ascii="Times New Roman" w:hAnsi="Times New Roman" w:cs="Times New Roman"/>
          <w:sz w:val="24"/>
          <w:szCs w:val="24"/>
          <w:lang w:val="ro-RO"/>
        </w:rPr>
        <w:t>se va determina după următoarea formulă:</w:t>
      </w:r>
    </w:p>
    <w:tbl>
      <w:tblPr>
        <w:tblW w:w="9357" w:type="dxa"/>
        <w:jc w:val="center"/>
        <w:tblLook w:val="04A0" w:firstRow="1" w:lastRow="0" w:firstColumn="1" w:lastColumn="0" w:noHBand="0" w:noVBand="1"/>
      </w:tblPr>
      <w:tblGrid>
        <w:gridCol w:w="8442"/>
        <w:gridCol w:w="915"/>
      </w:tblGrid>
      <w:tr w:rsidR="00A30A0E" w:rsidRPr="00DF5267" w14:paraId="15BD7F88" w14:textId="77777777" w:rsidTr="008E4EA4">
        <w:trPr>
          <w:jc w:val="center"/>
        </w:trPr>
        <w:tc>
          <w:tcPr>
            <w:tcW w:w="8442" w:type="dxa"/>
            <w:vAlign w:val="center"/>
          </w:tcPr>
          <w:p w14:paraId="49C14EC5" w14:textId="665C4470" w:rsidR="00A30A0E" w:rsidRPr="00DF5267" w:rsidRDefault="00A30A0E" w:rsidP="008E4EA4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K</w:t>
            </w:r>
            <w:r w:rsidR="006677C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jC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vertAlign w:val="subscript"/>
                <w:lang w:val="ro-RO"/>
              </w:rPr>
              <w:t xml:space="preserve">ÎNC 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= (</w:t>
            </w:r>
            <w:r w:rsidRPr="00DF5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KUTIL </w:t>
            </w: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+ KÎN + </w:t>
            </w:r>
            <w:r w:rsidRPr="00DF5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KETAJ + KIESA + </w:t>
            </w: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KGA + </w:t>
            </w:r>
            <w:r w:rsidRPr="00DF5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KAp + KCA + </w:t>
            </w: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KEL</w:t>
            </w:r>
            <w:r w:rsidRPr="00DF5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+ </w:t>
            </w:r>
            <w:r w:rsidRPr="00E603D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lang w:val="ro-RO" w:eastAsia="ru-RU"/>
              </w:rPr>
              <w:t>KSTCON</w:t>
            </w:r>
            <w:r w:rsidR="003248E1" w:rsidRPr="00E603D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o-RO" w:eastAsia="ru-RU"/>
              </w:rPr>
              <w:t xml:space="preserve"> </w:t>
            </w:r>
            <w:r w:rsidR="003248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+ KIT</w:t>
            </w:r>
            <w:r w:rsidRPr="00DF526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)</w:t>
            </w:r>
          </w:p>
        </w:tc>
        <w:tc>
          <w:tcPr>
            <w:tcW w:w="915" w:type="dxa"/>
            <w:vAlign w:val="center"/>
          </w:tcPr>
          <w:p w14:paraId="17F7BA94" w14:textId="69467E45" w:rsidR="00A30A0E" w:rsidRPr="00DF5267" w:rsidRDefault="00A30A0E" w:rsidP="008E4EA4">
            <w:pPr>
              <w:pStyle w:val="aa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DF52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(</w:t>
            </w:r>
            <w:r w:rsidR="0030285B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6</w:t>
            </w:r>
            <w:r w:rsidRPr="00DF5267">
              <w:rPr>
                <w:rFonts w:ascii="Times New Roman" w:hAnsi="Times New Roman" w:cs="Times New Roman"/>
                <w:bCs/>
                <w:sz w:val="24"/>
                <w:szCs w:val="24"/>
                <w:lang w:val="ro-RO"/>
              </w:rPr>
              <w:t>)</w:t>
            </w:r>
          </w:p>
        </w:tc>
      </w:tr>
    </w:tbl>
    <w:p w14:paraId="21D24DFD" w14:textId="77777777" w:rsidR="00A30A0E" w:rsidRPr="00DF5267" w:rsidRDefault="00A30A0E" w:rsidP="0092710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F5267">
        <w:rPr>
          <w:rFonts w:ascii="Times New Roman" w:hAnsi="Times New Roman" w:cs="Times New Roman"/>
          <w:sz w:val="24"/>
          <w:szCs w:val="24"/>
          <w:lang w:val="ro-RO"/>
        </w:rPr>
        <w:t>unde:</w:t>
      </w:r>
    </w:p>
    <w:tbl>
      <w:tblPr>
        <w:tblW w:w="500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6"/>
        <w:gridCol w:w="8081"/>
      </w:tblGrid>
      <w:tr w:rsidR="00A30A0E" w:rsidRPr="00896FD8" w14:paraId="2F274ED5" w14:textId="77777777" w:rsidTr="0040716F">
        <w:trPr>
          <w:trHeight w:val="315"/>
        </w:trPr>
        <w:tc>
          <w:tcPr>
            <w:tcW w:w="682" w:type="pct"/>
          </w:tcPr>
          <w:p w14:paraId="1C06A4A0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KUTIL</w:t>
            </w:r>
          </w:p>
        </w:tc>
        <w:tc>
          <w:tcPr>
            <w:tcW w:w="4318" w:type="pct"/>
          </w:tcPr>
          <w:p w14:paraId="45E64D11" w14:textId="558593A1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– </w:t>
            </w:r>
            <w:r w:rsidR="000E49E0" w:rsidRPr="000E49E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coeficientul factorului valoric „tipul de utilizare a </w:t>
            </w:r>
            <w:r w:rsidR="000E49E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încăperii izolate</w:t>
            </w:r>
            <w:r w:rsidR="000E49E0" w:rsidRPr="000E49E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”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; </w:t>
            </w:r>
          </w:p>
        </w:tc>
      </w:tr>
      <w:tr w:rsidR="00A30A0E" w:rsidRPr="00896FD8" w14:paraId="3C158AE2" w14:textId="77777777" w:rsidTr="0040716F">
        <w:trPr>
          <w:trHeight w:val="315"/>
        </w:trPr>
        <w:tc>
          <w:tcPr>
            <w:tcW w:w="682" w:type="pct"/>
          </w:tcPr>
          <w:p w14:paraId="12080A10" w14:textId="302A51CA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KÎN</w:t>
            </w:r>
          </w:p>
        </w:tc>
        <w:tc>
          <w:tcPr>
            <w:tcW w:w="4318" w:type="pct"/>
          </w:tcPr>
          <w:p w14:paraId="5976C2A1" w14:textId="20DB177F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– </w:t>
            </w:r>
            <w:r w:rsidR="000E49E0"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</w:t>
            </w:r>
            <w:r w:rsidR="000E49E0" w:rsidRPr="00DF526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oeficientul factorului valoric </w:t>
            </w:r>
            <w:r w:rsidR="000E49E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„</w:t>
            </w:r>
            <w:r w:rsidR="000E49E0" w:rsidRPr="00DF526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tipul de încălzire în construcţie</w:t>
            </w:r>
            <w:r w:rsidR="000E49E0" w:rsidRPr="00DF5267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”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</w:tc>
      </w:tr>
      <w:tr w:rsidR="00A30A0E" w:rsidRPr="00896FD8" w14:paraId="77706E45" w14:textId="77777777" w:rsidTr="0040716F">
        <w:trPr>
          <w:trHeight w:val="315"/>
        </w:trPr>
        <w:tc>
          <w:tcPr>
            <w:tcW w:w="682" w:type="pct"/>
          </w:tcPr>
          <w:p w14:paraId="217DC543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KETAJ</w:t>
            </w:r>
          </w:p>
        </w:tc>
        <w:tc>
          <w:tcPr>
            <w:tcW w:w="4318" w:type="pct"/>
          </w:tcPr>
          <w:p w14:paraId="710567EA" w14:textId="692E9F25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 coeficientul factorului valoric „etajul amplasării</w:t>
            </w:r>
            <w:r w:rsidR="00C90B7F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="00D114FE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încăperii izolate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”;</w:t>
            </w:r>
          </w:p>
        </w:tc>
      </w:tr>
      <w:tr w:rsidR="00A30A0E" w:rsidRPr="00896FD8" w14:paraId="7DC2DCB3" w14:textId="77777777" w:rsidTr="0040716F">
        <w:trPr>
          <w:trHeight w:val="315"/>
        </w:trPr>
        <w:tc>
          <w:tcPr>
            <w:tcW w:w="682" w:type="pct"/>
          </w:tcPr>
          <w:p w14:paraId="2F434D6B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KIESA</w:t>
            </w:r>
          </w:p>
        </w:tc>
        <w:tc>
          <w:tcPr>
            <w:tcW w:w="4318" w:type="pct"/>
          </w:tcPr>
          <w:p w14:paraId="43FDE18E" w14:textId="6BD5EDB5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 coeficientul factorului valoric „prezența ieșirii autonome”;</w:t>
            </w:r>
          </w:p>
        </w:tc>
      </w:tr>
      <w:tr w:rsidR="00A30A0E" w:rsidRPr="00896FD8" w14:paraId="2CBF66F0" w14:textId="77777777" w:rsidTr="0040716F">
        <w:trPr>
          <w:trHeight w:val="315"/>
        </w:trPr>
        <w:tc>
          <w:tcPr>
            <w:tcW w:w="682" w:type="pct"/>
          </w:tcPr>
          <w:p w14:paraId="3799B03F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KGA</w:t>
            </w:r>
          </w:p>
        </w:tc>
        <w:tc>
          <w:tcPr>
            <w:tcW w:w="4318" w:type="pct"/>
          </w:tcPr>
          <w:p w14:paraId="1E0B260C" w14:textId="05B74C79" w:rsidR="00A30A0E" w:rsidRPr="00DF5267" w:rsidRDefault="00ED5E25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–</w:t>
            </w:r>
            <w:r w:rsidR="00A30A0E"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coeficientul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factorului valoric „</w:t>
            </w: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existența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gazoductului”</w:t>
            </w:r>
            <w:r w:rsidR="00A30A0E"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</w:tc>
      </w:tr>
      <w:tr w:rsidR="00A30A0E" w:rsidRPr="00896FD8" w14:paraId="2AF7E4B5" w14:textId="77777777" w:rsidTr="0040716F">
        <w:trPr>
          <w:trHeight w:val="315"/>
        </w:trPr>
        <w:tc>
          <w:tcPr>
            <w:tcW w:w="682" w:type="pct"/>
          </w:tcPr>
          <w:p w14:paraId="45DCD117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proofErr w:type="spellStart"/>
            <w:r w:rsidRPr="00DF5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KAp</w:t>
            </w:r>
            <w:proofErr w:type="spellEnd"/>
          </w:p>
        </w:tc>
        <w:tc>
          <w:tcPr>
            <w:tcW w:w="4318" w:type="pct"/>
          </w:tcPr>
          <w:p w14:paraId="434E3945" w14:textId="782DF84E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– </w:t>
            </w:r>
            <w:r w:rsidR="00ED5E25"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coeficientul factorului valoric „</w:t>
            </w:r>
            <w:r w:rsidR="00ED5E2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existența</w:t>
            </w:r>
            <w:r w:rsidR="00ED5E25"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apeductului”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</w:tc>
      </w:tr>
      <w:tr w:rsidR="00A30A0E" w:rsidRPr="00896FD8" w14:paraId="0214F5E5" w14:textId="77777777" w:rsidTr="0040716F">
        <w:trPr>
          <w:trHeight w:val="315"/>
        </w:trPr>
        <w:tc>
          <w:tcPr>
            <w:tcW w:w="682" w:type="pct"/>
          </w:tcPr>
          <w:p w14:paraId="030DC907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KCA</w:t>
            </w:r>
          </w:p>
        </w:tc>
        <w:tc>
          <w:tcPr>
            <w:tcW w:w="4318" w:type="pct"/>
          </w:tcPr>
          <w:p w14:paraId="42E5B9C8" w14:textId="275F2CB6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– </w:t>
            </w:r>
            <w:r w:rsidR="00ED5E25"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coeficientul factorului valoric „</w:t>
            </w:r>
            <w:r w:rsidR="00ED5E2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existența</w:t>
            </w:r>
            <w:r w:rsidR="00ED5E25"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canalizării</w:t>
            </w:r>
            <w:r w:rsidR="00ED5E2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”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</w:tc>
      </w:tr>
      <w:tr w:rsidR="00A30A0E" w:rsidRPr="00896FD8" w14:paraId="27820CDE" w14:textId="77777777" w:rsidTr="0040716F">
        <w:trPr>
          <w:trHeight w:val="315"/>
        </w:trPr>
        <w:tc>
          <w:tcPr>
            <w:tcW w:w="682" w:type="pct"/>
          </w:tcPr>
          <w:p w14:paraId="7929FA33" w14:textId="77777777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KEL</w:t>
            </w:r>
          </w:p>
        </w:tc>
        <w:tc>
          <w:tcPr>
            <w:tcW w:w="4318" w:type="pct"/>
          </w:tcPr>
          <w:p w14:paraId="5A707695" w14:textId="6E59685F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– </w:t>
            </w:r>
            <w:r w:rsidR="00ED5E25"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coeficientul factorului valoric „</w:t>
            </w:r>
            <w:r w:rsidR="00ED5E25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existența</w:t>
            </w:r>
            <w:r w:rsidR="00ED5E25"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 rețelei de electricitate”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</w:tc>
      </w:tr>
      <w:tr w:rsidR="00A30A0E" w:rsidRPr="00896FD8" w14:paraId="5A0CF9E0" w14:textId="77777777" w:rsidTr="0040716F">
        <w:trPr>
          <w:trHeight w:val="315"/>
        </w:trPr>
        <w:tc>
          <w:tcPr>
            <w:tcW w:w="682" w:type="pct"/>
          </w:tcPr>
          <w:p w14:paraId="43347937" w14:textId="7CBA7BB0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</w:t>
            </w: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STC</w:t>
            </w:r>
          </w:p>
        </w:tc>
        <w:tc>
          <w:tcPr>
            <w:tcW w:w="4318" w:type="pct"/>
          </w:tcPr>
          <w:p w14:paraId="4F1B0148" w14:textId="0FC52F0F" w:rsidR="00A30A0E" w:rsidRPr="00DF5267" w:rsidRDefault="00A30A0E" w:rsidP="008E4E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– </w:t>
            </w:r>
            <w:r w:rsidR="000E49E0" w:rsidRPr="000E49E0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coeficientul factorului valoric „starea tehnică a construcției”</w:t>
            </w:r>
            <w:r w:rsidRPr="00DF5267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;</w:t>
            </w:r>
          </w:p>
        </w:tc>
      </w:tr>
      <w:tr w:rsidR="003248E1" w:rsidRPr="00896FD8" w14:paraId="6FFC85B8" w14:textId="77777777" w:rsidTr="0040716F">
        <w:trPr>
          <w:trHeight w:val="315"/>
        </w:trPr>
        <w:tc>
          <w:tcPr>
            <w:tcW w:w="682" w:type="pct"/>
          </w:tcPr>
          <w:p w14:paraId="022DB827" w14:textId="68434192" w:rsidR="003248E1" w:rsidRPr="00DF5267" w:rsidRDefault="003248E1" w:rsidP="003248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DF52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KIT</w:t>
            </w:r>
          </w:p>
        </w:tc>
        <w:tc>
          <w:tcPr>
            <w:tcW w:w="4318" w:type="pct"/>
          </w:tcPr>
          <w:p w14:paraId="2EFE61D9" w14:textId="53697254" w:rsidR="003248E1" w:rsidRPr="00DF5267" w:rsidRDefault="003248E1" w:rsidP="003248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DF5267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– </w:t>
            </w:r>
            <w:r w:rsidR="00ED5E25" w:rsidRPr="00DF5267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coeficientul factorului valoric „intensitatea generală a traficului”</w:t>
            </w:r>
            <w:r w:rsidRPr="00DF5267">
              <w:rPr>
                <w:rFonts w:ascii="Times New Roman" w:hAnsi="Times New Roman" w:cs="Times New Roman"/>
                <w:iCs/>
                <w:sz w:val="24"/>
                <w:szCs w:val="24"/>
                <w:lang w:val="pt-BR"/>
              </w:rPr>
              <w:t>.</w:t>
            </w:r>
          </w:p>
        </w:tc>
      </w:tr>
    </w:tbl>
    <w:p w14:paraId="5CC96BA0" w14:textId="1D87A11F" w:rsidR="004F1180" w:rsidRPr="000E50D9" w:rsidRDefault="005C0460" w:rsidP="00DD7DAA">
      <w:pPr>
        <w:spacing w:before="240"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8</w:t>
      </w:r>
      <w:r w:rsidR="004F1180" w:rsidRPr="000E50D9">
        <w:rPr>
          <w:rFonts w:ascii="Times New Roman" w:hAnsi="Times New Roman" w:cs="Times New Roman"/>
          <w:sz w:val="24"/>
          <w:szCs w:val="24"/>
          <w:lang w:val="ro-RO"/>
        </w:rPr>
        <w:t xml:space="preserve">. Coeficienții factorilor valorici, aplicați în modelul </w:t>
      </w:r>
      <w:r w:rsidR="00064C56" w:rsidRPr="00064C56">
        <w:rPr>
          <w:rFonts w:ascii="Times New Roman" w:hAnsi="Times New Roman" w:cs="Times New Roman"/>
          <w:sz w:val="24"/>
          <w:szCs w:val="24"/>
          <w:lang w:val="ro-RO"/>
        </w:rPr>
        <w:t>de evaluare a bunurilor imobile cu destinație comercială și industrială, la care sunt atribuite construcțiile și încăperile izolate cu destinație nelocativă, precum și terenurile pe care sunt amplasate sau urmează a fi amplasate astfel de construcții, din toate localitățile Republicii Moldova, în scopul impozitării</w:t>
      </w:r>
      <w:r w:rsidR="004F1180" w:rsidRPr="000E50D9">
        <w:rPr>
          <w:rFonts w:ascii="Times New Roman" w:hAnsi="Times New Roman" w:cs="Times New Roman"/>
          <w:sz w:val="24"/>
          <w:szCs w:val="24"/>
          <w:lang w:val="ro-RO"/>
        </w:rPr>
        <w:t xml:space="preserve">, sunt detaliați în </w:t>
      </w:r>
      <w:r w:rsidR="002A35A0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F61594" w:rsidRPr="000E50D9">
        <w:rPr>
          <w:rFonts w:ascii="Times New Roman" w:hAnsi="Times New Roman" w:cs="Times New Roman"/>
          <w:sz w:val="24"/>
          <w:szCs w:val="24"/>
          <w:lang w:val="ro-RO"/>
        </w:rPr>
        <w:t>nexa</w:t>
      </w:r>
      <w:r w:rsidR="004F1180" w:rsidRPr="000E50D9">
        <w:rPr>
          <w:rFonts w:ascii="Times New Roman" w:hAnsi="Times New Roman" w:cs="Times New Roman"/>
          <w:sz w:val="24"/>
          <w:szCs w:val="24"/>
          <w:lang w:val="ro-RO"/>
        </w:rPr>
        <w:t xml:space="preserve"> nr.3</w:t>
      </w:r>
      <w:r w:rsidR="00F61594" w:rsidRPr="000E50D9">
        <w:rPr>
          <w:rFonts w:ascii="Times New Roman" w:hAnsi="Times New Roman" w:cs="Times New Roman"/>
          <w:sz w:val="24"/>
          <w:szCs w:val="24"/>
          <w:lang w:val="ro-RO"/>
        </w:rPr>
        <w:t>.</w:t>
      </w:r>
    </w:p>
    <w:sectPr w:rsidR="004F1180" w:rsidRPr="000E50D9" w:rsidSect="00E75BDB">
      <w:headerReference w:type="default" r:id="rId7"/>
      <w:foot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B74C5" w14:textId="77777777" w:rsidR="00CD1D83" w:rsidRDefault="00CD1D83" w:rsidP="008A45E7">
      <w:pPr>
        <w:spacing w:after="0" w:line="240" w:lineRule="auto"/>
      </w:pPr>
      <w:r>
        <w:separator/>
      </w:r>
    </w:p>
  </w:endnote>
  <w:endnote w:type="continuationSeparator" w:id="0">
    <w:p w14:paraId="0C995BBE" w14:textId="77777777" w:rsidR="00CD1D83" w:rsidRDefault="00CD1D83" w:rsidP="008A4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3461785"/>
      <w:docPartObj>
        <w:docPartGallery w:val="Page Numbers (Bottom of Page)"/>
        <w:docPartUnique/>
      </w:docPartObj>
    </w:sdtPr>
    <w:sdtEndPr/>
    <w:sdtContent>
      <w:p w14:paraId="53D1A6A2" w14:textId="443F2DF9" w:rsidR="008A45E7" w:rsidRDefault="008A45E7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8FC5C6" w14:textId="77777777" w:rsidR="008A45E7" w:rsidRDefault="008A45E7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6F3E" w14:textId="77777777" w:rsidR="00CD1D83" w:rsidRDefault="00CD1D83" w:rsidP="008A45E7">
      <w:pPr>
        <w:spacing w:after="0" w:line="240" w:lineRule="auto"/>
      </w:pPr>
      <w:r>
        <w:separator/>
      </w:r>
    </w:p>
  </w:footnote>
  <w:footnote w:type="continuationSeparator" w:id="0">
    <w:p w14:paraId="1B8DF887" w14:textId="77777777" w:rsidR="00CD1D83" w:rsidRDefault="00CD1D83" w:rsidP="008A4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2AFD6" w14:textId="639DA568" w:rsidR="0017243C" w:rsidRPr="00E40A66" w:rsidRDefault="0017243C" w:rsidP="0017243C">
    <w:pPr>
      <w:pStyle w:val="af6"/>
      <w:jc w:val="right"/>
      <w:rPr>
        <w:rFonts w:ascii="Times New Roman" w:hAnsi="Times New Roman" w:cs="Times New Roman"/>
        <w:lang w:val="ro-RO"/>
      </w:rPr>
    </w:pPr>
    <w:r w:rsidRPr="00E40A66">
      <w:rPr>
        <w:rFonts w:ascii="Times New Roman" w:hAnsi="Times New Roman" w:cs="Times New Roman"/>
        <w:lang w:val="ro-RO"/>
      </w:rPr>
      <w:t>Continuare Anexa nr.</w:t>
    </w:r>
    <w:r w:rsidR="00577625">
      <w:rPr>
        <w:rFonts w:ascii="Times New Roman" w:hAnsi="Times New Roman" w:cs="Times New Roman"/>
        <w:lang w:val="ro-RO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D4CDEC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F79245C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7841232"/>
    <w:multiLevelType w:val="hybridMultilevel"/>
    <w:tmpl w:val="7BE2E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A0474F"/>
    <w:multiLevelType w:val="hybridMultilevel"/>
    <w:tmpl w:val="CF242C1A"/>
    <w:lvl w:ilvl="0" w:tplc="7BB43A1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F3638"/>
    <w:multiLevelType w:val="hybridMultilevel"/>
    <w:tmpl w:val="8F80B71A"/>
    <w:lvl w:ilvl="0" w:tplc="F612A4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B58BF"/>
    <w:multiLevelType w:val="multilevel"/>
    <w:tmpl w:val="D1A42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0395D"/>
    <w:multiLevelType w:val="multilevel"/>
    <w:tmpl w:val="EE24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E404DE"/>
    <w:multiLevelType w:val="multilevel"/>
    <w:tmpl w:val="E090A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C4214"/>
    <w:multiLevelType w:val="multilevel"/>
    <w:tmpl w:val="EE24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6F3B0E"/>
    <w:multiLevelType w:val="hybridMultilevel"/>
    <w:tmpl w:val="D85A984A"/>
    <w:lvl w:ilvl="0" w:tplc="FB581B3A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B6F13"/>
    <w:multiLevelType w:val="hybridMultilevel"/>
    <w:tmpl w:val="01545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F21A76"/>
    <w:multiLevelType w:val="multilevel"/>
    <w:tmpl w:val="9EF6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BC24A4"/>
    <w:multiLevelType w:val="multilevel"/>
    <w:tmpl w:val="D72C4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023A6F"/>
    <w:multiLevelType w:val="multilevel"/>
    <w:tmpl w:val="0419001F"/>
    <w:lvl w:ilvl="0">
      <w:start w:val="1"/>
      <w:numFmt w:val="decimal"/>
      <w:lvlText w:val="%1."/>
      <w:lvlJc w:val="left"/>
      <w:pPr>
        <w:ind w:left="278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4" w15:restartNumberingAfterBreak="0">
    <w:nsid w:val="2F8C3FBF"/>
    <w:multiLevelType w:val="multilevel"/>
    <w:tmpl w:val="AA02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333CD4"/>
    <w:multiLevelType w:val="hybridMultilevel"/>
    <w:tmpl w:val="ABD82F2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35267A"/>
    <w:multiLevelType w:val="multilevel"/>
    <w:tmpl w:val="969C8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BB178E"/>
    <w:multiLevelType w:val="hybridMultilevel"/>
    <w:tmpl w:val="58F87B20"/>
    <w:lvl w:ilvl="0" w:tplc="871483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D056B9"/>
    <w:multiLevelType w:val="hybridMultilevel"/>
    <w:tmpl w:val="0602F7AC"/>
    <w:lvl w:ilvl="0" w:tplc="EA44DB50">
      <w:start w:val="2"/>
      <w:numFmt w:val="decimal"/>
      <w:lvlText w:val="%1."/>
      <w:lvlJc w:val="left"/>
      <w:pPr>
        <w:ind w:left="27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02" w:hanging="360"/>
      </w:pPr>
    </w:lvl>
    <w:lvl w:ilvl="2" w:tplc="0419001B" w:tentative="1">
      <w:start w:val="1"/>
      <w:numFmt w:val="lowerRoman"/>
      <w:lvlText w:val="%3."/>
      <w:lvlJc w:val="right"/>
      <w:pPr>
        <w:ind w:left="4222" w:hanging="180"/>
      </w:pPr>
    </w:lvl>
    <w:lvl w:ilvl="3" w:tplc="0419000F" w:tentative="1">
      <w:start w:val="1"/>
      <w:numFmt w:val="decimal"/>
      <w:lvlText w:val="%4."/>
      <w:lvlJc w:val="left"/>
      <w:pPr>
        <w:ind w:left="4942" w:hanging="360"/>
      </w:pPr>
    </w:lvl>
    <w:lvl w:ilvl="4" w:tplc="04190019" w:tentative="1">
      <w:start w:val="1"/>
      <w:numFmt w:val="lowerLetter"/>
      <w:lvlText w:val="%5."/>
      <w:lvlJc w:val="left"/>
      <w:pPr>
        <w:ind w:left="5662" w:hanging="360"/>
      </w:pPr>
    </w:lvl>
    <w:lvl w:ilvl="5" w:tplc="0419001B" w:tentative="1">
      <w:start w:val="1"/>
      <w:numFmt w:val="lowerRoman"/>
      <w:lvlText w:val="%6."/>
      <w:lvlJc w:val="right"/>
      <w:pPr>
        <w:ind w:left="6382" w:hanging="180"/>
      </w:pPr>
    </w:lvl>
    <w:lvl w:ilvl="6" w:tplc="0419000F" w:tentative="1">
      <w:start w:val="1"/>
      <w:numFmt w:val="decimal"/>
      <w:lvlText w:val="%7."/>
      <w:lvlJc w:val="left"/>
      <w:pPr>
        <w:ind w:left="7102" w:hanging="360"/>
      </w:pPr>
    </w:lvl>
    <w:lvl w:ilvl="7" w:tplc="04190019" w:tentative="1">
      <w:start w:val="1"/>
      <w:numFmt w:val="lowerLetter"/>
      <w:lvlText w:val="%8."/>
      <w:lvlJc w:val="left"/>
      <w:pPr>
        <w:ind w:left="7822" w:hanging="360"/>
      </w:pPr>
    </w:lvl>
    <w:lvl w:ilvl="8" w:tplc="0419001B" w:tentative="1">
      <w:start w:val="1"/>
      <w:numFmt w:val="lowerRoman"/>
      <w:lvlText w:val="%9."/>
      <w:lvlJc w:val="right"/>
      <w:pPr>
        <w:ind w:left="8542" w:hanging="180"/>
      </w:pPr>
    </w:lvl>
  </w:abstractNum>
  <w:abstractNum w:abstractNumId="19" w15:restartNumberingAfterBreak="0">
    <w:nsid w:val="3718650F"/>
    <w:multiLevelType w:val="multilevel"/>
    <w:tmpl w:val="5F549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71A1180"/>
    <w:multiLevelType w:val="hybridMultilevel"/>
    <w:tmpl w:val="B31A96B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81045E"/>
    <w:multiLevelType w:val="hybridMultilevel"/>
    <w:tmpl w:val="5F188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A35C2"/>
    <w:multiLevelType w:val="multilevel"/>
    <w:tmpl w:val="3E327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3B6F15"/>
    <w:multiLevelType w:val="hybridMultilevel"/>
    <w:tmpl w:val="000C135C"/>
    <w:lvl w:ilvl="0" w:tplc="F612A41A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9179F3"/>
    <w:multiLevelType w:val="multilevel"/>
    <w:tmpl w:val="3F40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032908"/>
    <w:multiLevelType w:val="hybridMultilevel"/>
    <w:tmpl w:val="A8BCC5F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6207A9"/>
    <w:multiLevelType w:val="multilevel"/>
    <w:tmpl w:val="01E6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E6477A"/>
    <w:multiLevelType w:val="hybridMultilevel"/>
    <w:tmpl w:val="E3108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FD31D6"/>
    <w:multiLevelType w:val="hybridMultilevel"/>
    <w:tmpl w:val="35486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315650"/>
    <w:multiLevelType w:val="hybridMultilevel"/>
    <w:tmpl w:val="0E6C8C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903532"/>
    <w:multiLevelType w:val="multilevel"/>
    <w:tmpl w:val="E1702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084213"/>
    <w:multiLevelType w:val="hybridMultilevel"/>
    <w:tmpl w:val="6AC810A2"/>
    <w:lvl w:ilvl="0" w:tplc="9FC83324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51257"/>
    <w:multiLevelType w:val="multilevel"/>
    <w:tmpl w:val="A594B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826A11"/>
    <w:multiLevelType w:val="hybridMultilevel"/>
    <w:tmpl w:val="B0E4CB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6E0993"/>
    <w:multiLevelType w:val="hybridMultilevel"/>
    <w:tmpl w:val="FBE66A9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5105A4"/>
    <w:multiLevelType w:val="hybridMultilevel"/>
    <w:tmpl w:val="0D526F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C123DF"/>
    <w:multiLevelType w:val="multilevel"/>
    <w:tmpl w:val="8B06CEA8"/>
    <w:styleLink w:val="a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7" w15:restartNumberingAfterBreak="0">
    <w:nsid w:val="6A465153"/>
    <w:multiLevelType w:val="multilevel"/>
    <w:tmpl w:val="351E1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FB71F6A"/>
    <w:multiLevelType w:val="multilevel"/>
    <w:tmpl w:val="B714E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1B9225A"/>
    <w:multiLevelType w:val="hybridMultilevel"/>
    <w:tmpl w:val="BA2A5D3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1F52FB"/>
    <w:multiLevelType w:val="multilevel"/>
    <w:tmpl w:val="EE24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66721A"/>
    <w:multiLevelType w:val="multilevel"/>
    <w:tmpl w:val="28FCB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29"/>
  </w:num>
  <w:num w:numId="3">
    <w:abstractNumId w:val="11"/>
  </w:num>
  <w:num w:numId="4">
    <w:abstractNumId w:val="13"/>
  </w:num>
  <w:num w:numId="5">
    <w:abstractNumId w:val="39"/>
  </w:num>
  <w:num w:numId="6">
    <w:abstractNumId w:val="31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25"/>
  </w:num>
  <w:num w:numId="12">
    <w:abstractNumId w:val="32"/>
  </w:num>
  <w:num w:numId="13">
    <w:abstractNumId w:val="16"/>
  </w:num>
  <w:num w:numId="14">
    <w:abstractNumId w:val="19"/>
  </w:num>
  <w:num w:numId="15">
    <w:abstractNumId w:val="12"/>
  </w:num>
  <w:num w:numId="16">
    <w:abstractNumId w:val="14"/>
  </w:num>
  <w:num w:numId="17">
    <w:abstractNumId w:val="15"/>
  </w:num>
  <w:num w:numId="18">
    <w:abstractNumId w:val="41"/>
  </w:num>
  <w:num w:numId="19">
    <w:abstractNumId w:val="26"/>
  </w:num>
  <w:num w:numId="20">
    <w:abstractNumId w:val="34"/>
  </w:num>
  <w:num w:numId="21">
    <w:abstractNumId w:val="5"/>
  </w:num>
  <w:num w:numId="22">
    <w:abstractNumId w:val="38"/>
  </w:num>
  <w:num w:numId="23">
    <w:abstractNumId w:val="27"/>
  </w:num>
  <w:num w:numId="24">
    <w:abstractNumId w:val="20"/>
  </w:num>
  <w:num w:numId="25">
    <w:abstractNumId w:val="22"/>
  </w:num>
  <w:num w:numId="26">
    <w:abstractNumId w:val="30"/>
  </w:num>
  <w:num w:numId="27">
    <w:abstractNumId w:val="23"/>
  </w:num>
  <w:num w:numId="28">
    <w:abstractNumId w:val="17"/>
  </w:num>
  <w:num w:numId="29">
    <w:abstractNumId w:val="24"/>
  </w:num>
  <w:num w:numId="30">
    <w:abstractNumId w:val="4"/>
  </w:num>
  <w:num w:numId="31">
    <w:abstractNumId w:val="3"/>
  </w:num>
  <w:num w:numId="32">
    <w:abstractNumId w:val="18"/>
  </w:num>
  <w:num w:numId="33">
    <w:abstractNumId w:val="40"/>
  </w:num>
  <w:num w:numId="34">
    <w:abstractNumId w:val="6"/>
  </w:num>
  <w:num w:numId="35">
    <w:abstractNumId w:val="8"/>
  </w:num>
  <w:num w:numId="36">
    <w:abstractNumId w:val="35"/>
  </w:num>
  <w:num w:numId="37">
    <w:abstractNumId w:val="7"/>
  </w:num>
  <w:num w:numId="38">
    <w:abstractNumId w:val="37"/>
  </w:num>
  <w:num w:numId="39">
    <w:abstractNumId w:val="28"/>
  </w:num>
  <w:num w:numId="40">
    <w:abstractNumId w:val="33"/>
  </w:num>
  <w:num w:numId="41">
    <w:abstractNumId w:val="10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0E"/>
    <w:rsid w:val="00007982"/>
    <w:rsid w:val="00012C38"/>
    <w:rsid w:val="000132E5"/>
    <w:rsid w:val="000213D7"/>
    <w:rsid w:val="0003168D"/>
    <w:rsid w:val="00034B2E"/>
    <w:rsid w:val="00037886"/>
    <w:rsid w:val="00050C61"/>
    <w:rsid w:val="00052082"/>
    <w:rsid w:val="00052495"/>
    <w:rsid w:val="00064C56"/>
    <w:rsid w:val="000776B3"/>
    <w:rsid w:val="00084B1F"/>
    <w:rsid w:val="00095654"/>
    <w:rsid w:val="00097B93"/>
    <w:rsid w:val="000A35B7"/>
    <w:rsid w:val="000A5B1C"/>
    <w:rsid w:val="000B2753"/>
    <w:rsid w:val="000D4B50"/>
    <w:rsid w:val="000D6F0A"/>
    <w:rsid w:val="000E097E"/>
    <w:rsid w:val="000E1826"/>
    <w:rsid w:val="000E19D4"/>
    <w:rsid w:val="000E49E0"/>
    <w:rsid w:val="000E50D9"/>
    <w:rsid w:val="000F1DDD"/>
    <w:rsid w:val="000F4774"/>
    <w:rsid w:val="000F604C"/>
    <w:rsid w:val="00110197"/>
    <w:rsid w:val="001503BC"/>
    <w:rsid w:val="00155523"/>
    <w:rsid w:val="001635E5"/>
    <w:rsid w:val="0017243C"/>
    <w:rsid w:val="0017330A"/>
    <w:rsid w:val="00174179"/>
    <w:rsid w:val="00195FF0"/>
    <w:rsid w:val="001A7FFB"/>
    <w:rsid w:val="001B359C"/>
    <w:rsid w:val="001B688A"/>
    <w:rsid w:val="001B6F8A"/>
    <w:rsid w:val="001B7D78"/>
    <w:rsid w:val="001C6198"/>
    <w:rsid w:val="001D69F7"/>
    <w:rsid w:val="001E278D"/>
    <w:rsid w:val="001F79AE"/>
    <w:rsid w:val="00205FD1"/>
    <w:rsid w:val="002112EC"/>
    <w:rsid w:val="00212594"/>
    <w:rsid w:val="002125B8"/>
    <w:rsid w:val="00222755"/>
    <w:rsid w:val="00231B6F"/>
    <w:rsid w:val="00247210"/>
    <w:rsid w:val="002638EE"/>
    <w:rsid w:val="00263CBA"/>
    <w:rsid w:val="002801DE"/>
    <w:rsid w:val="00282151"/>
    <w:rsid w:val="00286491"/>
    <w:rsid w:val="00290131"/>
    <w:rsid w:val="0029225E"/>
    <w:rsid w:val="00296C55"/>
    <w:rsid w:val="002A01D1"/>
    <w:rsid w:val="002A35A0"/>
    <w:rsid w:val="002B38F7"/>
    <w:rsid w:val="002D031C"/>
    <w:rsid w:val="002D2464"/>
    <w:rsid w:val="002F0DA0"/>
    <w:rsid w:val="002F4D68"/>
    <w:rsid w:val="0030285B"/>
    <w:rsid w:val="003109FE"/>
    <w:rsid w:val="00315711"/>
    <w:rsid w:val="003248E1"/>
    <w:rsid w:val="00335D82"/>
    <w:rsid w:val="003447D5"/>
    <w:rsid w:val="00353F0B"/>
    <w:rsid w:val="00354EB9"/>
    <w:rsid w:val="003667AC"/>
    <w:rsid w:val="00372854"/>
    <w:rsid w:val="00384804"/>
    <w:rsid w:val="00386737"/>
    <w:rsid w:val="00395314"/>
    <w:rsid w:val="003B47C0"/>
    <w:rsid w:val="003C15D7"/>
    <w:rsid w:val="003C1BB0"/>
    <w:rsid w:val="003D5B25"/>
    <w:rsid w:val="003E243A"/>
    <w:rsid w:val="003E37A9"/>
    <w:rsid w:val="003F4FDA"/>
    <w:rsid w:val="003F52FE"/>
    <w:rsid w:val="00402FEE"/>
    <w:rsid w:val="0040716F"/>
    <w:rsid w:val="00407D5C"/>
    <w:rsid w:val="00412100"/>
    <w:rsid w:val="004276A2"/>
    <w:rsid w:val="00435D97"/>
    <w:rsid w:val="00441B71"/>
    <w:rsid w:val="00447C19"/>
    <w:rsid w:val="0047054F"/>
    <w:rsid w:val="004711ED"/>
    <w:rsid w:val="00482DC1"/>
    <w:rsid w:val="004907AF"/>
    <w:rsid w:val="004A74A4"/>
    <w:rsid w:val="004B2367"/>
    <w:rsid w:val="004C5926"/>
    <w:rsid w:val="004C742F"/>
    <w:rsid w:val="004C750F"/>
    <w:rsid w:val="004D7989"/>
    <w:rsid w:val="004F1180"/>
    <w:rsid w:val="004F7C7E"/>
    <w:rsid w:val="00500ADE"/>
    <w:rsid w:val="005162A0"/>
    <w:rsid w:val="005168C1"/>
    <w:rsid w:val="00525FBC"/>
    <w:rsid w:val="00531D5C"/>
    <w:rsid w:val="00532703"/>
    <w:rsid w:val="00533615"/>
    <w:rsid w:val="00535B18"/>
    <w:rsid w:val="00535C3D"/>
    <w:rsid w:val="00536B14"/>
    <w:rsid w:val="00544088"/>
    <w:rsid w:val="00577625"/>
    <w:rsid w:val="005850F6"/>
    <w:rsid w:val="00586AAF"/>
    <w:rsid w:val="005954FA"/>
    <w:rsid w:val="005962FF"/>
    <w:rsid w:val="005B25B8"/>
    <w:rsid w:val="005B6D87"/>
    <w:rsid w:val="005B70EB"/>
    <w:rsid w:val="005C0460"/>
    <w:rsid w:val="005D16EF"/>
    <w:rsid w:val="005E5FC1"/>
    <w:rsid w:val="005E756F"/>
    <w:rsid w:val="006028F6"/>
    <w:rsid w:val="00604566"/>
    <w:rsid w:val="00616479"/>
    <w:rsid w:val="00622103"/>
    <w:rsid w:val="0062609D"/>
    <w:rsid w:val="006310A1"/>
    <w:rsid w:val="00662D0B"/>
    <w:rsid w:val="006631F6"/>
    <w:rsid w:val="006677C9"/>
    <w:rsid w:val="0067674E"/>
    <w:rsid w:val="006A10C7"/>
    <w:rsid w:val="006A130F"/>
    <w:rsid w:val="006B0AED"/>
    <w:rsid w:val="006B61B8"/>
    <w:rsid w:val="006C0258"/>
    <w:rsid w:val="006C5C66"/>
    <w:rsid w:val="006D2CD8"/>
    <w:rsid w:val="006D6BFE"/>
    <w:rsid w:val="006F7109"/>
    <w:rsid w:val="007016A7"/>
    <w:rsid w:val="00702162"/>
    <w:rsid w:val="007022F0"/>
    <w:rsid w:val="00723C4F"/>
    <w:rsid w:val="00726F5E"/>
    <w:rsid w:val="0074348E"/>
    <w:rsid w:val="007779C3"/>
    <w:rsid w:val="007820F0"/>
    <w:rsid w:val="00784B84"/>
    <w:rsid w:val="007A0F5D"/>
    <w:rsid w:val="007A5D2E"/>
    <w:rsid w:val="007B0138"/>
    <w:rsid w:val="007B643A"/>
    <w:rsid w:val="007C0B97"/>
    <w:rsid w:val="007C2BC9"/>
    <w:rsid w:val="007C4DB5"/>
    <w:rsid w:val="007E2F92"/>
    <w:rsid w:val="007F0619"/>
    <w:rsid w:val="007F1941"/>
    <w:rsid w:val="007F47D1"/>
    <w:rsid w:val="007F69E5"/>
    <w:rsid w:val="0080113A"/>
    <w:rsid w:val="00806AA0"/>
    <w:rsid w:val="00813F16"/>
    <w:rsid w:val="00816CD0"/>
    <w:rsid w:val="00820B68"/>
    <w:rsid w:val="00821F8F"/>
    <w:rsid w:val="0082412C"/>
    <w:rsid w:val="008327FE"/>
    <w:rsid w:val="00844939"/>
    <w:rsid w:val="008520E2"/>
    <w:rsid w:val="008570EF"/>
    <w:rsid w:val="00860402"/>
    <w:rsid w:val="00864550"/>
    <w:rsid w:val="008729A0"/>
    <w:rsid w:val="00874053"/>
    <w:rsid w:val="008750F8"/>
    <w:rsid w:val="008822DD"/>
    <w:rsid w:val="008932C6"/>
    <w:rsid w:val="00896FD8"/>
    <w:rsid w:val="008A45E7"/>
    <w:rsid w:val="008B2B9F"/>
    <w:rsid w:val="008C2EF3"/>
    <w:rsid w:val="008D2F05"/>
    <w:rsid w:val="008E5C1E"/>
    <w:rsid w:val="008E7C67"/>
    <w:rsid w:val="008F1BBE"/>
    <w:rsid w:val="008F2DD3"/>
    <w:rsid w:val="009079CA"/>
    <w:rsid w:val="009179D1"/>
    <w:rsid w:val="00927101"/>
    <w:rsid w:val="009339BC"/>
    <w:rsid w:val="00940A12"/>
    <w:rsid w:val="00941A68"/>
    <w:rsid w:val="0094246F"/>
    <w:rsid w:val="00942BC9"/>
    <w:rsid w:val="0094729D"/>
    <w:rsid w:val="0096032D"/>
    <w:rsid w:val="00962023"/>
    <w:rsid w:val="009623B7"/>
    <w:rsid w:val="00975335"/>
    <w:rsid w:val="00980252"/>
    <w:rsid w:val="00980724"/>
    <w:rsid w:val="00984612"/>
    <w:rsid w:val="00994157"/>
    <w:rsid w:val="00997AAF"/>
    <w:rsid w:val="009A2A48"/>
    <w:rsid w:val="009A3E30"/>
    <w:rsid w:val="009B39CC"/>
    <w:rsid w:val="009B419D"/>
    <w:rsid w:val="009B5A3D"/>
    <w:rsid w:val="009D392A"/>
    <w:rsid w:val="00A01234"/>
    <w:rsid w:val="00A021D2"/>
    <w:rsid w:val="00A216B7"/>
    <w:rsid w:val="00A23BCE"/>
    <w:rsid w:val="00A26C58"/>
    <w:rsid w:val="00A30A0E"/>
    <w:rsid w:val="00A314F6"/>
    <w:rsid w:val="00A35531"/>
    <w:rsid w:val="00A56E18"/>
    <w:rsid w:val="00A57992"/>
    <w:rsid w:val="00A93058"/>
    <w:rsid w:val="00A935C2"/>
    <w:rsid w:val="00A94429"/>
    <w:rsid w:val="00AA09EC"/>
    <w:rsid w:val="00AA2C06"/>
    <w:rsid w:val="00AB1746"/>
    <w:rsid w:val="00AB3CCA"/>
    <w:rsid w:val="00AC0473"/>
    <w:rsid w:val="00AC74E7"/>
    <w:rsid w:val="00AD75E8"/>
    <w:rsid w:val="00AE61C6"/>
    <w:rsid w:val="00AF4B47"/>
    <w:rsid w:val="00B012B8"/>
    <w:rsid w:val="00B22F14"/>
    <w:rsid w:val="00B256AB"/>
    <w:rsid w:val="00B52BFC"/>
    <w:rsid w:val="00B66422"/>
    <w:rsid w:val="00B67584"/>
    <w:rsid w:val="00B70D8E"/>
    <w:rsid w:val="00B76E9A"/>
    <w:rsid w:val="00B81B8F"/>
    <w:rsid w:val="00BA309D"/>
    <w:rsid w:val="00BA5D73"/>
    <w:rsid w:val="00BC3B46"/>
    <w:rsid w:val="00BD7BDF"/>
    <w:rsid w:val="00BE073D"/>
    <w:rsid w:val="00BE304D"/>
    <w:rsid w:val="00C029FD"/>
    <w:rsid w:val="00C03226"/>
    <w:rsid w:val="00C055EE"/>
    <w:rsid w:val="00C06A86"/>
    <w:rsid w:val="00C073A1"/>
    <w:rsid w:val="00C164DE"/>
    <w:rsid w:val="00C37443"/>
    <w:rsid w:val="00C37C6D"/>
    <w:rsid w:val="00C41716"/>
    <w:rsid w:val="00C44C79"/>
    <w:rsid w:val="00C64F7F"/>
    <w:rsid w:val="00C90B7F"/>
    <w:rsid w:val="00C90EBD"/>
    <w:rsid w:val="00CA051C"/>
    <w:rsid w:val="00CA225A"/>
    <w:rsid w:val="00CB2158"/>
    <w:rsid w:val="00CC3E11"/>
    <w:rsid w:val="00CD1D83"/>
    <w:rsid w:val="00CD40DA"/>
    <w:rsid w:val="00CE7D83"/>
    <w:rsid w:val="00CF613E"/>
    <w:rsid w:val="00D077C1"/>
    <w:rsid w:val="00D114FE"/>
    <w:rsid w:val="00D265EC"/>
    <w:rsid w:val="00D317F4"/>
    <w:rsid w:val="00D3520D"/>
    <w:rsid w:val="00D56F49"/>
    <w:rsid w:val="00D60A26"/>
    <w:rsid w:val="00D75FB9"/>
    <w:rsid w:val="00D77682"/>
    <w:rsid w:val="00D9023B"/>
    <w:rsid w:val="00D94869"/>
    <w:rsid w:val="00DA0147"/>
    <w:rsid w:val="00DA3284"/>
    <w:rsid w:val="00DB28B8"/>
    <w:rsid w:val="00DB707A"/>
    <w:rsid w:val="00DB7F20"/>
    <w:rsid w:val="00DC589F"/>
    <w:rsid w:val="00DC7F20"/>
    <w:rsid w:val="00DD1E12"/>
    <w:rsid w:val="00DD7DAA"/>
    <w:rsid w:val="00DF3F2E"/>
    <w:rsid w:val="00E02297"/>
    <w:rsid w:val="00E03C1E"/>
    <w:rsid w:val="00E05E4C"/>
    <w:rsid w:val="00E246DF"/>
    <w:rsid w:val="00E40A66"/>
    <w:rsid w:val="00E41E32"/>
    <w:rsid w:val="00E45333"/>
    <w:rsid w:val="00E54DEB"/>
    <w:rsid w:val="00E603D5"/>
    <w:rsid w:val="00E75BDB"/>
    <w:rsid w:val="00E817B1"/>
    <w:rsid w:val="00E958F2"/>
    <w:rsid w:val="00E97305"/>
    <w:rsid w:val="00EA481B"/>
    <w:rsid w:val="00EB2A9C"/>
    <w:rsid w:val="00EB67B5"/>
    <w:rsid w:val="00EC694B"/>
    <w:rsid w:val="00ED5E25"/>
    <w:rsid w:val="00EF2DD7"/>
    <w:rsid w:val="00F0008C"/>
    <w:rsid w:val="00F01038"/>
    <w:rsid w:val="00F04C73"/>
    <w:rsid w:val="00F057BA"/>
    <w:rsid w:val="00F076A6"/>
    <w:rsid w:val="00F112BB"/>
    <w:rsid w:val="00F373D8"/>
    <w:rsid w:val="00F44327"/>
    <w:rsid w:val="00F47756"/>
    <w:rsid w:val="00F558B7"/>
    <w:rsid w:val="00F61594"/>
    <w:rsid w:val="00F64C59"/>
    <w:rsid w:val="00F7437E"/>
    <w:rsid w:val="00FA28A6"/>
    <w:rsid w:val="00FA4260"/>
    <w:rsid w:val="00FB265F"/>
    <w:rsid w:val="00FB2DA1"/>
    <w:rsid w:val="00FB6152"/>
    <w:rsid w:val="00FC0CE8"/>
    <w:rsid w:val="00FC38C7"/>
    <w:rsid w:val="00FC4C0B"/>
    <w:rsid w:val="00FC60E0"/>
    <w:rsid w:val="00FE3762"/>
    <w:rsid w:val="00FF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9D1E"/>
  <w15:chartTrackingRefBased/>
  <w15:docId w15:val="{605DAF1F-BD5C-42F0-A0CF-18664E2AA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A30A0E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2"/>
    <w:next w:val="a2"/>
    <w:link w:val="10"/>
    <w:uiPriority w:val="9"/>
    <w:qFormat/>
    <w:rsid w:val="00A30A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2"/>
    <w:next w:val="a2"/>
    <w:link w:val="20"/>
    <w:uiPriority w:val="9"/>
    <w:unhideWhenUsed/>
    <w:qFormat/>
    <w:rsid w:val="00A30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2"/>
    <w:next w:val="a2"/>
    <w:link w:val="30"/>
    <w:uiPriority w:val="9"/>
    <w:unhideWhenUsed/>
    <w:qFormat/>
    <w:rsid w:val="00A30A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2"/>
    <w:next w:val="a2"/>
    <w:link w:val="40"/>
    <w:uiPriority w:val="9"/>
    <w:unhideWhenUsed/>
    <w:qFormat/>
    <w:rsid w:val="00A30A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2"/>
    <w:next w:val="a2"/>
    <w:link w:val="50"/>
    <w:uiPriority w:val="9"/>
    <w:semiHidden/>
    <w:unhideWhenUsed/>
    <w:qFormat/>
    <w:rsid w:val="00A30A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2"/>
    <w:next w:val="a2"/>
    <w:link w:val="60"/>
    <w:uiPriority w:val="9"/>
    <w:semiHidden/>
    <w:unhideWhenUsed/>
    <w:qFormat/>
    <w:rsid w:val="00A30A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2"/>
    <w:next w:val="a2"/>
    <w:link w:val="70"/>
    <w:uiPriority w:val="9"/>
    <w:unhideWhenUsed/>
    <w:qFormat/>
    <w:rsid w:val="00A30A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2"/>
    <w:next w:val="a2"/>
    <w:link w:val="80"/>
    <w:uiPriority w:val="9"/>
    <w:unhideWhenUsed/>
    <w:qFormat/>
    <w:rsid w:val="00A30A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2"/>
    <w:next w:val="a2"/>
    <w:link w:val="90"/>
    <w:uiPriority w:val="9"/>
    <w:semiHidden/>
    <w:unhideWhenUsed/>
    <w:qFormat/>
    <w:rsid w:val="00A30A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uiPriority w:val="9"/>
    <w:rsid w:val="00A30A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3"/>
    <w:link w:val="2"/>
    <w:uiPriority w:val="9"/>
    <w:rsid w:val="00A30A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3"/>
    <w:link w:val="3"/>
    <w:uiPriority w:val="9"/>
    <w:rsid w:val="00A30A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3"/>
    <w:link w:val="4"/>
    <w:uiPriority w:val="9"/>
    <w:rsid w:val="00A30A0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3"/>
    <w:link w:val="5"/>
    <w:uiPriority w:val="9"/>
    <w:rsid w:val="00A30A0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3"/>
    <w:link w:val="6"/>
    <w:uiPriority w:val="9"/>
    <w:semiHidden/>
    <w:rsid w:val="00A30A0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3"/>
    <w:link w:val="7"/>
    <w:uiPriority w:val="9"/>
    <w:rsid w:val="00A30A0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3"/>
    <w:link w:val="8"/>
    <w:uiPriority w:val="9"/>
    <w:rsid w:val="00A30A0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3"/>
    <w:link w:val="9"/>
    <w:uiPriority w:val="9"/>
    <w:rsid w:val="00A30A0E"/>
    <w:rPr>
      <w:rFonts w:eastAsiaTheme="majorEastAsia" w:cstheme="majorBidi"/>
      <w:color w:val="272727" w:themeColor="text1" w:themeTint="D8"/>
    </w:rPr>
  </w:style>
  <w:style w:type="paragraph" w:styleId="a6">
    <w:name w:val="Title"/>
    <w:basedOn w:val="a2"/>
    <w:next w:val="a2"/>
    <w:link w:val="a7"/>
    <w:uiPriority w:val="10"/>
    <w:qFormat/>
    <w:rsid w:val="00A30A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Заголовок Знак"/>
    <w:basedOn w:val="a3"/>
    <w:link w:val="a6"/>
    <w:uiPriority w:val="10"/>
    <w:rsid w:val="00A30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2"/>
    <w:next w:val="a2"/>
    <w:link w:val="a9"/>
    <w:uiPriority w:val="11"/>
    <w:qFormat/>
    <w:rsid w:val="00A30A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Подзаголовок Знак"/>
    <w:basedOn w:val="a3"/>
    <w:link w:val="a8"/>
    <w:uiPriority w:val="11"/>
    <w:rsid w:val="00A30A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2"/>
    <w:next w:val="a2"/>
    <w:link w:val="22"/>
    <w:uiPriority w:val="29"/>
    <w:qFormat/>
    <w:rsid w:val="00A30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3"/>
    <w:link w:val="21"/>
    <w:uiPriority w:val="29"/>
    <w:rsid w:val="00A30A0E"/>
    <w:rPr>
      <w:i/>
      <w:iCs/>
      <w:color w:val="404040" w:themeColor="text1" w:themeTint="BF"/>
    </w:rPr>
  </w:style>
  <w:style w:type="paragraph" w:styleId="aa">
    <w:name w:val="List Paragraph"/>
    <w:aliases w:val="Scriptoria bullet points,List Paragraph 1,Table of contents numbered,List Paragraph in table,PDP DOCUMENT SUBTITLE,Bullets,List Paragraph (numbered (a)),Bullet Points,Liste Paragraf,Paragraphe de liste PBLH,Graph &amp; Table tite,Titre1"/>
    <w:basedOn w:val="a2"/>
    <w:link w:val="ab"/>
    <w:uiPriority w:val="34"/>
    <w:qFormat/>
    <w:rsid w:val="00A30A0E"/>
    <w:pPr>
      <w:ind w:left="720"/>
      <w:contextualSpacing/>
    </w:pPr>
  </w:style>
  <w:style w:type="character" w:styleId="ac">
    <w:name w:val="Intense Emphasis"/>
    <w:basedOn w:val="a3"/>
    <w:uiPriority w:val="21"/>
    <w:qFormat/>
    <w:rsid w:val="00A30A0E"/>
    <w:rPr>
      <w:i/>
      <w:iCs/>
      <w:color w:val="0F4761" w:themeColor="accent1" w:themeShade="BF"/>
    </w:rPr>
  </w:style>
  <w:style w:type="paragraph" w:styleId="ad">
    <w:name w:val="Intense Quote"/>
    <w:basedOn w:val="a2"/>
    <w:next w:val="a2"/>
    <w:link w:val="ae"/>
    <w:uiPriority w:val="30"/>
    <w:qFormat/>
    <w:rsid w:val="00A30A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Выделенная цитата Знак"/>
    <w:basedOn w:val="a3"/>
    <w:link w:val="ad"/>
    <w:uiPriority w:val="30"/>
    <w:rsid w:val="00A30A0E"/>
    <w:rPr>
      <w:i/>
      <w:iCs/>
      <w:color w:val="0F4761" w:themeColor="accent1" w:themeShade="BF"/>
    </w:rPr>
  </w:style>
  <w:style w:type="character" w:styleId="af">
    <w:name w:val="Intense Reference"/>
    <w:basedOn w:val="a3"/>
    <w:uiPriority w:val="32"/>
    <w:qFormat/>
    <w:rsid w:val="00A30A0E"/>
    <w:rPr>
      <w:b/>
      <w:bCs/>
      <w:smallCaps/>
      <w:color w:val="0F4761" w:themeColor="accent1" w:themeShade="BF"/>
      <w:spacing w:val="5"/>
    </w:rPr>
  </w:style>
  <w:style w:type="paragraph" w:styleId="af0">
    <w:name w:val="footnote text"/>
    <w:basedOn w:val="a2"/>
    <w:link w:val="af1"/>
    <w:uiPriority w:val="99"/>
    <w:semiHidden/>
    <w:rsid w:val="00A30A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3"/>
    <w:link w:val="af0"/>
    <w:uiPriority w:val="99"/>
    <w:semiHidden/>
    <w:rsid w:val="00A30A0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2">
    <w:name w:val="footnote reference"/>
    <w:basedOn w:val="a3"/>
    <w:uiPriority w:val="99"/>
    <w:semiHidden/>
    <w:rsid w:val="00A30A0E"/>
    <w:rPr>
      <w:vertAlign w:val="superscript"/>
    </w:rPr>
  </w:style>
  <w:style w:type="character" w:styleId="af3">
    <w:name w:val="Hyperlink"/>
    <w:basedOn w:val="a3"/>
    <w:uiPriority w:val="99"/>
    <w:unhideWhenUsed/>
    <w:rsid w:val="00A30A0E"/>
    <w:rPr>
      <w:color w:val="0563C1"/>
      <w:u w:val="single"/>
    </w:rPr>
  </w:style>
  <w:style w:type="character" w:styleId="af4">
    <w:name w:val="FollowedHyperlink"/>
    <w:basedOn w:val="a3"/>
    <w:uiPriority w:val="99"/>
    <w:semiHidden/>
    <w:unhideWhenUsed/>
    <w:rsid w:val="00A30A0E"/>
    <w:rPr>
      <w:color w:val="954F72"/>
      <w:u w:val="single"/>
    </w:rPr>
  </w:style>
  <w:style w:type="paragraph" w:customStyle="1" w:styleId="msonormal0">
    <w:name w:val="msonormal"/>
    <w:basedOn w:val="a2"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2"/>
    <w:rsid w:val="00A30A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5">
    <w:name w:val="Table Grid"/>
    <w:basedOn w:val="a4"/>
    <w:uiPriority w:val="59"/>
    <w:rsid w:val="00A30A0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header"/>
    <w:basedOn w:val="a2"/>
    <w:link w:val="af7"/>
    <w:uiPriority w:val="99"/>
    <w:unhideWhenUsed/>
    <w:rsid w:val="00A3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3"/>
    <w:link w:val="af6"/>
    <w:uiPriority w:val="99"/>
    <w:rsid w:val="00A30A0E"/>
    <w:rPr>
      <w:kern w:val="0"/>
      <w:sz w:val="22"/>
      <w:szCs w:val="22"/>
      <w14:ligatures w14:val="none"/>
    </w:rPr>
  </w:style>
  <w:style w:type="paragraph" w:styleId="af8">
    <w:name w:val="footer"/>
    <w:basedOn w:val="a2"/>
    <w:link w:val="af9"/>
    <w:uiPriority w:val="99"/>
    <w:unhideWhenUsed/>
    <w:rsid w:val="00A30A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3"/>
    <w:link w:val="af8"/>
    <w:uiPriority w:val="99"/>
    <w:rsid w:val="00A30A0E"/>
    <w:rPr>
      <w:kern w:val="0"/>
      <w:sz w:val="22"/>
      <w:szCs w:val="22"/>
      <w14:ligatures w14:val="none"/>
    </w:rPr>
  </w:style>
  <w:style w:type="paragraph" w:styleId="afa">
    <w:name w:val="Normal (Web)"/>
    <w:basedOn w:val="a2"/>
    <w:uiPriority w:val="99"/>
    <w:unhideWhenUsed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b">
    <w:name w:val="Strong"/>
    <w:basedOn w:val="a3"/>
    <w:uiPriority w:val="22"/>
    <w:qFormat/>
    <w:rsid w:val="00A30A0E"/>
    <w:rPr>
      <w:b/>
      <w:bCs/>
    </w:rPr>
  </w:style>
  <w:style w:type="character" w:styleId="afc">
    <w:name w:val="Emphasis"/>
    <w:basedOn w:val="a3"/>
    <w:uiPriority w:val="20"/>
    <w:qFormat/>
    <w:rsid w:val="00A30A0E"/>
    <w:rPr>
      <w:i/>
      <w:iCs/>
    </w:rPr>
  </w:style>
  <w:style w:type="paragraph" w:customStyle="1" w:styleId="xl87">
    <w:name w:val="xl8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2"/>
    <w:rsid w:val="00A30A0E"/>
    <w:pPr>
      <w:shd w:val="clear" w:color="000000" w:fill="FDE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2"/>
    <w:rsid w:val="00A30A0E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1">
    <w:name w:val="xl91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2">
    <w:name w:val="xl92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5">
    <w:name w:val="xl95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7">
    <w:name w:val="xl9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8">
    <w:name w:val="xl98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9">
    <w:name w:val="xl99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3">
    <w:name w:val="xl103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4">
    <w:name w:val="xl104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8">
    <w:name w:val="xl108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9">
    <w:name w:val="xl109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3">
    <w:name w:val="xl113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4">
    <w:name w:val="xl114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5">
    <w:name w:val="xl115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6">
    <w:name w:val="xl116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7">
    <w:name w:val="xl11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8">
    <w:name w:val="xl118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9">
    <w:name w:val="xl119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0">
    <w:name w:val="xl120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1">
    <w:name w:val="xl121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2">
    <w:name w:val="xl122"/>
    <w:basedOn w:val="a2"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3">
    <w:name w:val="xl123"/>
    <w:basedOn w:val="a2"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4">
    <w:name w:val="xl124"/>
    <w:basedOn w:val="a2"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5">
    <w:name w:val="xl125"/>
    <w:basedOn w:val="a2"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6">
    <w:name w:val="xl126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27">
    <w:name w:val="xl12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28">
    <w:name w:val="xl128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29">
    <w:name w:val="xl129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30">
    <w:name w:val="xl130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31">
    <w:name w:val="xl131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eastAsia="ru-RU"/>
    </w:rPr>
  </w:style>
  <w:style w:type="paragraph" w:customStyle="1" w:styleId="xl132">
    <w:name w:val="xl132"/>
    <w:basedOn w:val="a2"/>
    <w:rsid w:val="00A30A0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2"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4">
    <w:name w:val="xl134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6"/>
      <w:szCs w:val="16"/>
      <w:lang w:eastAsia="ru-RU"/>
    </w:rPr>
  </w:style>
  <w:style w:type="paragraph" w:customStyle="1" w:styleId="xl135">
    <w:name w:val="xl135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6">
    <w:name w:val="xl136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7">
    <w:name w:val="xl13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8">
    <w:name w:val="xl138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9">
    <w:name w:val="xl139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0">
    <w:name w:val="xl140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1">
    <w:name w:val="xl141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2">
    <w:name w:val="xl142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C00000"/>
      <w:sz w:val="16"/>
      <w:szCs w:val="16"/>
      <w:lang w:eastAsia="ru-RU"/>
    </w:rPr>
  </w:style>
  <w:style w:type="paragraph" w:customStyle="1" w:styleId="xl143">
    <w:name w:val="xl143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4">
    <w:name w:val="xl144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5">
    <w:name w:val="xl145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6">
    <w:name w:val="xl146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7">
    <w:name w:val="xl147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8">
    <w:name w:val="xl148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49">
    <w:name w:val="xl149"/>
    <w:basedOn w:val="a2"/>
    <w:rsid w:val="00A30A0E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eastAsia="ru-RU"/>
    </w:rPr>
  </w:style>
  <w:style w:type="paragraph" w:customStyle="1" w:styleId="xl150">
    <w:name w:val="xl150"/>
    <w:basedOn w:val="a2"/>
    <w:rsid w:val="00A30A0E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d">
    <w:name w:val="Unresolved Mention"/>
    <w:basedOn w:val="a3"/>
    <w:uiPriority w:val="99"/>
    <w:semiHidden/>
    <w:unhideWhenUsed/>
    <w:rsid w:val="00A30A0E"/>
    <w:rPr>
      <w:color w:val="605E5C"/>
      <w:shd w:val="clear" w:color="auto" w:fill="E1DFDD"/>
    </w:rPr>
  </w:style>
  <w:style w:type="paragraph" w:styleId="afe">
    <w:name w:val="annotation text"/>
    <w:basedOn w:val="a2"/>
    <w:link w:val="aff"/>
    <w:uiPriority w:val="99"/>
    <w:unhideWhenUsed/>
    <w:rsid w:val="00A30A0E"/>
    <w:pPr>
      <w:spacing w:line="240" w:lineRule="auto"/>
    </w:pPr>
    <w:rPr>
      <w:kern w:val="2"/>
      <w:sz w:val="20"/>
      <w:szCs w:val="20"/>
    </w:rPr>
  </w:style>
  <w:style w:type="character" w:customStyle="1" w:styleId="aff">
    <w:name w:val="Текст примечания Знак"/>
    <w:basedOn w:val="a3"/>
    <w:link w:val="afe"/>
    <w:uiPriority w:val="99"/>
    <w:rsid w:val="00A30A0E"/>
    <w:rPr>
      <w:sz w:val="20"/>
      <w:szCs w:val="20"/>
      <w14:ligatures w14:val="none"/>
    </w:rPr>
  </w:style>
  <w:style w:type="character" w:styleId="aff0">
    <w:name w:val="annotation reference"/>
    <w:basedOn w:val="a3"/>
    <w:uiPriority w:val="99"/>
    <w:semiHidden/>
    <w:unhideWhenUsed/>
    <w:rsid w:val="00A30A0E"/>
    <w:rPr>
      <w:sz w:val="16"/>
      <w:szCs w:val="16"/>
    </w:rPr>
  </w:style>
  <w:style w:type="paragraph" w:styleId="aff1">
    <w:name w:val="endnote text"/>
    <w:basedOn w:val="a2"/>
    <w:link w:val="aff2"/>
    <w:uiPriority w:val="99"/>
    <w:semiHidden/>
    <w:unhideWhenUsed/>
    <w:rsid w:val="00A30A0E"/>
    <w:pPr>
      <w:spacing w:after="0" w:line="240" w:lineRule="auto"/>
    </w:pPr>
    <w:rPr>
      <w:sz w:val="20"/>
      <w:szCs w:val="20"/>
    </w:rPr>
  </w:style>
  <w:style w:type="character" w:customStyle="1" w:styleId="aff2">
    <w:name w:val="Текст концевой сноски Знак"/>
    <w:basedOn w:val="a3"/>
    <w:link w:val="aff1"/>
    <w:uiPriority w:val="99"/>
    <w:semiHidden/>
    <w:rsid w:val="00A30A0E"/>
    <w:rPr>
      <w:kern w:val="0"/>
      <w:sz w:val="20"/>
      <w:szCs w:val="20"/>
      <w14:ligatures w14:val="none"/>
    </w:rPr>
  </w:style>
  <w:style w:type="character" w:styleId="aff3">
    <w:name w:val="endnote reference"/>
    <w:basedOn w:val="a3"/>
    <w:uiPriority w:val="99"/>
    <w:semiHidden/>
    <w:unhideWhenUsed/>
    <w:rsid w:val="00A30A0E"/>
    <w:rPr>
      <w:vertAlign w:val="superscript"/>
    </w:rPr>
  </w:style>
  <w:style w:type="paragraph" w:styleId="HTML">
    <w:name w:val="HTML Preformatted"/>
    <w:basedOn w:val="a2"/>
    <w:link w:val="HTML0"/>
    <w:uiPriority w:val="99"/>
    <w:semiHidden/>
    <w:unhideWhenUsed/>
    <w:rsid w:val="00A30A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3"/>
    <w:link w:val="HTML"/>
    <w:uiPriority w:val="99"/>
    <w:semiHidden/>
    <w:rsid w:val="00A30A0E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character" w:customStyle="1" w:styleId="y2iqfc">
    <w:name w:val="y2iqfc"/>
    <w:basedOn w:val="a3"/>
    <w:rsid w:val="00A30A0E"/>
  </w:style>
  <w:style w:type="paragraph" w:customStyle="1" w:styleId="Heading11">
    <w:name w:val="Heading 11"/>
    <w:basedOn w:val="a2"/>
    <w:next w:val="a2"/>
    <w:qFormat/>
    <w:rsid w:val="00A30A0E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Heading31">
    <w:name w:val="Heading 31"/>
    <w:basedOn w:val="a2"/>
    <w:next w:val="a2"/>
    <w:uiPriority w:val="9"/>
    <w:unhideWhenUsed/>
    <w:qFormat/>
    <w:rsid w:val="00A30A0E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noProof/>
      <w:color w:val="4F81BD"/>
      <w:sz w:val="24"/>
      <w:szCs w:val="24"/>
      <w:lang w:eastAsia="ru-RU"/>
    </w:rPr>
  </w:style>
  <w:style w:type="paragraph" w:customStyle="1" w:styleId="Heading51">
    <w:name w:val="Heading 51"/>
    <w:basedOn w:val="a2"/>
    <w:next w:val="a2"/>
    <w:uiPriority w:val="9"/>
    <w:unhideWhenUsed/>
    <w:qFormat/>
    <w:rsid w:val="00A30A0E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noProof/>
      <w:color w:val="243F60"/>
      <w:sz w:val="24"/>
      <w:szCs w:val="24"/>
      <w:lang w:eastAsia="ru-RU"/>
    </w:rPr>
  </w:style>
  <w:style w:type="paragraph" w:customStyle="1" w:styleId="Heading61">
    <w:name w:val="Heading 61"/>
    <w:basedOn w:val="a2"/>
    <w:next w:val="a2"/>
    <w:uiPriority w:val="9"/>
    <w:semiHidden/>
    <w:unhideWhenUsed/>
    <w:qFormat/>
    <w:rsid w:val="00A30A0E"/>
    <w:pPr>
      <w:keepNext/>
      <w:keepLines/>
      <w:spacing w:before="200" w:after="0" w:line="240" w:lineRule="auto"/>
      <w:outlineLvl w:val="5"/>
    </w:pPr>
    <w:rPr>
      <w:rFonts w:ascii="Cambria" w:eastAsia="Times New Roman" w:hAnsi="Cambria" w:cs="Times New Roman"/>
      <w:i/>
      <w:iCs/>
      <w:noProof/>
      <w:color w:val="243F60"/>
      <w:sz w:val="24"/>
      <w:szCs w:val="24"/>
      <w:lang w:eastAsia="ru-RU"/>
    </w:rPr>
  </w:style>
  <w:style w:type="paragraph" w:customStyle="1" w:styleId="Heading91">
    <w:name w:val="Heading 91"/>
    <w:basedOn w:val="a2"/>
    <w:next w:val="a2"/>
    <w:uiPriority w:val="9"/>
    <w:unhideWhenUsed/>
    <w:qFormat/>
    <w:rsid w:val="00A30A0E"/>
    <w:pPr>
      <w:keepNext/>
      <w:keepLines/>
      <w:spacing w:before="200" w:after="0" w:line="240" w:lineRule="auto"/>
      <w:outlineLvl w:val="8"/>
    </w:pPr>
    <w:rPr>
      <w:rFonts w:ascii="Cambria" w:eastAsia="Times New Roman" w:hAnsi="Cambria" w:cs="Times New Roman"/>
      <w:i/>
      <w:iCs/>
      <w:noProof/>
      <w:color w:val="404040"/>
      <w:sz w:val="20"/>
      <w:szCs w:val="20"/>
      <w:lang w:eastAsia="ru-RU"/>
    </w:rPr>
  </w:style>
  <w:style w:type="numbering" w:customStyle="1" w:styleId="NoList1">
    <w:name w:val="No List1"/>
    <w:next w:val="a5"/>
    <w:uiPriority w:val="99"/>
    <w:semiHidden/>
    <w:unhideWhenUsed/>
    <w:rsid w:val="00A30A0E"/>
  </w:style>
  <w:style w:type="paragraph" w:styleId="aff4">
    <w:name w:val="Balloon Text"/>
    <w:basedOn w:val="a2"/>
    <w:link w:val="aff5"/>
    <w:uiPriority w:val="99"/>
    <w:semiHidden/>
    <w:unhideWhenUsed/>
    <w:rsid w:val="00A30A0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5">
    <w:name w:val="Текст выноски Знак"/>
    <w:basedOn w:val="a3"/>
    <w:link w:val="aff4"/>
    <w:uiPriority w:val="99"/>
    <w:semiHidden/>
    <w:rsid w:val="00A30A0E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table" w:customStyle="1" w:styleId="TableGrid1">
    <w:name w:val="Table Grid1"/>
    <w:basedOn w:val="a4"/>
    <w:next w:val="af5"/>
    <w:uiPriority w:val="59"/>
    <w:rsid w:val="00A30A0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annotation subject"/>
    <w:basedOn w:val="afe"/>
    <w:next w:val="afe"/>
    <w:link w:val="aff7"/>
    <w:uiPriority w:val="99"/>
    <w:semiHidden/>
    <w:unhideWhenUsed/>
    <w:rsid w:val="00A30A0E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f7">
    <w:name w:val="Тема примечания Знак"/>
    <w:basedOn w:val="aff"/>
    <w:link w:val="aff6"/>
    <w:uiPriority w:val="99"/>
    <w:semiHidden/>
    <w:rsid w:val="00A30A0E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styleId="aff8">
    <w:name w:val="caption"/>
    <w:basedOn w:val="a2"/>
    <w:next w:val="a2"/>
    <w:uiPriority w:val="35"/>
    <w:qFormat/>
    <w:rsid w:val="00A30A0E"/>
    <w:pPr>
      <w:spacing w:before="120" w:after="0" w:line="240" w:lineRule="auto"/>
      <w:jc w:val="right"/>
    </w:pPr>
    <w:rPr>
      <w:rFonts w:ascii="Arial" w:eastAsia="Times New Roman" w:hAnsi="Arial" w:cs="Arial"/>
      <w:i/>
      <w:iCs/>
      <w:sz w:val="24"/>
      <w:szCs w:val="24"/>
      <w:lang w:val="en-US" w:eastAsia="ru-RU"/>
    </w:rPr>
  </w:style>
  <w:style w:type="paragraph" w:customStyle="1" w:styleId="11">
    <w:name w:val="Текст выноски1"/>
    <w:basedOn w:val="a2"/>
    <w:semiHidden/>
    <w:rsid w:val="00A30A0E"/>
    <w:pPr>
      <w:spacing w:before="120" w:after="0" w:line="240" w:lineRule="auto"/>
    </w:pPr>
    <w:rPr>
      <w:rFonts w:ascii="Tahoma" w:eastAsia="Times New Roman" w:hAnsi="Tahoma" w:cs="Tahoma"/>
      <w:sz w:val="16"/>
      <w:szCs w:val="16"/>
      <w:lang w:val="ro-RO" w:eastAsia="ru-RU"/>
    </w:rPr>
  </w:style>
  <w:style w:type="paragraph" w:styleId="31">
    <w:name w:val="Body Text 3"/>
    <w:basedOn w:val="a2"/>
    <w:link w:val="32"/>
    <w:rsid w:val="00A30A0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3"/>
    <w:link w:val="31"/>
    <w:rsid w:val="00A30A0E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instructiune">
    <w:name w:val="instructiune"/>
    <w:basedOn w:val="1"/>
    <w:autoRedefine/>
    <w:rsid w:val="00A30A0E"/>
    <w:pPr>
      <w:spacing w:before="240" w:after="0"/>
    </w:pPr>
    <w:rPr>
      <w:rFonts w:ascii="Cambria" w:eastAsia="Times New Roman" w:hAnsi="Cambria" w:cs="Times New Roman"/>
      <w:b/>
      <w:bCs/>
      <w:color w:val="365F91"/>
      <w:sz w:val="28"/>
      <w:szCs w:val="28"/>
      <w:lang w:val="en-US" w:eastAsia="ru-RU"/>
    </w:rPr>
  </w:style>
  <w:style w:type="character" w:styleId="aff9">
    <w:name w:val="page number"/>
    <w:basedOn w:val="a3"/>
    <w:rsid w:val="00A30A0E"/>
  </w:style>
  <w:style w:type="numbering" w:customStyle="1" w:styleId="a1">
    <w:name w:val="Стиль нумерованный"/>
    <w:basedOn w:val="a5"/>
    <w:rsid w:val="00A30A0E"/>
    <w:pPr>
      <w:numPr>
        <w:numId w:val="1"/>
      </w:numPr>
    </w:pPr>
  </w:style>
  <w:style w:type="paragraph" w:styleId="affa">
    <w:name w:val="Body Text"/>
    <w:basedOn w:val="a2"/>
    <w:link w:val="affb"/>
    <w:rsid w:val="00A30A0E"/>
    <w:pPr>
      <w:spacing w:before="120" w:after="12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affb">
    <w:name w:val="Основной текст Знак"/>
    <w:basedOn w:val="a3"/>
    <w:link w:val="affa"/>
    <w:rsid w:val="00A30A0E"/>
    <w:rPr>
      <w:rFonts w:ascii="Times New Roman" w:eastAsia="Times New Roman" w:hAnsi="Times New Roman" w:cs="Times New Roman"/>
      <w:kern w:val="0"/>
      <w:lang w:val="ro-RO" w:eastAsia="ru-RU"/>
      <w14:ligatures w14:val="none"/>
    </w:rPr>
  </w:style>
  <w:style w:type="character" w:customStyle="1" w:styleId="cf01">
    <w:name w:val="cf01"/>
    <w:basedOn w:val="a3"/>
    <w:rsid w:val="00A30A0E"/>
    <w:rPr>
      <w:rFonts w:ascii="Segoe UI" w:hAnsi="Segoe UI" w:cs="Segoe UI" w:hint="default"/>
      <w:sz w:val="18"/>
      <w:szCs w:val="18"/>
    </w:rPr>
  </w:style>
  <w:style w:type="paragraph" w:styleId="affc">
    <w:name w:val="Revision"/>
    <w:hidden/>
    <w:uiPriority w:val="99"/>
    <w:semiHidden/>
    <w:rsid w:val="00A30A0E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apple-converted-space">
    <w:name w:val="apple-converted-space"/>
    <w:basedOn w:val="a3"/>
    <w:rsid w:val="00A30A0E"/>
  </w:style>
  <w:style w:type="paragraph" w:customStyle="1" w:styleId="pf0">
    <w:name w:val="pf0"/>
    <w:basedOn w:val="a2"/>
    <w:rsid w:val="00A30A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fd">
    <w:name w:val="line number"/>
    <w:basedOn w:val="a3"/>
    <w:uiPriority w:val="99"/>
    <w:semiHidden/>
    <w:unhideWhenUsed/>
    <w:rsid w:val="00A30A0E"/>
  </w:style>
  <w:style w:type="character" w:customStyle="1" w:styleId="Heading1Char1">
    <w:name w:val="Heading 1 Char1"/>
    <w:basedOn w:val="a3"/>
    <w:uiPriority w:val="9"/>
    <w:rsid w:val="00A30A0E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u-RU"/>
    </w:rPr>
  </w:style>
  <w:style w:type="character" w:customStyle="1" w:styleId="Heading3Char1">
    <w:name w:val="Heading 3 Char1"/>
    <w:basedOn w:val="a3"/>
    <w:uiPriority w:val="9"/>
    <w:semiHidden/>
    <w:rsid w:val="00A30A0E"/>
    <w:rPr>
      <w:rFonts w:asciiTheme="majorHAnsi" w:eastAsiaTheme="majorEastAsia" w:hAnsiTheme="majorHAnsi" w:cstheme="majorBidi"/>
      <w:color w:val="0A2F40" w:themeColor="accent1" w:themeShade="7F"/>
      <w:sz w:val="24"/>
      <w:szCs w:val="24"/>
      <w:lang w:val="ru-RU"/>
    </w:rPr>
  </w:style>
  <w:style w:type="character" w:customStyle="1" w:styleId="Heading5Char1">
    <w:name w:val="Heading 5 Char1"/>
    <w:basedOn w:val="a3"/>
    <w:uiPriority w:val="9"/>
    <w:semiHidden/>
    <w:rsid w:val="00A30A0E"/>
    <w:rPr>
      <w:rFonts w:asciiTheme="majorHAnsi" w:eastAsiaTheme="majorEastAsia" w:hAnsiTheme="majorHAnsi" w:cstheme="majorBidi"/>
      <w:color w:val="0F4761" w:themeColor="accent1" w:themeShade="BF"/>
      <w:lang w:val="ru-RU"/>
    </w:rPr>
  </w:style>
  <w:style w:type="character" w:customStyle="1" w:styleId="Heading6Char1">
    <w:name w:val="Heading 6 Char1"/>
    <w:basedOn w:val="a3"/>
    <w:uiPriority w:val="9"/>
    <w:semiHidden/>
    <w:rsid w:val="00A30A0E"/>
    <w:rPr>
      <w:rFonts w:asciiTheme="majorHAnsi" w:eastAsiaTheme="majorEastAsia" w:hAnsiTheme="majorHAnsi" w:cstheme="majorBidi"/>
      <w:color w:val="0A2F40" w:themeColor="accent1" w:themeShade="7F"/>
      <w:lang w:val="ru-RU"/>
    </w:rPr>
  </w:style>
  <w:style w:type="character" w:customStyle="1" w:styleId="Heading9Char1">
    <w:name w:val="Heading 9 Char1"/>
    <w:basedOn w:val="a3"/>
    <w:uiPriority w:val="9"/>
    <w:semiHidden/>
    <w:rsid w:val="00A30A0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/>
    </w:rPr>
  </w:style>
  <w:style w:type="paragraph" w:styleId="affe">
    <w:name w:val="TOC Heading"/>
    <w:basedOn w:val="1"/>
    <w:next w:val="a2"/>
    <w:uiPriority w:val="39"/>
    <w:unhideWhenUsed/>
    <w:qFormat/>
    <w:rsid w:val="00A30A0E"/>
    <w:pPr>
      <w:spacing w:before="240" w:after="0"/>
      <w:outlineLvl w:val="9"/>
    </w:pPr>
    <w:rPr>
      <w:sz w:val="32"/>
      <w:szCs w:val="32"/>
      <w:lang w:val="en-US"/>
    </w:rPr>
  </w:style>
  <w:style w:type="paragraph" w:styleId="23">
    <w:name w:val="toc 2"/>
    <w:basedOn w:val="a2"/>
    <w:next w:val="a2"/>
    <w:autoRedefine/>
    <w:uiPriority w:val="39"/>
    <w:unhideWhenUsed/>
    <w:rsid w:val="00A30A0E"/>
    <w:pPr>
      <w:spacing w:after="100"/>
      <w:ind w:left="220"/>
    </w:pPr>
    <w:rPr>
      <w:rFonts w:eastAsiaTheme="minorEastAsia" w:cs="Times New Roman"/>
      <w:lang w:val="en-US"/>
    </w:rPr>
  </w:style>
  <w:style w:type="paragraph" w:styleId="12">
    <w:name w:val="toc 1"/>
    <w:basedOn w:val="a2"/>
    <w:next w:val="a2"/>
    <w:autoRedefine/>
    <w:uiPriority w:val="39"/>
    <w:unhideWhenUsed/>
    <w:rsid w:val="00A30A0E"/>
    <w:pPr>
      <w:spacing w:after="100"/>
    </w:pPr>
    <w:rPr>
      <w:rFonts w:eastAsiaTheme="minorEastAsia" w:cs="Times New Roman"/>
      <w:lang w:val="en-US"/>
    </w:rPr>
  </w:style>
  <w:style w:type="paragraph" w:styleId="33">
    <w:name w:val="toc 3"/>
    <w:basedOn w:val="a2"/>
    <w:next w:val="a2"/>
    <w:autoRedefine/>
    <w:uiPriority w:val="39"/>
    <w:unhideWhenUsed/>
    <w:rsid w:val="00A30A0E"/>
    <w:pPr>
      <w:spacing w:after="100"/>
      <w:ind w:left="440"/>
    </w:pPr>
    <w:rPr>
      <w:rFonts w:eastAsiaTheme="minorEastAsia" w:cs="Times New Roman"/>
      <w:lang w:val="en-US"/>
    </w:rPr>
  </w:style>
  <w:style w:type="character" w:customStyle="1" w:styleId="mjx-char">
    <w:name w:val="mjx-char"/>
    <w:basedOn w:val="a3"/>
    <w:rsid w:val="00A30A0E"/>
  </w:style>
  <w:style w:type="character" w:customStyle="1" w:styleId="mjxassistivemathml">
    <w:name w:val="mjx_assistive_mathml"/>
    <w:basedOn w:val="a3"/>
    <w:rsid w:val="00A30A0E"/>
  </w:style>
  <w:style w:type="character" w:customStyle="1" w:styleId="uicontrol">
    <w:name w:val="uicontrol"/>
    <w:basedOn w:val="a3"/>
    <w:rsid w:val="00A30A0E"/>
  </w:style>
  <w:style w:type="character" w:styleId="afff">
    <w:name w:val="Placeholder Text"/>
    <w:basedOn w:val="a3"/>
    <w:uiPriority w:val="99"/>
    <w:semiHidden/>
    <w:rsid w:val="00A30A0E"/>
    <w:rPr>
      <w:color w:val="808080"/>
    </w:rPr>
  </w:style>
  <w:style w:type="paragraph" w:customStyle="1" w:styleId="Default">
    <w:name w:val="Default"/>
    <w:rsid w:val="00A30A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customStyle="1" w:styleId="mwe-math-mathml-inline">
    <w:name w:val="mwe-math-mathml-inline"/>
    <w:basedOn w:val="a3"/>
    <w:rsid w:val="00A30A0E"/>
  </w:style>
  <w:style w:type="character" w:customStyle="1" w:styleId="ab">
    <w:name w:val="Абзац списка Знак"/>
    <w:aliases w:val="Scriptoria bullet points Знак,List Paragraph 1 Знак,Table of contents numbered Знак,List Paragraph in table Знак,PDP DOCUMENT SUBTITLE Знак,Bullets Знак,List Paragraph (numbered (a)) Знак,Bullet Points Знак,Liste Paragraf Знак"/>
    <w:link w:val="aa"/>
    <w:uiPriority w:val="34"/>
    <w:qFormat/>
    <w:locked/>
    <w:rsid w:val="00A30A0E"/>
  </w:style>
  <w:style w:type="character" w:customStyle="1" w:styleId="ff2">
    <w:name w:val="ff2"/>
    <w:basedOn w:val="a3"/>
    <w:rsid w:val="00A30A0E"/>
  </w:style>
  <w:style w:type="character" w:customStyle="1" w:styleId="afff0">
    <w:name w:val="_"/>
    <w:basedOn w:val="a3"/>
    <w:rsid w:val="00A30A0E"/>
  </w:style>
  <w:style w:type="paragraph" w:customStyle="1" w:styleId="font5">
    <w:name w:val="font5"/>
    <w:basedOn w:val="a2"/>
    <w:rsid w:val="00A30A0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FFFFFF"/>
      <w:sz w:val="24"/>
      <w:szCs w:val="24"/>
      <w:lang w:eastAsia="ru-RU"/>
    </w:rPr>
  </w:style>
  <w:style w:type="paragraph" w:customStyle="1" w:styleId="font6">
    <w:name w:val="font6"/>
    <w:basedOn w:val="a2"/>
    <w:rsid w:val="00A30A0E"/>
    <w:pPr>
      <w:spacing w:before="100" w:beforeAutospacing="1" w:after="100" w:afterAutospacing="1" w:line="240" w:lineRule="auto"/>
    </w:pPr>
    <w:rPr>
      <w:rFonts w:ascii="Aptos Narrow" w:eastAsia="Times New Roman" w:hAnsi="Aptos Narrow" w:cs="Times New Roman"/>
      <w:b/>
      <w:bCs/>
      <w:color w:val="FFFFFF"/>
      <w:sz w:val="24"/>
      <w:szCs w:val="24"/>
      <w:lang w:eastAsia="ru-RU"/>
    </w:rPr>
  </w:style>
  <w:style w:type="paragraph" w:customStyle="1" w:styleId="xl78">
    <w:name w:val="xl78"/>
    <w:basedOn w:val="a2"/>
    <w:rsid w:val="00A30A0E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79">
    <w:name w:val="xl79"/>
    <w:basedOn w:val="a2"/>
    <w:rsid w:val="00A30A0E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80">
    <w:name w:val="xl80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2"/>
    <w:rsid w:val="00A30A0E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82">
    <w:name w:val="xl82"/>
    <w:basedOn w:val="a2"/>
    <w:rsid w:val="00A30A0E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83">
    <w:name w:val="xl83"/>
    <w:basedOn w:val="a2"/>
    <w:rsid w:val="00A30A0E"/>
    <w:pP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xl84">
    <w:name w:val="xl84"/>
    <w:basedOn w:val="a2"/>
    <w:rsid w:val="00A30A0E"/>
    <w:pPr>
      <w:pBdr>
        <w:top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FFFFFF"/>
      <w:sz w:val="24"/>
      <w:szCs w:val="24"/>
      <w:lang w:eastAsia="ru-RU"/>
    </w:rPr>
  </w:style>
  <w:style w:type="paragraph" w:customStyle="1" w:styleId="xl85">
    <w:name w:val="xl85"/>
    <w:basedOn w:val="a2"/>
    <w:rsid w:val="00A30A0E"/>
    <w:pPr>
      <w:pBdr>
        <w:top w:val="single" w:sz="4" w:space="0" w:color="auto"/>
        <w:left w:val="single" w:sz="8" w:space="0" w:color="auto"/>
        <w:bottom w:val="single" w:sz="12" w:space="0" w:color="FFFFFF"/>
        <w:right w:val="single" w:sz="8" w:space="0" w:color="auto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FFFFFF"/>
      <w:sz w:val="24"/>
      <w:szCs w:val="24"/>
      <w:lang w:eastAsia="ru-RU"/>
    </w:rPr>
  </w:style>
  <w:style w:type="paragraph" w:customStyle="1" w:styleId="xl86">
    <w:name w:val="xl86"/>
    <w:basedOn w:val="a2"/>
    <w:rsid w:val="00A30A0E"/>
    <w:pPr>
      <w:pBdr>
        <w:top w:val="single" w:sz="4" w:space="0" w:color="auto"/>
        <w:bottom w:val="single" w:sz="12" w:space="0" w:color="FFFFFF"/>
      </w:pBdr>
      <w:shd w:val="clear" w:color="000000" w:fill="0000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FFFFFF"/>
      <w:sz w:val="24"/>
      <w:szCs w:val="24"/>
      <w:lang w:eastAsia="ru-RU"/>
    </w:rPr>
  </w:style>
  <w:style w:type="paragraph" w:customStyle="1" w:styleId="13">
    <w:name w:val="Обычный1"/>
    <w:rsid w:val="00A30A0E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2"/>
      <w:szCs w:val="22"/>
      <w:lang w:eastAsia="zh-CN"/>
      <w14:ligatures w14:val="none"/>
    </w:rPr>
  </w:style>
  <w:style w:type="character" w:customStyle="1" w:styleId="14">
    <w:name w:val="Основной шрифт абзаца1"/>
    <w:qFormat/>
    <w:rsid w:val="00A30A0E"/>
    <w:rPr>
      <w:w w:val="100"/>
      <w:position w:val="-1"/>
      <w:effect w:val="none"/>
      <w:vertAlign w:val="baseline"/>
      <w:cs w:val="0"/>
      <w:em w:val="none"/>
    </w:rPr>
  </w:style>
  <w:style w:type="table" w:customStyle="1" w:styleId="15">
    <w:name w:val="Обычная таблица1"/>
    <w:qFormat/>
    <w:rsid w:val="00A30A0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:sz w:val="20"/>
      <w:szCs w:val="20"/>
      <w:lang w:val="ro-MD" w:eastAsia="ru-MD"/>
      <w14:ligatures w14:val="non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">
    <w:name w:val="Нет списка1"/>
    <w:qFormat/>
    <w:rsid w:val="00A30A0E"/>
  </w:style>
  <w:style w:type="paragraph" w:customStyle="1" w:styleId="17">
    <w:name w:val="Верхний колонтитул1"/>
    <w:basedOn w:val="13"/>
    <w:qFormat/>
    <w:rsid w:val="00A30A0E"/>
    <w:pPr>
      <w:spacing w:after="0" w:line="240" w:lineRule="auto"/>
    </w:pPr>
  </w:style>
  <w:style w:type="paragraph" w:customStyle="1" w:styleId="18">
    <w:name w:val="Нижний колонтитул1"/>
    <w:basedOn w:val="13"/>
    <w:qFormat/>
    <w:rsid w:val="00A30A0E"/>
    <w:pPr>
      <w:spacing w:after="0" w:line="240" w:lineRule="auto"/>
    </w:pPr>
  </w:style>
  <w:style w:type="character" w:customStyle="1" w:styleId="19">
    <w:name w:val="Верхний колонтитул Знак1"/>
    <w:basedOn w:val="a3"/>
    <w:uiPriority w:val="99"/>
    <w:rsid w:val="00A30A0E"/>
  </w:style>
  <w:style w:type="character" w:customStyle="1" w:styleId="1a">
    <w:name w:val="Нижний колонтитул Знак1"/>
    <w:basedOn w:val="a3"/>
    <w:uiPriority w:val="99"/>
    <w:rsid w:val="00A30A0E"/>
  </w:style>
  <w:style w:type="character" w:customStyle="1" w:styleId="afff1">
    <w:name w:val="Схема документа Знак"/>
    <w:link w:val="afff2"/>
    <w:uiPriority w:val="99"/>
    <w:semiHidden/>
    <w:rsid w:val="00A30A0E"/>
    <w:rPr>
      <w:rFonts w:ascii="Tahoma" w:eastAsia="Calibri" w:hAnsi="Tahoma"/>
      <w:sz w:val="16"/>
      <w:szCs w:val="16"/>
      <w:lang w:val="x-none" w:eastAsia="x-none"/>
    </w:rPr>
  </w:style>
  <w:style w:type="paragraph" w:styleId="afff2">
    <w:name w:val="Document Map"/>
    <w:basedOn w:val="a2"/>
    <w:link w:val="afff1"/>
    <w:uiPriority w:val="99"/>
    <w:semiHidden/>
    <w:unhideWhenUsed/>
    <w:rsid w:val="00A30A0E"/>
    <w:pPr>
      <w:spacing w:after="0" w:line="240" w:lineRule="auto"/>
    </w:pPr>
    <w:rPr>
      <w:rFonts w:ascii="Tahoma" w:eastAsia="Calibri" w:hAnsi="Tahoma"/>
      <w:kern w:val="2"/>
      <w:sz w:val="16"/>
      <w:szCs w:val="16"/>
      <w:lang w:val="x-none" w:eastAsia="x-none"/>
      <w14:ligatures w14:val="standardContextual"/>
    </w:rPr>
  </w:style>
  <w:style w:type="character" w:customStyle="1" w:styleId="1b">
    <w:name w:val="Схема документа Знак1"/>
    <w:basedOn w:val="a3"/>
    <w:uiPriority w:val="99"/>
    <w:semiHidden/>
    <w:rsid w:val="00A30A0E"/>
    <w:rPr>
      <w:rFonts w:ascii="Segoe UI" w:hAnsi="Segoe UI" w:cs="Segoe UI"/>
      <w:kern w:val="0"/>
      <w:sz w:val="16"/>
      <w:szCs w:val="16"/>
      <w14:ligatures w14:val="none"/>
    </w:rPr>
  </w:style>
  <w:style w:type="character" w:customStyle="1" w:styleId="1c">
    <w:name w:val="Тема примечания Знак1"/>
    <w:basedOn w:val="aff"/>
    <w:uiPriority w:val="99"/>
    <w:semiHidden/>
    <w:rsid w:val="00A30A0E"/>
    <w:rPr>
      <w:rFonts w:ascii="Times New Roman" w:eastAsia="Calibri" w:hAnsi="Times New Roman" w:cs="Times New Roman"/>
      <w:b/>
      <w:bCs/>
      <w:sz w:val="20"/>
      <w:szCs w:val="20"/>
      <w:lang w:val="x-none" w:eastAsia="x-none"/>
      <w14:ligatures w14:val="none"/>
    </w:rPr>
  </w:style>
  <w:style w:type="character" w:customStyle="1" w:styleId="1d">
    <w:name w:val="Текст выноски Знак1"/>
    <w:basedOn w:val="a3"/>
    <w:uiPriority w:val="99"/>
    <w:semiHidden/>
    <w:rsid w:val="00A30A0E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customStyle="1" w:styleId="xl63">
    <w:name w:val="xl63"/>
    <w:basedOn w:val="a2"/>
    <w:rsid w:val="00A30A0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customStyle="1" w:styleId="xl64">
    <w:name w:val="xl64"/>
    <w:basedOn w:val="a2"/>
    <w:rsid w:val="00A30A0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1e">
    <w:name w:val="Основной текст1"/>
    <w:rsid w:val="00A30A0E"/>
    <w:rPr>
      <w:rFonts w:ascii="Times New Roman" w:eastAsia="Times New Roman" w:hAnsi="Times New Roman" w:cs="Times New Roman"/>
      <w:color w:val="000000"/>
      <w:spacing w:val="2"/>
      <w:w w:val="100"/>
      <w:position w:val="0"/>
      <w:sz w:val="16"/>
      <w:szCs w:val="16"/>
      <w:shd w:val="clear" w:color="auto" w:fill="FFFFFF"/>
      <w:lang w:val="ro-RO" w:eastAsia="ro-RO" w:bidi="ro-RO"/>
    </w:rPr>
  </w:style>
  <w:style w:type="paragraph" w:styleId="a0">
    <w:name w:val="List Bullet"/>
    <w:basedOn w:val="a2"/>
    <w:uiPriority w:val="99"/>
    <w:unhideWhenUsed/>
    <w:rsid w:val="00A30A0E"/>
    <w:pPr>
      <w:numPr>
        <w:numId w:val="8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paragraph" w:styleId="a">
    <w:name w:val="List Number"/>
    <w:basedOn w:val="a2"/>
    <w:uiPriority w:val="99"/>
    <w:unhideWhenUsed/>
    <w:rsid w:val="00A30A0E"/>
    <w:pPr>
      <w:numPr>
        <w:numId w:val="9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lang w:val="en-US"/>
    </w:rPr>
  </w:style>
  <w:style w:type="paragraph" w:styleId="afff3">
    <w:name w:val="No Spacing"/>
    <w:uiPriority w:val="1"/>
    <w:qFormat/>
    <w:rsid w:val="00A30A0E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861</TotalTime>
  <Pages>4</Pages>
  <Words>1612</Words>
  <Characters>9191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Alexei Palcov</dc:creator>
  <cp:keywords/>
  <dc:description/>
  <cp:lastModifiedBy>Ecaterina Ursu</cp:lastModifiedBy>
  <cp:revision>220</cp:revision>
  <cp:lastPrinted>2026-04-21T05:48:00Z</cp:lastPrinted>
  <dcterms:created xsi:type="dcterms:W3CDTF">2026-03-23T09:45:00Z</dcterms:created>
  <dcterms:modified xsi:type="dcterms:W3CDTF">2026-04-27T13:24:00Z</dcterms:modified>
</cp:coreProperties>
</file>