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15" w:rsidRPr="00645815" w:rsidRDefault="00645815" w:rsidP="00645815">
      <w:pPr>
        <w:pStyle w:val="cn"/>
        <w:shd w:val="clear" w:color="auto" w:fill="FFFFFF"/>
        <w:spacing w:before="0" w:beforeAutospacing="0" w:after="0" w:afterAutospacing="0"/>
        <w:jc w:val="center"/>
        <w:rPr>
          <w:color w:val="000000"/>
          <w:lang w:val="ro-MD"/>
        </w:rPr>
      </w:pPr>
      <w:r w:rsidRPr="00645815">
        <w:rPr>
          <w:b/>
          <w:bCs/>
          <w:color w:val="000000"/>
          <w:lang w:val="ro-MD"/>
        </w:rPr>
        <w:t>NOTA DE FUNDAMENTARE</w:t>
      </w:r>
    </w:p>
    <w:p w:rsidR="00645815" w:rsidRPr="00645815" w:rsidRDefault="00645815" w:rsidP="00E30263">
      <w:pPr>
        <w:pStyle w:val="cn"/>
        <w:shd w:val="clear" w:color="auto" w:fill="FFFFFF"/>
        <w:spacing w:after="0"/>
        <w:ind w:firstLine="709"/>
        <w:jc w:val="center"/>
        <w:rPr>
          <w:color w:val="000000"/>
          <w:lang w:val="ro-MD"/>
        </w:rPr>
      </w:pPr>
      <w:r w:rsidRPr="00645815">
        <w:rPr>
          <w:b/>
          <w:bCs/>
          <w:color w:val="000000"/>
          <w:lang w:val="ro-MD"/>
        </w:rPr>
        <w:t>la proiectul</w:t>
      </w:r>
      <w:r w:rsidR="00E914EF">
        <w:rPr>
          <w:color w:val="000000"/>
          <w:lang w:val="ro-MD"/>
        </w:rPr>
        <w:t xml:space="preserve"> </w:t>
      </w:r>
      <w:r w:rsidR="00E914EF" w:rsidRPr="00253236">
        <w:rPr>
          <w:b/>
          <w:color w:val="000000"/>
          <w:lang w:val="ro-MD"/>
        </w:rPr>
        <w:t xml:space="preserve">Hotărârii de Guvern </w:t>
      </w:r>
      <w:r w:rsidR="00E30263" w:rsidRPr="00E30263">
        <w:rPr>
          <w:b/>
          <w:color w:val="000000"/>
          <w:lang w:val="ro-MD"/>
        </w:rPr>
        <w:t xml:space="preserve">pentru </w:t>
      </w:r>
      <w:r w:rsidR="00EA30C3" w:rsidRPr="00EA30C3">
        <w:rPr>
          <w:b/>
          <w:color w:val="000000"/>
          <w:lang w:val="ro-MD"/>
        </w:rPr>
        <w:t>aprobarea Regulamentul privind modul de înregistrare la venituri, intrarea pe rod, casare şi defrişare a plantaţiilor perene</w:t>
      </w:r>
    </w:p>
    <w:tbl>
      <w:tblPr>
        <w:tblW w:w="5054" w:type="pct"/>
        <w:tblInd w:w="-48" w:type="dxa"/>
        <w:shd w:val="clear" w:color="auto" w:fill="FFFFFF"/>
        <w:tblCellMar>
          <w:left w:w="0" w:type="dxa"/>
          <w:right w:w="0" w:type="dxa"/>
        </w:tblCellMar>
        <w:tblLook w:val="04A0" w:firstRow="1" w:lastRow="0" w:firstColumn="1" w:lastColumn="0" w:noHBand="0" w:noVBand="1"/>
      </w:tblPr>
      <w:tblGrid>
        <w:gridCol w:w="9341"/>
      </w:tblGrid>
      <w:tr w:rsidR="00645815" w:rsidRPr="00C70FF2" w:rsidTr="00A678BA">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1. Denumirea sau numele autorului şi, după caz, a/al participanţilor la elaborarea proiectului actului normativ</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F576B9" w:rsidP="00391BAF">
            <w:pPr>
              <w:spacing w:after="0" w:line="240" w:lineRule="auto"/>
              <w:ind w:firstLine="709"/>
              <w:rPr>
                <w:rFonts w:ascii="Times New Roman" w:eastAsia="Times New Roman" w:hAnsi="Times New Roman" w:cs="Times New Roman"/>
                <w:color w:val="000000"/>
                <w:sz w:val="24"/>
                <w:szCs w:val="24"/>
                <w:lang w:val="ro-MD" w:eastAsia="ru-RU"/>
              </w:rPr>
            </w:pPr>
            <w:r w:rsidRPr="00F576B9">
              <w:rPr>
                <w:rFonts w:ascii="Times New Roman" w:eastAsia="Times New Roman" w:hAnsi="Times New Roman" w:cs="Times New Roman"/>
                <w:color w:val="000000"/>
                <w:sz w:val="24"/>
                <w:szCs w:val="24"/>
                <w:lang w:val="ro-MD" w:eastAsia="ru-RU"/>
              </w:rPr>
              <w:t>Ministerul Agriculturii și Industriei Alimentare</w:t>
            </w:r>
            <w:r w:rsidR="003C38DD">
              <w:rPr>
                <w:rFonts w:ascii="Times New Roman" w:eastAsia="Times New Roman" w:hAnsi="Times New Roman" w:cs="Times New Roman"/>
                <w:color w:val="000000"/>
                <w:sz w:val="24"/>
                <w:szCs w:val="24"/>
                <w:lang w:val="ro-MD" w:eastAsia="ru-RU"/>
              </w:rPr>
              <w:t>.</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2. Condiţiile ce au impus elaborarea proiectului actului normativ</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2.1. Temeiul legal sau, după caz, sursa proiectului actului normativ</w:t>
            </w:r>
          </w:p>
          <w:p w:rsidR="0041318B" w:rsidRPr="008B7643" w:rsidRDefault="00CE68E7" w:rsidP="00C70FF2">
            <w:pPr>
              <w:spacing w:after="0" w:line="240" w:lineRule="auto"/>
              <w:ind w:firstLine="709"/>
              <w:jc w:val="both"/>
              <w:rPr>
                <w:rFonts w:ascii="Times New Roman" w:eastAsia="Times New Roman" w:hAnsi="Times New Roman" w:cs="Times New Roman"/>
                <w:b/>
                <w:color w:val="000000"/>
                <w:sz w:val="24"/>
                <w:szCs w:val="24"/>
                <w:lang w:val="ro-RO" w:eastAsia="ru-RU"/>
              </w:rPr>
            </w:pPr>
            <w:r w:rsidRPr="00CE68E7">
              <w:rPr>
                <w:rFonts w:ascii="Times New Roman" w:eastAsia="Times New Roman" w:hAnsi="Times New Roman" w:cs="Times New Roman"/>
                <w:color w:val="000000"/>
                <w:sz w:val="24"/>
                <w:szCs w:val="24"/>
                <w:lang w:val="ro-MD" w:eastAsia="ru-RU"/>
              </w:rPr>
              <w:t>Proiectul Hotărârii de</w:t>
            </w:r>
            <w:r w:rsidR="008B7643">
              <w:rPr>
                <w:rFonts w:ascii="Times New Roman" w:eastAsia="Times New Roman" w:hAnsi="Times New Roman" w:cs="Times New Roman"/>
                <w:color w:val="000000"/>
                <w:sz w:val="24"/>
                <w:szCs w:val="24"/>
                <w:lang w:val="ro-MD" w:eastAsia="ru-RU"/>
              </w:rPr>
              <w:t xml:space="preserve"> Guvern</w:t>
            </w:r>
            <w:r w:rsidRPr="00CE68E7">
              <w:rPr>
                <w:rFonts w:ascii="Times New Roman" w:eastAsia="Times New Roman" w:hAnsi="Times New Roman" w:cs="Times New Roman"/>
                <w:color w:val="000000"/>
                <w:sz w:val="24"/>
                <w:szCs w:val="24"/>
                <w:lang w:val="ro-MD" w:eastAsia="ru-RU"/>
              </w:rPr>
              <w:t xml:space="preserve"> </w:t>
            </w:r>
            <w:r w:rsidR="008B7643" w:rsidRPr="008B7643">
              <w:rPr>
                <w:rFonts w:ascii="Times New Roman" w:eastAsia="Times New Roman" w:hAnsi="Times New Roman" w:cs="Times New Roman"/>
                <w:color w:val="000000"/>
                <w:sz w:val="24"/>
                <w:szCs w:val="24"/>
                <w:lang w:val="ro-RO" w:eastAsia="ru-RU"/>
              </w:rPr>
              <w:t>pentru modificarea</w:t>
            </w:r>
            <w:r w:rsidR="008B7643" w:rsidRPr="008B7643">
              <w:rPr>
                <w:rFonts w:ascii="Times New Roman" w:eastAsia="Times New Roman" w:hAnsi="Times New Roman" w:cs="Times New Roman"/>
                <w:color w:val="000000"/>
                <w:sz w:val="24"/>
                <w:szCs w:val="24"/>
                <w:lang w:val="en-US" w:eastAsia="ru-RU"/>
              </w:rPr>
              <w:t xml:space="preserve"> </w:t>
            </w:r>
            <w:r w:rsidR="008B7643" w:rsidRPr="008B7643">
              <w:rPr>
                <w:rFonts w:ascii="Times New Roman" w:eastAsia="Times New Roman" w:hAnsi="Times New Roman" w:cs="Times New Roman"/>
                <w:color w:val="000000"/>
                <w:sz w:val="24"/>
                <w:szCs w:val="24"/>
                <w:lang w:val="ro-RO" w:eastAsia="ru-RU"/>
              </w:rPr>
              <w:t>Hotărârii Guvernului nr.705/1995 privind modul de înregistrare la venituri, punere pe rod, casare şi defrişare a plantaţiilor perene</w:t>
            </w:r>
            <w:r w:rsidR="007E7817">
              <w:rPr>
                <w:rFonts w:ascii="Times New Roman" w:eastAsia="Times New Roman" w:hAnsi="Times New Roman" w:cs="Times New Roman"/>
                <w:color w:val="000000"/>
                <w:sz w:val="24"/>
                <w:szCs w:val="24"/>
                <w:lang w:val="ro-MD" w:eastAsia="ru-RU"/>
              </w:rPr>
              <w:t xml:space="preserve"> </w:t>
            </w:r>
            <w:r w:rsidRPr="00CE68E7">
              <w:rPr>
                <w:rFonts w:ascii="Times New Roman" w:eastAsia="Times New Roman" w:hAnsi="Times New Roman" w:cs="Times New Roman"/>
                <w:color w:val="000000"/>
                <w:sz w:val="24"/>
                <w:szCs w:val="24"/>
                <w:lang w:val="ro-MD" w:eastAsia="ru-RU"/>
              </w:rPr>
              <w:t xml:space="preserve">este elaborat </w:t>
            </w:r>
            <w:r w:rsidR="00A46E32">
              <w:rPr>
                <w:rFonts w:ascii="Times New Roman" w:eastAsia="Times New Roman" w:hAnsi="Times New Roman" w:cs="Times New Roman"/>
                <w:color w:val="000000"/>
                <w:sz w:val="24"/>
                <w:szCs w:val="24"/>
                <w:lang w:val="ro-MD" w:eastAsia="ru-RU"/>
              </w:rPr>
              <w:t>î</w:t>
            </w:r>
            <w:r w:rsidR="00A46E32" w:rsidRPr="00A46E32">
              <w:rPr>
                <w:rFonts w:ascii="Times New Roman" w:eastAsia="Times New Roman" w:hAnsi="Times New Roman" w:cs="Times New Roman"/>
                <w:color w:val="000000"/>
                <w:sz w:val="24"/>
                <w:szCs w:val="24"/>
                <w:lang w:val="ro-MD" w:eastAsia="ru-RU"/>
              </w:rPr>
              <w:t xml:space="preserve">n temeiul </w:t>
            </w:r>
            <w:r w:rsidR="008B7643" w:rsidRPr="008B7643">
              <w:rPr>
                <w:rFonts w:ascii="Times New Roman" w:eastAsia="Times New Roman" w:hAnsi="Times New Roman" w:cs="Times New Roman"/>
                <w:color w:val="000000"/>
                <w:sz w:val="24"/>
                <w:szCs w:val="24"/>
                <w:lang w:val="ro-RO" w:eastAsia="ru-RU"/>
              </w:rPr>
              <w:t>art. 5 alin. (2</w:t>
            </w:r>
            <w:r w:rsidR="00C70FF2">
              <w:rPr>
                <w:rFonts w:ascii="Times New Roman" w:eastAsia="Times New Roman" w:hAnsi="Times New Roman" w:cs="Times New Roman"/>
                <w:color w:val="000000"/>
                <w:sz w:val="24"/>
                <w:szCs w:val="24"/>
                <w:lang w:val="ro-RO" w:eastAsia="ru-RU"/>
              </w:rPr>
              <w:t>) lit</w:t>
            </w:r>
            <w:bookmarkStart w:id="0" w:name="_GoBack"/>
            <w:bookmarkEnd w:id="0"/>
            <w:r w:rsidR="00C70FF2">
              <w:rPr>
                <w:rFonts w:ascii="Times New Roman" w:eastAsia="Times New Roman" w:hAnsi="Times New Roman" w:cs="Times New Roman"/>
                <w:color w:val="000000"/>
                <w:sz w:val="24"/>
                <w:szCs w:val="24"/>
                <w:lang w:val="ro-RO" w:eastAsia="ru-RU"/>
              </w:rPr>
              <w:t>. a</w:t>
            </w:r>
            <w:r w:rsidR="008B7643" w:rsidRPr="008B7643">
              <w:rPr>
                <w:rFonts w:ascii="Times New Roman" w:eastAsia="Times New Roman" w:hAnsi="Times New Roman" w:cs="Times New Roman"/>
                <w:color w:val="000000"/>
                <w:sz w:val="24"/>
                <w:szCs w:val="24"/>
                <w:lang w:val="ro-RO" w:eastAsia="ru-RU"/>
              </w:rPr>
              <w:t xml:space="preserve">) și art. 18 alin. (2) din Legea horticulturii nr. 62/2025 </w:t>
            </w:r>
            <w:r w:rsidR="00A46E32" w:rsidRPr="00A46E32">
              <w:rPr>
                <w:rFonts w:ascii="Times New Roman" w:eastAsia="Times New Roman" w:hAnsi="Times New Roman" w:cs="Times New Roman"/>
                <w:color w:val="000000"/>
                <w:sz w:val="24"/>
                <w:szCs w:val="24"/>
                <w:lang w:val="ro-MD" w:eastAsia="ru-RU"/>
              </w:rPr>
              <w:t>(Monitorul Oficial al Republicii Moldova, 2025, nr. 193-194, art. 225)</w:t>
            </w:r>
            <w:r w:rsidR="00A46E32">
              <w:rPr>
                <w:rFonts w:ascii="Times New Roman" w:eastAsia="Times New Roman" w:hAnsi="Times New Roman" w:cs="Times New Roman"/>
                <w:color w:val="000000"/>
                <w:sz w:val="24"/>
                <w:szCs w:val="24"/>
                <w:lang w:val="ro-MD" w:eastAsia="ru-RU"/>
              </w:rPr>
              <w:t>.</w:t>
            </w:r>
          </w:p>
        </w:tc>
      </w:tr>
      <w:tr w:rsidR="00645815" w:rsidRPr="00C70FF2" w:rsidTr="00A678BA">
        <w:tblPrEx>
          <w:tblCellMar>
            <w:left w:w="108" w:type="dxa"/>
            <w:right w:w="108" w:type="dxa"/>
          </w:tblCellMar>
        </w:tblPrEx>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p w:rsidR="00645815" w:rsidRPr="00E544F6" w:rsidRDefault="00645815" w:rsidP="007D715A">
            <w:pPr>
              <w:spacing w:after="0" w:line="240" w:lineRule="auto"/>
              <w:ind w:firstLine="709"/>
              <w:jc w:val="both"/>
              <w:rPr>
                <w:rFonts w:ascii="Times New Roman" w:eastAsia="Times New Roman" w:hAnsi="Times New Roman" w:cs="Times New Roman"/>
                <w:color w:val="000000"/>
                <w:sz w:val="24"/>
                <w:szCs w:val="24"/>
                <w:lang w:val="ro-MD" w:eastAsia="ru-RU"/>
              </w:rPr>
            </w:pPr>
            <w:r w:rsidRPr="00E544F6">
              <w:rPr>
                <w:rFonts w:ascii="Times New Roman" w:eastAsia="Times New Roman" w:hAnsi="Times New Roman" w:cs="Times New Roman"/>
                <w:color w:val="000000"/>
                <w:sz w:val="24"/>
                <w:szCs w:val="24"/>
                <w:lang w:val="ro-MD" w:eastAsia="ru-RU"/>
              </w:rPr>
              <w:t>2.2. Descrierea situaţiei actuale şi a problemelor care impun intervenţia, inclusiv a cadrului normativ aplicabil şi a deficienţelor/lacunelor normative</w:t>
            </w:r>
          </w:p>
          <w:p w:rsidR="00B5330F" w:rsidRPr="00B5330F" w:rsidRDefault="00B5330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B5330F">
              <w:rPr>
                <w:rFonts w:ascii="Times New Roman" w:eastAsia="Times New Roman" w:hAnsi="Times New Roman" w:cs="Times New Roman"/>
                <w:color w:val="000000"/>
                <w:sz w:val="24"/>
                <w:szCs w:val="24"/>
                <w:lang w:val="ro-RO" w:eastAsia="ru-RU"/>
              </w:rPr>
              <w:t>Sistemul de cultură al pomilor reprezintă un complex de activități organizatorice, fitotehnice și economice, orientate spre realizarea cât mai eficientă a potențialului ecologic, biologic, tehnologic și economic, adecvat fiecărui sector de livadă și fiecărei întreprinderi pomicole, în scopul obținerii unor recolte înalte, stabile, de fructe calitative și competitive,</w:t>
            </w:r>
            <w:r>
              <w:rPr>
                <w:rFonts w:ascii="Times New Roman" w:eastAsia="Times New Roman" w:hAnsi="Times New Roman" w:cs="Times New Roman"/>
                <w:color w:val="000000"/>
                <w:sz w:val="24"/>
                <w:szCs w:val="24"/>
                <w:lang w:val="ro-RO" w:eastAsia="ru-RU"/>
              </w:rPr>
              <w:t xml:space="preserve"> cu indici economici superiori.</w:t>
            </w:r>
          </w:p>
          <w:p w:rsidR="00B5330F" w:rsidRPr="00B5330F" w:rsidRDefault="00B5330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B5330F">
              <w:rPr>
                <w:rFonts w:ascii="Times New Roman" w:eastAsia="Times New Roman" w:hAnsi="Times New Roman" w:cs="Times New Roman"/>
                <w:color w:val="000000"/>
                <w:sz w:val="24"/>
                <w:szCs w:val="24"/>
                <w:lang w:val="ro-RO" w:eastAsia="ru-RU"/>
              </w:rPr>
              <w:t>Elementele de bază ale sistemului de cultură al pomilor sunt considerate: biotipurile pomologice; arhitectonica ansamblului vegetal pomicol, care include modul și distanțele de plant</w:t>
            </w:r>
            <w:r>
              <w:rPr>
                <w:rFonts w:ascii="Times New Roman" w:eastAsia="Times New Roman" w:hAnsi="Times New Roman" w:cs="Times New Roman"/>
                <w:color w:val="000000"/>
                <w:sz w:val="24"/>
                <w:szCs w:val="24"/>
                <w:lang w:val="ro-RO" w:eastAsia="ru-RU"/>
              </w:rPr>
              <w:t>are, sistemul de conducere și tă</w:t>
            </w:r>
            <w:r w:rsidRPr="00B5330F">
              <w:rPr>
                <w:rFonts w:ascii="Times New Roman" w:eastAsia="Times New Roman" w:hAnsi="Times New Roman" w:cs="Times New Roman"/>
                <w:color w:val="000000"/>
                <w:sz w:val="24"/>
                <w:szCs w:val="24"/>
                <w:lang w:val="ro-RO" w:eastAsia="ru-RU"/>
              </w:rPr>
              <w:t>iere al pomilor; investițiile capitale și de producție; profitul și nivelul rentabilită</w:t>
            </w:r>
            <w:r>
              <w:rPr>
                <w:rFonts w:ascii="Times New Roman" w:eastAsia="Times New Roman" w:hAnsi="Times New Roman" w:cs="Times New Roman"/>
                <w:color w:val="000000"/>
                <w:sz w:val="24"/>
                <w:szCs w:val="24"/>
                <w:lang w:val="ro-RO" w:eastAsia="ru-RU"/>
              </w:rPr>
              <w:t>ții.</w:t>
            </w:r>
          </w:p>
          <w:p w:rsidR="00B5330F" w:rsidRDefault="00B5330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B5330F">
              <w:rPr>
                <w:rFonts w:ascii="Times New Roman" w:eastAsia="Times New Roman" w:hAnsi="Times New Roman" w:cs="Times New Roman"/>
                <w:color w:val="000000"/>
                <w:sz w:val="24"/>
                <w:szCs w:val="24"/>
                <w:lang w:val="ro-RO" w:eastAsia="ru-RU"/>
              </w:rPr>
              <w:t>Indicii elementelor definitorii ale sistemului de cultură, în ansamblu, determină nivelul intensificării producției pomicole.</w:t>
            </w:r>
          </w:p>
          <w:p w:rsidR="00B5330F" w:rsidRDefault="00B5330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B5330F">
              <w:rPr>
                <w:rFonts w:ascii="Times New Roman" w:eastAsia="Times New Roman" w:hAnsi="Times New Roman" w:cs="Times New Roman"/>
                <w:color w:val="000000"/>
                <w:sz w:val="24"/>
                <w:szCs w:val="24"/>
                <w:lang w:val="ro-RO" w:eastAsia="ru-RU"/>
              </w:rPr>
              <w:t xml:space="preserve">Direcţia strategică a horticulturii constă în exploatarea eficientă a plantaţiilor cu potenţial de productivitate înalt, defrişarea celor ce s-au epuizat şi înlocuirea lor consecventă cu altele </w:t>
            </w:r>
            <w:r w:rsidR="00212459">
              <w:rPr>
                <w:rFonts w:ascii="Times New Roman" w:eastAsia="Times New Roman" w:hAnsi="Times New Roman" w:cs="Times New Roman"/>
                <w:color w:val="000000"/>
                <w:sz w:val="24"/>
                <w:szCs w:val="24"/>
                <w:lang w:val="ro-RO" w:eastAsia="ru-RU"/>
              </w:rPr>
              <w:t>competitive</w:t>
            </w:r>
            <w:r w:rsidRPr="00B5330F">
              <w:rPr>
                <w:rFonts w:ascii="Times New Roman" w:eastAsia="Times New Roman" w:hAnsi="Times New Roman" w:cs="Times New Roman"/>
                <w:color w:val="000000"/>
                <w:sz w:val="24"/>
                <w:szCs w:val="24"/>
                <w:lang w:val="ro-RO" w:eastAsia="ru-RU"/>
              </w:rPr>
              <w:t>, care asigură intrarea timpurie pe rod economic, pr</w:t>
            </w:r>
            <w:r w:rsidR="00212459">
              <w:rPr>
                <w:rFonts w:ascii="Times New Roman" w:eastAsia="Times New Roman" w:hAnsi="Times New Roman" w:cs="Times New Roman"/>
                <w:color w:val="000000"/>
                <w:sz w:val="24"/>
                <w:szCs w:val="24"/>
                <w:lang w:val="ro-RO" w:eastAsia="ru-RU"/>
              </w:rPr>
              <w:t xml:space="preserve">oductivitate înaltă, constantă </w:t>
            </w:r>
            <w:r w:rsidRPr="00B5330F">
              <w:rPr>
                <w:rFonts w:ascii="Times New Roman" w:eastAsia="Times New Roman" w:hAnsi="Times New Roman" w:cs="Times New Roman"/>
                <w:color w:val="000000"/>
                <w:sz w:val="24"/>
                <w:szCs w:val="24"/>
                <w:lang w:val="ro-RO" w:eastAsia="ru-RU"/>
              </w:rPr>
              <w:t>pe piaţa internă şi externă.</w:t>
            </w:r>
          </w:p>
          <w:tbl>
            <w:tblPr>
              <w:tblStyle w:val="Tabelgril"/>
              <w:tblW w:w="0" w:type="auto"/>
              <w:tblLook w:val="04A0" w:firstRow="1" w:lastRow="0" w:firstColumn="1" w:lastColumn="0" w:noHBand="0" w:noVBand="1"/>
            </w:tblPr>
            <w:tblGrid>
              <w:gridCol w:w="1617"/>
              <w:gridCol w:w="2380"/>
              <w:gridCol w:w="1227"/>
              <w:gridCol w:w="1941"/>
              <w:gridCol w:w="1950"/>
            </w:tblGrid>
            <w:tr w:rsidR="00212459" w:rsidRPr="00C70FF2" w:rsidTr="00212459">
              <w:tc>
                <w:tcPr>
                  <w:tcW w:w="1617" w:type="dxa"/>
                  <w:vAlign w:val="bottom"/>
                </w:tcPr>
                <w:p w:rsidR="00212459" w:rsidRPr="00212459" w:rsidRDefault="00212459" w:rsidP="007D715A">
                  <w:pPr>
                    <w:jc w:val="both"/>
                    <w:rPr>
                      <w:rFonts w:ascii="Times New Roman" w:hAnsi="Times New Roman" w:cs="Times New Roman"/>
                      <w:bCs/>
                      <w:color w:val="000000"/>
                      <w:sz w:val="20"/>
                      <w:szCs w:val="20"/>
                      <w:lang w:val="en-US"/>
                    </w:rPr>
                  </w:pPr>
                </w:p>
              </w:tc>
              <w:tc>
                <w:tcPr>
                  <w:tcW w:w="2380" w:type="dxa"/>
                  <w:vAlign w:val="center"/>
                </w:tcPr>
                <w:p w:rsidR="00212459" w:rsidRPr="00212459" w:rsidRDefault="00212459" w:rsidP="007D715A">
                  <w:pPr>
                    <w:jc w:val="both"/>
                    <w:rPr>
                      <w:rFonts w:ascii="Times New Roman" w:hAnsi="Times New Roman" w:cs="Times New Roman"/>
                      <w:bCs/>
                      <w:sz w:val="20"/>
                      <w:szCs w:val="20"/>
                      <w:lang w:val="ro-RO"/>
                    </w:rPr>
                  </w:pPr>
                  <w:r w:rsidRPr="00212459">
                    <w:rPr>
                      <w:rFonts w:ascii="Times New Roman" w:hAnsi="Times New Roman" w:cs="Times New Roman"/>
                      <w:bCs/>
                      <w:sz w:val="20"/>
                      <w:szCs w:val="20"/>
                      <w:lang w:val="ro-RO"/>
                    </w:rPr>
                    <w:t>Întreprinderi agricole, gospodării țărănești (de fermier) cu suprafața terenurilor agricole de 10 ha și mai mult</w:t>
                  </w:r>
                </w:p>
              </w:tc>
              <w:tc>
                <w:tcPr>
                  <w:tcW w:w="1227" w:type="dxa"/>
                  <w:vAlign w:val="center"/>
                </w:tcPr>
                <w:p w:rsidR="00212459" w:rsidRPr="00212459" w:rsidRDefault="00212459" w:rsidP="007D715A">
                  <w:pPr>
                    <w:jc w:val="both"/>
                    <w:rPr>
                      <w:rFonts w:ascii="Times New Roman" w:hAnsi="Times New Roman" w:cs="Times New Roman"/>
                      <w:bCs/>
                      <w:color w:val="000000"/>
                      <w:sz w:val="20"/>
                      <w:szCs w:val="20"/>
                      <w:lang w:val="en-US"/>
                    </w:rPr>
                  </w:pPr>
                  <w:r w:rsidRPr="00212459">
                    <w:rPr>
                      <w:rFonts w:ascii="Times New Roman" w:hAnsi="Times New Roman" w:cs="Times New Roman"/>
                      <w:bCs/>
                      <w:color w:val="000000"/>
                      <w:sz w:val="20"/>
                      <w:szCs w:val="20"/>
                      <w:lang w:val="en-US"/>
                    </w:rPr>
                    <w:t>Intreprinderi agricole - total</w:t>
                  </w:r>
                </w:p>
              </w:tc>
              <w:tc>
                <w:tcPr>
                  <w:tcW w:w="1941" w:type="dxa"/>
                  <w:vAlign w:val="center"/>
                </w:tcPr>
                <w:p w:rsidR="00212459" w:rsidRPr="00212459" w:rsidRDefault="00212459" w:rsidP="007D715A">
                  <w:pPr>
                    <w:jc w:val="both"/>
                    <w:rPr>
                      <w:rFonts w:ascii="Times New Roman" w:hAnsi="Times New Roman" w:cs="Times New Roman"/>
                      <w:bCs/>
                      <w:color w:val="000000"/>
                      <w:sz w:val="20"/>
                      <w:szCs w:val="20"/>
                      <w:lang w:val="en-US"/>
                    </w:rPr>
                  </w:pPr>
                  <w:r w:rsidRPr="00212459">
                    <w:rPr>
                      <w:rFonts w:ascii="Times New Roman" w:hAnsi="Times New Roman" w:cs="Times New Roman"/>
                      <w:bCs/>
                      <w:color w:val="000000"/>
                      <w:sz w:val="20"/>
                      <w:szCs w:val="20"/>
                      <w:lang w:val="en-US"/>
                    </w:rPr>
                    <w:t>Gospodării țărănești (de fermier) cu suprafața terenurilor agricole de  50 ha și mai mult</w:t>
                  </w:r>
                </w:p>
              </w:tc>
              <w:tc>
                <w:tcPr>
                  <w:tcW w:w="1950" w:type="dxa"/>
                  <w:vAlign w:val="center"/>
                </w:tcPr>
                <w:p w:rsidR="00212459" w:rsidRPr="00212459" w:rsidRDefault="00212459" w:rsidP="007D715A">
                  <w:pPr>
                    <w:jc w:val="both"/>
                    <w:rPr>
                      <w:rFonts w:ascii="Times New Roman" w:hAnsi="Times New Roman" w:cs="Times New Roman"/>
                      <w:bCs/>
                      <w:sz w:val="20"/>
                      <w:szCs w:val="20"/>
                      <w:lang w:val="en-US"/>
                    </w:rPr>
                  </w:pPr>
                  <w:r w:rsidRPr="00212459">
                    <w:rPr>
                      <w:rFonts w:ascii="Times New Roman" w:hAnsi="Times New Roman" w:cs="Times New Roman"/>
                      <w:bCs/>
                      <w:sz w:val="20"/>
                      <w:szCs w:val="20"/>
                      <w:lang w:val="en-US"/>
                    </w:rPr>
                    <w:t xml:space="preserve">Gospodării țărănești (de fermier) cu suprafața terenurilor agricole de la 10 ha până la 50 ha  </w:t>
                  </w:r>
                </w:p>
              </w:tc>
            </w:tr>
            <w:tr w:rsidR="00212459" w:rsidRPr="00C70FF2" w:rsidTr="00212459">
              <w:tc>
                <w:tcPr>
                  <w:tcW w:w="1617" w:type="dxa"/>
                  <w:vAlign w:val="bottom"/>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Livezi</w:t>
                  </w:r>
                </w:p>
              </w:tc>
              <w:tc>
                <w:tcPr>
                  <w:tcW w:w="2380"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1766</w:t>
                  </w:r>
                </w:p>
              </w:tc>
              <w:tc>
                <w:tcPr>
                  <w:tcW w:w="1227"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1367</w:t>
                  </w:r>
                </w:p>
              </w:tc>
              <w:tc>
                <w:tcPr>
                  <w:tcW w:w="1941"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281</w:t>
                  </w:r>
                </w:p>
              </w:tc>
              <w:tc>
                <w:tcPr>
                  <w:tcW w:w="1950" w:type="dxa"/>
                  <w:vAlign w:val="center"/>
                </w:tcPr>
                <w:p w:rsidR="00212459" w:rsidRPr="00212459" w:rsidRDefault="00212459" w:rsidP="007D715A">
                  <w:pPr>
                    <w:jc w:val="both"/>
                    <w:rPr>
                      <w:rFonts w:ascii="Times New Roman" w:hAnsi="Times New Roman" w:cs="Times New Roman"/>
                      <w:sz w:val="20"/>
                      <w:szCs w:val="20"/>
                      <w:lang w:val="en-US"/>
                    </w:rPr>
                  </w:pPr>
                  <w:r w:rsidRPr="00212459">
                    <w:rPr>
                      <w:rFonts w:ascii="Times New Roman" w:hAnsi="Times New Roman" w:cs="Times New Roman"/>
                      <w:sz w:val="20"/>
                      <w:szCs w:val="20"/>
                      <w:lang w:val="en-US"/>
                    </w:rPr>
                    <w:t>118</w:t>
                  </w:r>
                </w:p>
              </w:tc>
            </w:tr>
            <w:tr w:rsidR="00212459" w:rsidRPr="00C70FF2" w:rsidTr="00212459">
              <w:tc>
                <w:tcPr>
                  <w:tcW w:w="1617" w:type="dxa"/>
                  <w:vAlign w:val="bottom"/>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Nuciferi</w:t>
                  </w:r>
                </w:p>
              </w:tc>
              <w:tc>
                <w:tcPr>
                  <w:tcW w:w="2380"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285</w:t>
                  </w:r>
                </w:p>
              </w:tc>
              <w:tc>
                <w:tcPr>
                  <w:tcW w:w="1227"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258</w:t>
                  </w:r>
                </w:p>
              </w:tc>
              <w:tc>
                <w:tcPr>
                  <w:tcW w:w="1941"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6</w:t>
                  </w:r>
                </w:p>
              </w:tc>
              <w:tc>
                <w:tcPr>
                  <w:tcW w:w="1950" w:type="dxa"/>
                  <w:vAlign w:val="center"/>
                </w:tcPr>
                <w:p w:rsidR="00212459" w:rsidRPr="00212459" w:rsidRDefault="00212459" w:rsidP="007D715A">
                  <w:pPr>
                    <w:jc w:val="both"/>
                    <w:rPr>
                      <w:rFonts w:ascii="Times New Roman" w:hAnsi="Times New Roman" w:cs="Times New Roman"/>
                      <w:sz w:val="20"/>
                      <w:szCs w:val="20"/>
                      <w:lang w:val="en-US"/>
                    </w:rPr>
                  </w:pPr>
                  <w:r w:rsidRPr="00212459">
                    <w:rPr>
                      <w:rFonts w:ascii="Times New Roman" w:hAnsi="Times New Roman" w:cs="Times New Roman"/>
                      <w:sz w:val="20"/>
                      <w:szCs w:val="20"/>
                      <w:lang w:val="en-US"/>
                    </w:rPr>
                    <w:t>21</w:t>
                  </w:r>
                </w:p>
              </w:tc>
            </w:tr>
            <w:tr w:rsidR="00212459" w:rsidRPr="00C70FF2" w:rsidTr="00212459">
              <w:tc>
                <w:tcPr>
                  <w:tcW w:w="1617" w:type="dxa"/>
                  <w:vAlign w:val="bottom"/>
                </w:tcPr>
                <w:p w:rsidR="00212459" w:rsidRPr="00212459" w:rsidRDefault="00212459" w:rsidP="007D715A">
                  <w:pPr>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Arbuşti </w:t>
                  </w:r>
                  <w:r w:rsidRPr="00212459">
                    <w:rPr>
                      <w:rFonts w:ascii="Times New Roman" w:hAnsi="Times New Roman" w:cs="Times New Roman"/>
                      <w:color w:val="000000"/>
                      <w:sz w:val="20"/>
                      <w:szCs w:val="20"/>
                      <w:lang w:val="en-US"/>
                    </w:rPr>
                    <w:t>fructiferi</w:t>
                  </w:r>
                </w:p>
              </w:tc>
              <w:tc>
                <w:tcPr>
                  <w:tcW w:w="2380"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23</w:t>
                  </w:r>
                </w:p>
              </w:tc>
              <w:tc>
                <w:tcPr>
                  <w:tcW w:w="1227"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15</w:t>
                  </w:r>
                </w:p>
              </w:tc>
              <w:tc>
                <w:tcPr>
                  <w:tcW w:w="1941"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1</w:t>
                  </w:r>
                </w:p>
              </w:tc>
              <w:tc>
                <w:tcPr>
                  <w:tcW w:w="1950" w:type="dxa"/>
                  <w:vAlign w:val="center"/>
                </w:tcPr>
                <w:p w:rsidR="00212459" w:rsidRPr="00212459" w:rsidRDefault="00212459" w:rsidP="007D715A">
                  <w:pPr>
                    <w:jc w:val="both"/>
                    <w:rPr>
                      <w:rFonts w:ascii="Times New Roman" w:hAnsi="Times New Roman" w:cs="Times New Roman"/>
                      <w:sz w:val="20"/>
                      <w:szCs w:val="20"/>
                      <w:lang w:val="en-US"/>
                    </w:rPr>
                  </w:pPr>
                  <w:r w:rsidRPr="00212459">
                    <w:rPr>
                      <w:rFonts w:ascii="Times New Roman" w:hAnsi="Times New Roman" w:cs="Times New Roman"/>
                      <w:sz w:val="20"/>
                      <w:szCs w:val="20"/>
                      <w:lang w:val="en-US"/>
                    </w:rPr>
                    <w:t>7</w:t>
                  </w:r>
                </w:p>
              </w:tc>
            </w:tr>
            <w:tr w:rsidR="00212459" w:rsidRPr="00C70FF2" w:rsidTr="00212459">
              <w:tc>
                <w:tcPr>
                  <w:tcW w:w="1617" w:type="dxa"/>
                  <w:vAlign w:val="bottom"/>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Vii - total</w:t>
                  </w:r>
                </w:p>
              </w:tc>
              <w:tc>
                <w:tcPr>
                  <w:tcW w:w="2380"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786</w:t>
                  </w:r>
                </w:p>
              </w:tc>
              <w:tc>
                <w:tcPr>
                  <w:tcW w:w="1227"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687</w:t>
                  </w:r>
                </w:p>
              </w:tc>
              <w:tc>
                <w:tcPr>
                  <w:tcW w:w="1941" w:type="dxa"/>
                  <w:vAlign w:val="center"/>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61</w:t>
                  </w:r>
                </w:p>
              </w:tc>
              <w:tc>
                <w:tcPr>
                  <w:tcW w:w="1950" w:type="dxa"/>
                  <w:vAlign w:val="center"/>
                </w:tcPr>
                <w:p w:rsidR="00212459" w:rsidRPr="00212459" w:rsidRDefault="00212459" w:rsidP="007D715A">
                  <w:pPr>
                    <w:jc w:val="both"/>
                    <w:rPr>
                      <w:rFonts w:ascii="Times New Roman" w:hAnsi="Times New Roman" w:cs="Times New Roman"/>
                      <w:sz w:val="20"/>
                      <w:szCs w:val="20"/>
                      <w:lang w:val="en-US"/>
                    </w:rPr>
                  </w:pPr>
                  <w:r w:rsidRPr="00212459">
                    <w:rPr>
                      <w:rFonts w:ascii="Times New Roman" w:hAnsi="Times New Roman" w:cs="Times New Roman"/>
                      <w:sz w:val="20"/>
                      <w:szCs w:val="20"/>
                      <w:lang w:val="en-US"/>
                    </w:rPr>
                    <w:t>38</w:t>
                  </w:r>
                </w:p>
              </w:tc>
            </w:tr>
          </w:tbl>
          <w:p w:rsidR="00212459" w:rsidRDefault="00212459" w:rsidP="007D715A">
            <w:pPr>
              <w:spacing w:after="0" w:line="276" w:lineRule="auto"/>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Tabel 1. </w:t>
            </w:r>
            <w:r w:rsidRPr="00212459">
              <w:rPr>
                <w:rFonts w:ascii="Times New Roman" w:eastAsia="Times New Roman" w:hAnsi="Times New Roman" w:cs="Times New Roman"/>
                <w:color w:val="000000"/>
                <w:sz w:val="24"/>
                <w:szCs w:val="24"/>
                <w:lang w:val="ro-RO" w:eastAsia="ru-RU"/>
              </w:rPr>
              <w:t>Defrisarea plantaţiilor multianuale, hectare</w:t>
            </w:r>
            <w:r>
              <w:rPr>
                <w:rFonts w:ascii="Times New Roman" w:eastAsia="Times New Roman" w:hAnsi="Times New Roman" w:cs="Times New Roman"/>
                <w:color w:val="000000"/>
                <w:sz w:val="24"/>
                <w:szCs w:val="24"/>
                <w:lang w:val="ro-RO" w:eastAsia="ru-RU"/>
              </w:rPr>
              <w:t>.</w:t>
            </w:r>
            <w:r w:rsidRPr="00212459">
              <w:rPr>
                <w:rFonts w:ascii="Times New Roman" w:eastAsia="Times New Roman" w:hAnsi="Times New Roman" w:cs="Times New Roman"/>
                <w:color w:val="000000"/>
                <w:sz w:val="24"/>
                <w:szCs w:val="24"/>
                <w:lang w:val="ro-RO" w:eastAsia="ru-RU"/>
              </w:rPr>
              <w:t xml:space="preserve">    </w:t>
            </w:r>
          </w:p>
          <w:p w:rsidR="00EB234F" w:rsidRP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Intrarea pe rod a pomilor fructiferi a înregistrat modificări semnificative în contextul modernizării practicilor agricole și al utilizării materialului săditor performant. Un factor determinant în acest proces îl constituie introducerea soiurilor cu precocitate ridicată, caracterizate printr-o perioadă juvenilă redusă și capacitatea de a forma muguri floriferi într-un interval scurt de timp. Astfel, aceste soiuri pot intra în fructificare la 1–3 ani de la plantare, comparativ cu soiurile tradiționale, la care intrarea pe rod se re</w:t>
            </w:r>
            <w:r>
              <w:rPr>
                <w:rFonts w:ascii="Times New Roman" w:eastAsia="Times New Roman" w:hAnsi="Times New Roman" w:cs="Times New Roman"/>
                <w:color w:val="000000"/>
                <w:sz w:val="24"/>
                <w:szCs w:val="24"/>
                <w:lang w:val="ro-RO" w:eastAsia="ru-RU"/>
              </w:rPr>
              <w:t>aliza, de regulă, după 5–7 ani.</w:t>
            </w:r>
          </w:p>
          <w:p w:rsidR="00EB234F" w:rsidRP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 xml:space="preserve">Totodată, aplicarea tehnologiilor moderne de cultivare a contribuit în mod esențial la accelerarea acestui proces. Altoirea pomilor pe portaltoi corespunzători, adaptate speciilor și </w:t>
            </w:r>
            <w:r w:rsidRPr="00EB234F">
              <w:rPr>
                <w:rFonts w:ascii="Times New Roman" w:eastAsia="Times New Roman" w:hAnsi="Times New Roman" w:cs="Times New Roman"/>
                <w:color w:val="000000"/>
                <w:sz w:val="24"/>
                <w:szCs w:val="24"/>
                <w:lang w:val="ro-RO" w:eastAsia="ru-RU"/>
              </w:rPr>
              <w:lastRenderedPageBreak/>
              <w:t xml:space="preserve">sistemelor de livadă, permite controlul vigorii vegetative și favorizează echilibrul vegetativ-generativ. De asemenea, efectuarea tăierilor specifice de formare și fructificare, corelate cu sistemele moderne de conducere a coroanei, asigură o mai bună distribuție a luminii în coronament </w:t>
            </w:r>
            <w:r>
              <w:rPr>
                <w:rFonts w:ascii="Times New Roman" w:eastAsia="Times New Roman" w:hAnsi="Times New Roman" w:cs="Times New Roman"/>
                <w:color w:val="000000"/>
                <w:sz w:val="24"/>
                <w:szCs w:val="24"/>
                <w:lang w:val="ro-RO" w:eastAsia="ru-RU"/>
              </w:rPr>
              <w:t>și stimulează inducția florală.</w:t>
            </w:r>
          </w:p>
          <w:tbl>
            <w:tblPr>
              <w:tblStyle w:val="Tabelgril"/>
              <w:tblW w:w="0" w:type="auto"/>
              <w:tblLook w:val="04A0" w:firstRow="1" w:lastRow="0" w:firstColumn="1" w:lastColumn="0" w:noHBand="0" w:noVBand="1"/>
            </w:tblPr>
            <w:tblGrid>
              <w:gridCol w:w="1920"/>
              <w:gridCol w:w="2077"/>
              <w:gridCol w:w="1227"/>
              <w:gridCol w:w="1941"/>
              <w:gridCol w:w="1950"/>
            </w:tblGrid>
            <w:tr w:rsidR="00212459" w:rsidRPr="00C70FF2" w:rsidTr="00212459">
              <w:tc>
                <w:tcPr>
                  <w:tcW w:w="1920" w:type="dxa"/>
                  <w:vAlign w:val="bottom"/>
                </w:tcPr>
                <w:p w:rsidR="00212459" w:rsidRPr="00212459" w:rsidRDefault="00212459" w:rsidP="007D715A">
                  <w:pPr>
                    <w:jc w:val="both"/>
                    <w:rPr>
                      <w:rFonts w:ascii="Times New Roman" w:hAnsi="Times New Roman" w:cs="Times New Roman"/>
                      <w:bCs/>
                      <w:color w:val="000000"/>
                      <w:sz w:val="20"/>
                      <w:szCs w:val="20"/>
                      <w:lang w:val="en-US"/>
                    </w:rPr>
                  </w:pPr>
                </w:p>
              </w:tc>
              <w:tc>
                <w:tcPr>
                  <w:tcW w:w="2077" w:type="dxa"/>
                  <w:vAlign w:val="center"/>
                </w:tcPr>
                <w:p w:rsidR="00212459" w:rsidRPr="00212459" w:rsidRDefault="00212459" w:rsidP="007D715A">
                  <w:pPr>
                    <w:jc w:val="both"/>
                    <w:rPr>
                      <w:rFonts w:ascii="Times New Roman" w:hAnsi="Times New Roman" w:cs="Times New Roman"/>
                      <w:bCs/>
                      <w:sz w:val="20"/>
                      <w:szCs w:val="20"/>
                      <w:lang w:val="ro-RO"/>
                    </w:rPr>
                  </w:pPr>
                  <w:r w:rsidRPr="00212459">
                    <w:rPr>
                      <w:rFonts w:ascii="Times New Roman" w:hAnsi="Times New Roman" w:cs="Times New Roman"/>
                      <w:bCs/>
                      <w:sz w:val="20"/>
                      <w:szCs w:val="20"/>
                      <w:lang w:val="ro-RO"/>
                    </w:rPr>
                    <w:t>Întreprinderi agricole, gospodării țărănești (de fermier) cu suprafața terenurilor agricole de 10 ha și mai mult</w:t>
                  </w:r>
                </w:p>
              </w:tc>
              <w:tc>
                <w:tcPr>
                  <w:tcW w:w="1227" w:type="dxa"/>
                  <w:vAlign w:val="center"/>
                </w:tcPr>
                <w:p w:rsidR="00212459" w:rsidRPr="00212459" w:rsidRDefault="00212459" w:rsidP="007D715A">
                  <w:pPr>
                    <w:jc w:val="both"/>
                    <w:rPr>
                      <w:rFonts w:ascii="Times New Roman" w:hAnsi="Times New Roman" w:cs="Times New Roman"/>
                      <w:bCs/>
                      <w:color w:val="000000"/>
                      <w:sz w:val="20"/>
                      <w:szCs w:val="20"/>
                      <w:lang w:val="en-US"/>
                    </w:rPr>
                  </w:pPr>
                  <w:r w:rsidRPr="00212459">
                    <w:rPr>
                      <w:rFonts w:ascii="Times New Roman" w:hAnsi="Times New Roman" w:cs="Times New Roman"/>
                      <w:bCs/>
                      <w:color w:val="000000"/>
                      <w:sz w:val="20"/>
                      <w:szCs w:val="20"/>
                      <w:lang w:val="en-US"/>
                    </w:rPr>
                    <w:t>Intreprinderi agricole - total</w:t>
                  </w:r>
                </w:p>
              </w:tc>
              <w:tc>
                <w:tcPr>
                  <w:tcW w:w="1941" w:type="dxa"/>
                  <w:vAlign w:val="center"/>
                </w:tcPr>
                <w:p w:rsidR="00212459" w:rsidRPr="00212459" w:rsidRDefault="00212459" w:rsidP="007D715A">
                  <w:pPr>
                    <w:jc w:val="both"/>
                    <w:rPr>
                      <w:rFonts w:ascii="Times New Roman" w:hAnsi="Times New Roman" w:cs="Times New Roman"/>
                      <w:bCs/>
                      <w:color w:val="000000"/>
                      <w:sz w:val="20"/>
                      <w:szCs w:val="20"/>
                      <w:lang w:val="en-US"/>
                    </w:rPr>
                  </w:pPr>
                  <w:r w:rsidRPr="00212459">
                    <w:rPr>
                      <w:rFonts w:ascii="Times New Roman" w:hAnsi="Times New Roman" w:cs="Times New Roman"/>
                      <w:bCs/>
                      <w:color w:val="000000"/>
                      <w:sz w:val="20"/>
                      <w:szCs w:val="20"/>
                      <w:lang w:val="en-US"/>
                    </w:rPr>
                    <w:t>Gospodării țărănești (de fermier) cu suprafața terenurilor agricole de  50 ha și mai mult</w:t>
                  </w:r>
                </w:p>
              </w:tc>
              <w:tc>
                <w:tcPr>
                  <w:tcW w:w="1950" w:type="dxa"/>
                  <w:vAlign w:val="center"/>
                </w:tcPr>
                <w:p w:rsidR="00212459" w:rsidRPr="00212459" w:rsidRDefault="00212459" w:rsidP="007D715A">
                  <w:pPr>
                    <w:jc w:val="both"/>
                    <w:rPr>
                      <w:rFonts w:ascii="Times New Roman" w:hAnsi="Times New Roman" w:cs="Times New Roman"/>
                      <w:bCs/>
                      <w:sz w:val="20"/>
                      <w:szCs w:val="20"/>
                      <w:lang w:val="en-US"/>
                    </w:rPr>
                  </w:pPr>
                  <w:r w:rsidRPr="00212459">
                    <w:rPr>
                      <w:rFonts w:ascii="Times New Roman" w:hAnsi="Times New Roman" w:cs="Times New Roman"/>
                      <w:bCs/>
                      <w:sz w:val="20"/>
                      <w:szCs w:val="20"/>
                      <w:lang w:val="en-US"/>
                    </w:rPr>
                    <w:t xml:space="preserve">Gospodării țărănești (de fermier) cu suprafața terenurilor agricole de la 10 ha până la 50 ha  </w:t>
                  </w:r>
                </w:p>
              </w:tc>
            </w:tr>
            <w:tr w:rsidR="00212459" w:rsidTr="00212459">
              <w:tc>
                <w:tcPr>
                  <w:tcW w:w="1920" w:type="dxa"/>
                  <w:vAlign w:val="bottom"/>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Pomi fructiferi altoiti</w:t>
                  </w:r>
                </w:p>
              </w:tc>
              <w:tc>
                <w:tcPr>
                  <w:tcW w:w="2077"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796</w:t>
                  </w:r>
                </w:p>
              </w:tc>
              <w:tc>
                <w:tcPr>
                  <w:tcW w:w="1227"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370</w:t>
                  </w:r>
                </w:p>
              </w:tc>
              <w:tc>
                <w:tcPr>
                  <w:tcW w:w="1941"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307</w:t>
                  </w:r>
                </w:p>
              </w:tc>
              <w:tc>
                <w:tcPr>
                  <w:tcW w:w="1950" w:type="dxa"/>
                  <w:vAlign w:val="center"/>
                </w:tcPr>
                <w:p w:rsidR="00212459" w:rsidRPr="00212459" w:rsidRDefault="00212459" w:rsidP="007D715A">
                  <w:pPr>
                    <w:jc w:val="both"/>
                    <w:rPr>
                      <w:rFonts w:ascii="Times New Roman" w:hAnsi="Times New Roman" w:cs="Times New Roman"/>
                      <w:sz w:val="20"/>
                      <w:szCs w:val="20"/>
                    </w:rPr>
                  </w:pPr>
                  <w:r w:rsidRPr="00212459">
                    <w:rPr>
                      <w:rFonts w:ascii="Times New Roman" w:hAnsi="Times New Roman" w:cs="Times New Roman"/>
                      <w:sz w:val="20"/>
                      <w:szCs w:val="20"/>
                    </w:rPr>
                    <w:t>119</w:t>
                  </w:r>
                </w:p>
              </w:tc>
            </w:tr>
            <w:tr w:rsidR="00212459" w:rsidTr="00212459">
              <w:tc>
                <w:tcPr>
                  <w:tcW w:w="1920" w:type="dxa"/>
                  <w:vAlign w:val="bottom"/>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Nuciferi</w:t>
                  </w:r>
                </w:p>
              </w:tc>
              <w:tc>
                <w:tcPr>
                  <w:tcW w:w="2077"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9</w:t>
                  </w:r>
                </w:p>
              </w:tc>
              <w:tc>
                <w:tcPr>
                  <w:tcW w:w="1227" w:type="dxa"/>
                  <w:vAlign w:val="center"/>
                </w:tcPr>
                <w:p w:rsidR="00212459" w:rsidRPr="00212459" w:rsidRDefault="00212459" w:rsidP="007D715A">
                  <w:pPr>
                    <w:jc w:val="both"/>
                    <w:rPr>
                      <w:rFonts w:ascii="Times New Roman" w:hAnsi="Times New Roman" w:cs="Times New Roman"/>
                      <w:color w:val="000000"/>
                      <w:sz w:val="20"/>
                      <w:szCs w:val="20"/>
                    </w:rPr>
                  </w:pPr>
                </w:p>
              </w:tc>
              <w:tc>
                <w:tcPr>
                  <w:tcW w:w="1941"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5</w:t>
                  </w:r>
                </w:p>
              </w:tc>
              <w:tc>
                <w:tcPr>
                  <w:tcW w:w="1950" w:type="dxa"/>
                  <w:vAlign w:val="center"/>
                </w:tcPr>
                <w:p w:rsidR="00212459" w:rsidRPr="00212459" w:rsidRDefault="00212459" w:rsidP="007D715A">
                  <w:pPr>
                    <w:jc w:val="both"/>
                    <w:rPr>
                      <w:rFonts w:ascii="Times New Roman" w:hAnsi="Times New Roman" w:cs="Times New Roman"/>
                      <w:sz w:val="20"/>
                      <w:szCs w:val="20"/>
                    </w:rPr>
                  </w:pPr>
                  <w:r w:rsidRPr="00212459">
                    <w:rPr>
                      <w:rFonts w:ascii="Times New Roman" w:hAnsi="Times New Roman" w:cs="Times New Roman"/>
                      <w:sz w:val="20"/>
                      <w:szCs w:val="20"/>
                    </w:rPr>
                    <w:t>4</w:t>
                  </w:r>
                </w:p>
              </w:tc>
            </w:tr>
            <w:tr w:rsidR="00212459" w:rsidTr="00212459">
              <w:tc>
                <w:tcPr>
                  <w:tcW w:w="1920" w:type="dxa"/>
                  <w:vAlign w:val="bottom"/>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Arbuşti fructiferi</w:t>
                  </w:r>
                </w:p>
              </w:tc>
              <w:tc>
                <w:tcPr>
                  <w:tcW w:w="2077"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10</w:t>
                  </w:r>
                </w:p>
              </w:tc>
              <w:tc>
                <w:tcPr>
                  <w:tcW w:w="1227"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10</w:t>
                  </w:r>
                </w:p>
              </w:tc>
              <w:tc>
                <w:tcPr>
                  <w:tcW w:w="1941" w:type="dxa"/>
                  <w:vAlign w:val="center"/>
                </w:tcPr>
                <w:p w:rsidR="00212459" w:rsidRPr="00212459" w:rsidRDefault="00212459" w:rsidP="007D715A">
                  <w:pPr>
                    <w:jc w:val="both"/>
                    <w:rPr>
                      <w:rFonts w:ascii="Times New Roman" w:hAnsi="Times New Roman" w:cs="Times New Roman"/>
                      <w:color w:val="000000"/>
                      <w:sz w:val="20"/>
                      <w:szCs w:val="20"/>
                    </w:rPr>
                  </w:pPr>
                </w:p>
              </w:tc>
              <w:tc>
                <w:tcPr>
                  <w:tcW w:w="1950" w:type="dxa"/>
                  <w:vAlign w:val="center"/>
                </w:tcPr>
                <w:p w:rsidR="00212459" w:rsidRPr="00212459" w:rsidRDefault="00212459" w:rsidP="007D715A">
                  <w:pPr>
                    <w:jc w:val="both"/>
                    <w:rPr>
                      <w:rFonts w:ascii="Times New Roman" w:hAnsi="Times New Roman" w:cs="Times New Roman"/>
                      <w:sz w:val="20"/>
                      <w:szCs w:val="20"/>
                    </w:rPr>
                  </w:pPr>
                </w:p>
              </w:tc>
            </w:tr>
            <w:tr w:rsidR="00212459" w:rsidTr="00212459">
              <w:tc>
                <w:tcPr>
                  <w:tcW w:w="1920" w:type="dxa"/>
                  <w:vAlign w:val="bottom"/>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Vita de vie</w:t>
                  </w:r>
                </w:p>
              </w:tc>
              <w:tc>
                <w:tcPr>
                  <w:tcW w:w="2077"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2444</w:t>
                  </w:r>
                </w:p>
              </w:tc>
              <w:tc>
                <w:tcPr>
                  <w:tcW w:w="1227"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2444</w:t>
                  </w:r>
                </w:p>
              </w:tc>
              <w:tc>
                <w:tcPr>
                  <w:tcW w:w="1941" w:type="dxa"/>
                  <w:vAlign w:val="center"/>
                </w:tcPr>
                <w:p w:rsidR="00212459" w:rsidRPr="00212459" w:rsidRDefault="00212459" w:rsidP="007D715A">
                  <w:pPr>
                    <w:jc w:val="both"/>
                    <w:rPr>
                      <w:rFonts w:ascii="Times New Roman" w:hAnsi="Times New Roman" w:cs="Times New Roman"/>
                      <w:color w:val="000000"/>
                      <w:sz w:val="20"/>
                      <w:szCs w:val="20"/>
                    </w:rPr>
                  </w:pPr>
                </w:p>
              </w:tc>
              <w:tc>
                <w:tcPr>
                  <w:tcW w:w="1950" w:type="dxa"/>
                  <w:vAlign w:val="center"/>
                </w:tcPr>
                <w:p w:rsidR="00212459" w:rsidRPr="00212459" w:rsidRDefault="00212459" w:rsidP="007D715A">
                  <w:pPr>
                    <w:jc w:val="both"/>
                    <w:rPr>
                      <w:rFonts w:ascii="Times New Roman" w:hAnsi="Times New Roman" w:cs="Times New Roman"/>
                      <w:sz w:val="20"/>
                      <w:szCs w:val="20"/>
                    </w:rPr>
                  </w:pPr>
                </w:p>
              </w:tc>
            </w:tr>
            <w:tr w:rsidR="00212459" w:rsidTr="00212459">
              <w:tc>
                <w:tcPr>
                  <w:tcW w:w="1920" w:type="dxa"/>
                  <w:vAlign w:val="bottom"/>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Coarde altoite</w:t>
                  </w:r>
                </w:p>
              </w:tc>
              <w:tc>
                <w:tcPr>
                  <w:tcW w:w="2077" w:type="dxa"/>
                  <w:vAlign w:val="center"/>
                </w:tcPr>
                <w:p w:rsidR="00212459" w:rsidRPr="00212459" w:rsidRDefault="00212459" w:rsidP="007D715A">
                  <w:pPr>
                    <w:ind w:firstLineChars="200" w:firstLine="400"/>
                    <w:jc w:val="both"/>
                    <w:rPr>
                      <w:rFonts w:ascii="Times New Roman" w:hAnsi="Times New Roman" w:cs="Times New Roman"/>
                      <w:color w:val="000000"/>
                      <w:sz w:val="20"/>
                      <w:szCs w:val="20"/>
                    </w:rPr>
                  </w:pPr>
                </w:p>
              </w:tc>
              <w:tc>
                <w:tcPr>
                  <w:tcW w:w="1227" w:type="dxa"/>
                  <w:vAlign w:val="center"/>
                </w:tcPr>
                <w:p w:rsidR="00212459" w:rsidRPr="00212459" w:rsidRDefault="00212459" w:rsidP="007D715A">
                  <w:pPr>
                    <w:jc w:val="both"/>
                    <w:rPr>
                      <w:rFonts w:ascii="Times New Roman" w:hAnsi="Times New Roman" w:cs="Times New Roman"/>
                      <w:sz w:val="20"/>
                      <w:szCs w:val="20"/>
                    </w:rPr>
                  </w:pPr>
                </w:p>
              </w:tc>
              <w:tc>
                <w:tcPr>
                  <w:tcW w:w="1941" w:type="dxa"/>
                  <w:vAlign w:val="center"/>
                </w:tcPr>
                <w:p w:rsidR="00212459" w:rsidRPr="00212459" w:rsidRDefault="00212459" w:rsidP="007D715A">
                  <w:pPr>
                    <w:jc w:val="both"/>
                    <w:rPr>
                      <w:rFonts w:ascii="Times New Roman" w:hAnsi="Times New Roman" w:cs="Times New Roman"/>
                      <w:sz w:val="20"/>
                      <w:szCs w:val="20"/>
                    </w:rPr>
                  </w:pPr>
                </w:p>
              </w:tc>
              <w:tc>
                <w:tcPr>
                  <w:tcW w:w="1950" w:type="dxa"/>
                  <w:vAlign w:val="center"/>
                </w:tcPr>
                <w:p w:rsidR="00212459" w:rsidRPr="00212459" w:rsidRDefault="00212459" w:rsidP="007D715A">
                  <w:pPr>
                    <w:jc w:val="both"/>
                    <w:rPr>
                      <w:rFonts w:ascii="Times New Roman" w:hAnsi="Times New Roman" w:cs="Times New Roman"/>
                      <w:sz w:val="20"/>
                      <w:szCs w:val="20"/>
                    </w:rPr>
                  </w:pPr>
                </w:p>
              </w:tc>
            </w:tr>
            <w:tr w:rsidR="00212459" w:rsidTr="00212459">
              <w:tc>
                <w:tcPr>
                  <w:tcW w:w="1920" w:type="dxa"/>
                  <w:vAlign w:val="bottom"/>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Butasi portaltoi</w:t>
                  </w:r>
                </w:p>
              </w:tc>
              <w:tc>
                <w:tcPr>
                  <w:tcW w:w="2077" w:type="dxa"/>
                  <w:vAlign w:val="center"/>
                </w:tcPr>
                <w:p w:rsidR="00212459" w:rsidRPr="00212459" w:rsidRDefault="00212459" w:rsidP="007D715A">
                  <w:pPr>
                    <w:jc w:val="both"/>
                    <w:rPr>
                      <w:rFonts w:ascii="Times New Roman" w:hAnsi="Times New Roman" w:cs="Times New Roman"/>
                      <w:color w:val="000000"/>
                      <w:sz w:val="20"/>
                      <w:szCs w:val="20"/>
                    </w:rPr>
                  </w:pPr>
                  <w:r w:rsidRPr="00212459">
                    <w:rPr>
                      <w:rFonts w:ascii="Times New Roman" w:hAnsi="Times New Roman" w:cs="Times New Roman"/>
                      <w:color w:val="000000"/>
                      <w:sz w:val="20"/>
                      <w:szCs w:val="20"/>
                    </w:rPr>
                    <w:t>40</w:t>
                  </w:r>
                </w:p>
              </w:tc>
              <w:tc>
                <w:tcPr>
                  <w:tcW w:w="1227" w:type="dxa"/>
                  <w:vAlign w:val="center"/>
                </w:tcPr>
                <w:p w:rsidR="00212459" w:rsidRPr="00212459" w:rsidRDefault="00212459" w:rsidP="007D715A">
                  <w:pPr>
                    <w:jc w:val="both"/>
                    <w:rPr>
                      <w:rFonts w:ascii="Times New Roman" w:hAnsi="Times New Roman" w:cs="Times New Roman"/>
                      <w:color w:val="000000"/>
                      <w:sz w:val="20"/>
                      <w:szCs w:val="20"/>
                    </w:rPr>
                  </w:pPr>
                </w:p>
              </w:tc>
              <w:tc>
                <w:tcPr>
                  <w:tcW w:w="1941" w:type="dxa"/>
                  <w:vAlign w:val="center"/>
                </w:tcPr>
                <w:p w:rsidR="00212459" w:rsidRPr="00212459" w:rsidRDefault="00212459" w:rsidP="007D715A">
                  <w:pPr>
                    <w:jc w:val="both"/>
                    <w:rPr>
                      <w:rFonts w:ascii="Times New Roman" w:hAnsi="Times New Roman" w:cs="Times New Roman"/>
                      <w:sz w:val="20"/>
                      <w:szCs w:val="20"/>
                    </w:rPr>
                  </w:pPr>
                </w:p>
              </w:tc>
              <w:tc>
                <w:tcPr>
                  <w:tcW w:w="1950" w:type="dxa"/>
                  <w:vAlign w:val="center"/>
                </w:tcPr>
                <w:p w:rsidR="00212459" w:rsidRPr="00212459" w:rsidRDefault="00212459" w:rsidP="007D715A">
                  <w:pPr>
                    <w:jc w:val="both"/>
                    <w:rPr>
                      <w:rFonts w:ascii="Times New Roman" w:hAnsi="Times New Roman" w:cs="Times New Roman"/>
                      <w:sz w:val="20"/>
                      <w:szCs w:val="20"/>
                    </w:rPr>
                  </w:pPr>
                  <w:r w:rsidRPr="00212459">
                    <w:rPr>
                      <w:rFonts w:ascii="Times New Roman" w:hAnsi="Times New Roman" w:cs="Times New Roman"/>
                      <w:sz w:val="20"/>
                      <w:szCs w:val="20"/>
                    </w:rPr>
                    <w:t>40</w:t>
                  </w:r>
                </w:p>
              </w:tc>
            </w:tr>
            <w:tr w:rsidR="00212459" w:rsidRPr="00C70FF2" w:rsidTr="00212459">
              <w:tc>
                <w:tcPr>
                  <w:tcW w:w="1920" w:type="dxa"/>
                  <w:vAlign w:val="bottom"/>
                </w:tcPr>
                <w:p w:rsidR="00212459" w:rsidRPr="00212459" w:rsidRDefault="00212459" w:rsidP="007D715A">
                  <w:pPr>
                    <w:jc w:val="both"/>
                    <w:rPr>
                      <w:rFonts w:ascii="Times New Roman" w:hAnsi="Times New Roman" w:cs="Times New Roman"/>
                      <w:color w:val="000000"/>
                      <w:sz w:val="20"/>
                      <w:szCs w:val="20"/>
                      <w:lang w:val="en-US"/>
                    </w:rPr>
                  </w:pPr>
                  <w:r w:rsidRPr="00212459">
                    <w:rPr>
                      <w:rFonts w:ascii="Times New Roman" w:hAnsi="Times New Roman" w:cs="Times New Roman"/>
                      <w:color w:val="000000"/>
                      <w:sz w:val="20"/>
                      <w:szCs w:val="20"/>
                      <w:lang w:val="en-US"/>
                    </w:rPr>
                    <w:t>Puieţi de culturi etero-oleaginoase (trandafir, levănţică ș.a.)</w:t>
                  </w:r>
                </w:p>
              </w:tc>
              <w:tc>
                <w:tcPr>
                  <w:tcW w:w="2077" w:type="dxa"/>
                  <w:vAlign w:val="center"/>
                </w:tcPr>
                <w:p w:rsidR="00212459" w:rsidRPr="00FD0E56" w:rsidRDefault="00212459" w:rsidP="007D715A">
                  <w:pPr>
                    <w:jc w:val="both"/>
                    <w:rPr>
                      <w:rFonts w:ascii="Times New Roman" w:hAnsi="Times New Roman" w:cs="Times New Roman"/>
                      <w:color w:val="000000"/>
                      <w:sz w:val="20"/>
                      <w:szCs w:val="20"/>
                      <w:lang w:val="en-US"/>
                    </w:rPr>
                  </w:pPr>
                  <w:r w:rsidRPr="00FD0E56">
                    <w:rPr>
                      <w:rFonts w:ascii="Times New Roman" w:hAnsi="Times New Roman" w:cs="Times New Roman"/>
                      <w:color w:val="000000"/>
                      <w:sz w:val="20"/>
                      <w:szCs w:val="20"/>
                      <w:lang w:val="en-US"/>
                    </w:rPr>
                    <w:t>90</w:t>
                  </w:r>
                </w:p>
              </w:tc>
              <w:tc>
                <w:tcPr>
                  <w:tcW w:w="1227" w:type="dxa"/>
                  <w:vAlign w:val="center"/>
                </w:tcPr>
                <w:p w:rsidR="00212459" w:rsidRPr="00FD0E56" w:rsidRDefault="00212459" w:rsidP="007D715A">
                  <w:pPr>
                    <w:jc w:val="both"/>
                    <w:rPr>
                      <w:rFonts w:ascii="Times New Roman" w:hAnsi="Times New Roman" w:cs="Times New Roman"/>
                      <w:color w:val="000000"/>
                      <w:sz w:val="20"/>
                      <w:szCs w:val="20"/>
                      <w:lang w:val="en-US"/>
                    </w:rPr>
                  </w:pPr>
                  <w:r w:rsidRPr="00FD0E56">
                    <w:rPr>
                      <w:rFonts w:ascii="Times New Roman" w:hAnsi="Times New Roman" w:cs="Times New Roman"/>
                      <w:color w:val="000000"/>
                      <w:sz w:val="20"/>
                      <w:szCs w:val="20"/>
                      <w:lang w:val="en-US"/>
                    </w:rPr>
                    <w:t>90</w:t>
                  </w:r>
                </w:p>
              </w:tc>
              <w:tc>
                <w:tcPr>
                  <w:tcW w:w="1941" w:type="dxa"/>
                  <w:vAlign w:val="center"/>
                </w:tcPr>
                <w:p w:rsidR="00212459" w:rsidRPr="00FD0E56" w:rsidRDefault="00212459" w:rsidP="007D715A">
                  <w:pPr>
                    <w:jc w:val="both"/>
                    <w:rPr>
                      <w:rFonts w:ascii="Times New Roman" w:hAnsi="Times New Roman" w:cs="Times New Roman"/>
                      <w:color w:val="000000"/>
                      <w:sz w:val="20"/>
                      <w:szCs w:val="20"/>
                      <w:lang w:val="en-US"/>
                    </w:rPr>
                  </w:pPr>
                </w:p>
              </w:tc>
              <w:tc>
                <w:tcPr>
                  <w:tcW w:w="1950" w:type="dxa"/>
                  <w:vAlign w:val="center"/>
                </w:tcPr>
                <w:p w:rsidR="00212459" w:rsidRPr="00FD0E56" w:rsidRDefault="00212459" w:rsidP="007D715A">
                  <w:pPr>
                    <w:jc w:val="both"/>
                    <w:rPr>
                      <w:rFonts w:ascii="Times New Roman" w:hAnsi="Times New Roman" w:cs="Times New Roman"/>
                      <w:sz w:val="20"/>
                      <w:szCs w:val="20"/>
                      <w:lang w:val="en-US"/>
                    </w:rPr>
                  </w:pPr>
                </w:p>
              </w:tc>
            </w:tr>
          </w:tbl>
          <w:p w:rsidR="00212459" w:rsidRDefault="00212459" w:rsidP="007D715A">
            <w:pPr>
              <w:spacing w:after="0" w:line="276" w:lineRule="auto"/>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Tabel 2. </w:t>
            </w:r>
            <w:r w:rsidRPr="00212459">
              <w:rPr>
                <w:rFonts w:ascii="Times New Roman" w:eastAsia="Times New Roman" w:hAnsi="Times New Roman" w:cs="Times New Roman"/>
                <w:color w:val="000000"/>
                <w:sz w:val="24"/>
                <w:szCs w:val="24"/>
                <w:lang w:val="ro-RO" w:eastAsia="ru-RU"/>
              </w:rPr>
              <w:t>Producerea materialului săditor, mii bucăți</w:t>
            </w:r>
            <w:r>
              <w:rPr>
                <w:rFonts w:ascii="Times New Roman" w:eastAsia="Times New Roman" w:hAnsi="Times New Roman" w:cs="Times New Roman"/>
                <w:color w:val="000000"/>
                <w:sz w:val="24"/>
                <w:szCs w:val="24"/>
                <w:lang w:val="ro-RO" w:eastAsia="ru-RU"/>
              </w:rPr>
              <w:t>.</w:t>
            </w:r>
          </w:p>
          <w:p w:rsidR="00C778CE"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În ansamblu, combinarea soiurilor precoce cu tehnologii de cultură intensive determină o maturizare mai rapidă a pomilor și obținerea timpurie a primelor producții. Acest fapt apropie rodul de cultivator într-un interval mai scurt de timp, contribuind la creșterea eficienței exploatațiilor pomicole, la reducerea perioadei de recuperare a investițiilor și la sporirea competitivității sectorului agricol.</w:t>
            </w:r>
          </w:p>
          <w:p w:rsidR="00EB234F" w:rsidRP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Printre principalele probleme identificate în sectorul pomicol se evidențiază lipsa unui cadru clar pentru evidența și valorificarea producției timpurii. Conform normelor în vigoare, producția obținută înainte de „intrarea deplină pe rod” a plantațiilor nu este recunoscută oficial, ceea ce generează dificultăți semnificative pentru producătorii agricoli. Această abordare nu reflectă realitățile tehnologice actuale, în condițiile în care materialul săditor modern, utilizat în sistemele intensive și superintensive, permite obținerea unor producții comerciale relevante încă din anii 2–</w:t>
            </w:r>
            <w:r>
              <w:rPr>
                <w:rFonts w:ascii="Times New Roman" w:eastAsia="Times New Roman" w:hAnsi="Times New Roman" w:cs="Times New Roman"/>
                <w:color w:val="000000"/>
                <w:sz w:val="24"/>
                <w:szCs w:val="24"/>
                <w:lang w:val="ro-RO" w:eastAsia="ru-RU"/>
              </w:rPr>
              <w:t>3 de la înființarea plantației.</w:t>
            </w:r>
          </w:p>
          <w:p w:rsidR="00EB234F" w:rsidRP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Neînregistrarea oficială a acestor producții timpurii împiedică ținerea unei evidențe contabile corecte și complete, afectând transparența activității economice a exploatațiilor pomicole. Totodată, lipsa recunoașterii formale limitează posibilitatea comercializării legale a fructelor obținute în această perioadă, descurajând valorificarea eficientă a producției și reducând venitur</w:t>
            </w:r>
            <w:r>
              <w:rPr>
                <w:rFonts w:ascii="Times New Roman" w:eastAsia="Times New Roman" w:hAnsi="Times New Roman" w:cs="Times New Roman"/>
                <w:color w:val="000000"/>
                <w:sz w:val="24"/>
                <w:szCs w:val="24"/>
                <w:lang w:val="ro-RO" w:eastAsia="ru-RU"/>
              </w:rPr>
              <w:t>ile potențiale ale fermierilor.</w:t>
            </w:r>
          </w:p>
          <w:p w:rsidR="00B5330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În același timp, această situație creează un decalaj între cadrul normativ și practicile agricole moderne, în care intrarea pe rod este accelerată prin utilizarea soiurilor precoce, portaltoilor adecvați și tehnologiilor avansate de cultură. În lipsa unor reglementări adaptate, producătorii sunt privați de recunoașterea economică a investițiilor realizate și de oportunitatea de a recupera mai rapid costurile de înființare a plantațiilor.</w:t>
            </w:r>
          </w:p>
          <w:p w:rsidR="00EB234F" w:rsidRP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O altă problemă semnificativă o reprezintă imposibilitatea asigurării plantațiilor până la intrarea deplină pe rod. Etapa incipientă de dezvoltare a plantațiilor perene este caracterizată de un grad sporit de vulnerabilitate la factorii climatici nefavorabili, boli și alți factori de risc specifici activităților agricole. Cu toate acestea, cadrul normativ și condițiile actuale de reglementare nu permit, în mod efectiv, asigurarea riscurilor de producție în agricultură pentru plantațiile aflate în fazele d</w:t>
            </w:r>
            <w:r>
              <w:rPr>
                <w:rFonts w:ascii="Times New Roman" w:eastAsia="Times New Roman" w:hAnsi="Times New Roman" w:cs="Times New Roman"/>
                <w:color w:val="000000"/>
                <w:sz w:val="24"/>
                <w:szCs w:val="24"/>
                <w:lang w:val="ro-RO" w:eastAsia="ru-RU"/>
              </w:rPr>
              <w:t>e rodire timpurie sau parțială.</w:t>
            </w:r>
          </w:p>
          <w:p w:rsid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lastRenderedPageBreak/>
              <w:t>Această limitare creează un risc economic major pentru producători, în special în primii ani de la înființarea plantațiilor, perioadă în care investițiile sunt semnificative, iar capacitatea de recuperare a pierderilor este redusă. Lipsa posibilității de asigurare descurajează investițiile în sisteme moderne de cultură și expune fermierii la pierderi financiare considerabile în cazul producerii unor calamități naturale sau evenimente neprevăzute.</w:t>
            </w:r>
          </w:p>
          <w:p w:rsidR="00EB234F" w:rsidRP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 xml:space="preserve">O altă problemă identificată vizează caracterul depășit al prevederilor Hotărârii Guvernului nr. 705/1995 și al tehnologiilor stipulate în regulamentele aferente, care nu mai corespund nivelului actual de dezvoltare a sectorului horticol. În mod particular, anumite elemente tehnice prevăzute în actele normative, precum forma de conducere „coroana plată”, menționată în Anexa 1, nu mai sunt utilizate pe scară largă în </w:t>
            </w:r>
            <w:r>
              <w:rPr>
                <w:rFonts w:ascii="Times New Roman" w:eastAsia="Times New Roman" w:hAnsi="Times New Roman" w:cs="Times New Roman"/>
                <w:color w:val="000000"/>
                <w:sz w:val="24"/>
                <w:szCs w:val="24"/>
                <w:lang w:val="ro-RO" w:eastAsia="ru-RU"/>
              </w:rPr>
              <w:t>practica horticulturii moderne.</w:t>
            </w:r>
          </w:p>
          <w:p w:rsid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În prezent, exploatațiile horticole performante aplică sisteme intensive și super-intensive de cultură, bazate pe forme moderne de conducere a coroanei (ax vertical, fus subțire, palmetă), care permit o utilizare mai eficientă a spațiului, o mecanizare sporită a lucrărilor și o intrare accelerată pe rod. Menținerea unor tehnologii depășite în cadrul normativ generează discrepanțe între reglementări și practicile curente, afectând atât planificarea tehnologică, cât și evaluarea corectă a performanței plantațiilor.</w:t>
            </w:r>
          </w:p>
          <w:p w:rsidR="00EB234F" w:rsidRP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Se evidențiază necesitatea reflectării tehnologiilor avansate în cadrul legal actual, în contextul evoluțiilor semnificative înregistrate în pomicultură în ultimele decenii. Diversificarea și ameliorarea soiurilor de pomi fructiferi, utilizarea portaltoilor adaptați, precum și perfecționarea tehnicilor de altoire au contribuit la reducerea perioadei juvenile și la accelera</w:t>
            </w:r>
            <w:r>
              <w:rPr>
                <w:rFonts w:ascii="Times New Roman" w:eastAsia="Times New Roman" w:hAnsi="Times New Roman" w:cs="Times New Roman"/>
                <w:color w:val="000000"/>
                <w:sz w:val="24"/>
                <w:szCs w:val="24"/>
                <w:lang w:val="ro-RO" w:eastAsia="ru-RU"/>
              </w:rPr>
              <w:t>rea procesului de fructificare.</w:t>
            </w:r>
          </w:p>
          <w:p w:rsidR="00EB234F" w:rsidRPr="00EB234F"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Totodată, implementarea sistemelor moderne de irigare, aplicarea fertilizării integrate și utilizarea metodelor actuale de protecție fitosanitară au condus la optimizarea condițiilor de creștere și dezvoltare a pomilor, influențând pozitiv ciclul biologic al acestora. Aceste tehnologii permit o intrare mai timpurie pe rod, o stabilitate sporită a producțiilor și o eficiență cres</w:t>
            </w:r>
            <w:r>
              <w:rPr>
                <w:rFonts w:ascii="Times New Roman" w:eastAsia="Times New Roman" w:hAnsi="Times New Roman" w:cs="Times New Roman"/>
                <w:color w:val="000000"/>
                <w:sz w:val="24"/>
                <w:szCs w:val="24"/>
                <w:lang w:val="ro-RO" w:eastAsia="ru-RU"/>
              </w:rPr>
              <w:t>cută a exploatațiilor pomicole.</w:t>
            </w:r>
          </w:p>
          <w:p w:rsidR="00EB234F" w:rsidRPr="00E544F6" w:rsidRDefault="00EB234F" w:rsidP="007D715A">
            <w:pPr>
              <w:spacing w:after="0" w:line="276" w:lineRule="auto"/>
              <w:ind w:firstLine="720"/>
              <w:jc w:val="both"/>
              <w:rPr>
                <w:rFonts w:ascii="Times New Roman" w:eastAsia="Times New Roman" w:hAnsi="Times New Roman" w:cs="Times New Roman"/>
                <w:color w:val="000000"/>
                <w:sz w:val="24"/>
                <w:szCs w:val="24"/>
                <w:lang w:val="ro-RO" w:eastAsia="ru-RU"/>
              </w:rPr>
            </w:pPr>
            <w:r w:rsidRPr="00EB234F">
              <w:rPr>
                <w:rFonts w:ascii="Times New Roman" w:eastAsia="Times New Roman" w:hAnsi="Times New Roman" w:cs="Times New Roman"/>
                <w:color w:val="000000"/>
                <w:sz w:val="24"/>
                <w:szCs w:val="24"/>
                <w:lang w:val="ro-RO" w:eastAsia="ru-RU"/>
              </w:rPr>
              <w:t>În acest context, cadrul normativ existent nu mai reflectă pe deplin realitățile tehnologice actuale și necesită actualizare, astfel încât să asigure o reglementare corectă, coerentă și aplicabilă a practicilor moderne din sectorul pomicol. Adaptarea legislației la nivelul actual de dezvoltare tehnologică este esențială pentru susținerea competitivității, sustenabilității și modernizării horticulturii.</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7D715A">
            <w:pPr>
              <w:spacing w:after="0" w:line="240" w:lineRule="auto"/>
              <w:ind w:firstLine="709"/>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lastRenderedPageBreak/>
              <w:t>3. Obiectivele urmărite şi soluţiile propuse</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A410F0" w:rsidRDefault="00645815" w:rsidP="007D715A">
            <w:pPr>
              <w:spacing w:after="0" w:line="240" w:lineRule="auto"/>
              <w:ind w:firstLine="709"/>
              <w:jc w:val="both"/>
              <w:rPr>
                <w:rFonts w:ascii="Times New Roman" w:eastAsia="Times New Roman" w:hAnsi="Times New Roman" w:cs="Times New Roman"/>
                <w:color w:val="000000"/>
                <w:sz w:val="24"/>
                <w:szCs w:val="24"/>
                <w:lang w:val="ro-MD" w:eastAsia="ru-RU"/>
              </w:rPr>
            </w:pPr>
            <w:r w:rsidRPr="00A410F0">
              <w:rPr>
                <w:rFonts w:ascii="Times New Roman" w:eastAsia="Times New Roman" w:hAnsi="Times New Roman" w:cs="Times New Roman"/>
                <w:color w:val="000000"/>
                <w:sz w:val="24"/>
                <w:szCs w:val="24"/>
                <w:lang w:val="ro-MD" w:eastAsia="ru-RU"/>
              </w:rPr>
              <w:t>3.1. Principalele prevederi ale proiectului şi evidenţierea elementelor noi</w:t>
            </w:r>
          </w:p>
          <w:p w:rsidR="00FD24B6" w:rsidRDefault="00FD0E56" w:rsidP="007D715A">
            <w:pPr>
              <w:spacing w:after="0" w:line="240" w:lineRule="auto"/>
              <w:ind w:firstLine="709"/>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Proiectul </w:t>
            </w:r>
            <w:r w:rsidRPr="00FD0E56">
              <w:rPr>
                <w:rFonts w:ascii="Times New Roman" w:eastAsia="Times New Roman" w:hAnsi="Times New Roman" w:cs="Times New Roman"/>
                <w:color w:val="000000"/>
                <w:sz w:val="24"/>
                <w:szCs w:val="24"/>
                <w:lang w:val="ro-MD" w:eastAsia="ru-RU"/>
              </w:rPr>
              <w:t>evidențiază necesitatea revizuirii cadrului existent, în vederea alinierii acestuia la realitățile tehnologice actuale din sectorul horticol.</w:t>
            </w:r>
            <w:r w:rsidRPr="00FD0E56">
              <w:rPr>
                <w:lang w:val="en-US"/>
              </w:rPr>
              <w:t xml:space="preserve"> </w:t>
            </w:r>
            <w:r w:rsidRPr="00FD0E56">
              <w:rPr>
                <w:rFonts w:ascii="Times New Roman" w:eastAsia="Times New Roman" w:hAnsi="Times New Roman" w:cs="Times New Roman"/>
                <w:color w:val="000000"/>
                <w:sz w:val="24"/>
                <w:szCs w:val="24"/>
                <w:lang w:val="ro-MD" w:eastAsia="ru-RU"/>
              </w:rPr>
              <w:t xml:space="preserve">Proiectul aflat în vigoare are un caracter preponderent biologic și general. Acesta stabilește termenele intrării depline pe rod în funcție de specie, gradul de creștere al portaltoiului și forma coroanei, fără a ține cont de sistemele moderne de cultură sau de tipul materialului săditor utilizat. De asemenea, </w:t>
            </w:r>
            <w:r>
              <w:rPr>
                <w:rFonts w:ascii="Times New Roman" w:eastAsia="Times New Roman" w:hAnsi="Times New Roman" w:cs="Times New Roman"/>
                <w:color w:val="000000"/>
                <w:sz w:val="24"/>
                <w:szCs w:val="24"/>
                <w:lang w:val="ro-MD" w:eastAsia="ru-RU"/>
              </w:rPr>
              <w:t xml:space="preserve">acesta </w:t>
            </w:r>
            <w:r w:rsidRPr="00FD0E56">
              <w:rPr>
                <w:rFonts w:ascii="Times New Roman" w:eastAsia="Times New Roman" w:hAnsi="Times New Roman" w:cs="Times New Roman"/>
                <w:color w:val="000000"/>
                <w:sz w:val="24"/>
                <w:szCs w:val="24"/>
                <w:lang w:val="ro-MD" w:eastAsia="ru-RU"/>
              </w:rPr>
              <w:t>indică exclusiv anul intrării depline pe rod, fără a distinge etapa inițială de intrare pe rod, ceea ce limitează utilizarea sa în planificarea economică și în evaluarea investițiilor.</w:t>
            </w:r>
          </w:p>
          <w:p w:rsidR="00FD0E56" w:rsidRDefault="00FD0E56" w:rsidP="007D715A">
            <w:pPr>
              <w:spacing w:after="0" w:line="240" w:lineRule="auto"/>
              <w:ind w:firstLine="709"/>
              <w:jc w:val="both"/>
              <w:rPr>
                <w:rFonts w:ascii="Times New Roman" w:eastAsia="Times New Roman" w:hAnsi="Times New Roman" w:cs="Times New Roman"/>
                <w:color w:val="000000"/>
                <w:sz w:val="24"/>
                <w:szCs w:val="24"/>
                <w:lang w:val="ro-MD" w:eastAsia="ru-RU"/>
              </w:rPr>
            </w:pPr>
            <w:r w:rsidRPr="00FD0E56">
              <w:rPr>
                <w:rFonts w:ascii="Times New Roman" w:eastAsia="Times New Roman" w:hAnsi="Times New Roman" w:cs="Times New Roman"/>
                <w:color w:val="000000"/>
                <w:sz w:val="24"/>
                <w:szCs w:val="24"/>
                <w:lang w:val="ro-MD" w:eastAsia="ru-RU"/>
              </w:rPr>
              <w:t xml:space="preserve">Prin comparație, proiectul </w:t>
            </w:r>
            <w:r>
              <w:rPr>
                <w:rFonts w:ascii="Times New Roman" w:eastAsia="Times New Roman" w:hAnsi="Times New Roman" w:cs="Times New Roman"/>
                <w:color w:val="000000"/>
                <w:sz w:val="24"/>
                <w:szCs w:val="24"/>
                <w:lang w:val="ro-MD" w:eastAsia="ru-RU"/>
              </w:rPr>
              <w:t>Hotărârii de Guvern</w:t>
            </w:r>
            <w:r w:rsidRPr="00FD0E56">
              <w:rPr>
                <w:rFonts w:ascii="Times New Roman" w:eastAsia="Times New Roman" w:hAnsi="Times New Roman" w:cs="Times New Roman"/>
                <w:color w:val="000000"/>
                <w:sz w:val="24"/>
                <w:szCs w:val="24"/>
                <w:lang w:val="ro-MD" w:eastAsia="ru-RU"/>
              </w:rPr>
              <w:t xml:space="preserve"> introduce o abordare actualizată și detaliată, orientată spre tehnologia de producere. Un element esențial îl constituie includerea sistemelor de cultură – superintensiv, intensiv și semiintensiv – care permit corelarea directă dintre nivelul tehnologic aplicat și termenul de fructificare. Totodată, proiectul delimitează clar anul intrării pe rod de anul intrării pe rod deplin, oferind o imagine mai realistă asupra evoluției plantațiilor pe parcursul ciclului de producție.</w:t>
            </w:r>
          </w:p>
          <w:p w:rsidR="00FD0E56" w:rsidRDefault="00FD0E56" w:rsidP="007D715A">
            <w:pPr>
              <w:spacing w:after="0" w:line="240" w:lineRule="auto"/>
              <w:ind w:firstLine="709"/>
              <w:jc w:val="both"/>
              <w:rPr>
                <w:rFonts w:ascii="Times New Roman" w:eastAsia="Times New Roman" w:hAnsi="Times New Roman" w:cs="Times New Roman"/>
                <w:color w:val="000000"/>
                <w:sz w:val="24"/>
                <w:szCs w:val="24"/>
                <w:lang w:val="ro-MD" w:eastAsia="ru-RU"/>
              </w:rPr>
            </w:pPr>
            <w:r w:rsidRPr="00FD0E56">
              <w:rPr>
                <w:rFonts w:ascii="Times New Roman" w:eastAsia="Times New Roman" w:hAnsi="Times New Roman" w:cs="Times New Roman"/>
                <w:color w:val="000000"/>
                <w:sz w:val="24"/>
                <w:szCs w:val="24"/>
                <w:lang w:val="ro-MD" w:eastAsia="ru-RU"/>
              </w:rPr>
              <w:lastRenderedPageBreak/>
              <w:t>Un alt aspect inovator al proiectului nou este introducerea tipului de material săditor, cu diferențierea între pomi necronați (vergi), pomi cronați cu un lider și pomi cronați cu doi lideri. În același timp, proiectul tratează distinct gradul de creștere al portaltoiului și gradul de creștere al soiului, oferind o evaluare mai precisă a potențialului de fructificare.</w:t>
            </w:r>
          </w:p>
          <w:p w:rsidR="00FD0E56" w:rsidRPr="00E914EF" w:rsidRDefault="00FD0E56" w:rsidP="001445CC">
            <w:pPr>
              <w:spacing w:after="0" w:line="240" w:lineRule="auto"/>
              <w:ind w:firstLine="709"/>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Totodată, </w:t>
            </w:r>
            <w:r w:rsidRPr="00FD0E56">
              <w:rPr>
                <w:rFonts w:ascii="Times New Roman" w:eastAsia="Times New Roman" w:hAnsi="Times New Roman" w:cs="Times New Roman"/>
                <w:color w:val="000000"/>
                <w:sz w:val="24"/>
                <w:szCs w:val="24"/>
                <w:lang w:val="ro-MD" w:eastAsia="ru-RU"/>
              </w:rPr>
              <w:t>proiectul extinde lista speciilor și culturilor incluse. Pe lângă speciile tradiționale, sunt introduse culturi noi, precum alunul, cătina albă, afinul, goji, aronia, cornul, murul și căpșunul, precum și diferențierea viței-de-vie în funcție de destinația producției – struguri de masă și struguri de vin. Această extindere reflectă diversificarea actuală a sectorului și necesitatea unei reglementări adecvate.</w:t>
            </w:r>
            <w:r>
              <w:rPr>
                <w:rFonts w:ascii="Times New Roman" w:eastAsia="Times New Roman" w:hAnsi="Times New Roman" w:cs="Times New Roman"/>
                <w:color w:val="000000"/>
                <w:sz w:val="24"/>
                <w:szCs w:val="24"/>
                <w:lang w:val="ro-MD" w:eastAsia="ru-RU"/>
              </w:rPr>
              <w:t xml:space="preserve"> Proiectul</w:t>
            </w:r>
            <w:r w:rsidRPr="00FD0E56">
              <w:rPr>
                <w:rFonts w:ascii="Times New Roman" w:eastAsia="Times New Roman" w:hAnsi="Times New Roman" w:cs="Times New Roman"/>
                <w:color w:val="000000"/>
                <w:sz w:val="24"/>
                <w:szCs w:val="24"/>
                <w:lang w:val="ro-MD" w:eastAsia="ru-RU"/>
              </w:rPr>
              <w:t xml:space="preserve"> aduce clarificări privind formele de conducere ale plantațiilor, prin detalierea conduc</w:t>
            </w:r>
            <w:r w:rsidR="001445CC">
              <w:rPr>
                <w:rFonts w:ascii="Times New Roman" w:eastAsia="Times New Roman" w:hAnsi="Times New Roman" w:cs="Times New Roman"/>
                <w:color w:val="000000"/>
                <w:sz w:val="24"/>
                <w:szCs w:val="24"/>
                <w:lang w:val="ro-MD" w:eastAsia="ru-RU"/>
              </w:rPr>
              <w:t xml:space="preserve">erii sub formă de tufă sau pom și </w:t>
            </w:r>
            <w:r w:rsidRPr="00FD0E56">
              <w:rPr>
                <w:rFonts w:ascii="Times New Roman" w:eastAsia="Times New Roman" w:hAnsi="Times New Roman" w:cs="Times New Roman"/>
                <w:color w:val="000000"/>
                <w:sz w:val="24"/>
                <w:szCs w:val="24"/>
                <w:lang w:val="ro-MD" w:eastAsia="ru-RU"/>
              </w:rPr>
              <w:t>orientării plantațiilor de portaltoi pomicol</w:t>
            </w:r>
            <w:r w:rsidR="001445CC">
              <w:rPr>
                <w:rFonts w:ascii="Times New Roman" w:eastAsia="Times New Roman" w:hAnsi="Times New Roman" w:cs="Times New Roman"/>
                <w:color w:val="000000"/>
                <w:sz w:val="24"/>
                <w:szCs w:val="24"/>
                <w:lang w:val="ro-MD" w:eastAsia="ru-RU"/>
              </w:rPr>
              <w:t>.</w:t>
            </w:r>
          </w:p>
        </w:tc>
      </w:tr>
      <w:tr w:rsidR="00645815" w:rsidRPr="00C70FF2" w:rsidTr="00A678BA">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7D715A">
            <w:pPr>
              <w:spacing w:after="0" w:line="240" w:lineRule="auto"/>
              <w:ind w:firstLine="709"/>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lastRenderedPageBreak/>
              <w:t>3.2. Opţiunile alternative analizate şi motivele pentru care acestea nu au fost luate în considerare</w:t>
            </w:r>
            <w:r w:rsidR="00794BAB">
              <w:rPr>
                <w:rFonts w:ascii="Times New Roman" w:eastAsia="Times New Roman" w:hAnsi="Times New Roman" w:cs="Times New Roman"/>
                <w:color w:val="000000"/>
                <w:sz w:val="24"/>
                <w:szCs w:val="24"/>
                <w:lang w:val="ro-MD" w:eastAsia="ru-RU"/>
              </w:rPr>
              <w:t>.</w:t>
            </w:r>
          </w:p>
          <w:p w:rsidR="00794BAB" w:rsidRPr="00E914EF" w:rsidRDefault="0052180A" w:rsidP="007D715A">
            <w:pPr>
              <w:spacing w:after="0" w:line="240" w:lineRule="auto"/>
              <w:ind w:firstLine="709"/>
              <w:jc w:val="both"/>
              <w:rPr>
                <w:rFonts w:ascii="Times New Roman" w:eastAsia="Times New Roman" w:hAnsi="Times New Roman" w:cs="Times New Roman"/>
                <w:color w:val="000000"/>
                <w:sz w:val="24"/>
                <w:szCs w:val="24"/>
                <w:lang w:val="ro-MD" w:eastAsia="ru-RU"/>
              </w:rPr>
            </w:pPr>
            <w:r w:rsidRPr="0052180A">
              <w:rPr>
                <w:rFonts w:ascii="Times New Roman" w:eastAsia="Times New Roman" w:hAnsi="Times New Roman" w:cs="Times New Roman"/>
                <w:color w:val="000000"/>
                <w:sz w:val="24"/>
                <w:szCs w:val="24"/>
                <w:lang w:val="ro-MD" w:eastAsia="ru-RU"/>
              </w:rPr>
              <w:t>În contextul celor menționate supra, se constată că aplicarea unor scenarii alternative decât cele expuse prin prisma proiectului propus nu va produce efectul scontat în măsura în care să corespundă atingerii obiectivului stabilit. Respectiv, alte modalități de soluționare a problemei definite și descrise mai sus nu au fost identificate.</w:t>
            </w:r>
          </w:p>
        </w:tc>
      </w:tr>
      <w:tr w:rsidR="00645815" w:rsidRPr="00E914EF"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7D715A">
            <w:pPr>
              <w:spacing w:after="0" w:line="240" w:lineRule="auto"/>
              <w:ind w:firstLine="709"/>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4. Analiza impactului de reglementare</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4.1. Impactul asupra sectorului public</w:t>
            </w:r>
          </w:p>
          <w:p w:rsidR="006D2F26" w:rsidRDefault="00424457" w:rsidP="006D2F26">
            <w:pPr>
              <w:spacing w:after="0" w:line="240" w:lineRule="auto"/>
              <w:ind w:firstLine="709"/>
              <w:jc w:val="both"/>
              <w:rPr>
                <w:rFonts w:ascii="Times New Roman" w:eastAsia="Times New Roman" w:hAnsi="Times New Roman" w:cs="Times New Roman"/>
                <w:color w:val="000000"/>
                <w:sz w:val="24"/>
                <w:szCs w:val="24"/>
                <w:lang w:val="ro-MD" w:eastAsia="ru-RU"/>
              </w:rPr>
            </w:pPr>
            <w:r w:rsidRPr="00424457">
              <w:rPr>
                <w:rFonts w:ascii="Times New Roman" w:eastAsia="Times New Roman" w:hAnsi="Times New Roman" w:cs="Times New Roman"/>
                <w:color w:val="000000"/>
                <w:sz w:val="24"/>
                <w:szCs w:val="24"/>
                <w:lang w:val="ro-MD" w:eastAsia="ru-RU"/>
              </w:rPr>
              <w:t>Implementarea proiectului va avea un impact pozitiv asupra sectorului public, prin creșterea clarității normative, eficienței administrative și capacității instituționale de gestionare și moni</w:t>
            </w:r>
            <w:r>
              <w:rPr>
                <w:rFonts w:ascii="Times New Roman" w:eastAsia="Times New Roman" w:hAnsi="Times New Roman" w:cs="Times New Roman"/>
                <w:color w:val="000000"/>
                <w:sz w:val="24"/>
                <w:szCs w:val="24"/>
                <w:lang w:val="ro-MD" w:eastAsia="ru-RU"/>
              </w:rPr>
              <w:t>torizare a plantațiilor perene.</w:t>
            </w:r>
          </w:p>
          <w:p w:rsidR="006D2F26" w:rsidRDefault="00424457" w:rsidP="006D2F26">
            <w:pPr>
              <w:spacing w:after="0" w:line="240" w:lineRule="auto"/>
              <w:ind w:firstLine="709"/>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A</w:t>
            </w:r>
            <w:r w:rsidRPr="00424457">
              <w:rPr>
                <w:rFonts w:ascii="Times New Roman" w:eastAsia="Times New Roman" w:hAnsi="Times New Roman" w:cs="Times New Roman"/>
                <w:color w:val="000000"/>
                <w:sz w:val="24"/>
                <w:szCs w:val="24"/>
                <w:lang w:val="ro-MD" w:eastAsia="ru-RU"/>
              </w:rPr>
              <w:t>ctualizarea termenelor de intrare pe rod și pe rod deplin, corelate cu sistemele de cultură și tipul materialului săditor, va permite autorităților publice o evaluare mai corectă și obiectivă a investițiilor realizate în sectorul horticol. Instituțiile responsabile de subvenționare, autorizare și control vor dispune de criterii tehnice clare, adaptate realităților actuale, reducând riscul interpretărilor diferite sau al aplicării neuniforme a legislației.</w:t>
            </w:r>
          </w:p>
          <w:p w:rsidR="00DD1588" w:rsidRPr="00E914EF" w:rsidRDefault="00DD1588" w:rsidP="006D2F26">
            <w:pPr>
              <w:spacing w:after="0" w:line="240" w:lineRule="auto"/>
              <w:ind w:firstLine="709"/>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P</w:t>
            </w:r>
            <w:r w:rsidRPr="00DD1588">
              <w:rPr>
                <w:rFonts w:ascii="Times New Roman" w:eastAsia="Times New Roman" w:hAnsi="Times New Roman" w:cs="Times New Roman"/>
                <w:color w:val="000000"/>
                <w:sz w:val="24"/>
                <w:szCs w:val="24"/>
                <w:lang w:val="ro-MD" w:eastAsia="ru-RU"/>
              </w:rPr>
              <w:t>roiectul va contribui la simplificarea proceselor administrative. Prin delimitarea clară a etapelor de intrare pe rod, autoritățile vor putea stabili mai precis eligibilitatea beneficiarilor pentru anumite măsuri de sprijin, controale sau facilități fiscale, ceea ce va conduce la o reducere a timpului de analiză a dosarelor și a volumului de litigii sau contestații.</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4.2. Impactul financiar şi argumentarea costurilor estimative</w:t>
            </w:r>
          </w:p>
          <w:p w:rsidR="00CF30A6" w:rsidRPr="00E914EF" w:rsidRDefault="00DD1588" w:rsidP="006D2F26">
            <w:pPr>
              <w:spacing w:after="0" w:line="240" w:lineRule="auto"/>
              <w:ind w:firstLine="709"/>
              <w:jc w:val="both"/>
              <w:rPr>
                <w:rFonts w:ascii="Times New Roman" w:eastAsia="Times New Roman" w:hAnsi="Times New Roman" w:cs="Times New Roman"/>
                <w:color w:val="000000"/>
                <w:sz w:val="24"/>
                <w:szCs w:val="24"/>
                <w:lang w:val="ro-MD" w:eastAsia="ru-RU"/>
              </w:rPr>
            </w:pPr>
            <w:r w:rsidRPr="00DD1588">
              <w:rPr>
                <w:rFonts w:ascii="Times New Roman" w:eastAsia="Times New Roman" w:hAnsi="Times New Roman" w:cs="Times New Roman"/>
                <w:color w:val="000000"/>
                <w:sz w:val="24"/>
                <w:szCs w:val="24"/>
                <w:lang w:val="ro-MD" w:eastAsia="ru-RU"/>
              </w:rPr>
              <w:t>Implementarea proiectului nu implică un impact financiar semnificativ asupra bugetului public, întrucât modificările propuse au un caracter preponderent normativ și metodologic.</w:t>
            </w:r>
          </w:p>
        </w:tc>
      </w:tr>
      <w:tr w:rsidR="00645815" w:rsidRPr="00C70FF2" w:rsidTr="00A678BA">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4.3. Impactul asupra sectorului privat</w:t>
            </w:r>
          </w:p>
          <w:p w:rsidR="006D2F26" w:rsidRDefault="00DD1588" w:rsidP="006D2F26">
            <w:pPr>
              <w:spacing w:after="0" w:line="240" w:lineRule="auto"/>
              <w:ind w:firstLine="709"/>
              <w:jc w:val="both"/>
              <w:rPr>
                <w:rFonts w:ascii="Times New Roman" w:eastAsia="Times New Roman" w:hAnsi="Times New Roman" w:cs="Times New Roman"/>
                <w:color w:val="000000"/>
                <w:sz w:val="24"/>
                <w:szCs w:val="24"/>
                <w:lang w:val="ro-MD" w:eastAsia="ru-RU"/>
              </w:rPr>
            </w:pPr>
            <w:r w:rsidRPr="00DD1588">
              <w:rPr>
                <w:rFonts w:ascii="Times New Roman" w:eastAsia="Times New Roman" w:hAnsi="Times New Roman" w:cs="Times New Roman"/>
                <w:color w:val="000000"/>
                <w:sz w:val="24"/>
                <w:szCs w:val="24"/>
                <w:lang w:val="ro-MD" w:eastAsia="ru-RU"/>
              </w:rPr>
              <w:t>Implementarea proiectului va avea un impact pozitiv semnificativ asupra sectorului privat, în special asupra producătorilor agricoli, pepinierelor, investitorilor și altor operatori economici din domeniul horticulturii. Prin actualizarea termenelor de intrare pe rod și pe rod deplin, corelate cu sistemele moderne de cultură și tipul materialului săditor, proiectul creează un cadru normativ mai realist și mai predictibil pentru desfășurarea activităților economice.</w:t>
            </w:r>
          </w:p>
          <w:p w:rsidR="006D2F26" w:rsidRDefault="00DD1588" w:rsidP="006D2F26">
            <w:pPr>
              <w:spacing w:after="0" w:line="240" w:lineRule="auto"/>
              <w:ind w:firstLine="709"/>
              <w:jc w:val="both"/>
              <w:rPr>
                <w:rFonts w:ascii="Times New Roman" w:eastAsia="Times New Roman" w:hAnsi="Times New Roman" w:cs="Times New Roman"/>
                <w:color w:val="000000"/>
                <w:sz w:val="24"/>
                <w:szCs w:val="24"/>
                <w:lang w:val="ro-MD" w:eastAsia="ru-RU"/>
              </w:rPr>
            </w:pPr>
            <w:r w:rsidRPr="00DD1588">
              <w:rPr>
                <w:rFonts w:ascii="Times New Roman" w:eastAsia="Times New Roman" w:hAnsi="Times New Roman" w:cs="Times New Roman"/>
                <w:color w:val="000000"/>
                <w:sz w:val="24"/>
                <w:szCs w:val="24"/>
                <w:lang w:val="ro-MD" w:eastAsia="ru-RU"/>
              </w:rPr>
              <w:t>Producătorii vor putea planifica mai eficient investițiile, fluxurile de numerar și recuperarea capitalului, având repere oficiale care reflectă timpii reali de fructificare ai plantațiilor moderne. Această claritate reduce riscul financiar asociat investițiilor pe termen mediu și lung și crește atractivitatea sectorului pentru investiții noi.</w:t>
            </w:r>
          </w:p>
          <w:p w:rsidR="00DD1588" w:rsidRPr="00E914EF" w:rsidRDefault="00DD1588" w:rsidP="006D2F26">
            <w:pPr>
              <w:spacing w:after="0" w:line="240" w:lineRule="auto"/>
              <w:ind w:firstLine="709"/>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Recunoașterea</w:t>
            </w:r>
            <w:r w:rsidRPr="00DD1588">
              <w:rPr>
                <w:rFonts w:ascii="Times New Roman" w:eastAsia="Times New Roman" w:hAnsi="Times New Roman" w:cs="Times New Roman"/>
                <w:color w:val="000000"/>
                <w:sz w:val="24"/>
                <w:szCs w:val="24"/>
                <w:lang w:val="ro-MD" w:eastAsia="ru-RU"/>
              </w:rPr>
              <w:t xml:space="preserve"> sistemelor de cultură superintensive, intensive și semiintensive, precum și a materialului săditor modern, încurajează adoptarea tehnologiilor avansate. Operatorii economici care utilizează practici moderne nu vor mai fi dezavantajați de termene normative depășite, ceea ce contribuie la creșterea competitivității producției interne și la alinierea acesteia la standardele internaționale.</w:t>
            </w:r>
          </w:p>
        </w:tc>
      </w:tr>
      <w:tr w:rsidR="00645815" w:rsidRPr="00E544F6" w:rsidTr="00A678BA">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lastRenderedPageBreak/>
              <w:t>4.4. Impactul social</w:t>
            </w:r>
          </w:p>
          <w:p w:rsidR="00645815" w:rsidRDefault="00645815"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4.4.1. Impactul asupra datelor cu caracter personal</w:t>
            </w:r>
          </w:p>
          <w:p w:rsidR="00D90C87" w:rsidRPr="00E914EF" w:rsidRDefault="00D90C87"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r w:rsidR="0025749C">
              <w:rPr>
                <w:rFonts w:ascii="Times New Roman" w:eastAsia="Times New Roman" w:hAnsi="Times New Roman" w:cs="Times New Roman"/>
                <w:color w:val="000000"/>
                <w:sz w:val="24"/>
                <w:szCs w:val="24"/>
                <w:lang w:val="ro-MD" w:eastAsia="ru-RU"/>
              </w:rPr>
              <w:t>.</w:t>
            </w:r>
          </w:p>
          <w:p w:rsidR="00645815" w:rsidRDefault="00645815"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4.4.2. Impactul asupra echităţii şi egalităţii de gen</w:t>
            </w:r>
          </w:p>
          <w:p w:rsidR="00D90C87" w:rsidRPr="00E914EF" w:rsidRDefault="00D90C87"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r w:rsidR="0025749C">
              <w:rPr>
                <w:rFonts w:ascii="Times New Roman" w:eastAsia="Times New Roman" w:hAnsi="Times New Roman" w:cs="Times New Roman"/>
                <w:color w:val="000000"/>
                <w:sz w:val="24"/>
                <w:szCs w:val="24"/>
                <w:lang w:val="ro-MD" w:eastAsia="ru-RU"/>
              </w:rPr>
              <w:t>.</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4.5. Impactul asupra mediului</w:t>
            </w:r>
          </w:p>
          <w:p w:rsidR="00D90C87" w:rsidRPr="00E914EF" w:rsidRDefault="00A678BA"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Nu este aplicabil</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4.6. Alte impacturi şi informaţii relevante</w:t>
            </w:r>
          </w:p>
          <w:p w:rsidR="00D90C87" w:rsidRPr="00E914EF" w:rsidRDefault="00D90C87" w:rsidP="007D715A">
            <w:pPr>
              <w:spacing w:after="0" w:line="240" w:lineRule="auto"/>
              <w:ind w:firstLine="284"/>
              <w:jc w:val="both"/>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p>
        </w:tc>
      </w:tr>
      <w:tr w:rsidR="00645815" w:rsidRPr="00C70FF2" w:rsidTr="00A678BA">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5. Compatibilitatea proiectului actului normativ cu legislaţia UE</w:t>
            </w:r>
          </w:p>
        </w:tc>
      </w:tr>
      <w:tr w:rsidR="00645815" w:rsidRPr="00E30263" w:rsidTr="00A678BA">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5.1. Măsuri normative necesare pentru transpunerea actelor juridice ale UE în legislaţia naţională</w:t>
            </w:r>
          </w:p>
          <w:p w:rsidR="005113AE" w:rsidRPr="00E914EF" w:rsidRDefault="00A678BA" w:rsidP="00BF0667">
            <w:pPr>
              <w:spacing w:after="0" w:line="240" w:lineRule="auto"/>
              <w:ind w:firstLine="709"/>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Nu este aplicabil</w:t>
            </w:r>
          </w:p>
        </w:tc>
      </w:tr>
      <w:tr w:rsidR="00645815" w:rsidRPr="00CB281F" w:rsidTr="00A678BA">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5.2. Măsuri normative care urmăresc crearea cadrului juridic intern necesar pentru implementarea legislaţiei UE</w:t>
            </w:r>
          </w:p>
          <w:p w:rsidR="009373F4" w:rsidRPr="00E914EF" w:rsidRDefault="009373F4" w:rsidP="00E914EF">
            <w:pPr>
              <w:spacing w:after="0" w:line="240" w:lineRule="auto"/>
              <w:ind w:firstLine="709"/>
              <w:rPr>
                <w:rFonts w:ascii="Times New Roman" w:eastAsia="Times New Roman" w:hAnsi="Times New Roman" w:cs="Times New Roman"/>
                <w:color w:val="000000"/>
                <w:sz w:val="24"/>
                <w:szCs w:val="24"/>
                <w:lang w:val="ro-MD" w:eastAsia="ru-RU"/>
              </w:rPr>
            </w:pPr>
            <w:r w:rsidRPr="009373F4">
              <w:rPr>
                <w:rFonts w:ascii="Times New Roman" w:eastAsia="Times New Roman" w:hAnsi="Times New Roman" w:cs="Times New Roman"/>
                <w:color w:val="000000"/>
                <w:sz w:val="24"/>
                <w:szCs w:val="24"/>
                <w:lang w:val="ro-MD" w:eastAsia="ru-RU"/>
              </w:rPr>
              <w:t>Nu este aplicabil</w:t>
            </w:r>
          </w:p>
        </w:tc>
      </w:tr>
      <w:tr w:rsidR="00645815" w:rsidRPr="00C70FF2" w:rsidTr="00A678BA">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6. Avizarea şi consultarea publică a proiectului actului normativ</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34BE9" w:rsidRDefault="00D34BE9" w:rsidP="00D34BE9">
            <w:pPr>
              <w:spacing w:after="0" w:line="240" w:lineRule="auto"/>
              <w:ind w:firstLine="709"/>
              <w:jc w:val="both"/>
              <w:rPr>
                <w:rFonts w:ascii="Times New Roman" w:eastAsia="Times New Roman" w:hAnsi="Times New Roman" w:cs="Times New Roman"/>
                <w:color w:val="000000"/>
                <w:sz w:val="24"/>
                <w:szCs w:val="24"/>
                <w:lang w:val="ro-MD" w:eastAsia="ru-RU"/>
              </w:rPr>
            </w:pPr>
            <w:r w:rsidRPr="00D34BE9">
              <w:rPr>
                <w:rFonts w:ascii="Times New Roman" w:eastAsia="Times New Roman" w:hAnsi="Times New Roman" w:cs="Times New Roman"/>
                <w:color w:val="000000"/>
                <w:sz w:val="24"/>
                <w:szCs w:val="24"/>
                <w:lang w:val="ro-MD" w:eastAsia="ru-RU"/>
              </w:rPr>
              <w:t xml:space="preserve">Conceptul proiectului </w:t>
            </w:r>
            <w:r w:rsidR="004A47B1" w:rsidRPr="004A47B1">
              <w:rPr>
                <w:rFonts w:ascii="Times New Roman" w:eastAsia="Times New Roman" w:hAnsi="Times New Roman" w:cs="Times New Roman"/>
                <w:color w:val="000000"/>
                <w:sz w:val="24"/>
                <w:szCs w:val="24"/>
                <w:lang w:val="ro-MD" w:eastAsia="ru-RU"/>
              </w:rPr>
              <w:t xml:space="preserve">Hotărârii Guvernului </w:t>
            </w:r>
            <w:r w:rsidR="00EA30C3" w:rsidRPr="00EA30C3">
              <w:rPr>
                <w:rFonts w:ascii="Times New Roman" w:eastAsia="Times New Roman" w:hAnsi="Times New Roman" w:cs="Times New Roman"/>
                <w:color w:val="000000"/>
                <w:sz w:val="24"/>
                <w:szCs w:val="24"/>
                <w:lang w:val="ro-MD" w:eastAsia="ru-RU"/>
              </w:rPr>
              <w:t>pentru aprobarea Regulamentul privind modul de înregistrare la venituri, intrarea pe rod, casare şi defrişare a plantaţiilor perene</w:t>
            </w:r>
            <w:r w:rsidR="004A47B1" w:rsidRPr="004A47B1">
              <w:rPr>
                <w:rFonts w:ascii="Times New Roman" w:eastAsia="Times New Roman" w:hAnsi="Times New Roman" w:cs="Times New Roman"/>
                <w:color w:val="000000"/>
                <w:sz w:val="24"/>
                <w:szCs w:val="24"/>
                <w:lang w:val="ro-MD" w:eastAsia="ru-RU"/>
              </w:rPr>
              <w:t xml:space="preserve"> </w:t>
            </w:r>
            <w:r w:rsidR="004A47B1">
              <w:rPr>
                <w:rFonts w:ascii="Times New Roman" w:eastAsia="Times New Roman" w:hAnsi="Times New Roman" w:cs="Times New Roman"/>
                <w:color w:val="000000"/>
                <w:sz w:val="24"/>
                <w:szCs w:val="24"/>
                <w:lang w:val="ro-MD" w:eastAsia="ru-RU"/>
              </w:rPr>
              <w:t xml:space="preserve">a </w:t>
            </w:r>
            <w:r w:rsidRPr="00D34BE9">
              <w:rPr>
                <w:rFonts w:ascii="Times New Roman" w:eastAsia="Times New Roman" w:hAnsi="Times New Roman" w:cs="Times New Roman"/>
                <w:color w:val="000000"/>
                <w:sz w:val="24"/>
                <w:szCs w:val="24"/>
                <w:lang w:val="ro-MD" w:eastAsia="ru-RU"/>
              </w:rPr>
              <w:t xml:space="preserve">fost examinat și discutat în cadrul ședinței </w:t>
            </w:r>
            <w:r w:rsidR="004A47B1">
              <w:rPr>
                <w:rFonts w:ascii="Times New Roman" w:eastAsia="Times New Roman" w:hAnsi="Times New Roman" w:cs="Times New Roman"/>
                <w:color w:val="000000"/>
                <w:sz w:val="24"/>
                <w:szCs w:val="24"/>
                <w:lang w:val="ro-MD" w:eastAsia="ru-RU"/>
              </w:rPr>
              <w:t>consultative</w:t>
            </w:r>
            <w:r w:rsidRPr="00D34BE9">
              <w:rPr>
                <w:rFonts w:ascii="Times New Roman" w:eastAsia="Times New Roman" w:hAnsi="Times New Roman" w:cs="Times New Roman"/>
                <w:color w:val="000000"/>
                <w:sz w:val="24"/>
                <w:szCs w:val="24"/>
                <w:lang w:val="ro-MD" w:eastAsia="ru-RU"/>
              </w:rPr>
              <w:t xml:space="preserve"> din 03 decembrie 2025, la care au participat reprezentanți ai instituțiilor de specialitate și ai mediului de afaceri. În cadrul discuțiilor au fost analizate principalele probleme identificate în aplicarea prevederilor Hotărârii Guvernului nr. 705/1995, fiind formulate propuneri de clarificare și îmbunătățire </w:t>
            </w:r>
            <w:r w:rsidR="004A47B1">
              <w:rPr>
                <w:rFonts w:ascii="Times New Roman" w:eastAsia="Times New Roman" w:hAnsi="Times New Roman" w:cs="Times New Roman"/>
                <w:color w:val="000000"/>
                <w:sz w:val="24"/>
                <w:szCs w:val="24"/>
                <w:lang w:val="ro-MD" w:eastAsia="ru-RU"/>
              </w:rPr>
              <w:t>cadrului legal.</w:t>
            </w:r>
          </w:p>
          <w:p w:rsidR="004A47B1" w:rsidRDefault="004A47B1" w:rsidP="00D34BE9">
            <w:pPr>
              <w:spacing w:after="0" w:line="240" w:lineRule="auto"/>
              <w:ind w:firstLine="709"/>
              <w:jc w:val="both"/>
              <w:rPr>
                <w:rFonts w:ascii="Times New Roman" w:eastAsia="Times New Roman" w:hAnsi="Times New Roman" w:cs="Times New Roman"/>
                <w:color w:val="000000"/>
                <w:sz w:val="24"/>
                <w:szCs w:val="24"/>
                <w:lang w:val="ro-MD" w:eastAsia="ru-RU"/>
              </w:rPr>
            </w:pPr>
            <w:r w:rsidRPr="004A47B1">
              <w:rPr>
                <w:rFonts w:ascii="Times New Roman" w:eastAsia="Times New Roman" w:hAnsi="Times New Roman" w:cs="Times New Roman"/>
                <w:color w:val="000000"/>
                <w:sz w:val="24"/>
                <w:szCs w:val="24"/>
                <w:lang w:val="ro-MD" w:eastAsia="ru-RU"/>
              </w:rPr>
              <w:t xml:space="preserve">Prin Ordinul Ministerului Agriculturii și Industriei Alimentare nr. 205 din 16 decembrie 2025 a fost instituit un grup de lucru responsabil de elaborarea propunerilor </w:t>
            </w:r>
            <w:r w:rsidR="00EA30C3" w:rsidRPr="00EA30C3">
              <w:rPr>
                <w:rFonts w:ascii="Times New Roman" w:eastAsia="Times New Roman" w:hAnsi="Times New Roman" w:cs="Times New Roman"/>
                <w:color w:val="000000"/>
                <w:sz w:val="24"/>
                <w:szCs w:val="24"/>
                <w:lang w:val="ro-MD" w:eastAsia="ru-RU"/>
              </w:rPr>
              <w:t>pentru aprobarea Regulamentul privind modul de înregistrare la venituri, intrarea pe rod, casare şi defrişare a plantaţiilor perene</w:t>
            </w:r>
            <w:r>
              <w:rPr>
                <w:rFonts w:ascii="Times New Roman" w:eastAsia="Times New Roman" w:hAnsi="Times New Roman" w:cs="Times New Roman"/>
                <w:color w:val="000000"/>
                <w:sz w:val="24"/>
                <w:szCs w:val="24"/>
                <w:lang w:val="ro-MD" w:eastAsia="ru-RU"/>
              </w:rPr>
              <w:t xml:space="preserve">. </w:t>
            </w:r>
            <w:r w:rsidRPr="004A47B1">
              <w:rPr>
                <w:rFonts w:ascii="Times New Roman" w:eastAsia="Times New Roman" w:hAnsi="Times New Roman" w:cs="Times New Roman"/>
                <w:color w:val="000000"/>
                <w:sz w:val="24"/>
                <w:szCs w:val="24"/>
                <w:lang w:val="ro-MD" w:eastAsia="ru-RU"/>
              </w:rPr>
              <w:t>Crearea acestui grup de lucru a avut drept scop actualizarea cadrului normativ existent, în vederea adaptării acestuia la realitățile economice și tehnologice actuale din sectorul agricol, precum și la necesitățile producătorilor agricoli.</w:t>
            </w:r>
          </w:p>
          <w:p w:rsidR="00D34BE9" w:rsidRDefault="00C1118A" w:rsidP="00D34BE9">
            <w:pPr>
              <w:spacing w:after="0" w:line="240" w:lineRule="auto"/>
              <w:ind w:firstLine="709"/>
              <w:jc w:val="both"/>
              <w:rPr>
                <w:rFonts w:ascii="Times New Roman" w:eastAsia="Times New Roman" w:hAnsi="Times New Roman" w:cs="Times New Roman"/>
                <w:color w:val="000000"/>
                <w:sz w:val="24"/>
                <w:szCs w:val="24"/>
                <w:lang w:val="ro-MD" w:eastAsia="ru-RU"/>
              </w:rPr>
            </w:pPr>
            <w:r w:rsidRPr="00C1118A">
              <w:rPr>
                <w:rFonts w:ascii="Times New Roman" w:eastAsia="Times New Roman" w:hAnsi="Times New Roman" w:cs="Times New Roman"/>
                <w:color w:val="000000"/>
                <w:sz w:val="24"/>
                <w:szCs w:val="24"/>
                <w:lang w:val="ro-MD" w:eastAsia="ru-RU"/>
              </w:rPr>
              <w:t>Întru asigurarea transparenței procesului decizional, conform prevederilor art.10 și art.11 din Legea nr.239/2008 privind transparența în procesul d</w:t>
            </w:r>
            <w:r>
              <w:rPr>
                <w:rFonts w:ascii="Times New Roman" w:eastAsia="Times New Roman" w:hAnsi="Times New Roman" w:cs="Times New Roman"/>
                <w:color w:val="000000"/>
                <w:sz w:val="24"/>
                <w:szCs w:val="24"/>
                <w:lang w:val="ro-MD" w:eastAsia="ru-RU"/>
              </w:rPr>
              <w:t xml:space="preserve">ecizional, </w:t>
            </w:r>
            <w:r w:rsidR="00D34BE9">
              <w:rPr>
                <w:rFonts w:ascii="Times New Roman" w:eastAsia="Times New Roman" w:hAnsi="Times New Roman" w:cs="Times New Roman"/>
                <w:color w:val="000000"/>
                <w:sz w:val="24"/>
                <w:szCs w:val="24"/>
                <w:lang w:val="ro-MD" w:eastAsia="ru-RU"/>
              </w:rPr>
              <w:t>anunțul privind inițierea elaborării proiectului a fost plasat pe site-ul:</w:t>
            </w:r>
          </w:p>
          <w:p w:rsidR="00A678BA" w:rsidRPr="00D34BE9" w:rsidRDefault="00C37A4E" w:rsidP="004A47B1">
            <w:pPr>
              <w:spacing w:after="0" w:line="240" w:lineRule="auto"/>
              <w:ind w:firstLine="709"/>
              <w:jc w:val="both"/>
              <w:rPr>
                <w:rFonts w:ascii="Times New Roman" w:eastAsia="Times New Roman" w:hAnsi="Times New Roman" w:cs="Times New Roman"/>
                <w:color w:val="000000"/>
                <w:sz w:val="24"/>
                <w:szCs w:val="24"/>
                <w:lang w:val="ro-MD" w:eastAsia="ru-RU"/>
              </w:rPr>
            </w:pPr>
            <w:r w:rsidRPr="00C37A4E">
              <w:rPr>
                <w:rFonts w:ascii="Times New Roman" w:eastAsia="Times New Roman" w:hAnsi="Times New Roman" w:cs="Times New Roman"/>
                <w:color w:val="000000"/>
                <w:sz w:val="24"/>
                <w:szCs w:val="24"/>
                <w:lang w:val="ro-MD" w:eastAsia="ru-RU"/>
              </w:rPr>
              <w:t>https://particip.gov.md/ro/document/stages/*/15756</w:t>
            </w:r>
          </w:p>
        </w:tc>
      </w:tr>
      <w:tr w:rsidR="00645815" w:rsidRPr="00E914EF"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7. Concluziile expertizelor</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E1FF5" w:rsidRPr="00E914EF" w:rsidRDefault="00401345" w:rsidP="00BF0667">
            <w:pPr>
              <w:spacing w:after="0" w:line="240" w:lineRule="auto"/>
              <w:ind w:firstLine="709"/>
              <w:jc w:val="both"/>
              <w:rPr>
                <w:rFonts w:ascii="Times New Roman" w:eastAsia="Times New Roman" w:hAnsi="Times New Roman" w:cs="Times New Roman"/>
                <w:color w:val="000000"/>
                <w:sz w:val="24"/>
                <w:szCs w:val="24"/>
                <w:lang w:val="ro-MD" w:eastAsia="ru-RU"/>
              </w:rPr>
            </w:pPr>
            <w:r w:rsidRPr="00401345">
              <w:rPr>
                <w:rFonts w:ascii="Times New Roman" w:eastAsia="Times New Roman" w:hAnsi="Times New Roman" w:cs="Times New Roman"/>
                <w:color w:val="000000"/>
                <w:sz w:val="24"/>
                <w:szCs w:val="24"/>
                <w:lang w:val="ro-MD" w:eastAsia="ru-RU"/>
              </w:rPr>
              <w:t>În temeiul art.36 și 37 din Legea nr.100/2017 cu privire la actele normative, proiectul urmează să fie supus expertizei anticorupție efectuată de către Centrul Național Anticorupție și expertizei juridice efectuată de către Ministerul Justiției.</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8. Modul de încorporare a actului în cadrul normativ existent</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CF30A6" w:rsidP="00E914EF">
            <w:pPr>
              <w:spacing w:after="0" w:line="240" w:lineRule="auto"/>
              <w:ind w:firstLine="709"/>
              <w:rPr>
                <w:rFonts w:ascii="Times New Roman" w:eastAsia="Times New Roman" w:hAnsi="Times New Roman" w:cs="Times New Roman"/>
                <w:color w:val="000000"/>
                <w:sz w:val="24"/>
                <w:szCs w:val="24"/>
                <w:lang w:val="ro-MD" w:eastAsia="ru-RU"/>
              </w:rPr>
            </w:pPr>
            <w:r w:rsidRPr="00CF30A6">
              <w:rPr>
                <w:rFonts w:ascii="Times New Roman" w:eastAsia="Times New Roman" w:hAnsi="Times New Roman" w:cs="Times New Roman"/>
                <w:color w:val="000000"/>
                <w:sz w:val="24"/>
                <w:szCs w:val="24"/>
                <w:lang w:val="ro-MD" w:eastAsia="ru-RU"/>
              </w:rPr>
              <w:t>Nu necesită modificarea altor acte.</w:t>
            </w:r>
          </w:p>
        </w:tc>
      </w:tr>
      <w:tr w:rsidR="00645815" w:rsidRPr="00C70FF2" w:rsidTr="00A678BA">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9. Măsurile necesare pentru implementarea prevederilor proiectului actului normativ</w:t>
            </w:r>
          </w:p>
        </w:tc>
      </w:tr>
      <w:tr w:rsidR="00645815" w:rsidRPr="00C70FF2" w:rsidTr="00A678B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401345" w:rsidP="00BF0667">
            <w:pPr>
              <w:spacing w:after="0" w:line="240" w:lineRule="auto"/>
              <w:ind w:firstLine="709"/>
              <w:contextualSpacing/>
              <w:jc w:val="both"/>
              <w:rPr>
                <w:rFonts w:ascii="Times New Roman" w:eastAsia="Times New Roman" w:hAnsi="Times New Roman" w:cs="Times New Roman"/>
                <w:color w:val="000000"/>
                <w:sz w:val="24"/>
                <w:szCs w:val="24"/>
                <w:lang w:val="ro-MD" w:eastAsia="ru-RU"/>
              </w:rPr>
            </w:pPr>
            <w:r w:rsidRPr="008F140A">
              <w:rPr>
                <w:rFonts w:ascii="Times New Roman" w:hAnsi="Times New Roman"/>
                <w:sz w:val="24"/>
                <w:szCs w:val="24"/>
                <w:lang w:val="ro-RO"/>
              </w:rPr>
              <w:t xml:space="preserve">Implementarea acestui proiect nu presupune cheltuieli financiare suplimentare din bugetul de stat. </w:t>
            </w:r>
          </w:p>
        </w:tc>
      </w:tr>
      <w:tr w:rsidR="00645815" w:rsidRPr="00C70FF2" w:rsidTr="00A678BA">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en-US" w:eastAsia="ru-RU"/>
              </w:rPr>
            </w:pPr>
            <w:r w:rsidRPr="00E914EF">
              <w:rPr>
                <w:rFonts w:ascii="Times New Roman" w:eastAsia="Times New Roman" w:hAnsi="Times New Roman" w:cs="Times New Roman"/>
                <w:color w:val="000000"/>
                <w:sz w:val="24"/>
                <w:szCs w:val="24"/>
                <w:lang w:val="en-US" w:eastAsia="ru-RU"/>
              </w:rPr>
              <w:t> </w:t>
            </w:r>
          </w:p>
        </w:tc>
      </w:tr>
    </w:tbl>
    <w:p w:rsidR="0006171D" w:rsidRDefault="0006171D" w:rsidP="00253236">
      <w:pPr>
        <w:spacing w:after="0" w:line="240" w:lineRule="auto"/>
        <w:rPr>
          <w:rFonts w:ascii="Times New Roman" w:hAnsi="Times New Roman" w:cs="Times New Roman"/>
          <w:b/>
          <w:sz w:val="28"/>
          <w:szCs w:val="24"/>
          <w:lang w:val="en-GB"/>
        </w:rPr>
      </w:pPr>
    </w:p>
    <w:p w:rsidR="0006171D" w:rsidRDefault="0006171D" w:rsidP="00253236">
      <w:pPr>
        <w:spacing w:after="0" w:line="240" w:lineRule="auto"/>
        <w:rPr>
          <w:rFonts w:ascii="Times New Roman" w:hAnsi="Times New Roman" w:cs="Times New Roman"/>
          <w:b/>
          <w:sz w:val="28"/>
          <w:szCs w:val="24"/>
          <w:lang w:val="en-GB"/>
        </w:rPr>
      </w:pPr>
    </w:p>
    <w:p w:rsidR="00645815" w:rsidRPr="00253236" w:rsidRDefault="00EE1AAA" w:rsidP="00253236">
      <w:pPr>
        <w:spacing w:after="0" w:line="240" w:lineRule="auto"/>
        <w:rPr>
          <w:rFonts w:ascii="Times New Roman" w:hAnsi="Times New Roman" w:cs="Times New Roman"/>
          <w:sz w:val="28"/>
          <w:szCs w:val="24"/>
          <w:lang w:val="en-GB"/>
        </w:rPr>
      </w:pPr>
      <w:r w:rsidRPr="00EE1AAA">
        <w:rPr>
          <w:rFonts w:ascii="Times New Roman" w:hAnsi="Times New Roman" w:cs="Times New Roman"/>
          <w:b/>
          <w:sz w:val="28"/>
          <w:szCs w:val="24"/>
          <w:lang w:val="en-GB"/>
        </w:rPr>
        <w:t>Secretar general al Ministerului</w:t>
      </w:r>
      <w:r w:rsidR="003C06CF" w:rsidRPr="00253236">
        <w:rPr>
          <w:rFonts w:ascii="Times New Roman" w:hAnsi="Times New Roman" w:cs="Times New Roman"/>
          <w:sz w:val="28"/>
          <w:szCs w:val="24"/>
          <w:lang w:val="en-GB"/>
        </w:rPr>
        <w:tab/>
      </w:r>
      <w:r w:rsidR="00253236">
        <w:rPr>
          <w:rFonts w:ascii="Times New Roman" w:hAnsi="Times New Roman" w:cs="Times New Roman"/>
          <w:sz w:val="28"/>
          <w:szCs w:val="24"/>
          <w:lang w:val="en-GB"/>
        </w:rPr>
        <w:tab/>
      </w:r>
      <w:r>
        <w:rPr>
          <w:rFonts w:ascii="Times New Roman" w:hAnsi="Times New Roman" w:cs="Times New Roman"/>
          <w:sz w:val="28"/>
          <w:szCs w:val="24"/>
          <w:lang w:val="en-GB"/>
        </w:rPr>
        <w:tab/>
      </w:r>
      <w:r>
        <w:rPr>
          <w:rFonts w:ascii="Times New Roman" w:hAnsi="Times New Roman" w:cs="Times New Roman"/>
          <w:sz w:val="28"/>
          <w:szCs w:val="24"/>
          <w:lang w:val="en-GB"/>
        </w:rPr>
        <w:tab/>
        <w:t xml:space="preserve">         </w:t>
      </w:r>
      <w:r w:rsidRPr="00EE1AAA">
        <w:rPr>
          <w:rFonts w:ascii="Times New Roman" w:hAnsi="Times New Roman" w:cs="Times New Roman"/>
          <w:b/>
          <w:sz w:val="28"/>
          <w:szCs w:val="24"/>
          <w:lang w:val="en-GB"/>
        </w:rPr>
        <w:t xml:space="preserve">Sergiu GHERCIU </w:t>
      </w:r>
    </w:p>
    <w:sectPr w:rsidR="00645815" w:rsidRPr="00253236" w:rsidSect="00D65ADB">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C47" w:rsidRDefault="002B3C47" w:rsidP="00017487">
      <w:pPr>
        <w:spacing w:after="0" w:line="240" w:lineRule="auto"/>
      </w:pPr>
      <w:r>
        <w:separator/>
      </w:r>
    </w:p>
  </w:endnote>
  <w:endnote w:type="continuationSeparator" w:id="0">
    <w:p w:rsidR="002B3C47" w:rsidRDefault="002B3C47" w:rsidP="0001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C47" w:rsidRDefault="002B3C47" w:rsidP="00017487">
      <w:pPr>
        <w:spacing w:after="0" w:line="240" w:lineRule="auto"/>
      </w:pPr>
      <w:r>
        <w:separator/>
      </w:r>
    </w:p>
  </w:footnote>
  <w:footnote w:type="continuationSeparator" w:id="0">
    <w:p w:rsidR="002B3C47" w:rsidRDefault="002B3C47" w:rsidP="00017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0078"/>
    <w:multiLevelType w:val="hybridMultilevel"/>
    <w:tmpl w:val="CAEECACE"/>
    <w:lvl w:ilvl="0" w:tplc="AED6C4A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B0D3501"/>
    <w:multiLevelType w:val="hybridMultilevel"/>
    <w:tmpl w:val="3F506E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72560CE1"/>
    <w:multiLevelType w:val="hybridMultilevel"/>
    <w:tmpl w:val="9F027CF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7FF1033A"/>
    <w:multiLevelType w:val="hybridMultilevel"/>
    <w:tmpl w:val="534858EE"/>
    <w:lvl w:ilvl="0" w:tplc="DD56EBCA">
      <w:start w:val="1"/>
      <w:numFmt w:val="bullet"/>
      <w:lvlText w:val="-"/>
      <w:lvlJc w:val="left"/>
      <w:pPr>
        <w:ind w:left="644" w:hanging="360"/>
      </w:pPr>
      <w:rPr>
        <w:rFonts w:ascii="Times New Roman" w:eastAsia="Calibri" w:hAnsi="Times New Roman" w:cs="Times New Roman" w:hint="default"/>
        <w:color w:val="auto"/>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13DBE"/>
    <w:rsid w:val="000144B4"/>
    <w:rsid w:val="00015B9C"/>
    <w:rsid w:val="00017487"/>
    <w:rsid w:val="00034FA1"/>
    <w:rsid w:val="00046CA5"/>
    <w:rsid w:val="0006171D"/>
    <w:rsid w:val="00065E12"/>
    <w:rsid w:val="00075B44"/>
    <w:rsid w:val="000B7AB0"/>
    <w:rsid w:val="000D7B47"/>
    <w:rsid w:val="000E6202"/>
    <w:rsid w:val="00112A9E"/>
    <w:rsid w:val="0011508B"/>
    <w:rsid w:val="00122854"/>
    <w:rsid w:val="00124F3E"/>
    <w:rsid w:val="00126ACF"/>
    <w:rsid w:val="00137A68"/>
    <w:rsid w:val="001445CC"/>
    <w:rsid w:val="00161336"/>
    <w:rsid w:val="001D0386"/>
    <w:rsid w:val="001D6C6A"/>
    <w:rsid w:val="001F3527"/>
    <w:rsid w:val="001F52A5"/>
    <w:rsid w:val="0020434B"/>
    <w:rsid w:val="00212459"/>
    <w:rsid w:val="00253236"/>
    <w:rsid w:val="0025749C"/>
    <w:rsid w:val="00271CDE"/>
    <w:rsid w:val="002B1460"/>
    <w:rsid w:val="002B3C47"/>
    <w:rsid w:val="002C3B10"/>
    <w:rsid w:val="002E7C60"/>
    <w:rsid w:val="002F25B9"/>
    <w:rsid w:val="002F2A2A"/>
    <w:rsid w:val="002F5C54"/>
    <w:rsid w:val="0031275A"/>
    <w:rsid w:val="00366B76"/>
    <w:rsid w:val="00383865"/>
    <w:rsid w:val="00391BAF"/>
    <w:rsid w:val="003A1172"/>
    <w:rsid w:val="003B4C12"/>
    <w:rsid w:val="003C06CF"/>
    <w:rsid w:val="003C38DD"/>
    <w:rsid w:val="003C432A"/>
    <w:rsid w:val="003D1162"/>
    <w:rsid w:val="003E07AB"/>
    <w:rsid w:val="003E07F6"/>
    <w:rsid w:val="00401345"/>
    <w:rsid w:val="004027D8"/>
    <w:rsid w:val="004130EE"/>
    <w:rsid w:val="0041318B"/>
    <w:rsid w:val="00424457"/>
    <w:rsid w:val="004611F1"/>
    <w:rsid w:val="004675B7"/>
    <w:rsid w:val="0047191F"/>
    <w:rsid w:val="0048470E"/>
    <w:rsid w:val="00485831"/>
    <w:rsid w:val="004874BD"/>
    <w:rsid w:val="00490BFC"/>
    <w:rsid w:val="004A0535"/>
    <w:rsid w:val="004A1615"/>
    <w:rsid w:val="004A47B1"/>
    <w:rsid w:val="00500053"/>
    <w:rsid w:val="0050387D"/>
    <w:rsid w:val="005113AE"/>
    <w:rsid w:val="005120C6"/>
    <w:rsid w:val="005147A7"/>
    <w:rsid w:val="00516DB3"/>
    <w:rsid w:val="0052180A"/>
    <w:rsid w:val="005254B1"/>
    <w:rsid w:val="00553136"/>
    <w:rsid w:val="00553C85"/>
    <w:rsid w:val="005617D0"/>
    <w:rsid w:val="00562110"/>
    <w:rsid w:val="00581DAE"/>
    <w:rsid w:val="00584DA7"/>
    <w:rsid w:val="005B74BC"/>
    <w:rsid w:val="005D56B8"/>
    <w:rsid w:val="006041BF"/>
    <w:rsid w:val="00645815"/>
    <w:rsid w:val="00670540"/>
    <w:rsid w:val="0067448E"/>
    <w:rsid w:val="0068144A"/>
    <w:rsid w:val="006C1B70"/>
    <w:rsid w:val="006D2F26"/>
    <w:rsid w:val="006D3625"/>
    <w:rsid w:val="006F5E21"/>
    <w:rsid w:val="006F6300"/>
    <w:rsid w:val="00705F91"/>
    <w:rsid w:val="007157B7"/>
    <w:rsid w:val="0073718A"/>
    <w:rsid w:val="00740A09"/>
    <w:rsid w:val="00751AB2"/>
    <w:rsid w:val="0078593E"/>
    <w:rsid w:val="007932FE"/>
    <w:rsid w:val="00794BAB"/>
    <w:rsid w:val="007C3E19"/>
    <w:rsid w:val="007C76F1"/>
    <w:rsid w:val="007D715A"/>
    <w:rsid w:val="007E7817"/>
    <w:rsid w:val="007F2FFA"/>
    <w:rsid w:val="007F3B35"/>
    <w:rsid w:val="00800FE2"/>
    <w:rsid w:val="00804708"/>
    <w:rsid w:val="00804ECF"/>
    <w:rsid w:val="008102FC"/>
    <w:rsid w:val="00813CC2"/>
    <w:rsid w:val="00820F87"/>
    <w:rsid w:val="00834202"/>
    <w:rsid w:val="0084709D"/>
    <w:rsid w:val="00851115"/>
    <w:rsid w:val="008773CC"/>
    <w:rsid w:val="00897024"/>
    <w:rsid w:val="008A2593"/>
    <w:rsid w:val="008B7643"/>
    <w:rsid w:val="008C566B"/>
    <w:rsid w:val="008D5FE9"/>
    <w:rsid w:val="008F1773"/>
    <w:rsid w:val="009105C4"/>
    <w:rsid w:val="00935451"/>
    <w:rsid w:val="009373F4"/>
    <w:rsid w:val="0095025C"/>
    <w:rsid w:val="009C66EA"/>
    <w:rsid w:val="009F24EB"/>
    <w:rsid w:val="009F3BFA"/>
    <w:rsid w:val="00A410F0"/>
    <w:rsid w:val="00A46E32"/>
    <w:rsid w:val="00A533B5"/>
    <w:rsid w:val="00A678BA"/>
    <w:rsid w:val="00A808D6"/>
    <w:rsid w:val="00A858BB"/>
    <w:rsid w:val="00A87DB3"/>
    <w:rsid w:val="00AD26FE"/>
    <w:rsid w:val="00AF6DB0"/>
    <w:rsid w:val="00B03518"/>
    <w:rsid w:val="00B165E1"/>
    <w:rsid w:val="00B17F2F"/>
    <w:rsid w:val="00B35221"/>
    <w:rsid w:val="00B479A5"/>
    <w:rsid w:val="00B47FCF"/>
    <w:rsid w:val="00B5005E"/>
    <w:rsid w:val="00B5330F"/>
    <w:rsid w:val="00B64564"/>
    <w:rsid w:val="00BB2913"/>
    <w:rsid w:val="00BB5369"/>
    <w:rsid w:val="00BD4BCD"/>
    <w:rsid w:val="00BF0667"/>
    <w:rsid w:val="00BF736B"/>
    <w:rsid w:val="00BF74EA"/>
    <w:rsid w:val="00C1118A"/>
    <w:rsid w:val="00C118A3"/>
    <w:rsid w:val="00C276ED"/>
    <w:rsid w:val="00C37A4E"/>
    <w:rsid w:val="00C46EF5"/>
    <w:rsid w:val="00C70FF2"/>
    <w:rsid w:val="00C710AC"/>
    <w:rsid w:val="00C778CE"/>
    <w:rsid w:val="00C82C28"/>
    <w:rsid w:val="00CB281F"/>
    <w:rsid w:val="00CC6E08"/>
    <w:rsid w:val="00CE4655"/>
    <w:rsid w:val="00CE68E7"/>
    <w:rsid w:val="00CF036A"/>
    <w:rsid w:val="00CF0604"/>
    <w:rsid w:val="00CF30A6"/>
    <w:rsid w:val="00D21A01"/>
    <w:rsid w:val="00D34BE9"/>
    <w:rsid w:val="00D45D5A"/>
    <w:rsid w:val="00D541E2"/>
    <w:rsid w:val="00D55266"/>
    <w:rsid w:val="00D57A81"/>
    <w:rsid w:val="00D65ADB"/>
    <w:rsid w:val="00D825A9"/>
    <w:rsid w:val="00D86632"/>
    <w:rsid w:val="00D90C87"/>
    <w:rsid w:val="00DA7A45"/>
    <w:rsid w:val="00DD1588"/>
    <w:rsid w:val="00DE1FF5"/>
    <w:rsid w:val="00DF180C"/>
    <w:rsid w:val="00E16443"/>
    <w:rsid w:val="00E20D17"/>
    <w:rsid w:val="00E30263"/>
    <w:rsid w:val="00E544F6"/>
    <w:rsid w:val="00E61085"/>
    <w:rsid w:val="00E914EF"/>
    <w:rsid w:val="00EA30C3"/>
    <w:rsid w:val="00EB234F"/>
    <w:rsid w:val="00EB6D8A"/>
    <w:rsid w:val="00EE1AAA"/>
    <w:rsid w:val="00EE1BE6"/>
    <w:rsid w:val="00EE29F8"/>
    <w:rsid w:val="00F14630"/>
    <w:rsid w:val="00F161DB"/>
    <w:rsid w:val="00F17012"/>
    <w:rsid w:val="00F576B9"/>
    <w:rsid w:val="00F815FF"/>
    <w:rsid w:val="00F85C24"/>
    <w:rsid w:val="00FC2E88"/>
    <w:rsid w:val="00FC4CE9"/>
    <w:rsid w:val="00FC6009"/>
    <w:rsid w:val="00FD0E56"/>
    <w:rsid w:val="00FD24B6"/>
    <w:rsid w:val="00FE24F5"/>
    <w:rsid w:val="00FF230E"/>
    <w:rsid w:val="00FF7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2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elgril">
    <w:name w:val="Table Grid"/>
    <w:basedOn w:val="TabelNormal"/>
    <w:uiPriority w:val="39"/>
    <w:rsid w:val="0012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516DB3"/>
    <w:pPr>
      <w:ind w:left="720"/>
      <w:contextualSpacing/>
    </w:pPr>
  </w:style>
  <w:style w:type="character" w:styleId="Hyperlink">
    <w:name w:val="Hyperlink"/>
    <w:basedOn w:val="Fontdeparagrafimplicit"/>
    <w:uiPriority w:val="99"/>
    <w:unhideWhenUsed/>
    <w:rsid w:val="004130EE"/>
    <w:rPr>
      <w:color w:val="0563C1" w:themeColor="hyperlink"/>
      <w:u w:val="single"/>
    </w:rPr>
  </w:style>
  <w:style w:type="paragraph" w:styleId="TextnBalon">
    <w:name w:val="Balloon Text"/>
    <w:basedOn w:val="Normal"/>
    <w:link w:val="TextnBalonCaracter"/>
    <w:uiPriority w:val="99"/>
    <w:semiHidden/>
    <w:unhideWhenUsed/>
    <w:rsid w:val="0025323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53236"/>
    <w:rPr>
      <w:rFonts w:ascii="Segoe UI" w:hAnsi="Segoe UI" w:cs="Segoe UI"/>
      <w:sz w:val="18"/>
      <w:szCs w:val="18"/>
    </w:rPr>
  </w:style>
  <w:style w:type="character" w:customStyle="1" w:styleId="object-hover">
    <w:name w:val="object-hover"/>
    <w:basedOn w:val="Fontdeparagrafimplicit"/>
    <w:rsid w:val="00B03518"/>
  </w:style>
  <w:style w:type="paragraph" w:styleId="Antet">
    <w:name w:val="header"/>
    <w:basedOn w:val="Normal"/>
    <w:link w:val="AntetCaracter"/>
    <w:uiPriority w:val="99"/>
    <w:unhideWhenUsed/>
    <w:rsid w:val="0001748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17487"/>
  </w:style>
  <w:style w:type="paragraph" w:styleId="Subsol">
    <w:name w:val="footer"/>
    <w:basedOn w:val="Normal"/>
    <w:link w:val="SubsolCaracter"/>
    <w:uiPriority w:val="99"/>
    <w:unhideWhenUsed/>
    <w:rsid w:val="0001748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17487"/>
  </w:style>
  <w:style w:type="paragraph" w:styleId="NormalWeb">
    <w:name w:val="Normal (Web)"/>
    <w:basedOn w:val="Normal"/>
    <w:uiPriority w:val="99"/>
    <w:semiHidden/>
    <w:unhideWhenUsed/>
    <w:rsid w:val="00813CC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813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1400">
      <w:bodyDiv w:val="1"/>
      <w:marLeft w:val="0"/>
      <w:marRight w:val="0"/>
      <w:marTop w:val="0"/>
      <w:marBottom w:val="0"/>
      <w:divBdr>
        <w:top w:val="none" w:sz="0" w:space="0" w:color="auto"/>
        <w:left w:val="none" w:sz="0" w:space="0" w:color="auto"/>
        <w:bottom w:val="none" w:sz="0" w:space="0" w:color="auto"/>
        <w:right w:val="none" w:sz="0" w:space="0" w:color="auto"/>
      </w:divBdr>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31678150">
      <w:bodyDiv w:val="1"/>
      <w:marLeft w:val="0"/>
      <w:marRight w:val="0"/>
      <w:marTop w:val="0"/>
      <w:marBottom w:val="0"/>
      <w:divBdr>
        <w:top w:val="none" w:sz="0" w:space="0" w:color="auto"/>
        <w:left w:val="none" w:sz="0" w:space="0" w:color="auto"/>
        <w:bottom w:val="none" w:sz="0" w:space="0" w:color="auto"/>
        <w:right w:val="none" w:sz="0" w:space="0" w:color="auto"/>
      </w:divBdr>
    </w:div>
    <w:div w:id="512498460">
      <w:bodyDiv w:val="1"/>
      <w:marLeft w:val="0"/>
      <w:marRight w:val="0"/>
      <w:marTop w:val="0"/>
      <w:marBottom w:val="0"/>
      <w:divBdr>
        <w:top w:val="none" w:sz="0" w:space="0" w:color="auto"/>
        <w:left w:val="none" w:sz="0" w:space="0" w:color="auto"/>
        <w:bottom w:val="none" w:sz="0" w:space="0" w:color="auto"/>
        <w:right w:val="none" w:sz="0" w:space="0" w:color="auto"/>
      </w:divBdr>
    </w:div>
    <w:div w:id="537402728">
      <w:bodyDiv w:val="1"/>
      <w:marLeft w:val="0"/>
      <w:marRight w:val="0"/>
      <w:marTop w:val="0"/>
      <w:marBottom w:val="0"/>
      <w:divBdr>
        <w:top w:val="none" w:sz="0" w:space="0" w:color="auto"/>
        <w:left w:val="none" w:sz="0" w:space="0" w:color="auto"/>
        <w:bottom w:val="none" w:sz="0" w:space="0" w:color="auto"/>
        <w:right w:val="none" w:sz="0" w:space="0" w:color="auto"/>
      </w:divBdr>
    </w:div>
    <w:div w:id="604701544">
      <w:bodyDiv w:val="1"/>
      <w:marLeft w:val="0"/>
      <w:marRight w:val="0"/>
      <w:marTop w:val="0"/>
      <w:marBottom w:val="0"/>
      <w:divBdr>
        <w:top w:val="none" w:sz="0" w:space="0" w:color="auto"/>
        <w:left w:val="none" w:sz="0" w:space="0" w:color="auto"/>
        <w:bottom w:val="none" w:sz="0" w:space="0" w:color="auto"/>
        <w:right w:val="none" w:sz="0" w:space="0" w:color="auto"/>
      </w:divBdr>
    </w:div>
    <w:div w:id="618534142">
      <w:bodyDiv w:val="1"/>
      <w:marLeft w:val="0"/>
      <w:marRight w:val="0"/>
      <w:marTop w:val="0"/>
      <w:marBottom w:val="0"/>
      <w:divBdr>
        <w:top w:val="none" w:sz="0" w:space="0" w:color="auto"/>
        <w:left w:val="none" w:sz="0" w:space="0" w:color="auto"/>
        <w:bottom w:val="none" w:sz="0" w:space="0" w:color="auto"/>
        <w:right w:val="none" w:sz="0" w:space="0" w:color="auto"/>
      </w:divBdr>
    </w:div>
    <w:div w:id="646320907">
      <w:bodyDiv w:val="1"/>
      <w:marLeft w:val="0"/>
      <w:marRight w:val="0"/>
      <w:marTop w:val="0"/>
      <w:marBottom w:val="0"/>
      <w:divBdr>
        <w:top w:val="none" w:sz="0" w:space="0" w:color="auto"/>
        <w:left w:val="none" w:sz="0" w:space="0" w:color="auto"/>
        <w:bottom w:val="none" w:sz="0" w:space="0" w:color="auto"/>
        <w:right w:val="none" w:sz="0" w:space="0" w:color="auto"/>
      </w:divBdr>
    </w:div>
    <w:div w:id="777874131">
      <w:bodyDiv w:val="1"/>
      <w:marLeft w:val="0"/>
      <w:marRight w:val="0"/>
      <w:marTop w:val="0"/>
      <w:marBottom w:val="0"/>
      <w:divBdr>
        <w:top w:val="none" w:sz="0" w:space="0" w:color="auto"/>
        <w:left w:val="none" w:sz="0" w:space="0" w:color="auto"/>
        <w:bottom w:val="none" w:sz="0" w:space="0" w:color="auto"/>
        <w:right w:val="none" w:sz="0" w:space="0" w:color="auto"/>
      </w:divBdr>
    </w:div>
    <w:div w:id="1172640934">
      <w:bodyDiv w:val="1"/>
      <w:marLeft w:val="0"/>
      <w:marRight w:val="0"/>
      <w:marTop w:val="0"/>
      <w:marBottom w:val="0"/>
      <w:divBdr>
        <w:top w:val="none" w:sz="0" w:space="0" w:color="auto"/>
        <w:left w:val="none" w:sz="0" w:space="0" w:color="auto"/>
        <w:bottom w:val="none" w:sz="0" w:space="0" w:color="auto"/>
        <w:right w:val="none" w:sz="0" w:space="0" w:color="auto"/>
      </w:divBdr>
    </w:div>
    <w:div w:id="1287199766">
      <w:bodyDiv w:val="1"/>
      <w:marLeft w:val="0"/>
      <w:marRight w:val="0"/>
      <w:marTop w:val="0"/>
      <w:marBottom w:val="0"/>
      <w:divBdr>
        <w:top w:val="none" w:sz="0" w:space="0" w:color="auto"/>
        <w:left w:val="none" w:sz="0" w:space="0" w:color="auto"/>
        <w:bottom w:val="none" w:sz="0" w:space="0" w:color="auto"/>
        <w:right w:val="none" w:sz="0" w:space="0" w:color="auto"/>
      </w:divBdr>
    </w:div>
    <w:div w:id="1335690330">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457144075">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762406895">
      <w:bodyDiv w:val="1"/>
      <w:marLeft w:val="0"/>
      <w:marRight w:val="0"/>
      <w:marTop w:val="0"/>
      <w:marBottom w:val="0"/>
      <w:divBdr>
        <w:top w:val="none" w:sz="0" w:space="0" w:color="auto"/>
        <w:left w:val="none" w:sz="0" w:space="0" w:color="auto"/>
        <w:bottom w:val="none" w:sz="0" w:space="0" w:color="auto"/>
        <w:right w:val="none" w:sz="0" w:space="0" w:color="auto"/>
      </w:divBdr>
    </w:div>
    <w:div w:id="20594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2507</TotalTime>
  <Pages>5</Pages>
  <Words>2564</Words>
  <Characters>14876</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 Microsoft</cp:lastModifiedBy>
  <cp:revision>35</cp:revision>
  <cp:lastPrinted>2025-12-18T14:04:00Z</cp:lastPrinted>
  <dcterms:created xsi:type="dcterms:W3CDTF">2025-10-10T06:07:00Z</dcterms:created>
  <dcterms:modified xsi:type="dcterms:W3CDTF">2026-04-02T07:11:00Z</dcterms:modified>
</cp:coreProperties>
</file>