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C60" w:rsidRDefault="00743C60" w:rsidP="00801702">
      <w:pPr>
        <w:spacing w:after="0" w:line="276" w:lineRule="auto"/>
        <w:ind w:firstLine="426"/>
        <w:jc w:val="center"/>
        <w:rPr>
          <w:rFonts w:ascii="Times New Roman" w:hAnsi="Times New Roman" w:cs="Times New Roman"/>
          <w:b/>
          <w:kern w:val="0"/>
          <w:sz w:val="24"/>
          <w:szCs w:val="24"/>
          <w14:ligatures w14:val="none"/>
        </w:rPr>
      </w:pPr>
    </w:p>
    <w:p w:rsidR="00743C60" w:rsidRDefault="00743C60" w:rsidP="00801702">
      <w:pPr>
        <w:spacing w:after="0" w:line="276" w:lineRule="auto"/>
        <w:ind w:firstLine="426"/>
        <w:jc w:val="center"/>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 xml:space="preserve">  </w:t>
      </w:r>
    </w:p>
    <w:p w:rsidR="00275B16" w:rsidRPr="00801702" w:rsidRDefault="00275B16" w:rsidP="00801702">
      <w:pPr>
        <w:spacing w:after="0" w:line="276" w:lineRule="auto"/>
        <w:ind w:firstLine="426"/>
        <w:jc w:val="center"/>
        <w:rPr>
          <w:rFonts w:ascii="Times New Roman" w:hAnsi="Times New Roman" w:cs="Times New Roman"/>
          <w:b/>
          <w:kern w:val="0"/>
          <w:sz w:val="24"/>
          <w:szCs w:val="24"/>
          <w14:ligatures w14:val="none"/>
        </w:rPr>
      </w:pPr>
      <w:r w:rsidRPr="00801702">
        <w:rPr>
          <w:rFonts w:ascii="Times New Roman" w:hAnsi="Times New Roman" w:cs="Times New Roman"/>
          <w:b/>
          <w:kern w:val="0"/>
          <w:sz w:val="24"/>
          <w:szCs w:val="24"/>
          <w14:ligatures w14:val="none"/>
        </w:rPr>
        <w:t>NOT</w:t>
      </w:r>
      <w:r w:rsidR="00801702" w:rsidRPr="00801702">
        <w:rPr>
          <w:rFonts w:ascii="Times New Roman" w:hAnsi="Times New Roman" w:cs="Times New Roman"/>
          <w:b/>
          <w:kern w:val="0"/>
          <w:sz w:val="24"/>
          <w:szCs w:val="24"/>
          <w14:ligatures w14:val="none"/>
        </w:rPr>
        <w:t>Ă</w:t>
      </w:r>
      <w:r w:rsidRPr="00801702">
        <w:rPr>
          <w:rFonts w:ascii="Times New Roman" w:hAnsi="Times New Roman" w:cs="Times New Roman"/>
          <w:b/>
          <w:kern w:val="0"/>
          <w:sz w:val="24"/>
          <w:szCs w:val="24"/>
          <w14:ligatures w14:val="none"/>
        </w:rPr>
        <w:t xml:space="preserve"> DE FUNDAMENTARE</w:t>
      </w:r>
    </w:p>
    <w:p w:rsidR="00275B16" w:rsidRPr="00801702" w:rsidRDefault="00275B16" w:rsidP="00801702">
      <w:pPr>
        <w:spacing w:after="0" w:line="276" w:lineRule="auto"/>
        <w:ind w:right="160" w:firstLine="426"/>
        <w:jc w:val="center"/>
        <w:rPr>
          <w:rFonts w:ascii="Times New Roman" w:eastAsia="Times New Roman" w:hAnsi="Times New Roman" w:cs="Times New Roman"/>
          <w:b/>
          <w:bCs/>
          <w:kern w:val="0"/>
          <w:sz w:val="24"/>
          <w:szCs w:val="24"/>
          <w14:ligatures w14:val="none"/>
        </w:rPr>
      </w:pPr>
      <w:r w:rsidRPr="00801702">
        <w:rPr>
          <w:rFonts w:ascii="Times New Roman" w:hAnsi="Times New Roman" w:cs="Times New Roman"/>
          <w:b/>
          <w:bCs/>
          <w:kern w:val="0"/>
          <w:sz w:val="24"/>
          <w:szCs w:val="24"/>
          <w14:ligatures w14:val="none"/>
        </w:rPr>
        <w:t xml:space="preserve">la proiectul de lege </w:t>
      </w:r>
      <w:r w:rsidRPr="00801702">
        <w:rPr>
          <w:rFonts w:ascii="Times New Roman" w:eastAsia="Times New Roman" w:hAnsi="Times New Roman" w:cs="Times New Roman"/>
          <w:b/>
          <w:bCs/>
          <w:kern w:val="0"/>
          <w:sz w:val="24"/>
          <w:szCs w:val="24"/>
          <w14:ligatures w14:val="none"/>
        </w:rPr>
        <w:t>privind practicile comerciale neloiale</w:t>
      </w:r>
    </w:p>
    <w:p w:rsidR="00275B16" w:rsidRPr="00801702" w:rsidRDefault="00275B16" w:rsidP="00801702">
      <w:pPr>
        <w:spacing w:after="0" w:line="276" w:lineRule="auto"/>
        <w:ind w:right="160" w:firstLine="426"/>
        <w:jc w:val="center"/>
        <w:rPr>
          <w:rFonts w:ascii="Times New Roman" w:eastAsia="Times New Roman" w:hAnsi="Times New Roman" w:cs="Times New Roman"/>
          <w:b/>
          <w:bCs/>
          <w:kern w:val="0"/>
          <w:sz w:val="24"/>
          <w:szCs w:val="24"/>
          <w14:ligatures w14:val="none"/>
        </w:rPr>
      </w:pPr>
      <w:r w:rsidRPr="00801702">
        <w:rPr>
          <w:rFonts w:ascii="Times New Roman" w:eastAsia="Times New Roman" w:hAnsi="Times New Roman" w:cs="Times New Roman"/>
          <w:b/>
          <w:bCs/>
          <w:kern w:val="0"/>
          <w:sz w:val="24"/>
          <w:szCs w:val="24"/>
          <w14:ligatures w14:val="none"/>
        </w:rPr>
        <w:t>în cadrul lanțului de aprovizionare agricol și alimentar</w:t>
      </w:r>
    </w:p>
    <w:tbl>
      <w:tblPr>
        <w:tblStyle w:val="Tabelgril"/>
        <w:tblW w:w="9634" w:type="dxa"/>
        <w:tblLook w:val="04A0" w:firstRow="1" w:lastRow="0" w:firstColumn="1" w:lastColumn="0" w:noHBand="0" w:noVBand="1"/>
      </w:tblPr>
      <w:tblGrid>
        <w:gridCol w:w="9634"/>
      </w:tblGrid>
      <w:tr w:rsidR="00801702" w:rsidRPr="00801702" w:rsidTr="00801702">
        <w:tc>
          <w:tcPr>
            <w:tcW w:w="9634" w:type="dxa"/>
            <w:shd w:val="clear" w:color="auto" w:fill="D9D9D9" w:themeFill="background1" w:themeFillShade="D9"/>
          </w:tcPr>
          <w:p w:rsidR="00801702" w:rsidRPr="00801702" w:rsidRDefault="00801702" w:rsidP="00801702">
            <w:pPr>
              <w:shd w:val="clear" w:color="auto" w:fill="D9D9D9" w:themeFill="background1" w:themeFillShade="D9"/>
              <w:spacing w:line="276" w:lineRule="auto"/>
              <w:ind w:firstLine="426"/>
              <w:jc w:val="both"/>
              <w:rPr>
                <w:rFonts w:ascii="Times New Roman" w:hAnsi="Times New Roman" w:cs="Times New Roman"/>
                <w:b/>
                <w:sz w:val="24"/>
                <w:szCs w:val="24"/>
              </w:rPr>
            </w:pPr>
            <w:r w:rsidRPr="00801702">
              <w:rPr>
                <w:rFonts w:ascii="Times New Roman" w:hAnsi="Times New Roman" w:cs="Times New Roman"/>
                <w:b/>
                <w:sz w:val="24"/>
                <w:szCs w:val="24"/>
              </w:rPr>
              <w:t>1. Denumirea sau numele autorului și, după caz, a/al participanților la elaborarea proiectului actului normativ</w:t>
            </w:r>
          </w:p>
        </w:tc>
      </w:tr>
      <w:tr w:rsidR="00801702" w:rsidRPr="00801702" w:rsidTr="00801702">
        <w:tc>
          <w:tcPr>
            <w:tcW w:w="9634" w:type="dxa"/>
          </w:tcPr>
          <w:p w:rsidR="00801702" w:rsidRPr="00801702" w:rsidRDefault="00801702" w:rsidP="00801702">
            <w:pPr>
              <w:spacing w:line="276" w:lineRule="auto"/>
              <w:ind w:right="160" w:firstLine="447"/>
              <w:jc w:val="both"/>
              <w:rPr>
                <w:rFonts w:ascii="Times New Roman" w:eastAsia="Times New Roman" w:hAnsi="Times New Roman" w:cs="Times New Roman"/>
                <w:bCs/>
                <w:sz w:val="24"/>
                <w:szCs w:val="24"/>
                <w:lang w:val="ro-MD"/>
              </w:rPr>
            </w:pPr>
            <w:r w:rsidRPr="00801702">
              <w:rPr>
                <w:rFonts w:ascii="Times New Roman" w:hAnsi="Times New Roman" w:cs="Times New Roman"/>
                <w:sz w:val="24"/>
                <w:szCs w:val="24"/>
              </w:rPr>
              <w:t>Proiectul de lege</w:t>
            </w:r>
            <w:r w:rsidRPr="00801702">
              <w:rPr>
                <w:rFonts w:ascii="Times New Roman" w:eastAsia="Times New Roman" w:hAnsi="Times New Roman" w:cs="Times New Roman"/>
                <w:bCs/>
                <w:sz w:val="24"/>
                <w:szCs w:val="24"/>
              </w:rPr>
              <w:t xml:space="preserve"> privind practicile comerciale neloiale în cadrul lanțului de aprovizionare agricol și alimentar</w:t>
            </w:r>
            <w:r w:rsidR="00480DEB">
              <w:rPr>
                <w:rFonts w:ascii="Times New Roman" w:eastAsia="Times New Roman" w:hAnsi="Times New Roman" w:cs="Times New Roman"/>
                <w:bCs/>
                <w:sz w:val="24"/>
                <w:szCs w:val="24"/>
              </w:rPr>
              <w:t xml:space="preserve"> </w:t>
            </w:r>
            <w:r w:rsidRPr="00801702">
              <w:rPr>
                <w:rFonts w:ascii="Times New Roman" w:eastAsia="Times New Roman" w:hAnsi="Times New Roman" w:cs="Times New Roman"/>
                <w:bCs/>
                <w:sz w:val="24"/>
                <w:szCs w:val="24"/>
                <w:lang w:val="ro-MD"/>
              </w:rPr>
              <w:t xml:space="preserve">a fost elaborat de către Ministerul Agriculturii și Industriei Alimentare, cu suportul </w:t>
            </w:r>
            <w:r w:rsidR="00480DEB">
              <w:rPr>
                <w:rFonts w:ascii="Times New Roman" w:eastAsia="Times New Roman" w:hAnsi="Times New Roman" w:cs="Times New Roman"/>
                <w:bCs/>
                <w:sz w:val="24"/>
                <w:szCs w:val="24"/>
                <w:lang w:val="ro-MD"/>
              </w:rPr>
              <w:t xml:space="preserve">Consiliului Concurenței și </w:t>
            </w:r>
            <w:r w:rsidRPr="00801702">
              <w:rPr>
                <w:rFonts w:ascii="Times New Roman" w:eastAsia="Times New Roman" w:hAnsi="Times New Roman" w:cs="Times New Roman"/>
                <w:bCs/>
                <w:sz w:val="24"/>
                <w:szCs w:val="24"/>
                <w:lang w:val="ro-MD"/>
              </w:rPr>
              <w:t xml:space="preserve">proiectului </w:t>
            </w:r>
            <w:proofErr w:type="spellStart"/>
            <w:r w:rsidRPr="00801702">
              <w:rPr>
                <w:rFonts w:ascii="Times New Roman" w:eastAsia="Times New Roman" w:hAnsi="Times New Roman" w:cs="Times New Roman"/>
                <w:bCs/>
                <w:sz w:val="24"/>
                <w:szCs w:val="24"/>
                <w:lang w:val="ro-MD"/>
              </w:rPr>
              <w:t>Twinning</w:t>
            </w:r>
            <w:proofErr w:type="spellEnd"/>
            <w:r w:rsidRPr="00801702">
              <w:rPr>
                <w:rFonts w:ascii="Times New Roman" w:eastAsia="Times New Roman" w:hAnsi="Times New Roman" w:cs="Times New Roman"/>
                <w:bCs/>
                <w:sz w:val="24"/>
                <w:szCs w:val="24"/>
                <w:lang w:val="ro-MD"/>
              </w:rPr>
              <w:t xml:space="preserve"> </w:t>
            </w:r>
            <w:r w:rsidRPr="00801702">
              <w:rPr>
                <w:rFonts w:ascii="Times New Roman" w:hAnsi="Times New Roman" w:cs="Times New Roman"/>
                <w:color w:val="000000"/>
                <w:sz w:val="24"/>
                <w:szCs w:val="24"/>
                <w:shd w:val="clear" w:color="auto" w:fill="FDFCFB"/>
                <w:lang w:val="ro-MD"/>
              </w:rPr>
              <w:t>„Consolidarea capacității instituționale a Consiliului Concurenței al Republicii Moldova pentru aplicarea politicii în domeniul concurenței și al ajutorului de stat, în conformitate cu cele mai bune practici ale Uniunii Europene”</w:t>
            </w:r>
            <w:r w:rsidR="00721128">
              <w:rPr>
                <w:rFonts w:ascii="Times New Roman" w:hAnsi="Times New Roman" w:cs="Times New Roman"/>
                <w:color w:val="000000"/>
                <w:sz w:val="24"/>
                <w:szCs w:val="24"/>
                <w:shd w:val="clear" w:color="auto" w:fill="FDFCFB"/>
                <w:lang w:val="ro-MD"/>
              </w:rPr>
              <w:t>.</w:t>
            </w:r>
          </w:p>
          <w:p w:rsidR="00801702" w:rsidRPr="00801702" w:rsidRDefault="00801702" w:rsidP="00801702">
            <w:pPr>
              <w:spacing w:line="276" w:lineRule="auto"/>
              <w:ind w:firstLine="447"/>
              <w:jc w:val="both"/>
              <w:rPr>
                <w:rFonts w:ascii="Times New Roman" w:eastAsia="Times New Roman" w:hAnsi="Times New Roman" w:cs="Times New Roman"/>
                <w:b/>
                <w:sz w:val="24"/>
                <w:szCs w:val="24"/>
                <w:lang w:eastAsia="ro-RO"/>
              </w:rPr>
            </w:pPr>
            <w:r w:rsidRPr="00801702">
              <w:rPr>
                <w:rFonts w:ascii="Times New Roman" w:hAnsi="Times New Roman" w:cs="Times New Roman"/>
                <w:sz w:val="24"/>
                <w:szCs w:val="24"/>
                <w:lang w:val="ro-MD"/>
              </w:rPr>
              <w:t>Proiectul reprezintă un act normativ cu relevanță UE și este marcat cu sigla „UE”</w:t>
            </w:r>
            <w:r w:rsidR="00480DEB">
              <w:rPr>
                <w:rFonts w:ascii="Times New Roman" w:hAnsi="Times New Roman" w:cs="Times New Roman"/>
                <w:sz w:val="24"/>
                <w:szCs w:val="24"/>
                <w:lang w:val="ro-MD"/>
              </w:rPr>
              <w:t>.</w:t>
            </w:r>
          </w:p>
        </w:tc>
      </w:tr>
      <w:tr w:rsidR="00801702" w:rsidRPr="00801702" w:rsidTr="00685D5C">
        <w:trPr>
          <w:trHeight w:val="422"/>
        </w:trPr>
        <w:tc>
          <w:tcPr>
            <w:tcW w:w="9634" w:type="dxa"/>
            <w:tcBorders>
              <w:bottom w:val="single" w:sz="4" w:space="0" w:color="auto"/>
            </w:tcBorders>
            <w:shd w:val="clear" w:color="auto" w:fill="D9D9D9" w:themeFill="background1" w:themeFillShade="D9"/>
          </w:tcPr>
          <w:p w:rsidR="00801702" w:rsidRPr="00801702" w:rsidRDefault="00801702" w:rsidP="00801702">
            <w:pPr>
              <w:shd w:val="clear" w:color="auto" w:fill="D9D9D9" w:themeFill="background1" w:themeFillShade="D9"/>
              <w:spacing w:line="276" w:lineRule="auto"/>
              <w:ind w:firstLine="426"/>
              <w:jc w:val="both"/>
              <w:rPr>
                <w:rFonts w:ascii="Times New Roman" w:hAnsi="Times New Roman" w:cs="Times New Roman"/>
                <w:b/>
                <w:sz w:val="24"/>
                <w:szCs w:val="24"/>
              </w:rPr>
            </w:pPr>
            <w:r w:rsidRPr="00801702">
              <w:rPr>
                <w:rFonts w:ascii="Times New Roman" w:hAnsi="Times New Roman" w:cs="Times New Roman"/>
                <w:b/>
                <w:sz w:val="24"/>
                <w:szCs w:val="24"/>
              </w:rPr>
              <w:t>2. Condițiile ce au impus elaborarea proiectului actului normativ</w:t>
            </w:r>
          </w:p>
        </w:tc>
      </w:tr>
      <w:tr w:rsidR="00801702" w:rsidRPr="00801702" w:rsidTr="00801702">
        <w:trPr>
          <w:trHeight w:val="334"/>
        </w:trPr>
        <w:tc>
          <w:tcPr>
            <w:tcW w:w="9634" w:type="dxa"/>
            <w:tcBorders>
              <w:bottom w:val="single" w:sz="4" w:space="0" w:color="auto"/>
            </w:tcBorders>
            <w:shd w:val="clear" w:color="auto" w:fill="F2F2F2" w:themeFill="background1" w:themeFillShade="F2"/>
          </w:tcPr>
          <w:p w:rsidR="00801702" w:rsidRPr="00801702" w:rsidRDefault="00801702" w:rsidP="00801702">
            <w:pPr>
              <w:widowControl w:val="0"/>
              <w:autoSpaceDE w:val="0"/>
              <w:autoSpaceDN w:val="0"/>
              <w:spacing w:line="276" w:lineRule="auto"/>
              <w:ind w:firstLine="426"/>
              <w:jc w:val="both"/>
              <w:rPr>
                <w:rFonts w:ascii="Times New Roman" w:eastAsia="Times New Roman" w:hAnsi="Times New Roman" w:cs="Times New Roman"/>
                <w:sz w:val="24"/>
                <w:szCs w:val="24"/>
              </w:rPr>
            </w:pPr>
            <w:r w:rsidRPr="00801702">
              <w:rPr>
                <w:rFonts w:ascii="Times New Roman" w:eastAsia="Times New Roman" w:hAnsi="Times New Roman" w:cs="Times New Roman"/>
                <w:b/>
                <w:sz w:val="24"/>
                <w:szCs w:val="24"/>
              </w:rPr>
              <w:t>2.1.</w:t>
            </w:r>
            <w:r w:rsidRPr="00801702">
              <w:rPr>
                <w:rFonts w:ascii="Times New Roman" w:eastAsia="Times New Roman" w:hAnsi="Times New Roman" w:cs="Times New Roman"/>
                <w:spacing w:val="-3"/>
                <w:sz w:val="24"/>
                <w:szCs w:val="24"/>
              </w:rPr>
              <w:t xml:space="preserve"> </w:t>
            </w:r>
            <w:r w:rsidRPr="00685D5C">
              <w:rPr>
                <w:rFonts w:ascii="Times New Roman" w:eastAsia="Times New Roman" w:hAnsi="Times New Roman" w:cs="Times New Roman"/>
                <w:sz w:val="24"/>
                <w:szCs w:val="24"/>
              </w:rPr>
              <w:t>Temeiul legal</w:t>
            </w:r>
            <w:r w:rsidRPr="00685D5C">
              <w:rPr>
                <w:rFonts w:ascii="Times New Roman" w:eastAsia="Times New Roman" w:hAnsi="Times New Roman" w:cs="Times New Roman"/>
                <w:spacing w:val="-1"/>
                <w:sz w:val="24"/>
                <w:szCs w:val="24"/>
              </w:rPr>
              <w:t xml:space="preserve"> </w:t>
            </w:r>
            <w:r w:rsidRPr="00685D5C">
              <w:rPr>
                <w:rFonts w:ascii="Times New Roman" w:eastAsia="Times New Roman" w:hAnsi="Times New Roman" w:cs="Times New Roman"/>
                <w:sz w:val="24"/>
                <w:szCs w:val="24"/>
              </w:rPr>
              <w:t>sau,</w:t>
            </w:r>
            <w:r w:rsidRPr="00685D5C">
              <w:rPr>
                <w:rFonts w:ascii="Times New Roman" w:eastAsia="Times New Roman" w:hAnsi="Times New Roman" w:cs="Times New Roman"/>
                <w:spacing w:val="-1"/>
                <w:sz w:val="24"/>
                <w:szCs w:val="24"/>
              </w:rPr>
              <w:t xml:space="preserve"> </w:t>
            </w:r>
            <w:r w:rsidRPr="00685D5C">
              <w:rPr>
                <w:rFonts w:ascii="Times New Roman" w:eastAsia="Times New Roman" w:hAnsi="Times New Roman" w:cs="Times New Roman"/>
                <w:sz w:val="24"/>
                <w:szCs w:val="24"/>
              </w:rPr>
              <w:t>după</w:t>
            </w:r>
            <w:r w:rsidRPr="00685D5C">
              <w:rPr>
                <w:rFonts w:ascii="Times New Roman" w:eastAsia="Times New Roman" w:hAnsi="Times New Roman" w:cs="Times New Roman"/>
                <w:spacing w:val="-1"/>
                <w:sz w:val="24"/>
                <w:szCs w:val="24"/>
              </w:rPr>
              <w:t xml:space="preserve"> </w:t>
            </w:r>
            <w:r w:rsidRPr="00685D5C">
              <w:rPr>
                <w:rFonts w:ascii="Times New Roman" w:eastAsia="Times New Roman" w:hAnsi="Times New Roman" w:cs="Times New Roman"/>
                <w:sz w:val="24"/>
                <w:szCs w:val="24"/>
              </w:rPr>
              <w:t>caz,</w:t>
            </w:r>
            <w:r w:rsidRPr="00685D5C">
              <w:rPr>
                <w:rFonts w:ascii="Times New Roman" w:eastAsia="Times New Roman" w:hAnsi="Times New Roman" w:cs="Times New Roman"/>
                <w:spacing w:val="-1"/>
                <w:sz w:val="24"/>
                <w:szCs w:val="24"/>
              </w:rPr>
              <w:t xml:space="preserve"> </w:t>
            </w:r>
            <w:r w:rsidRPr="00685D5C">
              <w:rPr>
                <w:rFonts w:ascii="Times New Roman" w:eastAsia="Times New Roman" w:hAnsi="Times New Roman" w:cs="Times New Roman"/>
                <w:sz w:val="24"/>
                <w:szCs w:val="24"/>
              </w:rPr>
              <w:t>sursa</w:t>
            </w:r>
            <w:r w:rsidRPr="00685D5C">
              <w:rPr>
                <w:rFonts w:ascii="Times New Roman" w:eastAsia="Times New Roman" w:hAnsi="Times New Roman" w:cs="Times New Roman"/>
                <w:spacing w:val="-3"/>
                <w:sz w:val="24"/>
                <w:szCs w:val="24"/>
              </w:rPr>
              <w:t xml:space="preserve"> </w:t>
            </w:r>
            <w:r w:rsidRPr="00685D5C">
              <w:rPr>
                <w:rFonts w:ascii="Times New Roman" w:eastAsia="Times New Roman" w:hAnsi="Times New Roman" w:cs="Times New Roman"/>
                <w:sz w:val="24"/>
                <w:szCs w:val="24"/>
              </w:rPr>
              <w:t>proiectului actului</w:t>
            </w:r>
            <w:r w:rsidRPr="00685D5C">
              <w:rPr>
                <w:rFonts w:ascii="Times New Roman" w:eastAsia="Times New Roman" w:hAnsi="Times New Roman" w:cs="Times New Roman"/>
                <w:spacing w:val="1"/>
                <w:sz w:val="24"/>
                <w:szCs w:val="24"/>
              </w:rPr>
              <w:t xml:space="preserve"> </w:t>
            </w:r>
            <w:r w:rsidRPr="00685D5C">
              <w:rPr>
                <w:rFonts w:ascii="Times New Roman" w:eastAsia="Times New Roman" w:hAnsi="Times New Roman" w:cs="Times New Roman"/>
                <w:spacing w:val="-2"/>
                <w:sz w:val="24"/>
                <w:szCs w:val="24"/>
              </w:rPr>
              <w:t>normativ</w:t>
            </w:r>
          </w:p>
        </w:tc>
      </w:tr>
      <w:tr w:rsidR="00801702" w:rsidRPr="00801702" w:rsidTr="00721128">
        <w:trPr>
          <w:trHeight w:val="77"/>
        </w:trPr>
        <w:tc>
          <w:tcPr>
            <w:tcW w:w="9634" w:type="dxa"/>
            <w:tcBorders>
              <w:top w:val="single" w:sz="4" w:space="0" w:color="auto"/>
              <w:left w:val="single" w:sz="4" w:space="0" w:color="auto"/>
              <w:bottom w:val="single" w:sz="4" w:space="0" w:color="auto"/>
              <w:right w:val="single" w:sz="4" w:space="0" w:color="auto"/>
            </w:tcBorders>
          </w:tcPr>
          <w:p w:rsidR="00801702" w:rsidRDefault="00480DEB" w:rsidP="00801702">
            <w:pPr>
              <w:widowControl w:val="0"/>
              <w:autoSpaceDE w:val="0"/>
              <w:autoSpaceDN w:val="0"/>
              <w:spacing w:line="276" w:lineRule="auto"/>
              <w:ind w:right="89" w:firstLine="447"/>
              <w:jc w:val="both"/>
              <w:rPr>
                <w:rFonts w:ascii="Times New Roman" w:eastAsia="Times New Roman" w:hAnsi="Times New Roman" w:cs="Times New Roman"/>
                <w:sz w:val="24"/>
                <w:szCs w:val="24"/>
              </w:rPr>
            </w:pPr>
            <w:r w:rsidRPr="00480DEB">
              <w:rPr>
                <w:rFonts w:ascii="Times New Roman" w:hAnsi="Times New Roman" w:cs="Times New Roman"/>
                <w:sz w:val="24"/>
                <w:szCs w:val="24"/>
              </w:rPr>
              <w:t>Elaborarea proiectului de lege este determinată, în primul rând, de necesitatea alinierii cadrului normativ național la acquis-</w:t>
            </w:r>
            <w:proofErr w:type="spellStart"/>
            <w:r w:rsidRPr="00480DEB">
              <w:rPr>
                <w:rFonts w:ascii="Times New Roman" w:hAnsi="Times New Roman" w:cs="Times New Roman"/>
                <w:sz w:val="24"/>
                <w:szCs w:val="24"/>
              </w:rPr>
              <w:t>ul</w:t>
            </w:r>
            <w:proofErr w:type="spellEnd"/>
            <w:r w:rsidRPr="00480DEB">
              <w:rPr>
                <w:rFonts w:ascii="Times New Roman" w:hAnsi="Times New Roman" w:cs="Times New Roman"/>
                <w:sz w:val="24"/>
                <w:szCs w:val="24"/>
              </w:rPr>
              <w:t xml:space="preserve"> Uniunii Europene, în contextul procesului de aderare a Republicii Moldova la Uniunea Europeană și al obligațiilor de apropiere legislativă asumate de stat, </w:t>
            </w:r>
            <w:r w:rsidRPr="00480DEB">
              <w:rPr>
                <w:rFonts w:ascii="Times New Roman" w:eastAsia="Times New Roman" w:hAnsi="Times New Roman" w:cs="Times New Roman"/>
                <w:sz w:val="24"/>
                <w:szCs w:val="24"/>
              </w:rPr>
              <w:t>î</w:t>
            </w:r>
            <w:r w:rsidRPr="00480DEB">
              <w:rPr>
                <w:rFonts w:ascii="Times New Roman" w:hAnsi="Times New Roman" w:cs="Times New Roman"/>
                <w:sz w:val="24"/>
                <w:szCs w:val="24"/>
              </w:rPr>
              <w:t xml:space="preserve">ntru executarea acțiunii nr. </w:t>
            </w:r>
            <w:r w:rsidRPr="00480DEB">
              <w:rPr>
                <w:rFonts w:ascii="Times New Roman" w:hAnsi="Times New Roman" w:cs="Times New Roman"/>
                <w:color w:val="000000" w:themeColor="text1"/>
                <w:sz w:val="24"/>
                <w:szCs w:val="24"/>
              </w:rPr>
              <w:t xml:space="preserve">34 </w:t>
            </w:r>
            <w:r w:rsidRPr="00480DEB">
              <w:rPr>
                <w:rFonts w:ascii="Times New Roman" w:hAnsi="Times New Roman" w:cs="Times New Roman"/>
                <w:sz w:val="24"/>
                <w:szCs w:val="24"/>
              </w:rPr>
              <w:t xml:space="preserve">din </w:t>
            </w:r>
            <w:r w:rsidRPr="00480DEB">
              <w:rPr>
                <w:rFonts w:ascii="Times New Roman" w:eastAsia="Times New Roman" w:hAnsi="Times New Roman" w:cs="Times New Roman"/>
                <w:bCs/>
                <w:color w:val="333333"/>
                <w:sz w:val="24"/>
                <w:szCs w:val="24"/>
                <w:lang w:eastAsia="ro-RO"/>
              </w:rPr>
              <w:t>Programul Național de Aderare a Republicii Moldova la Uniunea Europeană pentru anii 2025-2029</w:t>
            </w:r>
            <w:r w:rsidRPr="00480DEB">
              <w:rPr>
                <w:rFonts w:ascii="Times New Roman" w:hAnsi="Times New Roman" w:cs="Times New Roman"/>
                <w:sz w:val="24"/>
                <w:szCs w:val="24"/>
              </w:rPr>
              <w:t xml:space="preserve">, aprobat prin Hotărârea Guvernului </w:t>
            </w:r>
            <w:r w:rsidRPr="00480DEB">
              <w:rPr>
                <w:rFonts w:ascii="Times New Roman" w:eastAsia="Times New Roman" w:hAnsi="Times New Roman" w:cs="Times New Roman"/>
                <w:color w:val="333333"/>
                <w:sz w:val="24"/>
                <w:szCs w:val="24"/>
                <w:lang w:eastAsia="ro-RO"/>
              </w:rPr>
              <w:t>nr. 306/2025.</w:t>
            </w:r>
            <w:r w:rsidR="00801702" w:rsidRPr="00480DEB">
              <w:rPr>
                <w:rFonts w:ascii="Times New Roman" w:eastAsia="Times New Roman" w:hAnsi="Times New Roman" w:cs="Times New Roman"/>
                <w:sz w:val="24"/>
                <w:szCs w:val="24"/>
              </w:rPr>
              <w:t xml:space="preserve"> </w:t>
            </w:r>
          </w:p>
          <w:p w:rsidR="00480DEB" w:rsidRDefault="00480DEB" w:rsidP="00801702">
            <w:pPr>
              <w:widowControl w:val="0"/>
              <w:autoSpaceDE w:val="0"/>
              <w:autoSpaceDN w:val="0"/>
              <w:spacing w:line="276" w:lineRule="auto"/>
              <w:ind w:right="89" w:firstLine="447"/>
              <w:jc w:val="both"/>
              <w:rPr>
                <w:rFonts w:ascii="Times New Roman" w:hAnsi="Times New Roman" w:cs="Times New Roman"/>
                <w:sz w:val="24"/>
                <w:szCs w:val="24"/>
              </w:rPr>
            </w:pPr>
            <w:r w:rsidRPr="00480DEB">
              <w:rPr>
                <w:rFonts w:ascii="Times New Roman" w:hAnsi="Times New Roman" w:cs="Times New Roman"/>
                <w:sz w:val="24"/>
                <w:szCs w:val="24"/>
              </w:rPr>
              <w:t xml:space="preserve">Proiectul are ca temei juridic extern </w:t>
            </w:r>
            <w:r w:rsidRPr="00480DEB">
              <w:rPr>
                <w:rStyle w:val="Robust"/>
                <w:rFonts w:ascii="Times New Roman" w:hAnsi="Times New Roman" w:cs="Times New Roman"/>
                <w:b w:val="0"/>
                <w:sz w:val="24"/>
                <w:szCs w:val="24"/>
              </w:rPr>
              <w:t>Directiva (UE) 2019/633 a Parlamentului European și a Consiliului din 17 aprilie 2019 privind practicile comerciale neloiale dintre întreprinderi în cadrul lanțului de aprovizionare agricol și alimentar</w:t>
            </w:r>
            <w:r w:rsidRPr="00480DEB">
              <w:rPr>
                <w:rFonts w:ascii="Times New Roman" w:hAnsi="Times New Roman" w:cs="Times New Roman"/>
                <w:sz w:val="24"/>
                <w:szCs w:val="24"/>
              </w:rPr>
              <w:t>, care instituie un standard minim de protecție a furnizorilor vulnerabili împotriva practicilor comerciale neloiale aplicate de parteneri comerciali cu putere de negociere superioară. Directiva pornește de la constatarea existenței unor dezechilibre semnificative de putere de negociere în lanțul agroalimentar, care pot conduce la impunerea unilaterală a unor condiții contractuale sau comerciale inechitabile și la transferarea disproporționată a riscului economic asupra operatorilor mai slabi din lanț.</w:t>
            </w:r>
          </w:p>
          <w:p w:rsidR="00480DEB" w:rsidRPr="00480DEB" w:rsidRDefault="00480DEB" w:rsidP="00801702">
            <w:pPr>
              <w:widowControl w:val="0"/>
              <w:autoSpaceDE w:val="0"/>
              <w:autoSpaceDN w:val="0"/>
              <w:spacing w:line="276" w:lineRule="auto"/>
              <w:ind w:right="89" w:firstLine="447"/>
              <w:jc w:val="both"/>
              <w:rPr>
                <w:rFonts w:ascii="Times New Roman" w:eastAsia="Times New Roman" w:hAnsi="Times New Roman" w:cs="Times New Roman"/>
                <w:sz w:val="24"/>
                <w:szCs w:val="24"/>
              </w:rPr>
            </w:pPr>
            <w:r w:rsidRPr="00480DEB">
              <w:rPr>
                <w:rFonts w:ascii="Times New Roman" w:hAnsi="Times New Roman" w:cs="Times New Roman"/>
                <w:sz w:val="24"/>
                <w:szCs w:val="24"/>
              </w:rPr>
              <w:t xml:space="preserve">Necesitatea intervenției normative rezultă și din faptul că Directiva impune statelor să asigure interzicerea cel puțin a practicilor comerciale neloiale enumerate expres și să instituie mecanisme de aplicare și sancționare adecvate. Totodată, Directiva are caracter de </w:t>
            </w:r>
            <w:r w:rsidRPr="00480DEB">
              <w:rPr>
                <w:rStyle w:val="Robust"/>
                <w:rFonts w:ascii="Times New Roman" w:hAnsi="Times New Roman" w:cs="Times New Roman"/>
                <w:b w:val="0"/>
                <w:sz w:val="24"/>
                <w:szCs w:val="24"/>
              </w:rPr>
              <w:t>armonizare minimă</w:t>
            </w:r>
            <w:r w:rsidRPr="00480DEB">
              <w:rPr>
                <w:rFonts w:ascii="Times New Roman" w:hAnsi="Times New Roman" w:cs="Times New Roman"/>
                <w:sz w:val="24"/>
                <w:szCs w:val="24"/>
              </w:rPr>
              <w:t>, permițând statelor să adopte sau să mențină norme naționale mai extinse, cu condiția respectării obiectivului său de protecție a furnizorilor din lanțul de aprovizionare agricol și alimentar.</w:t>
            </w:r>
          </w:p>
          <w:p w:rsidR="00480DEB" w:rsidRDefault="00480DEB" w:rsidP="00801702">
            <w:pPr>
              <w:spacing w:line="276" w:lineRule="auto"/>
              <w:ind w:firstLine="426"/>
              <w:jc w:val="both"/>
              <w:rPr>
                <w:rFonts w:ascii="Times New Roman" w:hAnsi="Times New Roman" w:cs="Times New Roman"/>
                <w:sz w:val="24"/>
                <w:szCs w:val="24"/>
              </w:rPr>
            </w:pPr>
            <w:r w:rsidRPr="00480DEB">
              <w:rPr>
                <w:rFonts w:ascii="Times New Roman" w:hAnsi="Times New Roman" w:cs="Times New Roman"/>
                <w:sz w:val="24"/>
                <w:szCs w:val="24"/>
              </w:rPr>
              <w:t xml:space="preserve">La nivel național, proiectul se întemeiază pe necesitatea instituirii unui cadru normativ special aplicabil practicilor comerciale neloiale din relațiile verticale dintre furnizori și cumpărători de produse agricole și alimentare, distinct de normele generale de drept civil și complementar cadrului existent al legislației concurențiale. În acest sens, proiectul este conceput în corelare cu </w:t>
            </w:r>
            <w:r w:rsidRPr="00480DEB">
              <w:rPr>
                <w:rStyle w:val="Robust"/>
                <w:rFonts w:ascii="Times New Roman" w:hAnsi="Times New Roman" w:cs="Times New Roman"/>
                <w:b w:val="0"/>
                <w:sz w:val="24"/>
                <w:szCs w:val="24"/>
              </w:rPr>
              <w:t>Legea concurenței nr. 183/2012</w:t>
            </w:r>
            <w:r w:rsidRPr="00480DEB">
              <w:rPr>
                <w:rFonts w:ascii="Times New Roman" w:hAnsi="Times New Roman" w:cs="Times New Roman"/>
                <w:sz w:val="24"/>
                <w:szCs w:val="24"/>
              </w:rPr>
              <w:t>, care stabilește cadrul juridic privind competența și activitatea Consiliului Concurenței și care deja include atribuții ale acestei autorități și în domeniul practicilor comerciale neloiale, în limitele competențelor sale.</w:t>
            </w:r>
          </w:p>
          <w:p w:rsidR="00801702" w:rsidRPr="00721128" w:rsidRDefault="002C1968" w:rsidP="00721128">
            <w:pPr>
              <w:spacing w:line="276" w:lineRule="auto"/>
              <w:ind w:firstLine="426"/>
              <w:jc w:val="both"/>
              <w:rPr>
                <w:rFonts w:ascii="Times New Roman" w:hAnsi="Times New Roman" w:cs="Times New Roman"/>
                <w:b/>
                <w:i/>
                <w:iCs/>
                <w:sz w:val="24"/>
                <w:szCs w:val="24"/>
              </w:rPr>
            </w:pPr>
            <w:r w:rsidRPr="002C1968">
              <w:rPr>
                <w:rFonts w:ascii="Times New Roman" w:hAnsi="Times New Roman" w:cs="Times New Roman"/>
                <w:sz w:val="24"/>
                <w:szCs w:val="24"/>
              </w:rPr>
              <w:t xml:space="preserve">Suplimentar, proiectul răspunde și necesității de modernizare a cadrului </w:t>
            </w:r>
            <w:r>
              <w:rPr>
                <w:rFonts w:ascii="Times New Roman" w:hAnsi="Times New Roman" w:cs="Times New Roman"/>
                <w:sz w:val="24"/>
                <w:szCs w:val="24"/>
              </w:rPr>
              <w:t xml:space="preserve">național existent </w:t>
            </w:r>
            <w:r w:rsidRPr="002C1968">
              <w:rPr>
                <w:rFonts w:ascii="Times New Roman" w:hAnsi="Times New Roman" w:cs="Times New Roman"/>
                <w:sz w:val="24"/>
                <w:szCs w:val="24"/>
              </w:rPr>
              <w:t>de reglementare a</w:t>
            </w:r>
            <w:r w:rsidR="007E5FB7">
              <w:rPr>
                <w:rFonts w:ascii="Times New Roman" w:hAnsi="Times New Roman" w:cs="Times New Roman"/>
                <w:sz w:val="24"/>
                <w:szCs w:val="24"/>
              </w:rPr>
              <w:t xml:space="preserve"> relațiilor dintre furnizorii și cumpărătorii din lanțurile de aprovizionare agricole și </w:t>
            </w:r>
            <w:r w:rsidR="007E5FB7">
              <w:rPr>
                <w:rFonts w:ascii="Times New Roman" w:hAnsi="Times New Roman" w:cs="Times New Roman"/>
                <w:sz w:val="24"/>
                <w:szCs w:val="24"/>
              </w:rPr>
              <w:lastRenderedPageBreak/>
              <w:t xml:space="preserve">alimentare </w:t>
            </w:r>
            <w:r w:rsidR="007E5FB7" w:rsidRPr="00801702">
              <w:rPr>
                <w:rFonts w:ascii="Times New Roman" w:hAnsi="Times New Roman" w:cs="Times New Roman"/>
                <w:sz w:val="24"/>
                <w:szCs w:val="24"/>
              </w:rPr>
              <w:t>Capitolului V</w:t>
            </w:r>
            <w:r w:rsidR="007E5FB7" w:rsidRPr="00801702">
              <w:rPr>
                <w:rFonts w:ascii="Times New Roman" w:hAnsi="Times New Roman" w:cs="Times New Roman"/>
                <w:sz w:val="24"/>
                <w:szCs w:val="24"/>
                <w:vertAlign w:val="superscript"/>
              </w:rPr>
              <w:t>2</w:t>
            </w:r>
            <w:r w:rsidR="007E5FB7" w:rsidRPr="00801702">
              <w:rPr>
                <w:rFonts w:ascii="Times New Roman" w:hAnsi="Times New Roman" w:cs="Times New Roman"/>
                <w:sz w:val="24"/>
                <w:szCs w:val="24"/>
              </w:rPr>
              <w:t xml:space="preserve"> „R</w:t>
            </w:r>
            <w:r w:rsidR="007E5FB7" w:rsidRPr="00801702">
              <w:rPr>
                <w:rFonts w:ascii="Times New Roman" w:hAnsi="Times New Roman" w:cs="Times New Roman"/>
                <w:bCs/>
                <w:sz w:val="24"/>
                <w:szCs w:val="24"/>
              </w:rPr>
              <w:t xml:space="preserve">elațiile contractuale dintre furnizor și cumpărător privind livrarea de produse agricole și alimentare” </w:t>
            </w:r>
            <w:r w:rsidR="007E5FB7" w:rsidRPr="00801702">
              <w:rPr>
                <w:rFonts w:ascii="Times New Roman" w:hAnsi="Times New Roman" w:cs="Times New Roman"/>
                <w:sz w:val="24"/>
                <w:szCs w:val="24"/>
              </w:rPr>
              <w:t>din Legea nr. 231/2010</w:t>
            </w:r>
            <w:r w:rsidR="007E5FB7">
              <w:rPr>
                <w:rFonts w:ascii="Times New Roman" w:hAnsi="Times New Roman" w:cs="Times New Roman"/>
                <w:sz w:val="24"/>
                <w:szCs w:val="24"/>
              </w:rPr>
              <w:t xml:space="preserve"> </w:t>
            </w:r>
            <w:r>
              <w:rPr>
                <w:rFonts w:ascii="Times New Roman" w:hAnsi="Times New Roman" w:cs="Times New Roman"/>
                <w:sz w:val="24"/>
                <w:szCs w:val="24"/>
              </w:rPr>
              <w:t>cu privire la comerțul interior</w:t>
            </w:r>
            <w:r w:rsidR="007E5FB7">
              <w:rPr>
                <w:rFonts w:ascii="Times New Roman" w:hAnsi="Times New Roman" w:cs="Times New Roman"/>
                <w:sz w:val="24"/>
                <w:szCs w:val="24"/>
              </w:rPr>
              <w:t>.</w:t>
            </w:r>
          </w:p>
        </w:tc>
      </w:tr>
      <w:tr w:rsidR="00801702" w:rsidRPr="00801702" w:rsidTr="00685D5C">
        <w:trPr>
          <w:trHeight w:val="593"/>
        </w:trPr>
        <w:tc>
          <w:tcPr>
            <w:tcW w:w="9634" w:type="dxa"/>
            <w:shd w:val="clear" w:color="auto" w:fill="F2F2F2" w:themeFill="background1" w:themeFillShade="F2"/>
          </w:tcPr>
          <w:p w:rsidR="00801702" w:rsidRPr="00801702" w:rsidRDefault="00801702" w:rsidP="00801702">
            <w:pPr>
              <w:spacing w:line="276" w:lineRule="auto"/>
              <w:ind w:firstLine="426"/>
              <w:jc w:val="both"/>
              <w:rPr>
                <w:rFonts w:ascii="Times New Roman" w:eastAsia="Times New Roman" w:hAnsi="Times New Roman" w:cs="Times New Roman"/>
                <w:b/>
                <w:sz w:val="24"/>
                <w:szCs w:val="24"/>
                <w:lang w:eastAsia="ro-RO"/>
              </w:rPr>
            </w:pPr>
            <w:r w:rsidRPr="00801702">
              <w:rPr>
                <w:rFonts w:ascii="Times New Roman" w:eastAsia="Times New Roman" w:hAnsi="Times New Roman" w:cs="Times New Roman"/>
                <w:b/>
                <w:sz w:val="24"/>
                <w:szCs w:val="24"/>
                <w:lang w:eastAsia="ro-RO"/>
              </w:rPr>
              <w:lastRenderedPageBreak/>
              <w:t xml:space="preserve">2.2. </w:t>
            </w:r>
            <w:r w:rsidRPr="00801702">
              <w:rPr>
                <w:rFonts w:ascii="Times New Roman" w:eastAsia="Times New Roman" w:hAnsi="Times New Roman" w:cs="Times New Roman"/>
                <w:b/>
                <w:bCs/>
                <w:sz w:val="24"/>
                <w:szCs w:val="24"/>
                <w:lang w:eastAsia="ro-RO"/>
              </w:rPr>
              <w:t>Descrierea situa</w:t>
            </w:r>
            <w:r w:rsidR="00D63369">
              <w:rPr>
                <w:rFonts w:ascii="Times New Roman" w:eastAsia="Times New Roman" w:hAnsi="Times New Roman" w:cs="Times New Roman"/>
                <w:b/>
                <w:bCs/>
                <w:sz w:val="24"/>
                <w:szCs w:val="24"/>
                <w:lang w:eastAsia="ro-RO"/>
              </w:rPr>
              <w:t>ț</w:t>
            </w:r>
            <w:r w:rsidRPr="00801702">
              <w:rPr>
                <w:rFonts w:ascii="Times New Roman" w:eastAsia="Times New Roman" w:hAnsi="Times New Roman" w:cs="Times New Roman"/>
                <w:b/>
                <w:bCs/>
                <w:sz w:val="24"/>
                <w:szCs w:val="24"/>
                <w:lang w:eastAsia="ro-RO"/>
              </w:rPr>
              <w:t xml:space="preserve">iei actuale </w:t>
            </w:r>
            <w:r w:rsidR="00D63369">
              <w:rPr>
                <w:rFonts w:ascii="Times New Roman" w:eastAsia="Times New Roman" w:hAnsi="Times New Roman" w:cs="Times New Roman"/>
                <w:b/>
                <w:bCs/>
                <w:sz w:val="24"/>
                <w:szCs w:val="24"/>
                <w:lang w:eastAsia="ro-RO"/>
              </w:rPr>
              <w:t>ș</w:t>
            </w:r>
            <w:r w:rsidRPr="00801702">
              <w:rPr>
                <w:rFonts w:ascii="Times New Roman" w:eastAsia="Times New Roman" w:hAnsi="Times New Roman" w:cs="Times New Roman"/>
                <w:b/>
                <w:bCs/>
                <w:sz w:val="24"/>
                <w:szCs w:val="24"/>
                <w:lang w:eastAsia="ro-RO"/>
              </w:rPr>
              <w:t>i a problemelor care impun interven</w:t>
            </w:r>
            <w:r w:rsidR="00D63369">
              <w:rPr>
                <w:rFonts w:ascii="Times New Roman" w:eastAsia="Times New Roman" w:hAnsi="Times New Roman" w:cs="Times New Roman"/>
                <w:b/>
                <w:bCs/>
                <w:sz w:val="24"/>
                <w:szCs w:val="24"/>
                <w:lang w:eastAsia="ro-RO"/>
              </w:rPr>
              <w:t>ț</w:t>
            </w:r>
            <w:r w:rsidRPr="00801702">
              <w:rPr>
                <w:rFonts w:ascii="Times New Roman" w:eastAsia="Times New Roman" w:hAnsi="Times New Roman" w:cs="Times New Roman"/>
                <w:b/>
                <w:bCs/>
                <w:sz w:val="24"/>
                <w:szCs w:val="24"/>
                <w:lang w:eastAsia="ro-RO"/>
              </w:rPr>
              <w:t xml:space="preserve">ia, inclusiv a cadrului normativ aplicabil </w:t>
            </w:r>
            <w:r w:rsidR="00D63369">
              <w:rPr>
                <w:rFonts w:ascii="Times New Roman" w:eastAsia="Times New Roman" w:hAnsi="Times New Roman" w:cs="Times New Roman"/>
                <w:b/>
                <w:bCs/>
                <w:sz w:val="24"/>
                <w:szCs w:val="24"/>
                <w:lang w:eastAsia="ro-RO"/>
              </w:rPr>
              <w:t>ș</w:t>
            </w:r>
            <w:r w:rsidRPr="00801702">
              <w:rPr>
                <w:rFonts w:ascii="Times New Roman" w:eastAsia="Times New Roman" w:hAnsi="Times New Roman" w:cs="Times New Roman"/>
                <w:b/>
                <w:bCs/>
                <w:sz w:val="24"/>
                <w:szCs w:val="24"/>
                <w:lang w:eastAsia="ro-RO"/>
              </w:rPr>
              <w:t>i a deficien</w:t>
            </w:r>
            <w:r w:rsidR="00D63369">
              <w:rPr>
                <w:rFonts w:ascii="Times New Roman" w:eastAsia="Times New Roman" w:hAnsi="Times New Roman" w:cs="Times New Roman"/>
                <w:b/>
                <w:bCs/>
                <w:sz w:val="24"/>
                <w:szCs w:val="24"/>
                <w:lang w:eastAsia="ro-RO"/>
              </w:rPr>
              <w:t>ț</w:t>
            </w:r>
            <w:r w:rsidRPr="00801702">
              <w:rPr>
                <w:rFonts w:ascii="Times New Roman" w:eastAsia="Times New Roman" w:hAnsi="Times New Roman" w:cs="Times New Roman"/>
                <w:b/>
                <w:bCs/>
                <w:sz w:val="24"/>
                <w:szCs w:val="24"/>
                <w:lang w:eastAsia="ro-RO"/>
              </w:rPr>
              <w:t>elor /lacunelor normative</w:t>
            </w:r>
          </w:p>
        </w:tc>
      </w:tr>
      <w:tr w:rsidR="00801702" w:rsidRPr="00801702" w:rsidTr="00D63369">
        <w:trPr>
          <w:trHeight w:val="1970"/>
        </w:trPr>
        <w:tc>
          <w:tcPr>
            <w:tcW w:w="9634" w:type="dxa"/>
          </w:tcPr>
          <w:p w:rsidR="00721128" w:rsidRPr="00D63369" w:rsidRDefault="00721128" w:rsidP="00D63369">
            <w:pPr>
              <w:spacing w:line="276" w:lineRule="auto"/>
              <w:ind w:firstLine="426"/>
              <w:jc w:val="both"/>
              <w:rPr>
                <w:rFonts w:ascii="Times New Roman" w:hAnsi="Times New Roman" w:cs="Times New Roman"/>
                <w:sz w:val="24"/>
                <w:szCs w:val="24"/>
              </w:rPr>
            </w:pPr>
            <w:r w:rsidRPr="00D63369">
              <w:rPr>
                <w:rFonts w:ascii="Times New Roman" w:hAnsi="Times New Roman" w:cs="Times New Roman"/>
                <w:sz w:val="24"/>
                <w:szCs w:val="24"/>
              </w:rPr>
              <w:t>În contextul integrării europene, intervenția normativă este necesară deoarece cadrul juridic național nu conține, în prezent, o lege specială care să transpună în mod explicit cerințele Directivei (UE) 2019/633 privind practicile comerciale neloiale dintre întreprinderi în cadrul lanțului de aprovizionare agricol și alimentar. Or, directiva urmărește protejarea furnizorilor aflați într-o poziție de negociere mai slabă față de cumpărători mai puternici economic, prin interzicerea unor practici considerate în mod obiectiv neloiale, cum sunt întârzierile de plată pentru produse perisabile și neperisabile, anularea comenzilor într-un termen scurt, modificarea unilaterală a clauzelor contractuale sau solicitarea unor plăți fără legătură cu vânzarea produselor. Directiva conclude că aceste practici pot afecta negativ nivelul de trai al comunității agricole și pot distorsiona funcționarea echitabilă a lanțului agroalimentar.</w:t>
            </w:r>
          </w:p>
          <w:p w:rsidR="00721128" w:rsidRPr="00D63369" w:rsidRDefault="00721128" w:rsidP="00D63369">
            <w:pPr>
              <w:spacing w:line="276" w:lineRule="auto"/>
              <w:ind w:firstLine="426"/>
              <w:jc w:val="both"/>
              <w:rPr>
                <w:rFonts w:ascii="Times New Roman" w:hAnsi="Times New Roman" w:cs="Times New Roman"/>
                <w:sz w:val="24"/>
                <w:szCs w:val="24"/>
              </w:rPr>
            </w:pPr>
            <w:r w:rsidRPr="00D63369">
              <w:rPr>
                <w:rFonts w:ascii="Times New Roman" w:hAnsi="Times New Roman" w:cs="Times New Roman"/>
                <w:sz w:val="24"/>
                <w:szCs w:val="24"/>
              </w:rPr>
              <w:t>Pe plan național, necesitatea proiectului derivă din particularitățile structurale ale sectorului agroalimentar, în care furnizorii, în</w:t>
            </w:r>
            <w:bookmarkStart w:id="0" w:name="_GoBack"/>
            <w:bookmarkEnd w:id="0"/>
            <w:r w:rsidRPr="00D63369">
              <w:rPr>
                <w:rFonts w:ascii="Times New Roman" w:hAnsi="Times New Roman" w:cs="Times New Roman"/>
                <w:sz w:val="24"/>
                <w:szCs w:val="24"/>
              </w:rPr>
              <w:t xml:space="preserve"> special producătorii agricoli, se află frecvent într-o poziție contractuală și economică mai slabă decât cumpărătorii mari, procesatorii sau rețelele comerciale. În lipsa unui cadru normativ special, acești operatori dispun de instrumente limitate pentru a contesta practicile neloiale, iar mecanismele generale de drept comun nu oferă întotdeauna un răspuns suficient de rapid, accesibil și eficient, mai ales în condițiile în care există o teamă reală de represalii comerciale sau de pierdere a relației contractuale.</w:t>
            </w:r>
          </w:p>
          <w:p w:rsidR="00721128" w:rsidRPr="00D63369" w:rsidRDefault="00721128" w:rsidP="00D63369">
            <w:pPr>
              <w:spacing w:line="276" w:lineRule="auto"/>
              <w:ind w:firstLine="426"/>
              <w:jc w:val="both"/>
              <w:rPr>
                <w:rFonts w:ascii="Times New Roman" w:eastAsia="Times New Roman" w:hAnsi="Times New Roman" w:cs="Times New Roman"/>
                <w:sz w:val="24"/>
                <w:szCs w:val="24"/>
                <w:lang w:eastAsia="ro-RO"/>
              </w:rPr>
            </w:pPr>
            <w:r w:rsidRPr="00D63369">
              <w:rPr>
                <w:rFonts w:ascii="Times New Roman" w:eastAsia="Times New Roman" w:hAnsi="Times New Roman" w:cs="Times New Roman"/>
                <w:sz w:val="24"/>
                <w:szCs w:val="24"/>
                <w:lang w:eastAsia="ro-RO"/>
              </w:rPr>
              <w:t>La momentul actual, combaterea practicilor comerciale neloiale este abordată prin mai multe acte normative cu obiect și finalitate diferite:</w:t>
            </w:r>
          </w:p>
          <w:p w:rsidR="00721128" w:rsidRPr="00D63369" w:rsidRDefault="00721128" w:rsidP="00D63369">
            <w:pPr>
              <w:numPr>
                <w:ilvl w:val="0"/>
                <w:numId w:val="2"/>
              </w:numPr>
              <w:tabs>
                <w:tab w:val="left" w:pos="306"/>
              </w:tabs>
              <w:spacing w:line="276" w:lineRule="auto"/>
              <w:ind w:left="0" w:firstLine="426"/>
              <w:jc w:val="both"/>
              <w:rPr>
                <w:rFonts w:ascii="Times New Roman" w:eastAsia="Times New Roman" w:hAnsi="Times New Roman" w:cs="Times New Roman"/>
                <w:sz w:val="24"/>
                <w:szCs w:val="24"/>
                <w:lang w:eastAsia="ro-RO"/>
              </w:rPr>
            </w:pPr>
            <w:r w:rsidRPr="00D63369">
              <w:rPr>
                <w:rFonts w:ascii="Times New Roman" w:eastAsia="Times New Roman" w:hAnsi="Times New Roman" w:cs="Times New Roman"/>
                <w:bCs/>
                <w:sz w:val="24"/>
                <w:szCs w:val="24"/>
                <w:lang w:eastAsia="ro-RO"/>
              </w:rPr>
              <w:t>Codul civil al Republicii Moldova</w:t>
            </w:r>
            <w:r w:rsidRPr="00D63369">
              <w:rPr>
                <w:rFonts w:ascii="Times New Roman" w:eastAsia="Times New Roman" w:hAnsi="Times New Roman" w:cs="Times New Roman"/>
                <w:sz w:val="24"/>
                <w:szCs w:val="24"/>
                <w:lang w:eastAsia="ro-RO"/>
              </w:rPr>
              <w:t xml:space="preserve"> reglementează libertatea contractuală, executarea obligațiilor și răspunderea civilă, însă nu oferă instrumente specifice pentru prevenirea și sancționarea practicilor comerciale neloiale determinate de dezechilibre de putere economică;</w:t>
            </w:r>
          </w:p>
          <w:p w:rsidR="00721128" w:rsidRPr="00D63369" w:rsidRDefault="00721128" w:rsidP="00D63369">
            <w:pPr>
              <w:numPr>
                <w:ilvl w:val="0"/>
                <w:numId w:val="2"/>
              </w:numPr>
              <w:tabs>
                <w:tab w:val="left" w:pos="306"/>
              </w:tabs>
              <w:spacing w:line="276" w:lineRule="auto"/>
              <w:ind w:left="0" w:firstLine="426"/>
              <w:jc w:val="both"/>
              <w:rPr>
                <w:rFonts w:ascii="Times New Roman" w:eastAsia="Times New Roman" w:hAnsi="Times New Roman" w:cs="Times New Roman"/>
                <w:sz w:val="24"/>
                <w:szCs w:val="24"/>
                <w:lang w:eastAsia="ro-RO"/>
              </w:rPr>
            </w:pPr>
            <w:r w:rsidRPr="00D63369">
              <w:rPr>
                <w:rFonts w:ascii="Times New Roman" w:eastAsia="Times New Roman" w:hAnsi="Times New Roman" w:cs="Times New Roman"/>
                <w:bCs/>
                <w:sz w:val="24"/>
                <w:szCs w:val="24"/>
                <w:lang w:eastAsia="ro-RO"/>
              </w:rPr>
              <w:t>Legea nr. 231/2010 cu privire la comerțul interior,</w:t>
            </w:r>
            <w:r w:rsidRPr="00D63369">
              <w:rPr>
                <w:rFonts w:ascii="Times New Roman" w:eastAsia="Times New Roman" w:hAnsi="Times New Roman" w:cs="Times New Roman"/>
                <w:b/>
                <w:bCs/>
                <w:sz w:val="24"/>
                <w:szCs w:val="24"/>
                <w:lang w:eastAsia="ro-RO"/>
              </w:rPr>
              <w:t xml:space="preserve"> </w:t>
            </w:r>
            <w:r w:rsidRPr="00D63369">
              <w:rPr>
                <w:rFonts w:ascii="Times New Roman" w:eastAsia="Times New Roman" w:hAnsi="Times New Roman" w:cs="Times New Roman"/>
                <w:sz w:val="24"/>
                <w:szCs w:val="24"/>
                <w:lang w:eastAsia="ro-RO"/>
              </w:rPr>
              <w:t xml:space="preserve">conține reglementări generale privind relațiile comerciale, inclusiv </w:t>
            </w:r>
            <w:r w:rsidRPr="00D63369">
              <w:rPr>
                <w:rFonts w:ascii="Times New Roman" w:eastAsia="Times New Roman" w:hAnsi="Times New Roman" w:cs="Times New Roman"/>
                <w:bCs/>
                <w:sz w:val="24"/>
                <w:szCs w:val="24"/>
                <w:lang w:eastAsia="ro-RO"/>
              </w:rPr>
              <w:t>Capitolul V</w:t>
            </w:r>
            <w:r w:rsidRPr="00D63369">
              <w:rPr>
                <w:rFonts w:ascii="Times New Roman" w:eastAsia="Times New Roman" w:hAnsi="Times New Roman" w:cs="Times New Roman"/>
                <w:bCs/>
                <w:sz w:val="24"/>
                <w:szCs w:val="24"/>
                <w:vertAlign w:val="superscript"/>
                <w:lang w:eastAsia="ro-RO"/>
              </w:rPr>
              <w:t xml:space="preserve">2  </w:t>
            </w:r>
            <w:r w:rsidRPr="00D63369">
              <w:rPr>
                <w:rFonts w:ascii="Times New Roman" w:eastAsia="Times New Roman" w:hAnsi="Times New Roman" w:cs="Times New Roman"/>
                <w:sz w:val="24"/>
                <w:szCs w:val="24"/>
                <w:lang w:eastAsia="ro-RO"/>
              </w:rPr>
              <w:t>dedicat practicilor comerciale neloiale, însă acesta nu asigură o transpunere completă și coerentă a Directivei (UE) 2019/633;</w:t>
            </w:r>
          </w:p>
          <w:p w:rsidR="00721128" w:rsidRPr="00D63369" w:rsidRDefault="00721128" w:rsidP="00D63369">
            <w:pPr>
              <w:numPr>
                <w:ilvl w:val="0"/>
                <w:numId w:val="2"/>
              </w:numPr>
              <w:tabs>
                <w:tab w:val="left" w:pos="306"/>
              </w:tabs>
              <w:spacing w:line="276" w:lineRule="auto"/>
              <w:ind w:left="0" w:firstLine="426"/>
              <w:jc w:val="both"/>
              <w:rPr>
                <w:rFonts w:ascii="Times New Roman" w:eastAsia="Times New Roman" w:hAnsi="Times New Roman" w:cs="Times New Roman"/>
                <w:sz w:val="24"/>
                <w:szCs w:val="24"/>
                <w:lang w:eastAsia="ro-RO"/>
              </w:rPr>
            </w:pPr>
            <w:r w:rsidRPr="00D63369">
              <w:rPr>
                <w:rFonts w:ascii="Times New Roman" w:eastAsia="Times New Roman" w:hAnsi="Times New Roman" w:cs="Times New Roman"/>
                <w:bCs/>
                <w:sz w:val="24"/>
                <w:szCs w:val="24"/>
                <w:lang w:eastAsia="ro-RO"/>
              </w:rPr>
              <w:t>Legea concurenței nr. 183/2012</w:t>
            </w:r>
            <w:r w:rsidRPr="00D63369">
              <w:rPr>
                <w:rFonts w:ascii="Times New Roman" w:eastAsia="Times New Roman" w:hAnsi="Times New Roman" w:cs="Times New Roman"/>
                <w:sz w:val="24"/>
                <w:szCs w:val="24"/>
                <w:lang w:eastAsia="ro-RO"/>
              </w:rPr>
              <w:t xml:space="preserve"> oferă mecanisme de intervenție doar în situații ce presupun existența unei poziții dominante sau a unor practici anticoncurențiale, care nu acoperă toate practicile neloiale din relațiile B2B agroalimentare;</w:t>
            </w:r>
          </w:p>
          <w:p w:rsidR="00721128" w:rsidRPr="00D63369" w:rsidRDefault="00721128" w:rsidP="00D63369">
            <w:pPr>
              <w:numPr>
                <w:ilvl w:val="0"/>
                <w:numId w:val="2"/>
              </w:numPr>
              <w:tabs>
                <w:tab w:val="left" w:pos="306"/>
              </w:tabs>
              <w:spacing w:line="276" w:lineRule="auto"/>
              <w:ind w:left="0" w:firstLine="426"/>
              <w:jc w:val="both"/>
              <w:rPr>
                <w:rFonts w:ascii="Times New Roman" w:eastAsia="Times New Roman" w:hAnsi="Times New Roman" w:cs="Times New Roman"/>
                <w:sz w:val="24"/>
                <w:szCs w:val="24"/>
                <w:lang w:eastAsia="ro-RO"/>
              </w:rPr>
            </w:pPr>
            <w:r w:rsidRPr="00D63369">
              <w:rPr>
                <w:rFonts w:ascii="Times New Roman" w:eastAsia="Times New Roman" w:hAnsi="Times New Roman" w:cs="Times New Roman"/>
                <w:sz w:val="24"/>
                <w:szCs w:val="24"/>
                <w:lang w:eastAsia="ro-RO"/>
              </w:rPr>
              <w:t>legislația în domeniul protecției consumatorilor este orientată exclusiv spre raporturi B2C și nu se aplică relațiilor dintre întreprinderi.</w:t>
            </w:r>
          </w:p>
          <w:p w:rsidR="00721128" w:rsidRPr="00D63369" w:rsidRDefault="00721128" w:rsidP="00D63369">
            <w:pPr>
              <w:tabs>
                <w:tab w:val="left" w:pos="306"/>
              </w:tabs>
              <w:spacing w:line="276" w:lineRule="auto"/>
              <w:ind w:firstLine="450"/>
              <w:jc w:val="both"/>
              <w:rPr>
                <w:rFonts w:ascii="Times New Roman" w:eastAsia="Times New Roman" w:hAnsi="Times New Roman" w:cs="Times New Roman"/>
                <w:sz w:val="24"/>
                <w:szCs w:val="24"/>
                <w:lang w:eastAsia="ro-RO"/>
              </w:rPr>
            </w:pPr>
            <w:r w:rsidRPr="00D63369">
              <w:rPr>
                <w:rFonts w:ascii="Times New Roman" w:hAnsi="Times New Roman" w:cs="Times New Roman"/>
                <w:sz w:val="24"/>
                <w:szCs w:val="24"/>
              </w:rPr>
              <w:t>Actele indicate acoperă fragmentat problematica practicilor comerciale neloiale specifice lanțului de aprovizionare agricol și alimentar</w:t>
            </w:r>
            <w:r w:rsidRPr="00D63369">
              <w:rPr>
                <w:rFonts w:ascii="Times New Roman" w:eastAsia="Times New Roman" w:hAnsi="Times New Roman" w:cs="Times New Roman"/>
                <w:sz w:val="24"/>
                <w:szCs w:val="24"/>
                <w:lang w:eastAsia="ro-RO"/>
              </w:rPr>
              <w:t xml:space="preserve">. </w:t>
            </w:r>
            <w:r w:rsidRPr="00D63369">
              <w:rPr>
                <w:rFonts w:ascii="Times New Roman" w:hAnsi="Times New Roman" w:cs="Times New Roman"/>
                <w:sz w:val="24"/>
                <w:szCs w:val="24"/>
              </w:rPr>
              <w:t>În lipsa unui act special, fără sancțiuni proporționale, furnizorii pot evita să sesizeze încălcările din cauza dependenței comerciale, fapt demonstrat de aplicarea până acum a Capitolului V</w:t>
            </w:r>
            <w:r w:rsidRPr="00D63369">
              <w:rPr>
                <w:rFonts w:ascii="Times New Roman" w:hAnsi="Times New Roman" w:cs="Times New Roman"/>
                <w:sz w:val="24"/>
                <w:szCs w:val="24"/>
                <w:vertAlign w:val="superscript"/>
              </w:rPr>
              <w:t>2</w:t>
            </w:r>
            <w:r w:rsidRPr="00D63369">
              <w:rPr>
                <w:rFonts w:ascii="Times New Roman" w:hAnsi="Times New Roman" w:cs="Times New Roman"/>
                <w:sz w:val="24"/>
                <w:szCs w:val="24"/>
              </w:rPr>
              <w:t xml:space="preserve"> din Legea nr. 231/2010.</w:t>
            </w:r>
          </w:p>
          <w:p w:rsidR="00721128" w:rsidRPr="00D63369" w:rsidRDefault="00721128" w:rsidP="00D63369">
            <w:pPr>
              <w:spacing w:line="276" w:lineRule="auto"/>
              <w:ind w:firstLine="426"/>
              <w:jc w:val="both"/>
              <w:rPr>
                <w:rFonts w:ascii="Times New Roman" w:hAnsi="Times New Roman" w:cs="Times New Roman"/>
                <w:sz w:val="24"/>
                <w:szCs w:val="24"/>
              </w:rPr>
            </w:pPr>
            <w:r w:rsidRPr="00D63369">
              <w:rPr>
                <w:rFonts w:ascii="Times New Roman" w:hAnsi="Times New Roman" w:cs="Times New Roman"/>
                <w:sz w:val="24"/>
                <w:szCs w:val="24"/>
              </w:rPr>
              <w:t xml:space="preserve">În același timp, la nivel instituțional, există deja un cadru procedural și o autoritate competentă cu experiență în investigarea și constatarea încălcărilor în materie economică, și anume Consiliul Concurenței. Din acest motiv, proiectul urmărește să instituie normele materiale specifice practicilor comerciale neloiale, dar să evite duplicarea sau suprapunerea procedurilor, atribuțiilor și mecanismelor deja reglementate în legislația concurențială. O astfel de abordare permite </w:t>
            </w:r>
            <w:r w:rsidRPr="00D63369">
              <w:rPr>
                <w:rFonts w:ascii="Times New Roman" w:hAnsi="Times New Roman" w:cs="Times New Roman"/>
                <w:sz w:val="24"/>
                <w:szCs w:val="24"/>
              </w:rPr>
              <w:lastRenderedPageBreak/>
              <w:t>folosirea unui cadru procedural deja consolidat pentru investigare, examinare, sancționare, prescripție, circumstanțe agravante sau atenuante și alte aspecte tehnice, fără a crea reglementări paralele sau contradictorii. Această opțiune este în concordanță atât cu arhitectura instituțională existentă, cât și cu exigența de coerență legislativă.</w:t>
            </w:r>
          </w:p>
          <w:p w:rsidR="00721128" w:rsidRPr="00D63369" w:rsidRDefault="00721128" w:rsidP="00D63369">
            <w:pPr>
              <w:spacing w:line="276" w:lineRule="auto"/>
              <w:ind w:firstLine="426"/>
              <w:jc w:val="both"/>
              <w:rPr>
                <w:rFonts w:ascii="Times New Roman" w:hAnsi="Times New Roman" w:cs="Times New Roman"/>
                <w:sz w:val="24"/>
                <w:szCs w:val="24"/>
              </w:rPr>
            </w:pPr>
            <w:r w:rsidRPr="00D63369">
              <w:rPr>
                <w:rFonts w:ascii="Times New Roman" w:hAnsi="Times New Roman" w:cs="Times New Roman"/>
                <w:sz w:val="24"/>
                <w:szCs w:val="24"/>
              </w:rPr>
              <w:t>În concluzie, problema care impune intervenția legislativă constă în insuficiența cadrului normativ actual și absența unui cadru normativ special care:</w:t>
            </w:r>
          </w:p>
          <w:p w:rsidR="00721128" w:rsidRPr="00D63369" w:rsidRDefault="00721128" w:rsidP="00D63369">
            <w:pPr>
              <w:pStyle w:val="Listparagraf"/>
              <w:numPr>
                <w:ilvl w:val="0"/>
                <w:numId w:val="4"/>
              </w:numPr>
              <w:spacing w:line="276" w:lineRule="auto"/>
              <w:ind w:left="25" w:firstLine="425"/>
              <w:jc w:val="both"/>
              <w:rPr>
                <w:rFonts w:ascii="Times New Roman" w:hAnsi="Times New Roman" w:cs="Times New Roman"/>
                <w:sz w:val="24"/>
                <w:szCs w:val="24"/>
              </w:rPr>
            </w:pPr>
            <w:r w:rsidRPr="00D63369">
              <w:rPr>
                <w:rFonts w:ascii="Times New Roman" w:hAnsi="Times New Roman" w:cs="Times New Roman"/>
                <w:sz w:val="24"/>
                <w:szCs w:val="24"/>
              </w:rPr>
              <w:t>să definească domeniul de aplicare al protecției împotriva practicilor comerciale neloiale în lanțul agroalimentar;</w:t>
            </w:r>
          </w:p>
          <w:p w:rsidR="00721128" w:rsidRPr="00D63369" w:rsidRDefault="00721128" w:rsidP="00D63369">
            <w:pPr>
              <w:pStyle w:val="Listparagraf"/>
              <w:numPr>
                <w:ilvl w:val="0"/>
                <w:numId w:val="4"/>
              </w:numPr>
              <w:spacing w:line="276" w:lineRule="auto"/>
              <w:ind w:left="25" w:firstLine="425"/>
              <w:jc w:val="both"/>
              <w:rPr>
                <w:rFonts w:ascii="Times New Roman" w:hAnsi="Times New Roman" w:cs="Times New Roman"/>
                <w:sz w:val="24"/>
                <w:szCs w:val="24"/>
              </w:rPr>
            </w:pPr>
            <w:r w:rsidRPr="00D63369">
              <w:rPr>
                <w:rFonts w:ascii="Times New Roman" w:hAnsi="Times New Roman" w:cs="Times New Roman"/>
                <w:sz w:val="24"/>
                <w:szCs w:val="24"/>
              </w:rPr>
              <w:t>să interzică expres practicile prevăzute de Directiva (UE) 2019/633;</w:t>
            </w:r>
          </w:p>
          <w:p w:rsidR="00721128" w:rsidRPr="00D63369" w:rsidRDefault="00D63369" w:rsidP="00D63369">
            <w:pPr>
              <w:pStyle w:val="Listparagraf"/>
              <w:numPr>
                <w:ilvl w:val="0"/>
                <w:numId w:val="4"/>
              </w:numPr>
              <w:spacing w:line="276" w:lineRule="auto"/>
              <w:ind w:left="25" w:firstLine="425"/>
              <w:jc w:val="both"/>
              <w:rPr>
                <w:rFonts w:ascii="Times New Roman" w:hAnsi="Times New Roman" w:cs="Times New Roman"/>
                <w:sz w:val="24"/>
                <w:szCs w:val="24"/>
              </w:rPr>
            </w:pPr>
            <w:r w:rsidRPr="00D63369">
              <w:rPr>
                <w:rFonts w:ascii="Times New Roman" w:hAnsi="Times New Roman" w:cs="Times New Roman"/>
                <w:sz w:val="24"/>
                <w:szCs w:val="24"/>
              </w:rPr>
              <w:t>să stabilească o bază legală clară pentru examinarea și sancționarea acestora;</w:t>
            </w:r>
          </w:p>
          <w:p w:rsidR="00801702" w:rsidRPr="00D63369" w:rsidRDefault="00D63369" w:rsidP="00D63369">
            <w:pPr>
              <w:pStyle w:val="Listparagraf"/>
              <w:numPr>
                <w:ilvl w:val="0"/>
                <w:numId w:val="4"/>
              </w:numPr>
              <w:spacing w:line="276" w:lineRule="auto"/>
              <w:ind w:left="25" w:firstLine="425"/>
              <w:jc w:val="both"/>
            </w:pPr>
            <w:r w:rsidRPr="00D63369">
              <w:rPr>
                <w:rFonts w:ascii="Times New Roman" w:hAnsi="Times New Roman" w:cs="Times New Roman"/>
                <w:sz w:val="24"/>
                <w:szCs w:val="24"/>
              </w:rPr>
              <w:t>să utilizeze, fără a le dubla, procedurile și instrumentele existente ale Consiliului Concurenței.</w:t>
            </w:r>
          </w:p>
        </w:tc>
      </w:tr>
      <w:tr w:rsidR="00801702" w:rsidRPr="00801702" w:rsidTr="00685D5C">
        <w:tc>
          <w:tcPr>
            <w:tcW w:w="9634" w:type="dxa"/>
            <w:shd w:val="clear" w:color="auto" w:fill="D9D9D9" w:themeFill="background1" w:themeFillShade="D9"/>
          </w:tcPr>
          <w:p w:rsidR="00801702" w:rsidRPr="00685D5C" w:rsidRDefault="00685D5C" w:rsidP="00801702">
            <w:pPr>
              <w:tabs>
                <w:tab w:val="right" w:pos="8846"/>
              </w:tabs>
              <w:spacing w:line="276" w:lineRule="auto"/>
              <w:ind w:firstLine="426"/>
              <w:jc w:val="both"/>
              <w:rPr>
                <w:rFonts w:ascii="Times New Roman" w:eastAsia="Times New Roman" w:hAnsi="Times New Roman" w:cs="Times New Roman"/>
                <w:sz w:val="24"/>
                <w:szCs w:val="24"/>
                <w:highlight w:val="lightGray"/>
                <w:lang w:eastAsia="ro-RO"/>
              </w:rPr>
            </w:pPr>
            <w:r w:rsidRPr="00685D5C">
              <w:rPr>
                <w:rFonts w:ascii="Times New Roman" w:eastAsia="Times New Roman" w:hAnsi="Times New Roman" w:cs="Times New Roman"/>
                <w:b/>
                <w:bCs/>
                <w:sz w:val="24"/>
                <w:szCs w:val="24"/>
                <w:lang w:eastAsia="ro-RO"/>
              </w:rPr>
              <w:lastRenderedPageBreak/>
              <w:t>3. Obiective</w:t>
            </w:r>
            <w:r>
              <w:rPr>
                <w:rFonts w:ascii="Times New Roman" w:eastAsia="Times New Roman" w:hAnsi="Times New Roman" w:cs="Times New Roman"/>
                <w:b/>
                <w:bCs/>
                <w:sz w:val="24"/>
                <w:szCs w:val="24"/>
                <w:lang w:eastAsia="ro-RO"/>
              </w:rPr>
              <w:t>le</w:t>
            </w:r>
            <w:r w:rsidRPr="00685D5C">
              <w:rPr>
                <w:rFonts w:ascii="Times New Roman" w:eastAsia="Times New Roman" w:hAnsi="Times New Roman" w:cs="Times New Roman"/>
                <w:b/>
                <w:bCs/>
                <w:sz w:val="24"/>
                <w:szCs w:val="24"/>
                <w:lang w:eastAsia="ro-RO"/>
              </w:rPr>
              <w:t xml:space="preserve"> urmărite și soluții propuse</w:t>
            </w:r>
          </w:p>
        </w:tc>
      </w:tr>
      <w:tr w:rsidR="00801702" w:rsidRPr="00801702" w:rsidTr="00685D5C">
        <w:tc>
          <w:tcPr>
            <w:tcW w:w="9634" w:type="dxa"/>
            <w:shd w:val="clear" w:color="auto" w:fill="F2F2F2" w:themeFill="background1" w:themeFillShade="F2"/>
          </w:tcPr>
          <w:p w:rsidR="00801702" w:rsidRPr="00685D5C" w:rsidRDefault="00801702" w:rsidP="00801702">
            <w:pPr>
              <w:spacing w:line="276" w:lineRule="auto"/>
              <w:ind w:firstLine="426"/>
              <w:jc w:val="both"/>
              <w:rPr>
                <w:rFonts w:ascii="Times New Roman" w:eastAsia="Times New Roman" w:hAnsi="Times New Roman" w:cs="Times New Roman"/>
                <w:sz w:val="24"/>
                <w:szCs w:val="24"/>
                <w:lang w:eastAsia="ro-RO"/>
              </w:rPr>
            </w:pPr>
            <w:r w:rsidRPr="00685D5C">
              <w:rPr>
                <w:rFonts w:ascii="Times New Roman" w:eastAsia="Times New Roman" w:hAnsi="Times New Roman" w:cs="Times New Roman"/>
                <w:b/>
                <w:bCs/>
                <w:sz w:val="24"/>
                <w:szCs w:val="24"/>
                <w:lang w:eastAsia="ro-RO"/>
              </w:rPr>
              <w:t>3.1.</w:t>
            </w:r>
            <w:r w:rsidRPr="00685D5C">
              <w:rPr>
                <w:rFonts w:ascii="Times New Roman" w:eastAsia="Times New Roman" w:hAnsi="Times New Roman" w:cs="Times New Roman"/>
                <w:bCs/>
                <w:sz w:val="24"/>
                <w:szCs w:val="24"/>
                <w:lang w:eastAsia="ro-RO"/>
              </w:rPr>
              <w:t xml:space="preserve"> Principalele prevederi ale proiectului </w:t>
            </w:r>
            <w:r w:rsidR="00685D5C">
              <w:rPr>
                <w:rFonts w:ascii="Times New Roman" w:eastAsia="Times New Roman" w:hAnsi="Times New Roman" w:cs="Times New Roman"/>
                <w:bCs/>
                <w:sz w:val="24"/>
                <w:szCs w:val="24"/>
                <w:lang w:eastAsia="ro-RO"/>
              </w:rPr>
              <w:t>ș</w:t>
            </w:r>
            <w:r w:rsidRPr="00685D5C">
              <w:rPr>
                <w:rFonts w:ascii="Times New Roman" w:eastAsia="Times New Roman" w:hAnsi="Times New Roman" w:cs="Times New Roman"/>
                <w:bCs/>
                <w:sz w:val="24"/>
                <w:szCs w:val="24"/>
                <w:lang w:eastAsia="ro-RO"/>
              </w:rPr>
              <w:t>i eviden</w:t>
            </w:r>
            <w:r w:rsidR="00685D5C">
              <w:rPr>
                <w:rFonts w:ascii="Times New Roman" w:eastAsia="Times New Roman" w:hAnsi="Times New Roman" w:cs="Times New Roman"/>
                <w:bCs/>
                <w:sz w:val="24"/>
                <w:szCs w:val="24"/>
                <w:lang w:eastAsia="ro-RO"/>
              </w:rPr>
              <w:t>ț</w:t>
            </w:r>
            <w:r w:rsidRPr="00685D5C">
              <w:rPr>
                <w:rFonts w:ascii="Times New Roman" w:eastAsia="Times New Roman" w:hAnsi="Times New Roman" w:cs="Times New Roman"/>
                <w:bCs/>
                <w:sz w:val="24"/>
                <w:szCs w:val="24"/>
                <w:lang w:eastAsia="ro-RO"/>
              </w:rPr>
              <w:t>ierea elementelor noi</w:t>
            </w:r>
          </w:p>
        </w:tc>
      </w:tr>
      <w:tr w:rsidR="00801702" w:rsidRPr="00801702" w:rsidTr="00801702">
        <w:trPr>
          <w:trHeight w:val="3118"/>
        </w:trPr>
        <w:tc>
          <w:tcPr>
            <w:tcW w:w="9634" w:type="dxa"/>
          </w:tcPr>
          <w:p w:rsidR="00685D5C" w:rsidRPr="00247969" w:rsidRDefault="00247969" w:rsidP="00247969">
            <w:pPr>
              <w:spacing w:line="276" w:lineRule="auto"/>
              <w:ind w:firstLine="426"/>
              <w:jc w:val="both"/>
              <w:rPr>
                <w:rStyle w:val="Robust"/>
                <w:rFonts w:ascii="Times New Roman" w:hAnsi="Times New Roman" w:cs="Times New Roman"/>
                <w:b w:val="0"/>
                <w:sz w:val="24"/>
                <w:szCs w:val="24"/>
              </w:rPr>
            </w:pPr>
            <w:r w:rsidRPr="00247969">
              <w:rPr>
                <w:rFonts w:ascii="Times New Roman" w:hAnsi="Times New Roman" w:cs="Times New Roman"/>
                <w:sz w:val="24"/>
                <w:szCs w:val="24"/>
              </w:rPr>
              <w:t>După cum s-a menționat, p</w:t>
            </w:r>
            <w:r w:rsidR="00685D5C" w:rsidRPr="00247969">
              <w:rPr>
                <w:rFonts w:ascii="Times New Roman" w:hAnsi="Times New Roman" w:cs="Times New Roman"/>
                <w:sz w:val="24"/>
                <w:szCs w:val="24"/>
              </w:rPr>
              <w:t xml:space="preserve">rezentul proiect de lege instituie un cadru normativ special privind prevenirea și combaterea practicilor comerciale neloiale în relațiile dintre întreprinderi din cadrul lanțului de aprovizionare agricol și alimentar, în vederea alinierii legislației naționale la cerințele acquis-ului Uniunii Europene, în special la </w:t>
            </w:r>
            <w:r w:rsidR="00685D5C" w:rsidRPr="00247969">
              <w:rPr>
                <w:rStyle w:val="Robust"/>
                <w:rFonts w:ascii="Times New Roman" w:hAnsi="Times New Roman" w:cs="Times New Roman"/>
                <w:b w:val="0"/>
                <w:sz w:val="24"/>
                <w:szCs w:val="24"/>
              </w:rPr>
              <w:t>Directiva (UE) 2019/633.</w:t>
            </w:r>
          </w:p>
          <w:p w:rsidR="00247969" w:rsidRPr="00C94BC2" w:rsidRDefault="00247969" w:rsidP="00C94BC2">
            <w:pPr>
              <w:pStyle w:val="Listparagraf"/>
              <w:numPr>
                <w:ilvl w:val="0"/>
                <w:numId w:val="5"/>
              </w:numPr>
              <w:spacing w:before="120" w:line="276" w:lineRule="auto"/>
              <w:ind w:left="714" w:hanging="357"/>
              <w:jc w:val="both"/>
              <w:rPr>
                <w:rFonts w:ascii="Times New Roman" w:hAnsi="Times New Roman" w:cs="Times New Roman"/>
                <w:i/>
                <w:sz w:val="24"/>
                <w:szCs w:val="24"/>
              </w:rPr>
            </w:pPr>
            <w:r w:rsidRPr="00C94BC2">
              <w:rPr>
                <w:rFonts w:ascii="Times New Roman" w:hAnsi="Times New Roman" w:cs="Times New Roman"/>
                <w:i/>
                <w:sz w:val="24"/>
                <w:szCs w:val="24"/>
              </w:rPr>
              <w:t>Transpunerea cadrului european minim de protecție.</w:t>
            </w:r>
          </w:p>
          <w:p w:rsidR="00247969" w:rsidRPr="00247969" w:rsidRDefault="00247969" w:rsidP="00247969">
            <w:pPr>
              <w:spacing w:line="276" w:lineRule="auto"/>
              <w:ind w:firstLine="426"/>
              <w:jc w:val="both"/>
              <w:rPr>
                <w:rFonts w:ascii="Times New Roman" w:hAnsi="Times New Roman" w:cs="Times New Roman"/>
                <w:sz w:val="24"/>
                <w:szCs w:val="24"/>
              </w:rPr>
            </w:pPr>
            <w:r w:rsidRPr="00247969">
              <w:rPr>
                <w:rFonts w:ascii="Times New Roman" w:hAnsi="Times New Roman" w:cs="Times New Roman"/>
                <w:sz w:val="24"/>
                <w:szCs w:val="24"/>
              </w:rPr>
              <w:t xml:space="preserve">Directiva stabilește un </w:t>
            </w:r>
            <w:r w:rsidRPr="00247969">
              <w:rPr>
                <w:rStyle w:val="Robust"/>
                <w:rFonts w:ascii="Times New Roman" w:hAnsi="Times New Roman" w:cs="Times New Roman"/>
                <w:b w:val="0"/>
                <w:sz w:val="24"/>
                <w:szCs w:val="24"/>
              </w:rPr>
              <w:t>cadru de armonizare minimă</w:t>
            </w:r>
            <w:r w:rsidRPr="00247969">
              <w:rPr>
                <w:rFonts w:ascii="Times New Roman" w:hAnsi="Times New Roman" w:cs="Times New Roman"/>
                <w:sz w:val="24"/>
                <w:szCs w:val="24"/>
              </w:rPr>
              <w:t>, care obligă statele să interzică un set de practici considerate în mod obiectiv neloiale și să instituie mecanisme eficiente de aplicare a legii, permițând totodată adoptarea unor dispoziții naționale mai stricte sau mai extinse. Din acest punct de vedere, proiectul de lege transpune aceste cerințe prin:</w:t>
            </w:r>
          </w:p>
          <w:p w:rsidR="00247969" w:rsidRPr="00247969" w:rsidRDefault="00247969" w:rsidP="00247969">
            <w:pPr>
              <w:pStyle w:val="Listparagraf"/>
              <w:numPr>
                <w:ilvl w:val="0"/>
                <w:numId w:val="4"/>
              </w:numPr>
              <w:spacing w:line="276" w:lineRule="auto"/>
              <w:ind w:left="0" w:firstLine="450"/>
              <w:jc w:val="both"/>
              <w:rPr>
                <w:rFonts w:ascii="Times New Roman" w:hAnsi="Times New Roman" w:cs="Times New Roman"/>
                <w:bCs/>
                <w:sz w:val="24"/>
                <w:szCs w:val="24"/>
              </w:rPr>
            </w:pPr>
            <w:r w:rsidRPr="00247969">
              <w:rPr>
                <w:rFonts w:ascii="Times New Roman" w:hAnsi="Times New Roman" w:cs="Times New Roman"/>
                <w:sz w:val="24"/>
                <w:szCs w:val="24"/>
              </w:rPr>
              <w:t xml:space="preserve">stabilirea domeniului de aplicare în funcție de </w:t>
            </w:r>
            <w:r w:rsidRPr="00247969">
              <w:rPr>
                <w:rStyle w:val="Robust"/>
                <w:rFonts w:ascii="Times New Roman" w:hAnsi="Times New Roman" w:cs="Times New Roman"/>
                <w:b w:val="0"/>
                <w:sz w:val="24"/>
                <w:szCs w:val="24"/>
              </w:rPr>
              <w:t>dimensiunea relativă a întreprinderilor</w:t>
            </w:r>
            <w:r w:rsidRPr="00247969">
              <w:rPr>
                <w:rFonts w:ascii="Times New Roman" w:hAnsi="Times New Roman" w:cs="Times New Roman"/>
                <w:sz w:val="24"/>
                <w:szCs w:val="24"/>
              </w:rPr>
              <w:t>, determinată prin cifra de afaceri anuală</w:t>
            </w:r>
            <w:r w:rsidR="00C94BC2">
              <w:rPr>
                <w:rFonts w:ascii="Times New Roman" w:hAnsi="Times New Roman" w:cs="Times New Roman"/>
                <w:sz w:val="24"/>
                <w:szCs w:val="24"/>
              </w:rPr>
              <w:t>, pragurile fiind păstrate conform logicii Legii nr. 179/2016 cu privire la întreprinderile mici și mijlocii</w:t>
            </w:r>
            <w:r w:rsidRPr="00247969">
              <w:rPr>
                <w:rFonts w:ascii="Times New Roman" w:hAnsi="Times New Roman" w:cs="Times New Roman"/>
                <w:sz w:val="24"/>
                <w:szCs w:val="24"/>
              </w:rPr>
              <w:t>;</w:t>
            </w:r>
          </w:p>
          <w:p w:rsidR="00247969" w:rsidRPr="00247969" w:rsidRDefault="00247969" w:rsidP="00247969">
            <w:pPr>
              <w:pStyle w:val="Listparagraf"/>
              <w:numPr>
                <w:ilvl w:val="0"/>
                <w:numId w:val="4"/>
              </w:numPr>
              <w:spacing w:line="276" w:lineRule="auto"/>
              <w:ind w:left="0" w:firstLine="450"/>
              <w:jc w:val="both"/>
              <w:rPr>
                <w:rFonts w:ascii="Times New Roman" w:hAnsi="Times New Roman" w:cs="Times New Roman"/>
                <w:bCs/>
                <w:sz w:val="24"/>
                <w:szCs w:val="24"/>
              </w:rPr>
            </w:pPr>
            <w:r w:rsidRPr="00247969">
              <w:rPr>
                <w:rFonts w:ascii="Times New Roman" w:hAnsi="Times New Roman" w:cs="Times New Roman"/>
                <w:sz w:val="24"/>
                <w:szCs w:val="24"/>
              </w:rPr>
              <w:t>definirea cadrului juridic aplicabil relațiilor contractuale dintre furnizori și cumpărători;</w:t>
            </w:r>
          </w:p>
          <w:p w:rsidR="00247969" w:rsidRPr="00247969" w:rsidRDefault="00247969" w:rsidP="00247969">
            <w:pPr>
              <w:pStyle w:val="Listparagraf"/>
              <w:numPr>
                <w:ilvl w:val="0"/>
                <w:numId w:val="4"/>
              </w:numPr>
              <w:spacing w:line="276" w:lineRule="auto"/>
              <w:ind w:left="0" w:firstLine="450"/>
              <w:jc w:val="both"/>
              <w:rPr>
                <w:rStyle w:val="Robust"/>
                <w:rFonts w:ascii="Times New Roman" w:hAnsi="Times New Roman" w:cs="Times New Roman"/>
                <w:b w:val="0"/>
                <w:sz w:val="24"/>
                <w:szCs w:val="24"/>
              </w:rPr>
            </w:pPr>
            <w:r w:rsidRPr="00247969">
              <w:rPr>
                <w:rFonts w:ascii="Times New Roman" w:hAnsi="Times New Roman" w:cs="Times New Roman"/>
                <w:sz w:val="24"/>
                <w:szCs w:val="24"/>
              </w:rPr>
              <w:t>instituirea unei liste de</w:t>
            </w:r>
            <w:r w:rsidRPr="00247969">
              <w:rPr>
                <w:rFonts w:ascii="Times New Roman" w:hAnsi="Times New Roman" w:cs="Times New Roman"/>
                <w:b/>
                <w:sz w:val="24"/>
                <w:szCs w:val="24"/>
              </w:rPr>
              <w:t xml:space="preserve"> </w:t>
            </w:r>
            <w:r w:rsidRPr="00247969">
              <w:rPr>
                <w:rStyle w:val="Robust"/>
                <w:rFonts w:ascii="Times New Roman" w:hAnsi="Times New Roman" w:cs="Times New Roman"/>
                <w:b w:val="0"/>
                <w:sz w:val="24"/>
                <w:szCs w:val="24"/>
              </w:rPr>
              <w:t>practici comerciale neloiale interzise</w:t>
            </w:r>
            <w:r w:rsidRPr="00247969">
              <w:rPr>
                <w:rFonts w:ascii="Times New Roman" w:hAnsi="Times New Roman" w:cs="Times New Roman"/>
                <w:sz w:val="24"/>
                <w:szCs w:val="24"/>
              </w:rPr>
              <w:t>, în conformitate cu Directiva.</w:t>
            </w:r>
          </w:p>
          <w:p w:rsidR="00685D5C" w:rsidRPr="00C94BC2" w:rsidRDefault="00247969" w:rsidP="00C94BC2">
            <w:pPr>
              <w:pStyle w:val="Listparagraf"/>
              <w:numPr>
                <w:ilvl w:val="0"/>
                <w:numId w:val="5"/>
              </w:numPr>
              <w:spacing w:before="120" w:line="276" w:lineRule="auto"/>
              <w:ind w:left="714" w:hanging="357"/>
              <w:jc w:val="both"/>
              <w:rPr>
                <w:rFonts w:ascii="Times New Roman" w:hAnsi="Times New Roman" w:cs="Times New Roman"/>
                <w:i/>
                <w:sz w:val="24"/>
                <w:szCs w:val="24"/>
              </w:rPr>
            </w:pPr>
            <w:r w:rsidRPr="00C94BC2">
              <w:rPr>
                <w:rFonts w:ascii="Times New Roman" w:hAnsi="Times New Roman" w:cs="Times New Roman"/>
                <w:i/>
                <w:sz w:val="24"/>
                <w:szCs w:val="24"/>
              </w:rPr>
              <w:t>Reglementarea domeniului de aplicare.</w:t>
            </w:r>
          </w:p>
          <w:p w:rsidR="00247969" w:rsidRDefault="00247969" w:rsidP="00247969">
            <w:pPr>
              <w:spacing w:line="276" w:lineRule="auto"/>
              <w:ind w:firstLine="450"/>
              <w:jc w:val="both"/>
              <w:rPr>
                <w:rFonts w:ascii="Times New Roman" w:hAnsi="Times New Roman" w:cs="Times New Roman"/>
                <w:sz w:val="24"/>
                <w:szCs w:val="24"/>
              </w:rPr>
            </w:pPr>
            <w:r w:rsidRPr="00247969">
              <w:rPr>
                <w:rFonts w:ascii="Times New Roman" w:hAnsi="Times New Roman" w:cs="Times New Roman"/>
                <w:sz w:val="24"/>
                <w:szCs w:val="24"/>
              </w:rPr>
              <w:t xml:space="preserve">Proiectul stabilește că legea se aplică relațiilor contractuale dintre furnizori și cumpărători de produse agricole și alimentare, în funcție de diferențele de cifră de afaceri dintre aceștia, reflectând </w:t>
            </w:r>
            <w:r w:rsidRPr="00247969">
              <w:rPr>
                <w:rStyle w:val="Robust"/>
                <w:rFonts w:ascii="Times New Roman" w:hAnsi="Times New Roman" w:cs="Times New Roman"/>
                <w:b w:val="0"/>
                <w:sz w:val="24"/>
                <w:szCs w:val="24"/>
              </w:rPr>
              <w:t>dezechilibrul de putere de negociere</w:t>
            </w:r>
            <w:r w:rsidRPr="00247969">
              <w:rPr>
                <w:rFonts w:ascii="Times New Roman" w:hAnsi="Times New Roman" w:cs="Times New Roman"/>
                <w:sz w:val="24"/>
                <w:szCs w:val="24"/>
              </w:rPr>
              <w:t xml:space="preserve"> existent în lanțul agroalimentar.</w:t>
            </w:r>
            <w:r>
              <w:rPr>
                <w:rFonts w:ascii="Times New Roman" w:hAnsi="Times New Roman" w:cs="Times New Roman"/>
                <w:sz w:val="24"/>
                <w:szCs w:val="24"/>
              </w:rPr>
              <w:t xml:space="preserve"> Totodată, proiectul:</w:t>
            </w:r>
          </w:p>
          <w:p w:rsidR="00247969" w:rsidRPr="00E601B7" w:rsidRDefault="00247969" w:rsidP="00247969">
            <w:pPr>
              <w:pStyle w:val="Listparagraf"/>
              <w:numPr>
                <w:ilvl w:val="0"/>
                <w:numId w:val="4"/>
              </w:numPr>
              <w:spacing w:line="276" w:lineRule="auto"/>
              <w:ind w:left="25" w:firstLine="425"/>
              <w:jc w:val="both"/>
              <w:rPr>
                <w:rStyle w:val="Robust"/>
                <w:rFonts w:ascii="Times New Roman" w:hAnsi="Times New Roman" w:cs="Times New Roman"/>
                <w:b w:val="0"/>
                <w:bCs w:val="0"/>
                <w:sz w:val="24"/>
                <w:szCs w:val="24"/>
              </w:rPr>
            </w:pPr>
            <w:r w:rsidRPr="00E601B7">
              <w:rPr>
                <w:rFonts w:ascii="Times New Roman" w:hAnsi="Times New Roman" w:cs="Times New Roman"/>
                <w:sz w:val="24"/>
                <w:szCs w:val="24"/>
              </w:rPr>
              <w:t xml:space="preserve">extinde aplicabilitatea asupra relațiilor în care cumpărătorul este </w:t>
            </w:r>
            <w:r w:rsidRPr="00E601B7">
              <w:rPr>
                <w:rStyle w:val="Robust"/>
                <w:rFonts w:ascii="Times New Roman" w:hAnsi="Times New Roman" w:cs="Times New Roman"/>
                <w:b w:val="0"/>
                <w:sz w:val="24"/>
                <w:szCs w:val="24"/>
              </w:rPr>
              <w:t>autoritate publică;</w:t>
            </w:r>
          </w:p>
          <w:p w:rsidR="00247969" w:rsidRPr="00E601B7" w:rsidRDefault="00247969" w:rsidP="00247969">
            <w:pPr>
              <w:pStyle w:val="Listparagraf"/>
              <w:numPr>
                <w:ilvl w:val="0"/>
                <w:numId w:val="4"/>
              </w:numPr>
              <w:spacing w:line="276" w:lineRule="auto"/>
              <w:ind w:left="25" w:firstLine="425"/>
              <w:jc w:val="both"/>
              <w:rPr>
                <w:rFonts w:ascii="Times New Roman" w:hAnsi="Times New Roman" w:cs="Times New Roman"/>
                <w:sz w:val="24"/>
                <w:szCs w:val="24"/>
              </w:rPr>
            </w:pPr>
            <w:r w:rsidRPr="00E601B7">
              <w:rPr>
                <w:rFonts w:ascii="Times New Roman" w:hAnsi="Times New Roman" w:cs="Times New Roman"/>
                <w:sz w:val="24"/>
                <w:szCs w:val="24"/>
              </w:rPr>
              <w:t>precizează că aceasta nu afectează relațiile cu consumatorii finali;</w:t>
            </w:r>
          </w:p>
          <w:p w:rsidR="00247969" w:rsidRPr="00E601B7" w:rsidRDefault="00247969" w:rsidP="00247969">
            <w:pPr>
              <w:pStyle w:val="Listparagraf"/>
              <w:numPr>
                <w:ilvl w:val="0"/>
                <w:numId w:val="4"/>
              </w:numPr>
              <w:spacing w:line="276" w:lineRule="auto"/>
              <w:ind w:left="25" w:firstLine="425"/>
              <w:jc w:val="both"/>
              <w:rPr>
                <w:rFonts w:ascii="Times New Roman" w:hAnsi="Times New Roman" w:cs="Times New Roman"/>
                <w:sz w:val="24"/>
                <w:szCs w:val="24"/>
              </w:rPr>
            </w:pPr>
            <w:r w:rsidRPr="00E601B7">
              <w:rPr>
                <w:rFonts w:ascii="Times New Roman" w:hAnsi="Times New Roman" w:cs="Times New Roman"/>
                <w:sz w:val="24"/>
                <w:szCs w:val="24"/>
              </w:rPr>
              <w:t>stabilește obligația ca relațiile comerciale să fie bazate pe contracte negociate între părți</w:t>
            </w:r>
            <w:r w:rsidR="00E601B7">
              <w:rPr>
                <w:rFonts w:ascii="Times New Roman" w:hAnsi="Times New Roman" w:cs="Times New Roman"/>
                <w:sz w:val="24"/>
                <w:szCs w:val="24"/>
              </w:rPr>
              <w:t xml:space="preserve">, </w:t>
            </w:r>
            <w:r w:rsidRPr="00E601B7">
              <w:rPr>
                <w:rFonts w:ascii="Times New Roman" w:hAnsi="Times New Roman" w:cs="Times New Roman"/>
                <w:sz w:val="24"/>
                <w:szCs w:val="24"/>
              </w:rPr>
              <w:t>prevedere care asigură corelarea cu principiile generale ale dreptului concurenței și ale dreptului comercial.</w:t>
            </w:r>
          </w:p>
          <w:p w:rsidR="00247969" w:rsidRPr="00C94BC2" w:rsidRDefault="00E601B7" w:rsidP="00C94BC2">
            <w:pPr>
              <w:pStyle w:val="Listparagraf"/>
              <w:numPr>
                <w:ilvl w:val="0"/>
                <w:numId w:val="5"/>
              </w:numPr>
              <w:spacing w:before="120" w:line="276" w:lineRule="auto"/>
              <w:ind w:left="714" w:hanging="357"/>
              <w:jc w:val="both"/>
              <w:rPr>
                <w:rFonts w:ascii="Times New Roman" w:hAnsi="Times New Roman" w:cs="Times New Roman"/>
                <w:i/>
                <w:sz w:val="24"/>
                <w:szCs w:val="24"/>
              </w:rPr>
            </w:pPr>
            <w:r w:rsidRPr="00C94BC2">
              <w:rPr>
                <w:rFonts w:ascii="Times New Roman" w:hAnsi="Times New Roman" w:cs="Times New Roman"/>
                <w:i/>
                <w:sz w:val="24"/>
                <w:szCs w:val="24"/>
              </w:rPr>
              <w:t>Instituirea unui set clar de practici comerciale neloiale interzise.</w:t>
            </w:r>
          </w:p>
          <w:p w:rsidR="00E601B7" w:rsidRPr="00E601B7" w:rsidRDefault="00E601B7" w:rsidP="00E601B7">
            <w:pPr>
              <w:spacing w:line="276" w:lineRule="auto"/>
              <w:ind w:firstLine="450"/>
              <w:jc w:val="both"/>
              <w:rPr>
                <w:rFonts w:ascii="Times New Roman" w:hAnsi="Times New Roman" w:cs="Times New Roman"/>
                <w:sz w:val="24"/>
                <w:szCs w:val="24"/>
              </w:rPr>
            </w:pPr>
            <w:r w:rsidRPr="00E601B7">
              <w:rPr>
                <w:rFonts w:ascii="Times New Roman" w:hAnsi="Times New Roman" w:cs="Times New Roman"/>
                <w:sz w:val="24"/>
                <w:szCs w:val="24"/>
              </w:rPr>
              <w:t xml:space="preserve">Un element central al proiectului îl constituie </w:t>
            </w:r>
            <w:r w:rsidRPr="00E601B7">
              <w:rPr>
                <w:rStyle w:val="Robust"/>
                <w:rFonts w:ascii="Times New Roman" w:hAnsi="Times New Roman" w:cs="Times New Roman"/>
                <w:b w:val="0"/>
                <w:sz w:val="24"/>
                <w:szCs w:val="24"/>
              </w:rPr>
              <w:t>enumerarea expresă a practicilor comerciale neloiale</w:t>
            </w:r>
            <w:r w:rsidRPr="00E601B7">
              <w:rPr>
                <w:rFonts w:ascii="Times New Roman" w:hAnsi="Times New Roman" w:cs="Times New Roman"/>
                <w:sz w:val="24"/>
                <w:szCs w:val="24"/>
              </w:rPr>
              <w:t>, în conformitate cu Directiva, structurate în două categorii principale:</w:t>
            </w:r>
          </w:p>
          <w:p w:rsidR="00E601B7" w:rsidRPr="00E601B7" w:rsidRDefault="00E601B7" w:rsidP="00E601B7">
            <w:pPr>
              <w:pStyle w:val="Listparagraf"/>
              <w:numPr>
                <w:ilvl w:val="0"/>
                <w:numId w:val="6"/>
              </w:numPr>
              <w:spacing w:line="276" w:lineRule="auto"/>
              <w:jc w:val="both"/>
              <w:rPr>
                <w:rFonts w:ascii="Times New Roman" w:hAnsi="Times New Roman" w:cs="Times New Roman"/>
                <w:sz w:val="24"/>
                <w:szCs w:val="24"/>
              </w:rPr>
            </w:pPr>
            <w:r w:rsidRPr="00E601B7">
              <w:rPr>
                <w:rFonts w:ascii="Times New Roman" w:hAnsi="Times New Roman" w:cs="Times New Roman"/>
                <w:sz w:val="24"/>
                <w:szCs w:val="24"/>
              </w:rPr>
              <w:t>Practici legate de întârzierea plăților:</w:t>
            </w:r>
          </w:p>
          <w:p w:rsidR="00E601B7" w:rsidRPr="00E601B7" w:rsidRDefault="00E601B7" w:rsidP="00E601B7">
            <w:pPr>
              <w:pStyle w:val="Listparagraf"/>
              <w:numPr>
                <w:ilvl w:val="0"/>
                <w:numId w:val="7"/>
              </w:numPr>
              <w:spacing w:line="276" w:lineRule="auto"/>
              <w:jc w:val="both"/>
              <w:rPr>
                <w:rFonts w:ascii="Times New Roman" w:hAnsi="Times New Roman" w:cs="Times New Roman"/>
                <w:sz w:val="24"/>
                <w:szCs w:val="24"/>
              </w:rPr>
            </w:pPr>
            <w:r w:rsidRPr="00E601B7">
              <w:rPr>
                <w:rFonts w:ascii="Times New Roman" w:hAnsi="Times New Roman" w:cs="Times New Roman"/>
                <w:sz w:val="24"/>
                <w:szCs w:val="24"/>
              </w:rPr>
              <w:t>depășirea termenelor de plată pentru produse perisabile (30 zile);</w:t>
            </w:r>
          </w:p>
          <w:p w:rsidR="00E601B7" w:rsidRPr="00E601B7" w:rsidRDefault="00E601B7" w:rsidP="00E601B7">
            <w:pPr>
              <w:pStyle w:val="Listparagraf"/>
              <w:numPr>
                <w:ilvl w:val="0"/>
                <w:numId w:val="7"/>
              </w:numPr>
              <w:spacing w:line="276" w:lineRule="auto"/>
              <w:jc w:val="both"/>
              <w:rPr>
                <w:rFonts w:ascii="Times New Roman" w:hAnsi="Times New Roman" w:cs="Times New Roman"/>
                <w:sz w:val="24"/>
                <w:szCs w:val="24"/>
              </w:rPr>
            </w:pPr>
            <w:r w:rsidRPr="00E601B7">
              <w:rPr>
                <w:rFonts w:ascii="Times New Roman" w:hAnsi="Times New Roman" w:cs="Times New Roman"/>
                <w:sz w:val="24"/>
                <w:szCs w:val="24"/>
              </w:rPr>
              <w:t>depășirea termenelor de plată pentru alte produse (45 zile).</w:t>
            </w:r>
          </w:p>
          <w:p w:rsidR="00E601B7" w:rsidRPr="00E601B7" w:rsidRDefault="00E601B7" w:rsidP="00E601B7">
            <w:pPr>
              <w:pStyle w:val="Listparagraf"/>
              <w:numPr>
                <w:ilvl w:val="0"/>
                <w:numId w:val="6"/>
              </w:numPr>
              <w:spacing w:line="276" w:lineRule="auto"/>
              <w:jc w:val="both"/>
              <w:rPr>
                <w:rFonts w:ascii="Times New Roman" w:hAnsi="Times New Roman" w:cs="Times New Roman"/>
                <w:sz w:val="24"/>
                <w:szCs w:val="24"/>
              </w:rPr>
            </w:pPr>
            <w:r w:rsidRPr="00E601B7">
              <w:rPr>
                <w:rFonts w:ascii="Times New Roman" w:hAnsi="Times New Roman" w:cs="Times New Roman"/>
                <w:sz w:val="24"/>
                <w:szCs w:val="24"/>
              </w:rPr>
              <w:lastRenderedPageBreak/>
              <w:t>Practici nelegate de plăți:</w:t>
            </w:r>
          </w:p>
          <w:p w:rsidR="00E601B7" w:rsidRPr="00E601B7" w:rsidRDefault="00E601B7" w:rsidP="00E601B7">
            <w:pPr>
              <w:pStyle w:val="Listparagraf"/>
              <w:numPr>
                <w:ilvl w:val="0"/>
                <w:numId w:val="8"/>
              </w:numPr>
              <w:spacing w:line="276" w:lineRule="auto"/>
              <w:jc w:val="both"/>
              <w:rPr>
                <w:rFonts w:ascii="Times New Roman" w:hAnsi="Times New Roman" w:cs="Times New Roman"/>
                <w:sz w:val="24"/>
                <w:szCs w:val="24"/>
              </w:rPr>
            </w:pPr>
            <w:r w:rsidRPr="00E601B7">
              <w:rPr>
                <w:rFonts w:ascii="Times New Roman" w:hAnsi="Times New Roman" w:cs="Times New Roman"/>
                <w:sz w:val="24"/>
                <w:szCs w:val="24"/>
              </w:rPr>
              <w:t>anularea comenzilor într-un termen scurt;</w:t>
            </w:r>
          </w:p>
          <w:p w:rsidR="00E601B7" w:rsidRPr="00E601B7" w:rsidRDefault="00E601B7" w:rsidP="00E601B7">
            <w:pPr>
              <w:pStyle w:val="Listparagraf"/>
              <w:numPr>
                <w:ilvl w:val="0"/>
                <w:numId w:val="8"/>
              </w:numPr>
              <w:spacing w:line="276" w:lineRule="auto"/>
              <w:jc w:val="both"/>
              <w:rPr>
                <w:rFonts w:ascii="Times New Roman" w:hAnsi="Times New Roman" w:cs="Times New Roman"/>
                <w:sz w:val="24"/>
                <w:szCs w:val="24"/>
              </w:rPr>
            </w:pPr>
            <w:r w:rsidRPr="00E601B7">
              <w:rPr>
                <w:rFonts w:ascii="Times New Roman" w:hAnsi="Times New Roman" w:cs="Times New Roman"/>
                <w:sz w:val="24"/>
                <w:szCs w:val="24"/>
              </w:rPr>
              <w:t>modificarea unilaterală a contractului;</w:t>
            </w:r>
          </w:p>
          <w:p w:rsidR="00E601B7" w:rsidRPr="00E601B7" w:rsidRDefault="00E601B7" w:rsidP="00E601B7">
            <w:pPr>
              <w:pStyle w:val="Listparagraf"/>
              <w:numPr>
                <w:ilvl w:val="0"/>
                <w:numId w:val="8"/>
              </w:numPr>
              <w:spacing w:line="276" w:lineRule="auto"/>
              <w:jc w:val="both"/>
              <w:rPr>
                <w:rFonts w:ascii="Times New Roman" w:hAnsi="Times New Roman" w:cs="Times New Roman"/>
                <w:sz w:val="24"/>
                <w:szCs w:val="24"/>
              </w:rPr>
            </w:pPr>
            <w:r w:rsidRPr="00E601B7">
              <w:rPr>
                <w:rFonts w:ascii="Times New Roman" w:hAnsi="Times New Roman" w:cs="Times New Roman"/>
                <w:sz w:val="24"/>
                <w:szCs w:val="24"/>
              </w:rPr>
              <w:t>solicitarea de plăți nejustificate;</w:t>
            </w:r>
          </w:p>
          <w:p w:rsidR="00E601B7" w:rsidRPr="00E601B7" w:rsidRDefault="00E601B7" w:rsidP="00E601B7">
            <w:pPr>
              <w:pStyle w:val="Listparagraf"/>
              <w:numPr>
                <w:ilvl w:val="0"/>
                <w:numId w:val="8"/>
              </w:numPr>
              <w:spacing w:line="276" w:lineRule="auto"/>
              <w:jc w:val="both"/>
              <w:rPr>
                <w:rFonts w:ascii="Times New Roman" w:hAnsi="Times New Roman" w:cs="Times New Roman"/>
                <w:sz w:val="24"/>
                <w:szCs w:val="24"/>
              </w:rPr>
            </w:pPr>
            <w:r w:rsidRPr="00E601B7">
              <w:rPr>
                <w:rFonts w:ascii="Times New Roman" w:hAnsi="Times New Roman" w:cs="Times New Roman"/>
                <w:sz w:val="24"/>
                <w:szCs w:val="24"/>
              </w:rPr>
              <w:t>transferarea nejustificată a riscurilor asupra furnizorului;</w:t>
            </w:r>
          </w:p>
          <w:p w:rsidR="00E601B7" w:rsidRPr="00E601B7" w:rsidRDefault="00E601B7" w:rsidP="00E601B7">
            <w:pPr>
              <w:pStyle w:val="Listparagraf"/>
              <w:numPr>
                <w:ilvl w:val="0"/>
                <w:numId w:val="8"/>
              </w:numPr>
              <w:spacing w:line="276" w:lineRule="auto"/>
              <w:jc w:val="both"/>
              <w:rPr>
                <w:rFonts w:ascii="Times New Roman" w:hAnsi="Times New Roman" w:cs="Times New Roman"/>
                <w:sz w:val="24"/>
                <w:szCs w:val="24"/>
              </w:rPr>
            </w:pPr>
            <w:r w:rsidRPr="00E601B7">
              <w:rPr>
                <w:rFonts w:ascii="Times New Roman" w:hAnsi="Times New Roman" w:cs="Times New Roman"/>
                <w:sz w:val="24"/>
                <w:szCs w:val="24"/>
              </w:rPr>
              <w:t>solicitarea de reduceri comerciale peste plafonul de 20 la sută din valoarea produselor livrate, pe parcursul unui an;</w:t>
            </w:r>
          </w:p>
          <w:p w:rsidR="00E601B7" w:rsidRPr="00E601B7" w:rsidRDefault="00E601B7" w:rsidP="00E601B7">
            <w:pPr>
              <w:pStyle w:val="Listparagraf"/>
              <w:numPr>
                <w:ilvl w:val="0"/>
                <w:numId w:val="8"/>
              </w:numPr>
              <w:spacing w:line="276" w:lineRule="auto"/>
              <w:jc w:val="both"/>
              <w:rPr>
                <w:rFonts w:ascii="Times New Roman" w:hAnsi="Times New Roman" w:cs="Times New Roman"/>
                <w:sz w:val="24"/>
                <w:szCs w:val="24"/>
              </w:rPr>
            </w:pPr>
            <w:r w:rsidRPr="00E601B7">
              <w:rPr>
                <w:rFonts w:ascii="Times New Roman" w:hAnsi="Times New Roman" w:cs="Times New Roman"/>
                <w:sz w:val="24"/>
                <w:szCs w:val="24"/>
              </w:rPr>
              <w:t>refuzul confirmării contractului în formă scrisă.</w:t>
            </w:r>
          </w:p>
          <w:p w:rsidR="00E601B7" w:rsidRPr="00C94BC2" w:rsidRDefault="00E601B7" w:rsidP="00C94BC2">
            <w:pPr>
              <w:pStyle w:val="Listparagraf"/>
              <w:numPr>
                <w:ilvl w:val="0"/>
                <w:numId w:val="5"/>
              </w:numPr>
              <w:spacing w:before="120" w:line="276" w:lineRule="auto"/>
              <w:ind w:left="714" w:hanging="357"/>
              <w:jc w:val="both"/>
              <w:rPr>
                <w:rFonts w:ascii="Times New Roman" w:hAnsi="Times New Roman" w:cs="Times New Roman"/>
                <w:i/>
                <w:sz w:val="24"/>
                <w:szCs w:val="24"/>
              </w:rPr>
            </w:pPr>
            <w:r w:rsidRPr="00C94BC2">
              <w:rPr>
                <w:rFonts w:ascii="Times New Roman" w:hAnsi="Times New Roman" w:cs="Times New Roman"/>
                <w:i/>
                <w:sz w:val="24"/>
                <w:szCs w:val="24"/>
              </w:rPr>
              <w:t>Stabilirea unui mecanism de sancționare proporțional</w:t>
            </w:r>
            <w:r w:rsidR="00154A0C" w:rsidRPr="00C94BC2">
              <w:rPr>
                <w:rFonts w:ascii="Times New Roman" w:hAnsi="Times New Roman" w:cs="Times New Roman"/>
                <w:i/>
                <w:sz w:val="24"/>
                <w:szCs w:val="24"/>
              </w:rPr>
              <w:t xml:space="preserve"> și disuasiv.</w:t>
            </w:r>
          </w:p>
          <w:p w:rsidR="006276EF" w:rsidRDefault="00E601B7" w:rsidP="00E601B7">
            <w:pPr>
              <w:spacing w:line="276" w:lineRule="auto"/>
              <w:ind w:firstLine="450"/>
              <w:jc w:val="both"/>
              <w:rPr>
                <w:rFonts w:ascii="Times New Roman" w:hAnsi="Times New Roman" w:cs="Times New Roman"/>
                <w:sz w:val="24"/>
                <w:szCs w:val="24"/>
              </w:rPr>
            </w:pPr>
            <w:r>
              <w:rPr>
                <w:rFonts w:ascii="Times New Roman" w:hAnsi="Times New Roman" w:cs="Times New Roman"/>
                <w:sz w:val="24"/>
                <w:szCs w:val="24"/>
              </w:rPr>
              <w:t>Proiectul introduce un regim sancționator specific, care prevede sancționarea practicilor comerciale neloiale din lanțul de aprovizionare agricol și alimentar, cu amendă</w:t>
            </w:r>
            <w:r w:rsidR="006276EF">
              <w:rPr>
                <w:rFonts w:ascii="Times New Roman" w:hAnsi="Times New Roman" w:cs="Times New Roman"/>
                <w:sz w:val="24"/>
                <w:szCs w:val="24"/>
              </w:rPr>
              <w:t xml:space="preserve"> de</w:t>
            </w:r>
            <w:r>
              <w:rPr>
                <w:rFonts w:ascii="Times New Roman" w:hAnsi="Times New Roman" w:cs="Times New Roman"/>
                <w:sz w:val="24"/>
                <w:szCs w:val="24"/>
              </w:rPr>
              <w:t xml:space="preserve"> 0,</w:t>
            </w:r>
            <w:r w:rsidR="006276EF">
              <w:rPr>
                <w:rFonts w:ascii="Times New Roman" w:hAnsi="Times New Roman" w:cs="Times New Roman"/>
                <w:sz w:val="24"/>
                <w:szCs w:val="24"/>
              </w:rPr>
              <w:t>2</w:t>
            </w:r>
            <w:r>
              <w:rPr>
                <w:rFonts w:ascii="Times New Roman" w:hAnsi="Times New Roman" w:cs="Times New Roman"/>
                <w:sz w:val="24"/>
                <w:szCs w:val="24"/>
              </w:rPr>
              <w:t xml:space="preserve"> % </w:t>
            </w:r>
            <w:r w:rsidR="006276EF">
              <w:rPr>
                <w:rFonts w:ascii="Times New Roman" w:hAnsi="Times New Roman" w:cs="Times New Roman"/>
                <w:sz w:val="24"/>
                <w:szCs w:val="24"/>
              </w:rPr>
              <w:t xml:space="preserve">din cifra totală de afaceri </w:t>
            </w:r>
            <w:r w:rsidR="00C94BC2" w:rsidRPr="002C0382">
              <w:rPr>
                <w:rFonts w:ascii="Times New Roman" w:eastAsia="Times New Roman" w:hAnsi="Times New Roman" w:cs="Times New Roman"/>
                <w:sz w:val="24"/>
                <w:szCs w:val="24"/>
              </w:rPr>
              <w:t>realizată în anul financiar anterior adoptării deciziei de sancționare</w:t>
            </w:r>
            <w:r w:rsidR="00C94BC2">
              <w:rPr>
                <w:rFonts w:ascii="Times New Roman" w:hAnsi="Times New Roman" w:cs="Times New Roman"/>
                <w:sz w:val="24"/>
                <w:szCs w:val="24"/>
              </w:rPr>
              <w:t xml:space="preserve"> </w:t>
            </w:r>
            <w:r>
              <w:rPr>
                <w:rFonts w:ascii="Times New Roman" w:hAnsi="Times New Roman" w:cs="Times New Roman"/>
                <w:sz w:val="24"/>
                <w:szCs w:val="24"/>
              </w:rPr>
              <w:t>și 0,5%</w:t>
            </w:r>
            <w:r w:rsidR="00C94BC2">
              <w:rPr>
                <w:rFonts w:ascii="Times New Roman" w:hAnsi="Times New Roman" w:cs="Times New Roman"/>
                <w:sz w:val="24"/>
                <w:szCs w:val="24"/>
              </w:rPr>
              <w:t xml:space="preserve"> din cifra totală de afaceri</w:t>
            </w:r>
            <w:r w:rsidR="006276EF">
              <w:rPr>
                <w:rFonts w:ascii="Times New Roman" w:hAnsi="Times New Roman" w:cs="Times New Roman"/>
                <w:sz w:val="24"/>
                <w:szCs w:val="24"/>
              </w:rPr>
              <w:t xml:space="preserve"> pentru practici comerciale neloiale săvârșite în mod repetat.</w:t>
            </w:r>
          </w:p>
          <w:p w:rsidR="00154A0C" w:rsidRPr="00E601B7" w:rsidRDefault="00154A0C" w:rsidP="00E601B7">
            <w:pPr>
              <w:spacing w:line="276" w:lineRule="auto"/>
              <w:ind w:firstLine="450"/>
              <w:jc w:val="both"/>
              <w:rPr>
                <w:rFonts w:ascii="Times New Roman" w:hAnsi="Times New Roman" w:cs="Times New Roman"/>
                <w:sz w:val="24"/>
                <w:szCs w:val="24"/>
              </w:rPr>
            </w:pPr>
            <w:r>
              <w:rPr>
                <w:rFonts w:ascii="Times New Roman" w:hAnsi="Times New Roman" w:cs="Times New Roman"/>
                <w:sz w:val="24"/>
                <w:szCs w:val="24"/>
              </w:rPr>
              <w:t>Se menționează că în rezultatul procedurii de avizare a proiectului de lege, autoritățile competente relevante, inclusiv mediul de afaceri, nu au venit cu propuneri concrete privind cuantumul sancțiunilor pentru practici comerciale neloiale</w:t>
            </w:r>
            <w:r w:rsidR="000024B1">
              <w:rPr>
                <w:rFonts w:ascii="Times New Roman" w:hAnsi="Times New Roman" w:cs="Times New Roman"/>
                <w:sz w:val="24"/>
                <w:szCs w:val="24"/>
              </w:rPr>
              <w:t xml:space="preserve">. Astfel, </w:t>
            </w:r>
            <w:r>
              <w:rPr>
                <w:rFonts w:ascii="Times New Roman" w:hAnsi="Times New Roman" w:cs="Times New Roman"/>
                <w:sz w:val="24"/>
                <w:szCs w:val="24"/>
              </w:rPr>
              <w:t>autorul proiectului menține opțiunea de calcul a</w:t>
            </w:r>
            <w:r w:rsidR="000024B1">
              <w:rPr>
                <w:rFonts w:ascii="Times New Roman" w:hAnsi="Times New Roman" w:cs="Times New Roman"/>
                <w:sz w:val="24"/>
                <w:szCs w:val="24"/>
              </w:rPr>
              <w:t xml:space="preserve"> mărimii</w:t>
            </w:r>
            <w:r>
              <w:rPr>
                <w:rFonts w:ascii="Times New Roman" w:hAnsi="Times New Roman" w:cs="Times New Roman"/>
                <w:sz w:val="24"/>
                <w:szCs w:val="24"/>
              </w:rPr>
              <w:t xml:space="preserve"> sancțiunilor în </w:t>
            </w:r>
            <w:r w:rsidR="000024B1">
              <w:rPr>
                <w:rFonts w:ascii="Times New Roman" w:hAnsi="Times New Roman" w:cs="Times New Roman"/>
                <w:sz w:val="24"/>
                <w:szCs w:val="24"/>
              </w:rPr>
              <w:t>dimensiune</w:t>
            </w:r>
            <w:r>
              <w:rPr>
                <w:rFonts w:ascii="Times New Roman" w:hAnsi="Times New Roman" w:cs="Times New Roman"/>
                <w:sz w:val="24"/>
                <w:szCs w:val="24"/>
              </w:rPr>
              <w:t xml:space="preserve"> procentuală din cifra de afaceri totală</w:t>
            </w:r>
            <w:r w:rsidR="00C94BC2">
              <w:rPr>
                <w:rFonts w:ascii="Times New Roman" w:hAnsi="Times New Roman" w:cs="Times New Roman"/>
                <w:sz w:val="24"/>
                <w:szCs w:val="24"/>
              </w:rPr>
              <w:t>, în vederea asigurării caracterului proporțional, eficient și disuasiv a sancțiunilor.</w:t>
            </w:r>
          </w:p>
          <w:p w:rsidR="00E601B7" w:rsidRPr="00C94BC2" w:rsidRDefault="00154A0C" w:rsidP="00C94BC2">
            <w:pPr>
              <w:pStyle w:val="Listparagraf"/>
              <w:numPr>
                <w:ilvl w:val="0"/>
                <w:numId w:val="5"/>
              </w:numPr>
              <w:spacing w:before="120" w:line="276" w:lineRule="auto"/>
              <w:ind w:left="714" w:hanging="357"/>
              <w:jc w:val="both"/>
              <w:rPr>
                <w:rFonts w:ascii="Times New Roman" w:hAnsi="Times New Roman" w:cs="Times New Roman"/>
                <w:i/>
                <w:sz w:val="24"/>
                <w:szCs w:val="24"/>
              </w:rPr>
            </w:pPr>
            <w:r w:rsidRPr="00C94BC2">
              <w:rPr>
                <w:rFonts w:ascii="Times New Roman" w:hAnsi="Times New Roman" w:cs="Times New Roman"/>
                <w:i/>
                <w:sz w:val="24"/>
                <w:szCs w:val="24"/>
              </w:rPr>
              <w:t>Integrarea mecanismelor existente ale Consiliului Concurenței.</w:t>
            </w:r>
          </w:p>
          <w:p w:rsidR="00154A0C" w:rsidRPr="00C94BC2" w:rsidRDefault="00154A0C" w:rsidP="00154A0C">
            <w:pPr>
              <w:spacing w:line="276" w:lineRule="auto"/>
              <w:ind w:firstLine="450"/>
              <w:jc w:val="both"/>
              <w:rPr>
                <w:rFonts w:ascii="Times New Roman" w:hAnsi="Times New Roman" w:cs="Times New Roman"/>
                <w:sz w:val="24"/>
                <w:szCs w:val="24"/>
              </w:rPr>
            </w:pPr>
            <w:r w:rsidRPr="00C94BC2">
              <w:rPr>
                <w:rFonts w:ascii="Times New Roman" w:hAnsi="Times New Roman" w:cs="Times New Roman"/>
                <w:sz w:val="24"/>
                <w:szCs w:val="24"/>
              </w:rPr>
              <w:t>Un element esențial al proiectului constă în faptul că acesta nu instituie un regim procedural autonom, ci valorifică cadrul existent al legislației concurențiale.</w:t>
            </w:r>
            <w:r w:rsidR="00C94BC2" w:rsidRPr="00C94BC2">
              <w:rPr>
                <w:rFonts w:ascii="Times New Roman" w:hAnsi="Times New Roman" w:cs="Times New Roman"/>
                <w:sz w:val="24"/>
                <w:szCs w:val="24"/>
              </w:rPr>
              <w:t xml:space="preserve"> Consiliul Concurenței este desemnat ca autoritate competentă pentru aplicarea legii, iar procedurile de investigare, examinare și sancționare, inclusiv cele privind termenele de prescripție, circumstanțele agravante și atenuante și alte aspecte procedurale, sunt realizate în conformitate cu </w:t>
            </w:r>
            <w:r w:rsidR="00C94BC2" w:rsidRPr="00C94BC2">
              <w:rPr>
                <w:rStyle w:val="Robust"/>
                <w:rFonts w:ascii="Times New Roman" w:hAnsi="Times New Roman" w:cs="Times New Roman"/>
                <w:b w:val="0"/>
                <w:sz w:val="24"/>
                <w:szCs w:val="24"/>
              </w:rPr>
              <w:t>Legea concurenței nr. 183/2012.</w:t>
            </w:r>
            <w:r w:rsidR="00C94BC2">
              <w:rPr>
                <w:rStyle w:val="Robust"/>
                <w:rFonts w:ascii="Times New Roman" w:hAnsi="Times New Roman" w:cs="Times New Roman"/>
                <w:b w:val="0"/>
                <w:sz w:val="24"/>
                <w:szCs w:val="24"/>
              </w:rPr>
              <w:t xml:space="preserve"> Această abordare evită dublarea reglementărilor, asigură coerența cadrului legislativ și permite utilizarea experienței instituțională existentă în domeniul dreptului concurenței.</w:t>
            </w:r>
          </w:p>
          <w:p w:rsidR="00C94BC2" w:rsidRDefault="00BE06A2" w:rsidP="00BE06A2">
            <w:pPr>
              <w:spacing w:before="120" w:line="276" w:lineRule="auto"/>
              <w:ind w:firstLine="448"/>
              <w:jc w:val="both"/>
              <w:rPr>
                <w:rFonts w:ascii="Times New Roman" w:hAnsi="Times New Roman" w:cs="Times New Roman"/>
                <w:sz w:val="24"/>
                <w:szCs w:val="24"/>
                <w:lang w:val="ro-MD"/>
              </w:rPr>
            </w:pPr>
            <w:r w:rsidRPr="00BE06A2">
              <w:rPr>
                <w:rFonts w:ascii="Times New Roman" w:hAnsi="Times New Roman" w:cs="Times New Roman"/>
                <w:sz w:val="24"/>
                <w:szCs w:val="24"/>
              </w:rPr>
              <w:t>Un element de noutate esențial introdus în proiect în temeiul prevederii art. 9 alin. (1) al Directivei</w:t>
            </w:r>
            <w:r>
              <w:rPr>
                <w:rFonts w:ascii="Times New Roman" w:hAnsi="Times New Roman" w:cs="Times New Roman"/>
                <w:sz w:val="24"/>
                <w:szCs w:val="24"/>
              </w:rPr>
              <w:t xml:space="preserve"> (UE) 2019/633</w:t>
            </w:r>
            <w:r w:rsidRPr="00BE06A2">
              <w:rPr>
                <w:rFonts w:ascii="Times New Roman" w:hAnsi="Times New Roman" w:cs="Times New Roman"/>
                <w:sz w:val="24"/>
                <w:szCs w:val="24"/>
              </w:rPr>
              <w:t xml:space="preserve">, este cel de </w:t>
            </w:r>
            <w:r w:rsidRPr="00BE06A2">
              <w:rPr>
                <w:rFonts w:ascii="Times New Roman" w:hAnsi="Times New Roman" w:cs="Times New Roman"/>
                <w:sz w:val="24"/>
                <w:szCs w:val="24"/>
                <w:lang w:val="ro-MD"/>
              </w:rPr>
              <w:t>limitare a valorii cumulative anuale a reducerilor comerciale negociate pentru livrările de produse agricole și alimentare</w:t>
            </w:r>
            <w:r>
              <w:rPr>
                <w:rFonts w:ascii="Times New Roman" w:hAnsi="Times New Roman" w:cs="Times New Roman"/>
                <w:sz w:val="24"/>
                <w:szCs w:val="24"/>
                <w:lang w:val="ro-MD"/>
              </w:rPr>
              <w:t>. Proiectul de lege</w:t>
            </w:r>
            <w:r w:rsidRPr="00BE06A2">
              <w:rPr>
                <w:rFonts w:ascii="Times New Roman" w:hAnsi="Times New Roman" w:cs="Times New Roman"/>
                <w:sz w:val="24"/>
                <w:szCs w:val="24"/>
                <w:lang w:val="ro-MD"/>
              </w:rPr>
              <w:t xml:space="preserve"> stabil</w:t>
            </w:r>
            <w:r>
              <w:rPr>
                <w:rFonts w:ascii="Times New Roman" w:hAnsi="Times New Roman" w:cs="Times New Roman"/>
                <w:sz w:val="24"/>
                <w:szCs w:val="24"/>
                <w:lang w:val="ro-MD"/>
              </w:rPr>
              <w:t>ește</w:t>
            </w:r>
            <w:r w:rsidRPr="00BE06A2">
              <w:rPr>
                <w:rFonts w:ascii="Times New Roman" w:hAnsi="Times New Roman" w:cs="Times New Roman"/>
                <w:sz w:val="24"/>
                <w:szCs w:val="24"/>
                <w:lang w:val="ro-MD"/>
              </w:rPr>
              <w:t xml:space="preserve"> că aceasta nu poate depăși 20% din valoarea facturată, cu excepția remizelor și </w:t>
            </w:r>
            <w:proofErr w:type="spellStart"/>
            <w:r w:rsidRPr="00BE06A2">
              <w:rPr>
                <w:rFonts w:ascii="Times New Roman" w:hAnsi="Times New Roman" w:cs="Times New Roman"/>
                <w:sz w:val="24"/>
                <w:szCs w:val="24"/>
                <w:lang w:val="ro-MD"/>
              </w:rPr>
              <w:t>risturnelor</w:t>
            </w:r>
            <w:proofErr w:type="spellEnd"/>
            <w:r>
              <w:rPr>
                <w:rFonts w:ascii="Times New Roman" w:hAnsi="Times New Roman" w:cs="Times New Roman"/>
                <w:sz w:val="24"/>
                <w:szCs w:val="24"/>
                <w:lang w:val="ro-MD"/>
              </w:rPr>
              <w:t xml:space="preserve">. </w:t>
            </w:r>
            <w:r w:rsidRPr="00BE06A2">
              <w:rPr>
                <w:rFonts w:ascii="Times New Roman" w:hAnsi="Times New Roman" w:cs="Times New Roman"/>
                <w:sz w:val="24"/>
                <w:szCs w:val="24"/>
                <w:lang w:val="ro-MD"/>
              </w:rPr>
              <w:t xml:space="preserve">Plafonarea reducerilor comerciale urmărește prevenirea practicilor prin care prețul contractual al produselor agricole și alimentare este diminuat în mod indirect și netransparent, prin solicitarea unor reduceri succesive, cumulative sau necorelate cu prestații reale, care au ca efect transferarea disproporționată a riscurilor comerciale asupra furnizorilor. În lipsa unei limite maxime, reducerile comerciale pot deveni un mecanism de presiune economică, utilizat pentru diminuarea artificială a veniturilor furnizorului și compensarea unor costuri comerciale care nu țin de activitatea și responsabilitatea furnizorului. Prin urmare, măsura nu vizează eliminarea reducerilor comerciale ca instrument legitim de negociere, ci </w:t>
            </w:r>
            <w:r w:rsidRPr="00BE06A2">
              <w:rPr>
                <w:rStyle w:val="Robust"/>
                <w:rFonts w:ascii="Times New Roman" w:hAnsi="Times New Roman" w:cs="Times New Roman"/>
                <w:b w:val="0"/>
                <w:sz w:val="24"/>
                <w:szCs w:val="24"/>
                <w:lang w:val="ro-MD"/>
              </w:rPr>
              <w:t>limitarea utilizării lor excesive și abuzive</w:t>
            </w:r>
            <w:r w:rsidRPr="00BE06A2">
              <w:rPr>
                <w:rFonts w:ascii="Times New Roman" w:hAnsi="Times New Roman" w:cs="Times New Roman"/>
                <w:sz w:val="24"/>
                <w:szCs w:val="24"/>
                <w:lang w:val="ro-MD"/>
              </w:rPr>
              <w:t>.</w:t>
            </w:r>
          </w:p>
          <w:p w:rsidR="00BE06A2" w:rsidRDefault="00BE06A2" w:rsidP="00BE06A2">
            <w:pPr>
              <w:spacing w:line="276" w:lineRule="auto"/>
              <w:ind w:firstLine="448"/>
              <w:jc w:val="both"/>
              <w:rPr>
                <w:rFonts w:ascii="Times New Roman" w:hAnsi="Times New Roman" w:cs="Times New Roman"/>
                <w:sz w:val="24"/>
                <w:szCs w:val="24"/>
                <w:lang w:val="ro-MD"/>
              </w:rPr>
            </w:pPr>
            <w:r w:rsidRPr="00BE06A2">
              <w:rPr>
                <w:rFonts w:ascii="Times New Roman" w:eastAsia="Times New Roman" w:hAnsi="Times New Roman" w:cs="Times New Roman"/>
                <w:sz w:val="24"/>
                <w:szCs w:val="24"/>
                <w:lang w:val="ro-MD" w:eastAsia="ro-RO"/>
              </w:rPr>
              <w:t xml:space="preserve">Plafonul de 20 % este stabilit astfel, încât să permită flexibilitatea contractuală și negocierea firească, totodată lăsând loc mecanismelor clasice de stimulare a volumelor (remize și </w:t>
            </w:r>
            <w:proofErr w:type="spellStart"/>
            <w:r w:rsidRPr="00BE06A2">
              <w:rPr>
                <w:rFonts w:ascii="Times New Roman" w:eastAsia="Times New Roman" w:hAnsi="Times New Roman" w:cs="Times New Roman"/>
                <w:sz w:val="24"/>
                <w:szCs w:val="24"/>
                <w:lang w:val="ro-MD" w:eastAsia="ro-RO"/>
              </w:rPr>
              <w:t>risturne</w:t>
            </w:r>
            <w:proofErr w:type="spellEnd"/>
            <w:r w:rsidRPr="00BE06A2">
              <w:rPr>
                <w:rFonts w:ascii="Times New Roman" w:eastAsia="Times New Roman" w:hAnsi="Times New Roman" w:cs="Times New Roman"/>
                <w:sz w:val="24"/>
                <w:szCs w:val="24"/>
                <w:lang w:val="ro-MD" w:eastAsia="ro-RO"/>
              </w:rPr>
              <w:t xml:space="preserve">). </w:t>
            </w:r>
            <w:r w:rsidRPr="00BE06A2">
              <w:rPr>
                <w:rStyle w:val="Robust"/>
                <w:rFonts w:ascii="Times New Roman" w:hAnsi="Times New Roman" w:cs="Times New Roman"/>
                <w:b w:val="0"/>
                <w:sz w:val="24"/>
                <w:szCs w:val="24"/>
                <w:lang w:val="ro-MD"/>
              </w:rPr>
              <w:t>România este un exemplu relevant</w:t>
            </w:r>
            <w:r w:rsidRPr="00BE06A2">
              <w:rPr>
                <w:rFonts w:ascii="Times New Roman" w:hAnsi="Times New Roman" w:cs="Times New Roman"/>
                <w:sz w:val="24"/>
                <w:szCs w:val="24"/>
                <w:lang w:val="ro-MD"/>
              </w:rPr>
              <w:t xml:space="preserve"> de stat membru care a introdus un mecanism de limitare a reducerilor comerciale (plafon 20 % -  Legea nr. 81/2022 privind practicile comerciale neloiale), </w:t>
            </w:r>
            <w:r w:rsidRPr="00BE06A2">
              <w:rPr>
                <w:rFonts w:ascii="Times New Roman" w:eastAsia="Times New Roman" w:hAnsi="Times New Roman" w:cs="Times New Roman"/>
                <w:sz w:val="24"/>
                <w:szCs w:val="24"/>
                <w:lang w:val="ro-MD" w:eastAsia="ro-RO"/>
              </w:rPr>
              <w:lastRenderedPageBreak/>
              <w:t>fiind o măsură mai strictă decât minimul stabilit de Directivă. A</w:t>
            </w:r>
            <w:r w:rsidRPr="00BE06A2">
              <w:rPr>
                <w:rFonts w:ascii="Times New Roman" w:hAnsi="Times New Roman" w:cs="Times New Roman"/>
                <w:sz w:val="24"/>
                <w:szCs w:val="24"/>
                <w:lang w:val="ro-MD"/>
              </w:rPr>
              <w:t>stfel, propunerea nu este una atipică sau neconformă, ci se bazează pe un precedent legislativ în cadrul UE.</w:t>
            </w:r>
          </w:p>
          <w:p w:rsidR="00A22776" w:rsidRDefault="00A22776" w:rsidP="00BE06A2">
            <w:pPr>
              <w:spacing w:line="276" w:lineRule="auto"/>
              <w:ind w:firstLine="448"/>
              <w:jc w:val="both"/>
              <w:rPr>
                <w:rFonts w:ascii="Times New Roman" w:hAnsi="Times New Roman" w:cs="Times New Roman"/>
                <w:sz w:val="24"/>
                <w:szCs w:val="24"/>
              </w:rPr>
            </w:pPr>
            <w:r w:rsidRPr="00A22776">
              <w:rPr>
                <w:rFonts w:ascii="Times New Roman" w:hAnsi="Times New Roman" w:cs="Times New Roman"/>
                <w:sz w:val="24"/>
                <w:szCs w:val="24"/>
                <w:lang w:val="ro-MD"/>
              </w:rPr>
              <w:t xml:space="preserve">De menționat este că </w:t>
            </w:r>
            <w:r>
              <w:rPr>
                <w:rFonts w:ascii="Times New Roman" w:hAnsi="Times New Roman" w:cs="Times New Roman"/>
                <w:sz w:val="24"/>
                <w:szCs w:val="24"/>
                <w:lang w:val="ro-MD"/>
              </w:rPr>
              <w:t>necesitatea</w:t>
            </w:r>
            <w:r w:rsidRPr="00A22776">
              <w:rPr>
                <w:rFonts w:ascii="Times New Roman" w:hAnsi="Times New Roman" w:cs="Times New Roman"/>
                <w:sz w:val="24"/>
                <w:szCs w:val="24"/>
              </w:rPr>
              <w:t xml:space="preserve"> unei astfel de intervenții</w:t>
            </w:r>
            <w:r w:rsidR="00C66B71">
              <w:rPr>
                <w:rFonts w:ascii="Times New Roman" w:hAnsi="Times New Roman" w:cs="Times New Roman"/>
                <w:sz w:val="24"/>
                <w:szCs w:val="24"/>
              </w:rPr>
              <w:t xml:space="preserve">, precum și selectarea plafonului de 20 la sută din valoarea anuală facturată drept unul rezonabil, </w:t>
            </w:r>
            <w:r w:rsidRPr="00A22776">
              <w:rPr>
                <w:rFonts w:ascii="Times New Roman" w:hAnsi="Times New Roman" w:cs="Times New Roman"/>
                <w:sz w:val="24"/>
                <w:szCs w:val="24"/>
              </w:rPr>
              <w:t xml:space="preserve">rezultă și din datele și pozițiile exprimate de reprezentanții mediului de afaceri din Republica Moldova. </w:t>
            </w:r>
          </w:p>
          <w:p w:rsidR="00A22776" w:rsidRPr="00C66B71" w:rsidRDefault="00A22776" w:rsidP="00BE06A2">
            <w:pPr>
              <w:spacing w:line="276" w:lineRule="auto"/>
              <w:ind w:firstLine="448"/>
              <w:jc w:val="both"/>
              <w:rPr>
                <w:rFonts w:ascii="Times New Roman" w:hAnsi="Times New Roman" w:cs="Times New Roman"/>
                <w:sz w:val="24"/>
                <w:szCs w:val="24"/>
              </w:rPr>
            </w:pPr>
            <w:r w:rsidRPr="00C66B71">
              <w:rPr>
                <w:rFonts w:ascii="Times New Roman" w:hAnsi="Times New Roman" w:cs="Times New Roman"/>
                <w:sz w:val="24"/>
                <w:szCs w:val="24"/>
              </w:rPr>
              <w:t xml:space="preserve">Astfel, potrivit informațiilor prezentate de Camera de Comerț și Industrie a Republicii Moldova, reducerile comerciale impuse de rețelele mari pot varia între 15% și 40%, fiind însoțite frecvent de alte plăți suplimentare sau condiții contractuale dezavantajoase pentru furnizori (demers nr. 72-06/01 din 06.02.2025). </w:t>
            </w:r>
          </w:p>
          <w:p w:rsidR="00A22776" w:rsidRPr="00C66B71" w:rsidRDefault="00A22776" w:rsidP="00BE06A2">
            <w:pPr>
              <w:spacing w:line="276" w:lineRule="auto"/>
              <w:ind w:firstLine="448"/>
              <w:jc w:val="both"/>
              <w:rPr>
                <w:rFonts w:ascii="Times New Roman" w:hAnsi="Times New Roman" w:cs="Times New Roman"/>
                <w:sz w:val="24"/>
                <w:szCs w:val="24"/>
              </w:rPr>
            </w:pPr>
            <w:r w:rsidRPr="00C66B71">
              <w:rPr>
                <w:rFonts w:ascii="Times New Roman" w:hAnsi="Times New Roman" w:cs="Times New Roman"/>
                <w:sz w:val="24"/>
                <w:szCs w:val="24"/>
              </w:rPr>
              <w:t>În mod similar, reprezentanții industriei de prelucrare a cărnii au semnalat aplicarea excesivă a retro-bonusurilor, care pot avea un impact semnificativ negativ asupra sustenabilității economice a producătorilor locali și asupra prețurilor finale ale produselor alimentare, în contextul creșterii costurilor de producție și al presiunilor inflaționiste (demers nr. 3 din 15.01.2025).</w:t>
            </w:r>
          </w:p>
          <w:p w:rsidR="00DF51EC" w:rsidRPr="00801702" w:rsidRDefault="00A22776" w:rsidP="00DF51EC">
            <w:pPr>
              <w:spacing w:line="276" w:lineRule="auto"/>
              <w:ind w:firstLine="448"/>
              <w:jc w:val="both"/>
              <w:rPr>
                <w:rFonts w:ascii="Times New Roman" w:hAnsi="Times New Roman" w:cs="Times New Roman"/>
                <w:sz w:val="24"/>
                <w:szCs w:val="24"/>
              </w:rPr>
            </w:pPr>
            <w:r w:rsidRPr="00C66B71">
              <w:rPr>
                <w:rFonts w:ascii="Times New Roman" w:hAnsi="Times New Roman" w:cs="Times New Roman"/>
                <w:sz w:val="24"/>
                <w:szCs w:val="24"/>
              </w:rPr>
              <w:t>Totodată, pozițiile exprimate de organizațiile profesionale din sectorul alimentar susțin necesitatea stabilirii unui plafon clar și aplicabil cumulativ tuturor formelor de reduceri comerciale, pentru a preveni fragmentarea acestora în multiple categorii contractuale și evitarea astfel a limitărilor legale (demers nr. 21 din 24.12.2025).</w:t>
            </w:r>
          </w:p>
        </w:tc>
      </w:tr>
      <w:tr w:rsidR="00801702" w:rsidRPr="00801702" w:rsidTr="00685D5C">
        <w:trPr>
          <w:trHeight w:val="624"/>
        </w:trPr>
        <w:tc>
          <w:tcPr>
            <w:tcW w:w="9634" w:type="dxa"/>
            <w:shd w:val="clear" w:color="auto" w:fill="F2F2F2" w:themeFill="background1" w:themeFillShade="F2"/>
            <w:vAlign w:val="center"/>
          </w:tcPr>
          <w:p w:rsidR="00801702" w:rsidRPr="00801702" w:rsidRDefault="00801702" w:rsidP="00801702">
            <w:pPr>
              <w:spacing w:line="276" w:lineRule="auto"/>
              <w:ind w:firstLine="426"/>
              <w:jc w:val="both"/>
              <w:rPr>
                <w:rFonts w:ascii="Times New Roman" w:eastAsia="Times New Roman" w:hAnsi="Times New Roman" w:cs="Times New Roman"/>
                <w:sz w:val="24"/>
                <w:szCs w:val="24"/>
                <w:lang w:eastAsia="ro-RO"/>
              </w:rPr>
            </w:pPr>
            <w:r w:rsidRPr="00801702">
              <w:rPr>
                <w:rFonts w:ascii="Times New Roman" w:eastAsia="Times New Roman" w:hAnsi="Times New Roman" w:cs="Times New Roman"/>
                <w:b/>
                <w:bCs/>
                <w:sz w:val="24"/>
                <w:szCs w:val="24"/>
                <w:lang w:eastAsia="ro-RO"/>
              </w:rPr>
              <w:lastRenderedPageBreak/>
              <w:t xml:space="preserve">3.2. </w:t>
            </w:r>
            <w:r w:rsidRPr="00685D5C">
              <w:rPr>
                <w:rFonts w:ascii="Times New Roman" w:eastAsia="Times New Roman" w:hAnsi="Times New Roman" w:cs="Times New Roman"/>
                <w:bCs/>
                <w:sz w:val="24"/>
                <w:szCs w:val="24"/>
                <w:lang w:eastAsia="ro-RO"/>
              </w:rPr>
              <w:t>Op</w:t>
            </w:r>
            <w:r w:rsidR="00685D5C" w:rsidRPr="00685D5C">
              <w:rPr>
                <w:rFonts w:ascii="Times New Roman" w:eastAsia="Times New Roman" w:hAnsi="Times New Roman" w:cs="Times New Roman"/>
                <w:bCs/>
                <w:sz w:val="24"/>
                <w:szCs w:val="24"/>
                <w:lang w:eastAsia="ro-RO"/>
              </w:rPr>
              <w:t>ț</w:t>
            </w:r>
            <w:r w:rsidRPr="00685D5C">
              <w:rPr>
                <w:rFonts w:ascii="Times New Roman" w:eastAsia="Times New Roman" w:hAnsi="Times New Roman" w:cs="Times New Roman"/>
                <w:bCs/>
                <w:sz w:val="24"/>
                <w:szCs w:val="24"/>
                <w:lang w:eastAsia="ro-RO"/>
              </w:rPr>
              <w:t xml:space="preserve">iunile alternative analizate </w:t>
            </w:r>
            <w:r w:rsidR="00685D5C" w:rsidRPr="00685D5C">
              <w:rPr>
                <w:rFonts w:ascii="Times New Roman" w:eastAsia="Times New Roman" w:hAnsi="Times New Roman" w:cs="Times New Roman"/>
                <w:bCs/>
                <w:sz w:val="24"/>
                <w:szCs w:val="24"/>
                <w:lang w:eastAsia="ro-RO"/>
              </w:rPr>
              <w:t>ș</w:t>
            </w:r>
            <w:r w:rsidRPr="00685D5C">
              <w:rPr>
                <w:rFonts w:ascii="Times New Roman" w:eastAsia="Times New Roman" w:hAnsi="Times New Roman" w:cs="Times New Roman"/>
                <w:bCs/>
                <w:sz w:val="24"/>
                <w:szCs w:val="24"/>
                <w:lang w:eastAsia="ro-RO"/>
              </w:rPr>
              <w:t>i motivele pentru care acestea nu au fost luate în considerare</w:t>
            </w:r>
          </w:p>
        </w:tc>
      </w:tr>
      <w:tr w:rsidR="00801702" w:rsidRPr="00801702" w:rsidTr="00801702">
        <w:tc>
          <w:tcPr>
            <w:tcW w:w="9634" w:type="dxa"/>
          </w:tcPr>
          <w:p w:rsidR="00DF51EC" w:rsidRPr="00873196" w:rsidRDefault="00801702" w:rsidP="00801702">
            <w:pPr>
              <w:spacing w:line="276" w:lineRule="auto"/>
              <w:ind w:firstLine="426"/>
              <w:jc w:val="both"/>
              <w:rPr>
                <w:rFonts w:ascii="Times New Roman" w:eastAsia="Times New Roman" w:hAnsi="Times New Roman" w:cs="Times New Roman"/>
                <w:sz w:val="24"/>
                <w:szCs w:val="24"/>
                <w:lang w:eastAsia="ro-RO"/>
              </w:rPr>
            </w:pPr>
            <w:r w:rsidRPr="00873196">
              <w:rPr>
                <w:rFonts w:ascii="Times New Roman" w:eastAsia="Times New Roman" w:hAnsi="Times New Roman" w:cs="Times New Roman"/>
                <w:sz w:val="24"/>
                <w:szCs w:val="24"/>
                <w:lang w:eastAsia="ro-RO"/>
              </w:rPr>
              <w:t xml:space="preserve">În procesul de elaborare a proiectului de lege au fost analizate mai multe opțiuni alternative de reglementare a relațiilor comerciale dintre întreprinderi din sectorul agricol și alimentar. </w:t>
            </w:r>
          </w:p>
          <w:p w:rsidR="00DF51EC" w:rsidRPr="00873196" w:rsidRDefault="00801702" w:rsidP="00DF51EC">
            <w:pPr>
              <w:spacing w:line="276" w:lineRule="auto"/>
              <w:ind w:firstLine="426"/>
              <w:jc w:val="both"/>
              <w:rPr>
                <w:rFonts w:ascii="Times New Roman" w:eastAsia="Times New Roman" w:hAnsi="Times New Roman" w:cs="Times New Roman"/>
                <w:sz w:val="24"/>
                <w:szCs w:val="24"/>
                <w:lang w:eastAsia="ro-RO"/>
              </w:rPr>
            </w:pPr>
            <w:r w:rsidRPr="00873196">
              <w:rPr>
                <w:rFonts w:ascii="Times New Roman" w:eastAsia="Times New Roman" w:hAnsi="Times New Roman" w:cs="Times New Roman"/>
                <w:sz w:val="24"/>
                <w:szCs w:val="24"/>
                <w:lang w:eastAsia="ro-RO"/>
              </w:rPr>
              <w:t xml:space="preserve">Principala opțiune alternativă a constat în </w:t>
            </w:r>
            <w:r w:rsidRPr="00873196">
              <w:rPr>
                <w:rFonts w:ascii="Times New Roman" w:eastAsia="Times New Roman" w:hAnsi="Times New Roman" w:cs="Times New Roman"/>
                <w:bCs/>
                <w:sz w:val="24"/>
                <w:szCs w:val="24"/>
                <w:lang w:eastAsia="ro-RO"/>
              </w:rPr>
              <w:t>menținerea și ajustarea cadrului normativ existent</w:t>
            </w:r>
            <w:r w:rsidRPr="00873196">
              <w:rPr>
                <w:rFonts w:ascii="Times New Roman" w:eastAsia="Times New Roman" w:hAnsi="Times New Roman" w:cs="Times New Roman"/>
                <w:sz w:val="24"/>
                <w:szCs w:val="24"/>
                <w:lang w:eastAsia="ro-RO"/>
              </w:rPr>
              <w:t>, respectiv continuarea aplicării Capitolului V² din Legea nr. 231/2010 cu privire la comerțul interior, eventual prin modificări și completări punctuale ale acestuia.</w:t>
            </w:r>
            <w:r w:rsidR="00DF51EC" w:rsidRPr="00873196">
              <w:rPr>
                <w:rFonts w:ascii="Times New Roman" w:eastAsia="Times New Roman" w:hAnsi="Times New Roman" w:cs="Times New Roman"/>
                <w:sz w:val="24"/>
                <w:szCs w:val="24"/>
                <w:lang w:eastAsia="ro-RO"/>
              </w:rPr>
              <w:t xml:space="preserve"> </w:t>
            </w:r>
            <w:r w:rsidRPr="00873196">
              <w:rPr>
                <w:rFonts w:ascii="Times New Roman" w:eastAsia="Times New Roman" w:hAnsi="Times New Roman" w:cs="Times New Roman"/>
                <w:sz w:val="24"/>
                <w:szCs w:val="24"/>
                <w:lang w:eastAsia="ro-RO"/>
              </w:rPr>
              <w:t xml:space="preserve">Această opțiune nu </w:t>
            </w:r>
            <w:r w:rsidR="00D905CB" w:rsidRPr="00873196">
              <w:rPr>
                <w:rFonts w:ascii="Times New Roman" w:eastAsia="Times New Roman" w:hAnsi="Times New Roman" w:cs="Times New Roman"/>
                <w:sz w:val="24"/>
                <w:szCs w:val="24"/>
                <w:lang w:eastAsia="ro-RO"/>
              </w:rPr>
              <w:t>este viabilă în contextul obligațiilor de integrare europeană și nu a fost</w:t>
            </w:r>
            <w:r w:rsidRPr="00873196">
              <w:rPr>
                <w:rFonts w:ascii="Times New Roman" w:eastAsia="Times New Roman" w:hAnsi="Times New Roman" w:cs="Times New Roman"/>
                <w:sz w:val="24"/>
                <w:szCs w:val="24"/>
                <w:lang w:eastAsia="ro-RO"/>
              </w:rPr>
              <w:t xml:space="preserve"> susținută, întrucât</w:t>
            </w:r>
            <w:r w:rsidR="00DF51EC" w:rsidRPr="00873196">
              <w:rPr>
                <w:rFonts w:ascii="Times New Roman" w:eastAsia="Times New Roman" w:hAnsi="Times New Roman" w:cs="Times New Roman"/>
                <w:sz w:val="24"/>
                <w:szCs w:val="24"/>
                <w:lang w:eastAsia="ro-RO"/>
              </w:rPr>
              <w:t>:</w:t>
            </w:r>
          </w:p>
          <w:p w:rsidR="00DF51EC" w:rsidRPr="00873196" w:rsidRDefault="00D905CB" w:rsidP="00DF51EC">
            <w:pPr>
              <w:pStyle w:val="Listparagraf"/>
              <w:numPr>
                <w:ilvl w:val="0"/>
                <w:numId w:val="9"/>
              </w:numPr>
              <w:spacing w:line="276" w:lineRule="auto"/>
              <w:ind w:left="0" w:firstLine="450"/>
              <w:jc w:val="both"/>
              <w:rPr>
                <w:rFonts w:ascii="Times New Roman" w:eastAsia="Times New Roman" w:hAnsi="Times New Roman" w:cs="Times New Roman"/>
                <w:sz w:val="24"/>
                <w:szCs w:val="24"/>
                <w:lang w:eastAsia="ro-RO"/>
              </w:rPr>
            </w:pPr>
            <w:r w:rsidRPr="00873196">
              <w:rPr>
                <w:rFonts w:ascii="Times New Roman" w:eastAsia="Times New Roman" w:hAnsi="Times New Roman" w:cs="Times New Roman"/>
                <w:sz w:val="24"/>
                <w:szCs w:val="24"/>
                <w:lang w:eastAsia="ro-RO"/>
              </w:rPr>
              <w:t>c</w:t>
            </w:r>
            <w:r w:rsidR="00DF51EC" w:rsidRPr="00873196">
              <w:rPr>
                <w:rFonts w:ascii="Times New Roman" w:eastAsia="Times New Roman" w:hAnsi="Times New Roman" w:cs="Times New Roman"/>
                <w:sz w:val="24"/>
                <w:szCs w:val="24"/>
                <w:lang w:eastAsia="ro-RO"/>
              </w:rPr>
              <w:t xml:space="preserve">adrul normativ actual (Capitolului V² al legii nr. 231/2010) nu </w:t>
            </w:r>
            <w:r w:rsidR="00DF51EC" w:rsidRPr="00873196">
              <w:rPr>
                <w:rFonts w:ascii="Times New Roman" w:hAnsi="Times New Roman" w:cs="Times New Roman"/>
                <w:sz w:val="24"/>
                <w:szCs w:val="24"/>
              </w:rPr>
              <w:t>transpune în mod explicit și complet cerințele Directivei (UE) 2019/633;</w:t>
            </w:r>
          </w:p>
          <w:p w:rsidR="00DF51EC" w:rsidRPr="00873196" w:rsidRDefault="00D905CB" w:rsidP="00DF51EC">
            <w:pPr>
              <w:pStyle w:val="Listparagraf"/>
              <w:numPr>
                <w:ilvl w:val="0"/>
                <w:numId w:val="9"/>
              </w:numPr>
              <w:spacing w:line="276" w:lineRule="auto"/>
              <w:ind w:left="0" w:firstLine="450"/>
              <w:jc w:val="both"/>
              <w:rPr>
                <w:rFonts w:ascii="Times New Roman" w:eastAsia="Times New Roman" w:hAnsi="Times New Roman" w:cs="Times New Roman"/>
                <w:sz w:val="24"/>
                <w:szCs w:val="24"/>
                <w:lang w:eastAsia="ro-RO"/>
              </w:rPr>
            </w:pPr>
            <w:r w:rsidRPr="00873196">
              <w:rPr>
                <w:rFonts w:ascii="Times New Roman" w:hAnsi="Times New Roman" w:cs="Times New Roman"/>
                <w:sz w:val="24"/>
                <w:szCs w:val="24"/>
              </w:rPr>
              <w:t>mecanismele existente nu oferă un nivel suficient de protecție pentru furnizori, iar cuantumurile actuale ale sancțiunile pentru săvârșirea de practici comerciale neloiale, conform Codului Contravențional, nu pot asigura acestora caracter proporțional, eficient și disuasiv, fiind mult prea mici pentru instituirea unei discipline comerciale;</w:t>
            </w:r>
          </w:p>
          <w:p w:rsidR="00D905CB" w:rsidRPr="00873196" w:rsidRDefault="00D905CB" w:rsidP="00DF51EC">
            <w:pPr>
              <w:pStyle w:val="Listparagraf"/>
              <w:numPr>
                <w:ilvl w:val="0"/>
                <w:numId w:val="9"/>
              </w:numPr>
              <w:spacing w:line="276" w:lineRule="auto"/>
              <w:ind w:left="0" w:firstLine="450"/>
              <w:jc w:val="both"/>
              <w:rPr>
                <w:rFonts w:ascii="Times New Roman" w:eastAsia="Times New Roman" w:hAnsi="Times New Roman" w:cs="Times New Roman"/>
                <w:sz w:val="24"/>
                <w:szCs w:val="24"/>
                <w:lang w:eastAsia="ro-RO"/>
              </w:rPr>
            </w:pPr>
            <w:r w:rsidRPr="00873196">
              <w:rPr>
                <w:rFonts w:ascii="Times New Roman" w:hAnsi="Times New Roman" w:cs="Times New Roman"/>
                <w:sz w:val="24"/>
                <w:szCs w:val="24"/>
              </w:rPr>
              <w:t>există dificultăți în aplicarea și sancționarea eficientă a acestor practici, inclusiv din cauza lipsei unor norme specifice;</w:t>
            </w:r>
          </w:p>
          <w:p w:rsidR="00D905CB" w:rsidRPr="00873196" w:rsidRDefault="00D905CB" w:rsidP="00DF51EC">
            <w:pPr>
              <w:pStyle w:val="Listparagraf"/>
              <w:numPr>
                <w:ilvl w:val="0"/>
                <w:numId w:val="9"/>
              </w:numPr>
              <w:spacing w:line="276" w:lineRule="auto"/>
              <w:ind w:left="0" w:firstLine="450"/>
              <w:jc w:val="both"/>
              <w:rPr>
                <w:rFonts w:ascii="Times New Roman" w:eastAsia="Times New Roman" w:hAnsi="Times New Roman" w:cs="Times New Roman"/>
                <w:sz w:val="24"/>
                <w:szCs w:val="24"/>
                <w:lang w:eastAsia="ro-RO"/>
              </w:rPr>
            </w:pPr>
            <w:r w:rsidRPr="00873196">
              <w:rPr>
                <w:rFonts w:ascii="Times New Roman" w:hAnsi="Times New Roman" w:cs="Times New Roman"/>
                <w:sz w:val="24"/>
                <w:szCs w:val="24"/>
              </w:rPr>
              <w:t>nu permite atingerea obiectivelor de aliniere la acquis-</w:t>
            </w:r>
            <w:proofErr w:type="spellStart"/>
            <w:r w:rsidRPr="00873196">
              <w:rPr>
                <w:rFonts w:ascii="Times New Roman" w:hAnsi="Times New Roman" w:cs="Times New Roman"/>
                <w:sz w:val="24"/>
                <w:szCs w:val="24"/>
              </w:rPr>
              <w:t>ul</w:t>
            </w:r>
            <w:proofErr w:type="spellEnd"/>
            <w:r w:rsidRPr="00873196">
              <w:rPr>
                <w:rFonts w:ascii="Times New Roman" w:hAnsi="Times New Roman" w:cs="Times New Roman"/>
                <w:sz w:val="24"/>
                <w:szCs w:val="24"/>
              </w:rPr>
              <w:t xml:space="preserve"> UE în contextul procesului de aderare.</w:t>
            </w:r>
          </w:p>
          <w:p w:rsidR="00DF51EC" w:rsidRPr="00873196" w:rsidRDefault="00D905CB" w:rsidP="00DF51EC">
            <w:pPr>
              <w:spacing w:line="276" w:lineRule="auto"/>
              <w:ind w:firstLine="426"/>
              <w:jc w:val="both"/>
              <w:rPr>
                <w:rStyle w:val="Robust"/>
                <w:rFonts w:ascii="Times New Roman" w:hAnsi="Times New Roman" w:cs="Times New Roman"/>
                <w:b w:val="0"/>
                <w:sz w:val="24"/>
                <w:szCs w:val="24"/>
              </w:rPr>
            </w:pPr>
            <w:r w:rsidRPr="00873196">
              <w:rPr>
                <w:rFonts w:ascii="Times New Roman" w:eastAsia="Times New Roman" w:hAnsi="Times New Roman" w:cs="Times New Roman"/>
                <w:sz w:val="24"/>
                <w:szCs w:val="24"/>
                <w:lang w:eastAsia="ro-RO"/>
              </w:rPr>
              <w:t xml:space="preserve">Transpunerea </w:t>
            </w:r>
            <w:r w:rsidR="00873196" w:rsidRPr="00873196">
              <w:rPr>
                <w:rFonts w:ascii="Times New Roman" w:eastAsia="Times New Roman" w:hAnsi="Times New Roman" w:cs="Times New Roman"/>
                <w:sz w:val="24"/>
                <w:szCs w:val="24"/>
                <w:lang w:eastAsia="ro-RO"/>
              </w:rPr>
              <w:t>directă</w:t>
            </w:r>
            <w:r w:rsidRPr="00873196">
              <w:rPr>
                <w:rFonts w:ascii="Times New Roman" w:eastAsia="Times New Roman" w:hAnsi="Times New Roman" w:cs="Times New Roman"/>
                <w:sz w:val="24"/>
                <w:szCs w:val="24"/>
                <w:lang w:eastAsia="ro-RO"/>
              </w:rPr>
              <w:t xml:space="preserve"> a Directivei, fără elemente naționale suplimentare</w:t>
            </w:r>
            <w:r w:rsidR="00873196" w:rsidRPr="00873196">
              <w:rPr>
                <w:rFonts w:ascii="Times New Roman" w:eastAsia="Times New Roman" w:hAnsi="Times New Roman" w:cs="Times New Roman"/>
                <w:sz w:val="24"/>
                <w:szCs w:val="24"/>
                <w:lang w:eastAsia="ro-RO"/>
              </w:rPr>
              <w:t xml:space="preserve">, cum ar fi intervențiile adaptate pieței interne (plafonarea reducerilor, condiționarea </w:t>
            </w:r>
            <w:r w:rsidR="00873196" w:rsidRPr="00873196">
              <w:rPr>
                <w:rStyle w:val="Robust"/>
                <w:rFonts w:ascii="Times New Roman" w:hAnsi="Times New Roman" w:cs="Times New Roman"/>
                <w:b w:val="0"/>
                <w:sz w:val="24"/>
                <w:szCs w:val="24"/>
              </w:rPr>
              <w:t>cumpărării prin livrarea în mai multe unități comerciale, introducerea obligatorie a contractelor scrise etc.) nu ar răspunde problemelor reale de piață despre care a sesizat mediul de afaceri.</w:t>
            </w:r>
          </w:p>
          <w:p w:rsidR="00801702" w:rsidRPr="00873196" w:rsidRDefault="00873196" w:rsidP="00801702">
            <w:pPr>
              <w:spacing w:line="276" w:lineRule="auto"/>
              <w:ind w:firstLine="426"/>
              <w:jc w:val="both"/>
              <w:rPr>
                <w:rFonts w:ascii="Times New Roman" w:hAnsi="Times New Roman" w:cs="Times New Roman"/>
                <w:sz w:val="24"/>
                <w:szCs w:val="24"/>
              </w:rPr>
            </w:pPr>
            <w:r w:rsidRPr="00873196">
              <w:rPr>
                <w:rFonts w:ascii="Times New Roman" w:eastAsia="Times New Roman" w:hAnsi="Times New Roman" w:cs="Times New Roman"/>
                <w:sz w:val="24"/>
                <w:szCs w:val="24"/>
                <w:lang w:eastAsia="ro-RO"/>
              </w:rPr>
              <w:t xml:space="preserve">Așadar, instituirea unui cadru legislativ dedicat practicilor comerciale neloiale în lanțul de aprovizionare agricol și alimentar asigură echilibru între cerințele de armonizare cu legislația europeană, necesitățile pieței interne și principiile proporționalității. </w:t>
            </w:r>
          </w:p>
        </w:tc>
      </w:tr>
      <w:tr w:rsidR="00801702" w:rsidRPr="00801702" w:rsidTr="00685D5C">
        <w:tc>
          <w:tcPr>
            <w:tcW w:w="9634" w:type="dxa"/>
            <w:shd w:val="clear" w:color="auto" w:fill="D9D9D9" w:themeFill="background1" w:themeFillShade="D9"/>
          </w:tcPr>
          <w:p w:rsidR="00801702" w:rsidRPr="00801702" w:rsidRDefault="00801702" w:rsidP="00801702">
            <w:pPr>
              <w:spacing w:line="276" w:lineRule="auto"/>
              <w:ind w:firstLine="426"/>
              <w:jc w:val="both"/>
              <w:rPr>
                <w:rFonts w:ascii="Times New Roman" w:hAnsi="Times New Roman" w:cs="Times New Roman"/>
                <w:b/>
                <w:sz w:val="24"/>
                <w:szCs w:val="24"/>
              </w:rPr>
            </w:pPr>
            <w:r w:rsidRPr="00685D5C">
              <w:rPr>
                <w:rFonts w:ascii="Times New Roman" w:hAnsi="Times New Roman" w:cs="Times New Roman"/>
                <w:b/>
                <w:sz w:val="24"/>
                <w:szCs w:val="24"/>
              </w:rPr>
              <w:t>4. Analiza impactului de reglementare</w:t>
            </w:r>
          </w:p>
        </w:tc>
      </w:tr>
      <w:tr w:rsidR="00801702" w:rsidRPr="00801702" w:rsidTr="00685D5C">
        <w:tc>
          <w:tcPr>
            <w:tcW w:w="9634" w:type="dxa"/>
            <w:shd w:val="clear" w:color="auto" w:fill="F2F2F2" w:themeFill="background1" w:themeFillShade="F2"/>
          </w:tcPr>
          <w:p w:rsidR="00801702" w:rsidRPr="00801702" w:rsidRDefault="00801702" w:rsidP="00801702">
            <w:pPr>
              <w:spacing w:line="276" w:lineRule="auto"/>
              <w:ind w:firstLine="426"/>
              <w:jc w:val="both"/>
              <w:rPr>
                <w:rFonts w:ascii="Times New Roman" w:hAnsi="Times New Roman" w:cs="Times New Roman"/>
                <w:b/>
                <w:sz w:val="24"/>
                <w:szCs w:val="24"/>
              </w:rPr>
            </w:pPr>
            <w:r w:rsidRPr="00801702">
              <w:rPr>
                <w:rFonts w:ascii="Times New Roman" w:hAnsi="Times New Roman" w:cs="Times New Roman"/>
                <w:b/>
                <w:sz w:val="24"/>
                <w:szCs w:val="24"/>
              </w:rPr>
              <w:lastRenderedPageBreak/>
              <w:t xml:space="preserve">4.1. </w:t>
            </w:r>
            <w:r w:rsidRPr="00685D5C">
              <w:rPr>
                <w:rFonts w:ascii="Times New Roman" w:hAnsi="Times New Roman" w:cs="Times New Roman"/>
                <w:sz w:val="24"/>
                <w:szCs w:val="24"/>
              </w:rPr>
              <w:t>Impactul asupra sectorului public</w:t>
            </w:r>
          </w:p>
        </w:tc>
      </w:tr>
      <w:tr w:rsidR="00801702" w:rsidRPr="00801702" w:rsidTr="00801702">
        <w:tc>
          <w:tcPr>
            <w:tcW w:w="9634" w:type="dxa"/>
          </w:tcPr>
          <w:p w:rsidR="00873196" w:rsidRPr="00B0293C" w:rsidRDefault="00873196" w:rsidP="00801702">
            <w:pPr>
              <w:spacing w:line="276" w:lineRule="auto"/>
              <w:ind w:firstLine="426"/>
              <w:jc w:val="both"/>
              <w:rPr>
                <w:rFonts w:ascii="Times New Roman" w:hAnsi="Times New Roman" w:cs="Times New Roman"/>
                <w:sz w:val="24"/>
                <w:szCs w:val="24"/>
              </w:rPr>
            </w:pPr>
            <w:r w:rsidRPr="00B0293C">
              <w:rPr>
                <w:rFonts w:ascii="Times New Roman" w:hAnsi="Times New Roman" w:cs="Times New Roman"/>
                <w:sz w:val="24"/>
                <w:szCs w:val="24"/>
              </w:rPr>
              <w:t>Implementarea proiectului de lege va avea un</w:t>
            </w:r>
            <w:r w:rsidR="00801702" w:rsidRPr="00B0293C">
              <w:rPr>
                <w:rFonts w:ascii="Times New Roman" w:eastAsia="Times New Roman" w:hAnsi="Times New Roman" w:cs="Times New Roman"/>
                <w:sz w:val="24"/>
                <w:szCs w:val="24"/>
                <w:lang w:eastAsia="ro-RO"/>
              </w:rPr>
              <w:t xml:space="preserve"> impact direct, dar limitat</w:t>
            </w:r>
            <w:r w:rsidRPr="00B0293C">
              <w:rPr>
                <w:rFonts w:ascii="Times New Roman" w:eastAsia="Times New Roman" w:hAnsi="Times New Roman" w:cs="Times New Roman"/>
                <w:sz w:val="24"/>
                <w:szCs w:val="24"/>
                <w:lang w:eastAsia="ro-RO"/>
              </w:rPr>
              <w:t xml:space="preserve">, asupra sectorului public, </w:t>
            </w:r>
            <w:r w:rsidRPr="00B0293C">
              <w:rPr>
                <w:rFonts w:ascii="Times New Roman" w:hAnsi="Times New Roman" w:cs="Times New Roman"/>
                <w:sz w:val="24"/>
                <w:szCs w:val="24"/>
              </w:rPr>
              <w:t xml:space="preserve">întrucât acesta nu presupune crearea unor noi autorități sau structuri instituționale, ci valorifică cadrul instituțional și procedural deja existent. Proiectul desemnează </w:t>
            </w:r>
            <w:r w:rsidRPr="00B0293C">
              <w:rPr>
                <w:rStyle w:val="Robust"/>
                <w:rFonts w:ascii="Times New Roman" w:hAnsi="Times New Roman" w:cs="Times New Roman"/>
                <w:b w:val="0"/>
                <w:sz w:val="24"/>
                <w:szCs w:val="24"/>
              </w:rPr>
              <w:t>Consiliul Concurenței</w:t>
            </w:r>
            <w:r w:rsidRPr="00B0293C">
              <w:rPr>
                <w:rFonts w:ascii="Times New Roman" w:hAnsi="Times New Roman" w:cs="Times New Roman"/>
                <w:sz w:val="24"/>
                <w:szCs w:val="24"/>
              </w:rPr>
              <w:t xml:space="preserve"> drept autoritate competentă pentru aplicarea prevederilor legii, fără a modifica structura instituțională existentă sau a institui noi entități administrative.</w:t>
            </w:r>
            <w:r w:rsidR="00B0293C" w:rsidRPr="00B0293C">
              <w:rPr>
                <w:rFonts w:ascii="Times New Roman" w:hAnsi="Times New Roman" w:cs="Times New Roman"/>
                <w:sz w:val="24"/>
                <w:szCs w:val="24"/>
              </w:rPr>
              <w:t xml:space="preserve"> Atribuțiile prevăzute de proiect se încadrează în competențele deja exercitate de Consiliul Concurenței în domeniul investigării și sancționării practicilor cu impact economic, fiind utilizate mecanismele și procedurile existente reglementate prin legislația concurențială.</w:t>
            </w:r>
          </w:p>
          <w:p w:rsidR="00B0293C" w:rsidRPr="00B0293C" w:rsidRDefault="00B0293C" w:rsidP="00B0293C">
            <w:pPr>
              <w:spacing w:line="276" w:lineRule="auto"/>
              <w:ind w:firstLine="426"/>
              <w:jc w:val="both"/>
              <w:rPr>
                <w:rFonts w:ascii="Times New Roman" w:hAnsi="Times New Roman" w:cs="Times New Roman"/>
                <w:sz w:val="24"/>
                <w:szCs w:val="24"/>
              </w:rPr>
            </w:pPr>
            <w:r w:rsidRPr="00B0293C">
              <w:rPr>
                <w:rFonts w:ascii="Times New Roman" w:hAnsi="Times New Roman" w:cs="Times New Roman"/>
                <w:sz w:val="24"/>
                <w:szCs w:val="24"/>
              </w:rPr>
              <w:t xml:space="preserve">Aplicarea prevederilor proiectului poate genera o creștere moderată a volumului de activitate al Consiliului Concurenței în ceea ce privește examinarea plângerilor, desfășurarea investigațiilor. Totuși, este de remarcat experiența instituției în investigarea cazurilor complexe, existența unor proceduri și instrumente </w:t>
            </w:r>
            <w:r>
              <w:rPr>
                <w:rFonts w:ascii="Times New Roman" w:hAnsi="Times New Roman" w:cs="Times New Roman"/>
                <w:sz w:val="24"/>
                <w:szCs w:val="24"/>
              </w:rPr>
              <w:t xml:space="preserve">deja </w:t>
            </w:r>
            <w:r w:rsidRPr="00B0293C">
              <w:rPr>
                <w:rFonts w:ascii="Times New Roman" w:hAnsi="Times New Roman" w:cs="Times New Roman"/>
                <w:sz w:val="24"/>
                <w:szCs w:val="24"/>
              </w:rPr>
              <w:t>operaționale și caracterul relativ limitat al domeniului de aplicare (sectorul agroalimentar).</w:t>
            </w:r>
          </w:p>
          <w:p w:rsidR="00801702" w:rsidRPr="00B0293C" w:rsidRDefault="00801702" w:rsidP="00B0293C">
            <w:pPr>
              <w:spacing w:line="276" w:lineRule="auto"/>
              <w:ind w:firstLine="426"/>
              <w:jc w:val="both"/>
              <w:rPr>
                <w:rFonts w:ascii="Times New Roman" w:eastAsia="Times New Roman" w:hAnsi="Times New Roman" w:cs="Times New Roman"/>
                <w:sz w:val="24"/>
                <w:szCs w:val="24"/>
                <w:lang w:eastAsia="ro-RO"/>
              </w:rPr>
            </w:pPr>
            <w:r w:rsidRPr="00B0293C">
              <w:rPr>
                <w:rFonts w:ascii="Times New Roman" w:eastAsia="Times New Roman" w:hAnsi="Times New Roman" w:cs="Times New Roman"/>
                <w:sz w:val="24"/>
                <w:szCs w:val="24"/>
                <w:lang w:eastAsia="ro-RO"/>
              </w:rPr>
              <w:t>Proiectul nu generează sarcini administrative suplimentare semnificative</w:t>
            </w:r>
            <w:r w:rsidR="00B0293C">
              <w:rPr>
                <w:rFonts w:ascii="Times New Roman" w:eastAsia="Times New Roman" w:hAnsi="Times New Roman" w:cs="Times New Roman"/>
                <w:sz w:val="24"/>
                <w:szCs w:val="24"/>
                <w:lang w:eastAsia="ro-RO"/>
              </w:rPr>
              <w:t>, dar gestionabile, și pentru Ministerul Agriculturii și Industriei Alimentare.</w:t>
            </w:r>
          </w:p>
        </w:tc>
      </w:tr>
      <w:tr w:rsidR="00801702" w:rsidRPr="00801702" w:rsidTr="00AE33FF">
        <w:tc>
          <w:tcPr>
            <w:tcW w:w="9634" w:type="dxa"/>
            <w:shd w:val="clear" w:color="auto" w:fill="F2F2F2" w:themeFill="background1" w:themeFillShade="F2"/>
          </w:tcPr>
          <w:p w:rsidR="00801702" w:rsidRPr="00801702" w:rsidRDefault="00801702" w:rsidP="00801702">
            <w:pPr>
              <w:spacing w:line="276" w:lineRule="auto"/>
              <w:ind w:firstLine="426"/>
              <w:jc w:val="both"/>
              <w:rPr>
                <w:rFonts w:ascii="Times New Roman" w:hAnsi="Times New Roman" w:cs="Times New Roman"/>
                <w:sz w:val="24"/>
                <w:szCs w:val="24"/>
              </w:rPr>
            </w:pPr>
            <w:r w:rsidRPr="00801702">
              <w:rPr>
                <w:rFonts w:ascii="Times New Roman" w:eastAsia="Times New Roman" w:hAnsi="Times New Roman" w:cs="Times New Roman"/>
                <w:b/>
                <w:bCs/>
                <w:sz w:val="24"/>
                <w:szCs w:val="24"/>
                <w:lang w:eastAsia="ro-RO"/>
              </w:rPr>
              <w:t xml:space="preserve">4.2. </w:t>
            </w:r>
            <w:r w:rsidRPr="00AE33FF">
              <w:rPr>
                <w:rFonts w:ascii="Times New Roman" w:eastAsia="Times New Roman" w:hAnsi="Times New Roman" w:cs="Times New Roman"/>
                <w:bCs/>
                <w:sz w:val="24"/>
                <w:szCs w:val="24"/>
                <w:shd w:val="clear" w:color="auto" w:fill="F2F2F2" w:themeFill="background1" w:themeFillShade="F2"/>
                <w:lang w:eastAsia="ro-RO"/>
              </w:rPr>
              <w:t xml:space="preserve">Impactul financiar </w:t>
            </w:r>
            <w:r w:rsidR="00190513" w:rsidRPr="00AE33FF">
              <w:rPr>
                <w:rFonts w:ascii="Times New Roman" w:eastAsia="Times New Roman" w:hAnsi="Times New Roman" w:cs="Times New Roman"/>
                <w:bCs/>
                <w:sz w:val="24"/>
                <w:szCs w:val="24"/>
                <w:shd w:val="clear" w:color="auto" w:fill="F2F2F2" w:themeFill="background1" w:themeFillShade="F2"/>
                <w:lang w:eastAsia="ro-RO"/>
              </w:rPr>
              <w:t>ș</w:t>
            </w:r>
            <w:r w:rsidRPr="00AE33FF">
              <w:rPr>
                <w:rFonts w:ascii="Times New Roman" w:eastAsia="Times New Roman" w:hAnsi="Times New Roman" w:cs="Times New Roman"/>
                <w:bCs/>
                <w:sz w:val="24"/>
                <w:szCs w:val="24"/>
                <w:shd w:val="clear" w:color="auto" w:fill="F2F2F2" w:themeFill="background1" w:themeFillShade="F2"/>
                <w:lang w:eastAsia="ro-RO"/>
              </w:rPr>
              <w:t>i argumentarea costurilor estimative</w:t>
            </w:r>
            <w:r w:rsidRPr="00801702">
              <w:rPr>
                <w:rFonts w:ascii="Times New Roman" w:hAnsi="Times New Roman" w:cs="Times New Roman"/>
                <w:sz w:val="24"/>
                <w:szCs w:val="24"/>
              </w:rPr>
              <w:t xml:space="preserve">   </w:t>
            </w:r>
          </w:p>
        </w:tc>
      </w:tr>
      <w:tr w:rsidR="00801702" w:rsidRPr="00801702" w:rsidTr="00801702">
        <w:tc>
          <w:tcPr>
            <w:tcW w:w="9634" w:type="dxa"/>
          </w:tcPr>
          <w:p w:rsidR="00801702" w:rsidRDefault="00B0293C" w:rsidP="00B46366">
            <w:pPr>
              <w:spacing w:line="276" w:lineRule="auto"/>
              <w:ind w:firstLine="426"/>
              <w:jc w:val="both"/>
              <w:rPr>
                <w:rFonts w:ascii="Times New Roman" w:hAnsi="Times New Roman" w:cs="Times New Roman"/>
                <w:sz w:val="24"/>
                <w:szCs w:val="24"/>
              </w:rPr>
            </w:pPr>
            <w:r w:rsidRPr="00B0293C">
              <w:rPr>
                <w:rFonts w:ascii="Times New Roman" w:hAnsi="Times New Roman" w:cs="Times New Roman"/>
                <w:sz w:val="24"/>
                <w:szCs w:val="24"/>
              </w:rPr>
              <w:t>Proiectul nu implică alocări bugetare suplimentare semnificative de la bugetul de stat.</w:t>
            </w:r>
            <w:r>
              <w:rPr>
                <w:rFonts w:ascii="Times New Roman" w:hAnsi="Times New Roman" w:cs="Times New Roman"/>
                <w:sz w:val="24"/>
                <w:szCs w:val="24"/>
              </w:rPr>
              <w:t xml:space="preserve"> </w:t>
            </w:r>
            <w:r w:rsidR="00B46366" w:rsidRPr="00801702">
              <w:rPr>
                <w:rFonts w:ascii="Times New Roman" w:eastAsia="Times New Roman" w:hAnsi="Times New Roman" w:cs="Times New Roman"/>
                <w:sz w:val="24"/>
                <w:szCs w:val="24"/>
                <w:lang w:eastAsia="ro-RO"/>
              </w:rPr>
              <w:t>Proiectul nu prevede crearea unor autorități publice noi și nu instituie mecanisme administrative sau procedurale suplimentare care să implice costuri adiționale pentru sectorul public.</w:t>
            </w:r>
            <w:r w:rsidR="00B46366">
              <w:rPr>
                <w:rFonts w:ascii="Times New Roman" w:eastAsia="Times New Roman" w:hAnsi="Times New Roman" w:cs="Times New Roman"/>
                <w:sz w:val="24"/>
                <w:szCs w:val="24"/>
                <w:lang w:eastAsia="ro-RO"/>
              </w:rPr>
              <w:t xml:space="preserve"> </w:t>
            </w:r>
            <w:r>
              <w:rPr>
                <w:rFonts w:ascii="Times New Roman" w:hAnsi="Times New Roman" w:cs="Times New Roman"/>
                <w:sz w:val="24"/>
                <w:szCs w:val="24"/>
              </w:rPr>
              <w:t xml:space="preserve">Costurile </w:t>
            </w:r>
            <w:r w:rsidR="00B46366">
              <w:rPr>
                <w:rFonts w:ascii="Times New Roman" w:hAnsi="Times New Roman" w:cs="Times New Roman"/>
                <w:sz w:val="24"/>
                <w:szCs w:val="24"/>
              </w:rPr>
              <w:t xml:space="preserve">argumentate </w:t>
            </w:r>
            <w:r>
              <w:rPr>
                <w:rFonts w:ascii="Times New Roman" w:hAnsi="Times New Roman" w:cs="Times New Roman"/>
                <w:sz w:val="24"/>
                <w:szCs w:val="24"/>
              </w:rPr>
              <w:t>aferente aplicării legii ar viza instruirea personalului implicat, eventuale activități de informare și conștientizare a operatorilor economici</w:t>
            </w:r>
            <w:r w:rsidR="00B46366">
              <w:rPr>
                <w:rFonts w:ascii="Times New Roman" w:hAnsi="Times New Roman" w:cs="Times New Roman"/>
                <w:sz w:val="24"/>
                <w:szCs w:val="24"/>
              </w:rPr>
              <w:t xml:space="preserve">, elaborare de materiale informative. </w:t>
            </w:r>
          </w:p>
          <w:p w:rsidR="00B46366" w:rsidRPr="00B46366" w:rsidRDefault="00B46366" w:rsidP="00B46366">
            <w:pPr>
              <w:spacing w:before="120" w:line="276" w:lineRule="auto"/>
              <w:ind w:firstLine="425"/>
              <w:jc w:val="both"/>
              <w:rPr>
                <w:rFonts w:ascii="Times New Roman" w:eastAsia="Times New Roman" w:hAnsi="Times New Roman" w:cs="Times New Roman"/>
                <w:sz w:val="24"/>
                <w:szCs w:val="24"/>
                <w:lang w:eastAsia="ro-RO"/>
              </w:rPr>
            </w:pPr>
            <w:r>
              <w:rPr>
                <w:rFonts w:ascii="Times New Roman" w:hAnsi="Times New Roman" w:cs="Times New Roman"/>
                <w:sz w:val="24"/>
                <w:szCs w:val="24"/>
              </w:rPr>
              <w:t>Astfel, i</w:t>
            </w:r>
            <w:r w:rsidRPr="00B46366">
              <w:rPr>
                <w:rFonts w:ascii="Times New Roman" w:hAnsi="Times New Roman" w:cs="Times New Roman"/>
                <w:sz w:val="24"/>
                <w:szCs w:val="24"/>
              </w:rPr>
              <w:t xml:space="preserve">mpactul asupra sectorului public este </w:t>
            </w:r>
            <w:r w:rsidRPr="00B46366">
              <w:rPr>
                <w:rStyle w:val="Robust"/>
                <w:rFonts w:ascii="Times New Roman" w:hAnsi="Times New Roman" w:cs="Times New Roman"/>
                <w:b w:val="0"/>
                <w:sz w:val="24"/>
                <w:szCs w:val="24"/>
              </w:rPr>
              <w:t>redus și proporțional</w:t>
            </w:r>
            <w:r w:rsidRPr="00B46366">
              <w:rPr>
                <w:rFonts w:ascii="Times New Roman" w:hAnsi="Times New Roman" w:cs="Times New Roman"/>
                <w:sz w:val="24"/>
                <w:szCs w:val="24"/>
              </w:rPr>
              <w:t>, proiectul fiind construit pe principiul utilizării eficiente a capacităților instituționale existente, fără a genera costuri bugetare semnificative sau restructurări administrative.</w:t>
            </w:r>
          </w:p>
        </w:tc>
      </w:tr>
      <w:tr w:rsidR="00801702" w:rsidRPr="00801702" w:rsidTr="00AE33FF">
        <w:tc>
          <w:tcPr>
            <w:tcW w:w="9634" w:type="dxa"/>
            <w:shd w:val="clear" w:color="auto" w:fill="F2F2F2" w:themeFill="background1" w:themeFillShade="F2"/>
          </w:tcPr>
          <w:p w:rsidR="00801702" w:rsidRPr="00801702" w:rsidRDefault="00801702" w:rsidP="00801702">
            <w:pPr>
              <w:spacing w:line="276" w:lineRule="auto"/>
              <w:ind w:firstLine="426"/>
              <w:jc w:val="both"/>
              <w:rPr>
                <w:rFonts w:ascii="Times New Roman" w:eastAsia="Times New Roman" w:hAnsi="Times New Roman" w:cs="Times New Roman"/>
                <w:b/>
                <w:bCs/>
                <w:sz w:val="24"/>
                <w:szCs w:val="24"/>
                <w:lang w:eastAsia="ro-RO"/>
              </w:rPr>
            </w:pPr>
            <w:r w:rsidRPr="00801702">
              <w:rPr>
                <w:rFonts w:ascii="Times New Roman" w:eastAsia="Times New Roman" w:hAnsi="Times New Roman" w:cs="Times New Roman"/>
                <w:b/>
                <w:bCs/>
                <w:sz w:val="24"/>
                <w:szCs w:val="24"/>
                <w:lang w:eastAsia="ro-RO"/>
              </w:rPr>
              <w:t xml:space="preserve">4.3. </w:t>
            </w:r>
            <w:r w:rsidRPr="00AE33FF">
              <w:rPr>
                <w:rFonts w:ascii="Times New Roman" w:eastAsia="Times New Roman" w:hAnsi="Times New Roman" w:cs="Times New Roman"/>
                <w:bCs/>
                <w:sz w:val="24"/>
                <w:szCs w:val="24"/>
                <w:lang w:eastAsia="ro-RO"/>
              </w:rPr>
              <w:t>Impactul asupra sectorului privat</w:t>
            </w:r>
          </w:p>
        </w:tc>
      </w:tr>
      <w:tr w:rsidR="00801702" w:rsidRPr="00801702" w:rsidTr="00801702">
        <w:trPr>
          <w:trHeight w:val="708"/>
        </w:trPr>
        <w:tc>
          <w:tcPr>
            <w:tcW w:w="9634" w:type="dxa"/>
            <w:shd w:val="clear" w:color="auto" w:fill="FFFFFF" w:themeFill="background1"/>
          </w:tcPr>
          <w:p w:rsidR="00B46366" w:rsidRPr="00C74A2F" w:rsidRDefault="00B46366" w:rsidP="00B46366">
            <w:pPr>
              <w:spacing w:before="80" w:line="276" w:lineRule="auto"/>
              <w:ind w:firstLine="306"/>
              <w:jc w:val="both"/>
              <w:rPr>
                <w:rFonts w:ascii="Times New Roman" w:hAnsi="Times New Roman" w:cs="Times New Roman"/>
                <w:sz w:val="24"/>
                <w:szCs w:val="24"/>
                <w:lang w:val="ro-MD"/>
              </w:rPr>
            </w:pPr>
            <w:r w:rsidRPr="00C74A2F">
              <w:rPr>
                <w:rFonts w:ascii="Times New Roman" w:hAnsi="Times New Roman" w:cs="Times New Roman"/>
                <w:sz w:val="24"/>
                <w:szCs w:val="24"/>
              </w:rPr>
              <w:t>Implementarea proiectului de lege va avea un impact diferențiat asupra actorilor din lanțul de aprovizionare agricol și alimentar, în funcție de poziția acestora în relațiile comerciale, contribuind per ansamblu la crearea unui mediu economic mai echitabil, transparent și previzibil.</w:t>
            </w:r>
          </w:p>
          <w:p w:rsidR="00C74A2F" w:rsidRPr="00C74A2F" w:rsidRDefault="00B46366" w:rsidP="00C74A2F">
            <w:pPr>
              <w:pStyle w:val="Listparagraf"/>
              <w:numPr>
                <w:ilvl w:val="0"/>
                <w:numId w:val="10"/>
              </w:numPr>
              <w:spacing w:before="80" w:line="276" w:lineRule="auto"/>
              <w:jc w:val="both"/>
              <w:rPr>
                <w:rFonts w:ascii="Times New Roman" w:eastAsia="Times New Roman" w:hAnsi="Times New Roman" w:cs="Times New Roman"/>
                <w:i/>
                <w:sz w:val="24"/>
                <w:szCs w:val="24"/>
                <w:lang w:val="ro-MD" w:eastAsia="ro-RO"/>
              </w:rPr>
            </w:pPr>
            <w:r w:rsidRPr="00C74A2F">
              <w:rPr>
                <w:rFonts w:ascii="Times New Roman" w:eastAsia="Times New Roman" w:hAnsi="Times New Roman" w:cs="Times New Roman"/>
                <w:i/>
                <w:sz w:val="24"/>
                <w:szCs w:val="24"/>
                <w:lang w:val="ro-MD" w:eastAsia="ro-RO"/>
              </w:rPr>
              <w:t>Impactul asupra furnizorilor</w:t>
            </w:r>
            <w:r w:rsidR="00C74A2F" w:rsidRPr="00C74A2F">
              <w:rPr>
                <w:rFonts w:ascii="Times New Roman" w:eastAsia="Times New Roman" w:hAnsi="Times New Roman" w:cs="Times New Roman"/>
                <w:i/>
                <w:sz w:val="24"/>
                <w:szCs w:val="24"/>
                <w:lang w:val="ro-MD" w:eastAsia="ro-RO"/>
              </w:rPr>
              <w:t xml:space="preserve"> (producători agricoli și IMM-uri)</w:t>
            </w:r>
            <w:r w:rsidRPr="00C74A2F">
              <w:rPr>
                <w:rFonts w:ascii="Times New Roman" w:eastAsia="Times New Roman" w:hAnsi="Times New Roman" w:cs="Times New Roman"/>
                <w:i/>
                <w:sz w:val="24"/>
                <w:szCs w:val="24"/>
                <w:lang w:val="ro-MD" w:eastAsia="ro-RO"/>
              </w:rPr>
              <w:t>.</w:t>
            </w:r>
          </w:p>
          <w:p w:rsidR="00C74A2F" w:rsidRPr="00C74A2F" w:rsidRDefault="00B46366" w:rsidP="00B46366">
            <w:pPr>
              <w:spacing w:line="276" w:lineRule="auto"/>
              <w:ind w:firstLine="306"/>
              <w:jc w:val="both"/>
              <w:rPr>
                <w:rFonts w:ascii="Times New Roman" w:hAnsi="Times New Roman" w:cs="Times New Roman"/>
                <w:sz w:val="24"/>
                <w:szCs w:val="24"/>
              </w:rPr>
            </w:pPr>
            <w:r w:rsidRPr="00C74A2F">
              <w:rPr>
                <w:rFonts w:ascii="Times New Roman" w:eastAsia="Times New Roman" w:hAnsi="Times New Roman" w:cs="Times New Roman"/>
                <w:sz w:val="24"/>
                <w:szCs w:val="24"/>
                <w:lang w:val="ro-MD" w:eastAsia="ro-RO"/>
              </w:rPr>
              <w:t xml:space="preserve">Pentru furnizori, în special pentru producătorii agricoli și procesatorii mici și mijlocii, </w:t>
            </w:r>
            <w:r w:rsidR="00C74A2F" w:rsidRPr="00C74A2F">
              <w:rPr>
                <w:rFonts w:ascii="Times New Roman" w:hAnsi="Times New Roman" w:cs="Times New Roman"/>
                <w:sz w:val="24"/>
                <w:szCs w:val="24"/>
              </w:rPr>
              <w:t xml:space="preserve">care se află frecvent într-o poziție de negociere mai slabă în raport cu cumpărătorii, </w:t>
            </w:r>
            <w:r w:rsidRPr="00C74A2F">
              <w:rPr>
                <w:rFonts w:ascii="Times New Roman" w:eastAsia="Times New Roman" w:hAnsi="Times New Roman" w:cs="Times New Roman"/>
                <w:sz w:val="24"/>
                <w:szCs w:val="24"/>
                <w:lang w:val="ro-MD" w:eastAsia="ro-RO"/>
              </w:rPr>
              <w:t xml:space="preserve">proiectul de lege </w:t>
            </w:r>
            <w:r w:rsidR="00C74A2F" w:rsidRPr="00C74A2F">
              <w:rPr>
                <w:rFonts w:ascii="Times New Roman" w:eastAsia="Times New Roman" w:hAnsi="Times New Roman" w:cs="Times New Roman"/>
                <w:sz w:val="24"/>
                <w:szCs w:val="24"/>
                <w:lang w:val="ro-MD" w:eastAsia="ro-RO"/>
              </w:rPr>
              <w:t xml:space="preserve">va avea </w:t>
            </w:r>
            <w:r w:rsidRPr="00C74A2F">
              <w:rPr>
                <w:rFonts w:ascii="Times New Roman" w:eastAsia="Times New Roman" w:hAnsi="Times New Roman" w:cs="Times New Roman"/>
                <w:sz w:val="24"/>
                <w:szCs w:val="24"/>
                <w:lang w:val="ro-MD" w:eastAsia="ro-RO"/>
              </w:rPr>
              <w:t>un impact pozitiv semnificativ</w:t>
            </w:r>
            <w:r w:rsidR="00C74A2F" w:rsidRPr="00C74A2F">
              <w:rPr>
                <w:rFonts w:ascii="Times New Roman" w:hAnsi="Times New Roman" w:cs="Times New Roman"/>
                <w:sz w:val="24"/>
                <w:szCs w:val="24"/>
              </w:rPr>
              <w:t>. Principalele efecte scontate sunt:</w:t>
            </w:r>
          </w:p>
          <w:p w:rsidR="00C74A2F" w:rsidRPr="00C74A2F" w:rsidRDefault="00C74A2F" w:rsidP="00B314AD">
            <w:pPr>
              <w:pStyle w:val="Listparagraf"/>
              <w:numPr>
                <w:ilvl w:val="0"/>
                <w:numId w:val="11"/>
              </w:numPr>
              <w:spacing w:line="276" w:lineRule="auto"/>
              <w:ind w:left="0" w:firstLine="450"/>
              <w:jc w:val="both"/>
              <w:rPr>
                <w:rFonts w:ascii="Times New Roman" w:hAnsi="Times New Roman" w:cs="Times New Roman"/>
                <w:sz w:val="24"/>
                <w:szCs w:val="24"/>
              </w:rPr>
            </w:pPr>
            <w:r w:rsidRPr="00C74A2F">
              <w:rPr>
                <w:rFonts w:ascii="Times New Roman" w:hAnsi="Times New Roman" w:cs="Times New Roman"/>
                <w:sz w:val="24"/>
                <w:szCs w:val="24"/>
              </w:rPr>
              <w:t>îmbunătățirea disciplinei de plată, prin respectarea termenelor stabilite;</w:t>
            </w:r>
          </w:p>
          <w:p w:rsidR="00C74A2F" w:rsidRPr="00C74A2F" w:rsidRDefault="00C74A2F" w:rsidP="00B314AD">
            <w:pPr>
              <w:pStyle w:val="Listparagraf"/>
              <w:numPr>
                <w:ilvl w:val="0"/>
                <w:numId w:val="11"/>
              </w:numPr>
              <w:spacing w:line="276" w:lineRule="auto"/>
              <w:ind w:left="0" w:firstLine="450"/>
              <w:jc w:val="both"/>
              <w:rPr>
                <w:rFonts w:ascii="Times New Roman" w:hAnsi="Times New Roman" w:cs="Times New Roman"/>
                <w:sz w:val="24"/>
                <w:szCs w:val="24"/>
              </w:rPr>
            </w:pPr>
            <w:r w:rsidRPr="00C74A2F">
              <w:rPr>
                <w:rFonts w:ascii="Times New Roman" w:hAnsi="Times New Roman" w:cs="Times New Roman"/>
                <w:sz w:val="24"/>
                <w:szCs w:val="24"/>
              </w:rPr>
              <w:t>reducerea presiunilor comerciale nejustificate, inclusiv a solicitării unor plăți sau reduceri excesive;</w:t>
            </w:r>
          </w:p>
          <w:p w:rsidR="00C74A2F" w:rsidRPr="00C74A2F" w:rsidRDefault="00C74A2F" w:rsidP="00B314AD">
            <w:pPr>
              <w:pStyle w:val="Listparagraf"/>
              <w:numPr>
                <w:ilvl w:val="0"/>
                <w:numId w:val="11"/>
              </w:numPr>
              <w:spacing w:line="276" w:lineRule="auto"/>
              <w:ind w:left="0" w:firstLine="450"/>
              <w:jc w:val="both"/>
              <w:rPr>
                <w:rFonts w:ascii="Times New Roman" w:hAnsi="Times New Roman" w:cs="Times New Roman"/>
                <w:sz w:val="24"/>
                <w:szCs w:val="24"/>
              </w:rPr>
            </w:pPr>
            <w:r w:rsidRPr="00C74A2F">
              <w:rPr>
                <w:rFonts w:ascii="Times New Roman" w:hAnsi="Times New Roman" w:cs="Times New Roman"/>
                <w:sz w:val="24"/>
                <w:szCs w:val="24"/>
              </w:rPr>
              <w:t>limitarea transferului de riscuri comerciale către furnizori;</w:t>
            </w:r>
          </w:p>
          <w:p w:rsidR="00C74A2F" w:rsidRPr="00C74A2F" w:rsidRDefault="00C74A2F" w:rsidP="00B314AD">
            <w:pPr>
              <w:pStyle w:val="Listparagraf"/>
              <w:numPr>
                <w:ilvl w:val="0"/>
                <w:numId w:val="11"/>
              </w:numPr>
              <w:spacing w:line="276" w:lineRule="auto"/>
              <w:ind w:left="0" w:firstLine="450"/>
              <w:jc w:val="both"/>
              <w:rPr>
                <w:rFonts w:ascii="Times New Roman" w:hAnsi="Times New Roman" w:cs="Times New Roman"/>
                <w:sz w:val="24"/>
                <w:szCs w:val="24"/>
              </w:rPr>
            </w:pPr>
            <w:r w:rsidRPr="00C74A2F">
              <w:rPr>
                <w:rFonts w:ascii="Times New Roman" w:hAnsi="Times New Roman" w:cs="Times New Roman"/>
                <w:sz w:val="24"/>
                <w:szCs w:val="24"/>
              </w:rPr>
              <w:t>creșterea gradului de predictibilitate contractuală;</w:t>
            </w:r>
          </w:p>
          <w:p w:rsidR="00C74A2F" w:rsidRPr="00C74A2F" w:rsidRDefault="00C74A2F" w:rsidP="00B314AD">
            <w:pPr>
              <w:pStyle w:val="Listparagraf"/>
              <w:numPr>
                <w:ilvl w:val="0"/>
                <w:numId w:val="11"/>
              </w:numPr>
              <w:spacing w:line="276" w:lineRule="auto"/>
              <w:ind w:left="0" w:firstLine="450"/>
              <w:jc w:val="both"/>
              <w:rPr>
                <w:rFonts w:ascii="Times New Roman" w:hAnsi="Times New Roman" w:cs="Times New Roman"/>
                <w:sz w:val="24"/>
                <w:szCs w:val="24"/>
              </w:rPr>
            </w:pPr>
            <w:r w:rsidRPr="00C74A2F">
              <w:rPr>
                <w:rFonts w:ascii="Times New Roman" w:hAnsi="Times New Roman" w:cs="Times New Roman"/>
                <w:sz w:val="24"/>
                <w:szCs w:val="24"/>
              </w:rPr>
              <w:t>consolidarea poziției în negocierile comerciale.</w:t>
            </w:r>
          </w:p>
          <w:p w:rsidR="00C74A2F" w:rsidRPr="00C74A2F" w:rsidRDefault="00C74A2F" w:rsidP="00C74A2F">
            <w:pPr>
              <w:spacing w:line="276" w:lineRule="auto"/>
              <w:ind w:firstLine="309"/>
              <w:jc w:val="both"/>
              <w:rPr>
                <w:rFonts w:ascii="Times New Roman" w:hAnsi="Times New Roman" w:cs="Times New Roman"/>
                <w:sz w:val="24"/>
                <w:szCs w:val="24"/>
              </w:rPr>
            </w:pPr>
            <w:r w:rsidRPr="00C74A2F">
              <w:rPr>
                <w:rFonts w:ascii="Times New Roman" w:hAnsi="Times New Roman" w:cs="Times New Roman"/>
                <w:sz w:val="24"/>
                <w:szCs w:val="24"/>
              </w:rPr>
              <w:t xml:space="preserve">În mod particular, introducerea plafonului pentru reducerile comerciale contribuie la prevenirea practicilor prin care furnizorii suportă reduceri cumulative excesive, care afectează marjele de profit și sustenabilitatea activității economice. Aceste efecte sunt susținute și de pozițiile exprimate de reprezentanții mediului de afaceri, care au semnalat existența unor reduceri comerciale impuse </w:t>
            </w:r>
            <w:r w:rsidRPr="00C74A2F">
              <w:rPr>
                <w:rFonts w:ascii="Times New Roman" w:hAnsi="Times New Roman" w:cs="Times New Roman"/>
                <w:sz w:val="24"/>
                <w:szCs w:val="24"/>
              </w:rPr>
              <w:lastRenderedPageBreak/>
              <w:t>ce pot varia între 15% și 40% sau chiar mai mult, precum și alte condiții contractuale dezavantajoase.</w:t>
            </w:r>
          </w:p>
          <w:p w:rsidR="00B46366" w:rsidRPr="00C74A2F" w:rsidRDefault="00B46366" w:rsidP="00C74A2F">
            <w:pPr>
              <w:pStyle w:val="Listparagraf"/>
              <w:numPr>
                <w:ilvl w:val="0"/>
                <w:numId w:val="10"/>
              </w:numPr>
              <w:spacing w:before="80" w:line="276" w:lineRule="auto"/>
              <w:jc w:val="both"/>
              <w:rPr>
                <w:rFonts w:ascii="Times New Roman" w:eastAsia="Times New Roman" w:hAnsi="Times New Roman" w:cs="Times New Roman"/>
                <w:i/>
                <w:sz w:val="24"/>
                <w:szCs w:val="24"/>
                <w:lang w:val="ro-MD" w:eastAsia="ro-RO"/>
              </w:rPr>
            </w:pPr>
            <w:r w:rsidRPr="00C74A2F">
              <w:rPr>
                <w:rFonts w:ascii="Times New Roman" w:eastAsia="Times New Roman" w:hAnsi="Times New Roman" w:cs="Times New Roman"/>
                <w:i/>
                <w:sz w:val="24"/>
                <w:szCs w:val="24"/>
                <w:lang w:val="ro-MD" w:eastAsia="ro-RO"/>
              </w:rPr>
              <w:t>Impactul asupra cumpărătorilor</w:t>
            </w:r>
            <w:r w:rsidR="00C74A2F" w:rsidRPr="00C74A2F">
              <w:rPr>
                <w:rFonts w:ascii="Times New Roman" w:eastAsia="Times New Roman" w:hAnsi="Times New Roman" w:cs="Times New Roman"/>
                <w:i/>
                <w:sz w:val="24"/>
                <w:szCs w:val="24"/>
                <w:lang w:val="ro-MD" w:eastAsia="ro-RO"/>
              </w:rPr>
              <w:t xml:space="preserve"> (procesatori, comercianți, rețele de distribuție)</w:t>
            </w:r>
            <w:r w:rsidRPr="00C74A2F">
              <w:rPr>
                <w:rFonts w:ascii="Times New Roman" w:eastAsia="Times New Roman" w:hAnsi="Times New Roman" w:cs="Times New Roman"/>
                <w:i/>
                <w:sz w:val="24"/>
                <w:szCs w:val="24"/>
                <w:lang w:val="ro-MD" w:eastAsia="ro-RO"/>
              </w:rPr>
              <w:t>.</w:t>
            </w:r>
          </w:p>
          <w:p w:rsidR="00361728" w:rsidRDefault="00B46366" w:rsidP="00B46366">
            <w:pPr>
              <w:spacing w:line="276" w:lineRule="auto"/>
              <w:ind w:firstLine="309"/>
              <w:jc w:val="both"/>
              <w:rPr>
                <w:rFonts w:ascii="Times New Roman" w:eastAsia="Times New Roman" w:hAnsi="Times New Roman" w:cs="Times New Roman"/>
                <w:sz w:val="24"/>
                <w:szCs w:val="24"/>
                <w:lang w:val="ro-MD" w:eastAsia="ro-RO"/>
              </w:rPr>
            </w:pPr>
            <w:r w:rsidRPr="00B46366">
              <w:rPr>
                <w:rFonts w:ascii="Times New Roman" w:eastAsia="Times New Roman" w:hAnsi="Times New Roman" w:cs="Times New Roman"/>
                <w:sz w:val="24"/>
                <w:szCs w:val="24"/>
                <w:lang w:val="ro-MD" w:eastAsia="ro-RO"/>
              </w:rPr>
              <w:t>Pentru cumpărători, proiectul introduce obligații suplimentare de conformare, în special în ceea ce privește structura contractelor, transparența condițiilor comerciale și respectarea limitelor privind reducerile comerciale</w:t>
            </w:r>
            <w:r w:rsidR="00361728">
              <w:rPr>
                <w:rFonts w:ascii="Times New Roman" w:eastAsia="Times New Roman" w:hAnsi="Times New Roman" w:cs="Times New Roman"/>
                <w:sz w:val="24"/>
                <w:szCs w:val="24"/>
                <w:lang w:val="ro-MD" w:eastAsia="ro-RO"/>
              </w:rPr>
              <w:t>. Astfel, proiectul conduce la:</w:t>
            </w:r>
          </w:p>
          <w:p w:rsidR="00361728" w:rsidRDefault="00361728" w:rsidP="00361728">
            <w:pPr>
              <w:pStyle w:val="Listparagraf"/>
              <w:numPr>
                <w:ilvl w:val="0"/>
                <w:numId w:val="15"/>
              </w:numPr>
              <w:spacing w:line="276" w:lineRule="auto"/>
              <w:ind w:left="0" w:firstLine="450"/>
              <w:jc w:val="both"/>
              <w:rPr>
                <w:rFonts w:ascii="Times New Roman" w:eastAsia="Times New Roman" w:hAnsi="Times New Roman" w:cs="Times New Roman"/>
                <w:sz w:val="24"/>
                <w:szCs w:val="24"/>
                <w:lang w:val="ro-MD" w:eastAsia="ro-RO"/>
              </w:rPr>
            </w:pPr>
            <w:r>
              <w:rPr>
                <w:rFonts w:ascii="Times New Roman" w:eastAsia="Times New Roman" w:hAnsi="Times New Roman" w:cs="Times New Roman"/>
                <w:sz w:val="24"/>
                <w:szCs w:val="24"/>
                <w:lang w:val="ro-MD" w:eastAsia="ro-RO"/>
              </w:rPr>
              <w:t>Necesitatea revizuirii practicilor comerciale și a mecanismelor comerciale utilizate anterior;</w:t>
            </w:r>
          </w:p>
          <w:p w:rsidR="00361728" w:rsidRPr="00361728" w:rsidRDefault="00361728" w:rsidP="00361728">
            <w:pPr>
              <w:pStyle w:val="Listparagraf"/>
              <w:numPr>
                <w:ilvl w:val="0"/>
                <w:numId w:val="15"/>
              </w:numPr>
              <w:spacing w:line="276" w:lineRule="auto"/>
              <w:ind w:left="0" w:firstLine="450"/>
              <w:jc w:val="both"/>
              <w:rPr>
                <w:rFonts w:ascii="Times New Roman" w:eastAsia="Times New Roman" w:hAnsi="Times New Roman" w:cs="Times New Roman"/>
                <w:sz w:val="24"/>
                <w:szCs w:val="24"/>
                <w:lang w:val="ro-MD" w:eastAsia="ro-RO"/>
              </w:rPr>
            </w:pPr>
            <w:r>
              <w:rPr>
                <w:rFonts w:ascii="Times New Roman" w:eastAsia="Times New Roman" w:hAnsi="Times New Roman" w:cs="Times New Roman"/>
                <w:sz w:val="24"/>
                <w:szCs w:val="24"/>
                <w:lang w:val="ro-MD" w:eastAsia="ro-RO"/>
              </w:rPr>
              <w:t>Adaptarea modelelor de negociere și de contracte.</w:t>
            </w:r>
          </w:p>
          <w:p w:rsidR="00B46366" w:rsidRDefault="00B46366" w:rsidP="00B46366">
            <w:pPr>
              <w:spacing w:line="276" w:lineRule="auto"/>
              <w:ind w:firstLine="309"/>
              <w:jc w:val="both"/>
              <w:rPr>
                <w:rFonts w:ascii="Times New Roman" w:eastAsia="Times New Roman" w:hAnsi="Times New Roman" w:cs="Times New Roman"/>
                <w:sz w:val="24"/>
                <w:szCs w:val="24"/>
                <w:lang w:val="ro-MD" w:eastAsia="ro-RO"/>
              </w:rPr>
            </w:pPr>
            <w:r w:rsidRPr="00B46366">
              <w:rPr>
                <w:rFonts w:ascii="Times New Roman" w:eastAsia="Times New Roman" w:hAnsi="Times New Roman" w:cs="Times New Roman"/>
                <w:sz w:val="24"/>
                <w:szCs w:val="24"/>
                <w:lang w:val="ro-MD" w:eastAsia="ro-RO"/>
              </w:rPr>
              <w:t>Aceste obligații pot genera costuri administrative inițiale limitate, asociate adaptării procedurilor interne și documentației contractuale. Proiectul nu introduce obligații suplimentare de raportare, taxe noi sau costuri de conformare disproporționate.</w:t>
            </w:r>
          </w:p>
          <w:p w:rsidR="00361728" w:rsidRDefault="00361728" w:rsidP="00B46366">
            <w:pPr>
              <w:spacing w:line="276" w:lineRule="auto"/>
              <w:ind w:firstLine="309"/>
              <w:jc w:val="both"/>
              <w:rPr>
                <w:rFonts w:ascii="Times New Roman" w:hAnsi="Times New Roman" w:cs="Times New Roman"/>
                <w:sz w:val="24"/>
                <w:szCs w:val="24"/>
              </w:rPr>
            </w:pPr>
            <w:r w:rsidRPr="00361728">
              <w:rPr>
                <w:rFonts w:ascii="Times New Roman" w:hAnsi="Times New Roman" w:cs="Times New Roman"/>
                <w:sz w:val="24"/>
                <w:szCs w:val="24"/>
              </w:rPr>
              <w:t>De menționat</w:t>
            </w:r>
            <w:r>
              <w:rPr>
                <w:rFonts w:ascii="Times New Roman" w:hAnsi="Times New Roman" w:cs="Times New Roman"/>
                <w:sz w:val="24"/>
                <w:szCs w:val="24"/>
              </w:rPr>
              <w:t>, din perspectiva cumpărătorilor,</w:t>
            </w:r>
            <w:r w:rsidRPr="00361728">
              <w:rPr>
                <w:rFonts w:ascii="Times New Roman" w:hAnsi="Times New Roman" w:cs="Times New Roman"/>
                <w:sz w:val="24"/>
                <w:szCs w:val="24"/>
              </w:rPr>
              <w:t xml:space="preserve"> că plafonarea reducerilor comerciale nu elimină posibilitatea acordării acestora, ci stabilește o limită rezonabilă, menită să prevină utilizarea abuzivă a acestora.</w:t>
            </w:r>
          </w:p>
          <w:p w:rsidR="00361728" w:rsidRDefault="00B314AD" w:rsidP="00361728">
            <w:pPr>
              <w:pStyle w:val="Listparagraf"/>
              <w:numPr>
                <w:ilvl w:val="0"/>
                <w:numId w:val="10"/>
              </w:numPr>
              <w:spacing w:line="276" w:lineRule="auto"/>
              <w:jc w:val="both"/>
              <w:rPr>
                <w:rFonts w:ascii="Times New Roman" w:eastAsia="Times New Roman" w:hAnsi="Times New Roman" w:cs="Times New Roman"/>
                <w:i/>
                <w:sz w:val="24"/>
                <w:szCs w:val="24"/>
                <w:lang w:val="ro-MD" w:eastAsia="ro-RO"/>
              </w:rPr>
            </w:pPr>
            <w:r w:rsidRPr="00B314AD">
              <w:rPr>
                <w:rFonts w:ascii="Times New Roman" w:eastAsia="Times New Roman" w:hAnsi="Times New Roman" w:cs="Times New Roman"/>
                <w:i/>
                <w:sz w:val="24"/>
                <w:szCs w:val="24"/>
                <w:lang w:val="ro-MD" w:eastAsia="ro-RO"/>
              </w:rPr>
              <w:t>Impactul asupra concurenței.</w:t>
            </w:r>
          </w:p>
          <w:p w:rsidR="00B314AD" w:rsidRDefault="00B314AD" w:rsidP="00B314AD">
            <w:pPr>
              <w:spacing w:line="276" w:lineRule="auto"/>
              <w:ind w:firstLine="450"/>
              <w:jc w:val="both"/>
              <w:rPr>
                <w:rFonts w:ascii="Times New Roman" w:eastAsia="Times New Roman" w:hAnsi="Times New Roman" w:cs="Times New Roman"/>
                <w:sz w:val="24"/>
                <w:szCs w:val="24"/>
                <w:lang w:val="ro-MD" w:eastAsia="ro-RO"/>
              </w:rPr>
            </w:pPr>
            <w:r>
              <w:rPr>
                <w:rFonts w:ascii="Times New Roman" w:eastAsia="Times New Roman" w:hAnsi="Times New Roman" w:cs="Times New Roman"/>
                <w:sz w:val="24"/>
                <w:szCs w:val="24"/>
                <w:lang w:val="ro-MD" w:eastAsia="ro-RO"/>
              </w:rPr>
              <w:t>Una dintre intențiile promovării proiectului este să contribuie la corectarea dezechilibrelor existente în lanțul de aprovizionare agricol și alimentar, fără a afecta în mod nejustificativ mecanismele concurențiale ale pieței.</w:t>
            </w:r>
          </w:p>
          <w:p w:rsidR="00B314AD" w:rsidRDefault="00B314AD" w:rsidP="00B314AD">
            <w:pPr>
              <w:spacing w:line="276" w:lineRule="auto"/>
              <w:ind w:firstLine="450"/>
              <w:jc w:val="both"/>
              <w:rPr>
                <w:rFonts w:ascii="Times New Roman" w:eastAsia="Times New Roman" w:hAnsi="Times New Roman" w:cs="Times New Roman"/>
                <w:sz w:val="24"/>
                <w:szCs w:val="24"/>
                <w:lang w:val="ro-MD" w:eastAsia="ro-RO"/>
              </w:rPr>
            </w:pPr>
            <w:r>
              <w:rPr>
                <w:rFonts w:ascii="Times New Roman" w:eastAsia="Times New Roman" w:hAnsi="Times New Roman" w:cs="Times New Roman"/>
                <w:sz w:val="24"/>
                <w:szCs w:val="24"/>
                <w:lang w:val="ro-MD" w:eastAsia="ro-RO"/>
              </w:rPr>
              <w:t>Proiectul intervine într-un segment specific al relațiilor comerciale – cele dintre furnizori și cumpărători din domeniul agroalimentar, caracterizate frecvent prin dezaxare în puterea de negociere. Interzicerea practicilor comerciale neloiale</w:t>
            </w:r>
            <w:r w:rsidR="00601AF2">
              <w:rPr>
                <w:rFonts w:ascii="Times New Roman" w:eastAsia="Times New Roman" w:hAnsi="Times New Roman" w:cs="Times New Roman"/>
                <w:sz w:val="24"/>
                <w:szCs w:val="24"/>
                <w:lang w:val="ro-MD" w:eastAsia="ro-RO"/>
              </w:rPr>
              <w:t xml:space="preserve"> și stabilirea unor reguli minime de conduită, ar trebui să conducă la consolidarea poziției furnizorilor, în special a IMM-urilor, la reducerea barierelor indirecte de acces la piață, la condiții de concurență echitabile.</w:t>
            </w:r>
          </w:p>
          <w:p w:rsidR="00601AF2" w:rsidRPr="00601AF2" w:rsidRDefault="00601AF2" w:rsidP="00B314AD">
            <w:pPr>
              <w:spacing w:line="276" w:lineRule="auto"/>
              <w:ind w:firstLine="450"/>
              <w:jc w:val="both"/>
              <w:rPr>
                <w:rFonts w:ascii="Times New Roman" w:eastAsia="Times New Roman" w:hAnsi="Times New Roman" w:cs="Times New Roman"/>
                <w:sz w:val="24"/>
                <w:szCs w:val="24"/>
                <w:lang w:val="ro-MD" w:eastAsia="ro-RO"/>
              </w:rPr>
            </w:pPr>
            <w:r w:rsidRPr="00601AF2">
              <w:rPr>
                <w:rFonts w:ascii="Times New Roman" w:eastAsia="Times New Roman" w:hAnsi="Times New Roman" w:cs="Times New Roman"/>
                <w:sz w:val="24"/>
                <w:szCs w:val="24"/>
                <w:lang w:val="ro-MD" w:eastAsia="ro-RO"/>
              </w:rPr>
              <w:t>În general, proiectul nu aduce atingere principiilor fundamentale ale dreptului concurenței, deoarece:</w:t>
            </w:r>
          </w:p>
          <w:p w:rsidR="00601AF2" w:rsidRPr="00601AF2" w:rsidRDefault="00601AF2" w:rsidP="00601AF2">
            <w:pPr>
              <w:pStyle w:val="Listparagraf"/>
              <w:numPr>
                <w:ilvl w:val="0"/>
                <w:numId w:val="16"/>
              </w:numPr>
              <w:spacing w:line="276" w:lineRule="auto"/>
              <w:ind w:left="25" w:firstLine="425"/>
              <w:jc w:val="both"/>
              <w:rPr>
                <w:rFonts w:ascii="Times New Roman" w:eastAsia="Times New Roman" w:hAnsi="Times New Roman" w:cs="Times New Roman"/>
                <w:sz w:val="24"/>
                <w:szCs w:val="24"/>
                <w:lang w:val="ro-MD" w:eastAsia="ro-RO"/>
              </w:rPr>
            </w:pPr>
            <w:r w:rsidRPr="00601AF2">
              <w:rPr>
                <w:rFonts w:ascii="Times New Roman" w:hAnsi="Times New Roman" w:cs="Times New Roman"/>
                <w:sz w:val="24"/>
                <w:szCs w:val="24"/>
              </w:rPr>
              <w:t>nu reglementează nivelul prețurilor și nu introduce mecanisme de control al acestora;</w:t>
            </w:r>
          </w:p>
          <w:p w:rsidR="00601AF2" w:rsidRPr="00601AF2" w:rsidRDefault="00601AF2" w:rsidP="00601AF2">
            <w:pPr>
              <w:pStyle w:val="Listparagraf"/>
              <w:numPr>
                <w:ilvl w:val="0"/>
                <w:numId w:val="16"/>
              </w:numPr>
              <w:spacing w:line="276" w:lineRule="auto"/>
              <w:ind w:left="25" w:firstLine="425"/>
              <w:jc w:val="both"/>
              <w:rPr>
                <w:rFonts w:ascii="Times New Roman" w:eastAsia="Times New Roman" w:hAnsi="Times New Roman" w:cs="Times New Roman"/>
                <w:sz w:val="24"/>
                <w:szCs w:val="24"/>
                <w:lang w:val="ro-MD" w:eastAsia="ro-RO"/>
              </w:rPr>
            </w:pPr>
            <w:r w:rsidRPr="00601AF2">
              <w:rPr>
                <w:rFonts w:ascii="Times New Roman" w:hAnsi="Times New Roman" w:cs="Times New Roman"/>
                <w:sz w:val="24"/>
                <w:szCs w:val="24"/>
              </w:rPr>
              <w:t>nu limitează concurența între operatorii economici;</w:t>
            </w:r>
          </w:p>
          <w:p w:rsidR="00601AF2" w:rsidRPr="00601AF2" w:rsidRDefault="00601AF2" w:rsidP="00601AF2">
            <w:pPr>
              <w:pStyle w:val="Listparagraf"/>
              <w:numPr>
                <w:ilvl w:val="0"/>
                <w:numId w:val="16"/>
              </w:numPr>
              <w:spacing w:line="276" w:lineRule="auto"/>
              <w:ind w:left="25" w:firstLine="425"/>
              <w:jc w:val="both"/>
              <w:rPr>
                <w:rFonts w:ascii="Times New Roman" w:eastAsia="Times New Roman" w:hAnsi="Times New Roman" w:cs="Times New Roman"/>
                <w:sz w:val="24"/>
                <w:szCs w:val="24"/>
                <w:lang w:val="ro-MD" w:eastAsia="ro-RO"/>
              </w:rPr>
            </w:pPr>
            <w:r w:rsidRPr="00601AF2">
              <w:rPr>
                <w:rFonts w:ascii="Times New Roman" w:hAnsi="Times New Roman" w:cs="Times New Roman"/>
                <w:sz w:val="24"/>
                <w:szCs w:val="24"/>
              </w:rPr>
              <w:t>nu instituie restricții privind intrarea sau ieșirea de pe piață;</w:t>
            </w:r>
          </w:p>
          <w:p w:rsidR="00601AF2" w:rsidRPr="00601AF2" w:rsidRDefault="00601AF2" w:rsidP="00601AF2">
            <w:pPr>
              <w:pStyle w:val="Listparagraf"/>
              <w:numPr>
                <w:ilvl w:val="0"/>
                <w:numId w:val="16"/>
              </w:numPr>
              <w:spacing w:line="276" w:lineRule="auto"/>
              <w:ind w:left="25" w:firstLine="425"/>
              <w:jc w:val="both"/>
              <w:rPr>
                <w:rFonts w:ascii="Times New Roman" w:eastAsia="Times New Roman" w:hAnsi="Times New Roman" w:cs="Times New Roman"/>
                <w:sz w:val="24"/>
                <w:szCs w:val="24"/>
                <w:lang w:val="ro-MD" w:eastAsia="ro-RO"/>
              </w:rPr>
            </w:pPr>
            <w:r w:rsidRPr="00601AF2">
              <w:rPr>
                <w:rFonts w:ascii="Times New Roman" w:hAnsi="Times New Roman" w:cs="Times New Roman"/>
                <w:sz w:val="24"/>
                <w:szCs w:val="24"/>
              </w:rPr>
              <w:t>nu favorizează în mod selectiv anumite categorii de operatori economici</w:t>
            </w:r>
            <w:r>
              <w:rPr>
                <w:rFonts w:ascii="Times New Roman" w:hAnsi="Times New Roman" w:cs="Times New Roman"/>
                <w:sz w:val="24"/>
                <w:szCs w:val="24"/>
              </w:rPr>
              <w:t>;</w:t>
            </w:r>
          </w:p>
          <w:p w:rsidR="00601AF2" w:rsidRPr="00601AF2" w:rsidRDefault="00601AF2" w:rsidP="00601AF2">
            <w:pPr>
              <w:pStyle w:val="Listparagraf"/>
              <w:numPr>
                <w:ilvl w:val="0"/>
                <w:numId w:val="16"/>
              </w:numPr>
              <w:spacing w:line="276" w:lineRule="auto"/>
              <w:ind w:left="25" w:firstLine="425"/>
              <w:jc w:val="both"/>
              <w:rPr>
                <w:rFonts w:ascii="Times New Roman" w:eastAsia="Times New Roman" w:hAnsi="Times New Roman" w:cs="Times New Roman"/>
                <w:sz w:val="24"/>
                <w:szCs w:val="24"/>
                <w:lang w:val="ro-MD" w:eastAsia="ro-RO"/>
              </w:rPr>
            </w:pPr>
            <w:r>
              <w:rPr>
                <w:rFonts w:ascii="Times New Roman" w:eastAsia="Times New Roman" w:hAnsi="Times New Roman" w:cs="Times New Roman"/>
                <w:sz w:val="24"/>
                <w:szCs w:val="24"/>
                <w:lang w:val="ro-MD" w:eastAsia="ro-RO"/>
              </w:rPr>
              <w:t xml:space="preserve">aplicarea legii este de competența autorității competente în domeniul concurenței, ceea ce </w:t>
            </w:r>
            <w:r w:rsidRPr="00601AF2">
              <w:rPr>
                <w:rFonts w:ascii="Times New Roman" w:eastAsia="Times New Roman" w:hAnsi="Times New Roman" w:cs="Times New Roman"/>
                <w:sz w:val="24"/>
                <w:szCs w:val="24"/>
                <w:lang w:val="ro-MD" w:eastAsia="ro-RO"/>
              </w:rPr>
              <w:t>asigură interpretarea și aplicarea normelor în concordanță cu principiile concurențiale.</w:t>
            </w:r>
          </w:p>
          <w:p w:rsidR="00601AF2" w:rsidRPr="00601AF2" w:rsidRDefault="00601AF2" w:rsidP="00601AF2">
            <w:pPr>
              <w:spacing w:line="276" w:lineRule="auto"/>
              <w:ind w:firstLine="450"/>
              <w:jc w:val="both"/>
              <w:rPr>
                <w:rFonts w:ascii="Times New Roman" w:eastAsia="Times New Roman" w:hAnsi="Times New Roman" w:cs="Times New Roman"/>
                <w:sz w:val="24"/>
                <w:szCs w:val="24"/>
                <w:lang w:val="ro-MD" w:eastAsia="ro-RO"/>
              </w:rPr>
            </w:pPr>
            <w:r w:rsidRPr="00601AF2">
              <w:rPr>
                <w:rFonts w:ascii="Times New Roman" w:hAnsi="Times New Roman" w:cs="Times New Roman"/>
                <w:sz w:val="24"/>
                <w:szCs w:val="24"/>
              </w:rPr>
              <w:t xml:space="preserve">Măsurile prevăzute de proiect, inclusiv plafonarea reducerilor comerciale, nu au ca scop restrângerea concurenței, ci prevenirea unor practici care pot distorsiona funcționarea pieței. Plafonul stabilit are caracter </w:t>
            </w:r>
            <w:r w:rsidRPr="00601AF2">
              <w:rPr>
                <w:rStyle w:val="Robust"/>
                <w:rFonts w:ascii="Times New Roman" w:hAnsi="Times New Roman" w:cs="Times New Roman"/>
                <w:b w:val="0"/>
                <w:sz w:val="24"/>
                <w:szCs w:val="24"/>
              </w:rPr>
              <w:t>general și nediscriminatoriu</w:t>
            </w:r>
            <w:r w:rsidRPr="00601AF2">
              <w:rPr>
                <w:rFonts w:ascii="Times New Roman" w:hAnsi="Times New Roman" w:cs="Times New Roman"/>
                <w:sz w:val="24"/>
                <w:szCs w:val="24"/>
              </w:rPr>
              <w:t>, aplicabil tuturor operatorilor în situații comparabile.</w:t>
            </w:r>
          </w:p>
          <w:p w:rsidR="00801702" w:rsidRPr="00361728" w:rsidRDefault="00361728" w:rsidP="00361728">
            <w:pPr>
              <w:spacing w:before="80" w:line="276" w:lineRule="auto"/>
              <w:ind w:firstLine="309"/>
              <w:jc w:val="both"/>
              <w:rPr>
                <w:rFonts w:ascii="Times New Roman" w:eastAsia="Times New Roman" w:hAnsi="Times New Roman" w:cs="Times New Roman"/>
                <w:sz w:val="24"/>
                <w:szCs w:val="24"/>
                <w:lang w:val="ro-MD" w:eastAsia="ro-RO"/>
              </w:rPr>
            </w:pPr>
            <w:r>
              <w:rPr>
                <w:rFonts w:ascii="Times New Roman" w:eastAsia="Times New Roman" w:hAnsi="Times New Roman" w:cs="Times New Roman"/>
                <w:sz w:val="24"/>
                <w:szCs w:val="24"/>
                <w:lang w:val="ro-MD" w:eastAsia="ro-RO"/>
              </w:rPr>
              <w:t xml:space="preserve">În general, cu costuri limitate, </w:t>
            </w:r>
            <w:r w:rsidR="00B46366" w:rsidRPr="00B46366">
              <w:rPr>
                <w:rFonts w:ascii="Times New Roman" w:eastAsia="Times New Roman" w:hAnsi="Times New Roman" w:cs="Times New Roman"/>
                <w:sz w:val="24"/>
                <w:szCs w:val="24"/>
                <w:lang w:val="ro-MD" w:eastAsia="ro-RO"/>
              </w:rPr>
              <w:t xml:space="preserve">proiectul contribuie </w:t>
            </w:r>
            <w:r>
              <w:rPr>
                <w:rFonts w:ascii="Times New Roman" w:eastAsia="Times New Roman" w:hAnsi="Times New Roman" w:cs="Times New Roman"/>
                <w:sz w:val="24"/>
                <w:szCs w:val="24"/>
                <w:lang w:val="ro-MD" w:eastAsia="ro-RO"/>
              </w:rPr>
              <w:t>la crearea unui cadru concurențial mai echitabil între operatorii economici, la reducerea practicilor comerciale distorsionate, la creșterea transparenței și predictibilității relațiilor contractuale, precum și la consolidarea încrederii între actorii din lanțul agroalimentar. Pe termen mediu și lung, aceste efecte ar putea conduce la îmbunătățirea funcționării pieței interne, stabilizarea relațiilor comerciale și nu în ultimul rând, la susținerea producătorilor locali li a lanțurilor scurte de aprovizionare.</w:t>
            </w:r>
          </w:p>
        </w:tc>
      </w:tr>
      <w:tr w:rsidR="00801702" w:rsidRPr="00801702" w:rsidTr="00AE33FF">
        <w:tc>
          <w:tcPr>
            <w:tcW w:w="9634" w:type="dxa"/>
            <w:shd w:val="clear" w:color="auto" w:fill="F2F2F2" w:themeFill="background1" w:themeFillShade="F2"/>
          </w:tcPr>
          <w:p w:rsidR="00801702" w:rsidRPr="00801702" w:rsidRDefault="00801702" w:rsidP="00801702">
            <w:pPr>
              <w:spacing w:line="276" w:lineRule="auto"/>
              <w:ind w:firstLine="426"/>
              <w:jc w:val="both"/>
              <w:rPr>
                <w:rFonts w:ascii="Times New Roman" w:eastAsia="Times New Roman" w:hAnsi="Times New Roman" w:cs="Times New Roman"/>
                <w:sz w:val="24"/>
                <w:szCs w:val="24"/>
                <w:lang w:eastAsia="ro-RO"/>
              </w:rPr>
            </w:pPr>
            <w:r w:rsidRPr="00801702">
              <w:rPr>
                <w:rFonts w:ascii="Times New Roman" w:eastAsia="Times New Roman" w:hAnsi="Times New Roman" w:cs="Times New Roman"/>
                <w:b/>
                <w:bCs/>
                <w:sz w:val="24"/>
                <w:szCs w:val="24"/>
                <w:lang w:eastAsia="ro-RO"/>
              </w:rPr>
              <w:lastRenderedPageBreak/>
              <w:t xml:space="preserve">4.4. </w:t>
            </w:r>
            <w:r w:rsidRPr="00AE33FF">
              <w:rPr>
                <w:rFonts w:ascii="Times New Roman" w:eastAsia="Times New Roman" w:hAnsi="Times New Roman" w:cs="Times New Roman"/>
                <w:bCs/>
                <w:sz w:val="24"/>
                <w:szCs w:val="24"/>
                <w:lang w:eastAsia="ro-RO"/>
              </w:rPr>
              <w:t>Impactul social</w:t>
            </w:r>
          </w:p>
        </w:tc>
      </w:tr>
      <w:tr w:rsidR="00801702" w:rsidRPr="00801702" w:rsidTr="00801702">
        <w:tc>
          <w:tcPr>
            <w:tcW w:w="9634" w:type="dxa"/>
            <w:shd w:val="clear" w:color="auto" w:fill="FFFFFF" w:themeFill="background1"/>
          </w:tcPr>
          <w:p w:rsidR="00190513" w:rsidRPr="00190513" w:rsidRDefault="00190513" w:rsidP="00801702">
            <w:pPr>
              <w:spacing w:line="276" w:lineRule="auto"/>
              <w:ind w:firstLine="426"/>
              <w:jc w:val="both"/>
              <w:rPr>
                <w:rFonts w:ascii="Times New Roman" w:hAnsi="Times New Roman" w:cs="Times New Roman"/>
                <w:sz w:val="24"/>
                <w:szCs w:val="24"/>
              </w:rPr>
            </w:pPr>
            <w:r w:rsidRPr="00190513">
              <w:rPr>
                <w:rFonts w:ascii="Times New Roman" w:hAnsi="Times New Roman" w:cs="Times New Roman"/>
                <w:sz w:val="24"/>
                <w:szCs w:val="24"/>
              </w:rPr>
              <w:lastRenderedPageBreak/>
              <w:t>Prin limitarea practicilor comerciale neloiale și reducerea presiunilor economice asupra furnizorilor, în special asupra producătorilor locali, proiectul sprijină menținerea și dezvoltarea activităților economice în sectorul agroalimentar, inclusiv în mediul rural, contribuind astfel la susținerea locurilor de muncă și a veniturilor populației.</w:t>
            </w:r>
          </w:p>
          <w:p w:rsidR="00190513" w:rsidRPr="00190513" w:rsidRDefault="00190513" w:rsidP="00801702">
            <w:pPr>
              <w:spacing w:line="276" w:lineRule="auto"/>
              <w:ind w:firstLine="426"/>
              <w:jc w:val="both"/>
              <w:rPr>
                <w:rFonts w:ascii="Times New Roman" w:eastAsia="Times New Roman" w:hAnsi="Times New Roman" w:cs="Times New Roman"/>
                <w:sz w:val="24"/>
                <w:szCs w:val="24"/>
                <w:lang w:eastAsia="ro-RO"/>
              </w:rPr>
            </w:pPr>
            <w:r w:rsidRPr="00190513">
              <w:rPr>
                <w:rFonts w:ascii="Times New Roman" w:hAnsi="Times New Roman" w:cs="Times New Roman"/>
                <w:sz w:val="24"/>
                <w:szCs w:val="24"/>
              </w:rPr>
              <w:t>Totodată, prin prevenirea transferului disproporționat al costurilor către furnizori, proiectul poate contribui indirect la stabilizarea prețurilor produselor alimentare și la îmbunătățirea accesibilității acestora, în special în contextul creșterii costurilor de producție și al presiunilor inflaționiste semnalate de operatorii din sector.</w:t>
            </w:r>
          </w:p>
          <w:p w:rsidR="00801702" w:rsidRPr="00801702" w:rsidRDefault="00190513" w:rsidP="00801702">
            <w:pPr>
              <w:spacing w:line="276" w:lineRule="auto"/>
              <w:ind w:firstLine="426"/>
              <w:jc w:val="both"/>
              <w:rPr>
                <w:rFonts w:ascii="Times New Roman" w:hAnsi="Times New Roman" w:cs="Times New Roman"/>
                <w:iCs/>
                <w:sz w:val="24"/>
                <w:szCs w:val="24"/>
              </w:rPr>
            </w:pPr>
            <w:r w:rsidRPr="00190513">
              <w:rPr>
                <w:rFonts w:ascii="Times New Roman" w:eastAsia="Times New Roman" w:hAnsi="Times New Roman" w:cs="Times New Roman"/>
                <w:sz w:val="24"/>
                <w:szCs w:val="24"/>
                <w:lang w:val="ro-MD" w:eastAsia="ro-RO"/>
              </w:rPr>
              <w:t xml:space="preserve">Deși proiectul de lege vizează în principal relațiile comerciale dintre furnizori și cumpărători din lanțul de aprovizionare agricol și alimentar, implementarea acestuia va avea </w:t>
            </w:r>
            <w:r w:rsidRPr="00190513">
              <w:rPr>
                <w:rFonts w:ascii="Times New Roman" w:eastAsia="Times New Roman" w:hAnsi="Times New Roman" w:cs="Times New Roman"/>
                <w:bCs/>
                <w:sz w:val="24"/>
                <w:szCs w:val="24"/>
                <w:lang w:val="ro-MD" w:eastAsia="ro-RO"/>
              </w:rPr>
              <w:t>efecte sociale indirecte pozitive asupra consumatorilor finali</w:t>
            </w:r>
            <w:r w:rsidRPr="00190513">
              <w:rPr>
                <w:rFonts w:ascii="Times New Roman" w:eastAsia="Times New Roman" w:hAnsi="Times New Roman" w:cs="Times New Roman"/>
                <w:sz w:val="24"/>
                <w:szCs w:val="24"/>
                <w:lang w:val="ro-MD" w:eastAsia="ro-RO"/>
              </w:rPr>
              <w:t>, prin contribuția la stabilitatea aprovizionării cu produse agroalimentare și la reducerea riscului de perturbări în lanțul de distribuție. Diminuarea presiunilor comerciale excesive asupra producătorilor creează, de asemenea, premise pentru menținerea standardelor de calitate ale produselor agroalimentare, întrucât furnizorii nu vor mai fi constrânși să compenseze pierderile generate de practici neloiale.</w:t>
            </w:r>
          </w:p>
        </w:tc>
      </w:tr>
      <w:tr w:rsidR="00801702" w:rsidRPr="00801702" w:rsidTr="00AE33FF">
        <w:trPr>
          <w:trHeight w:val="356"/>
        </w:trPr>
        <w:tc>
          <w:tcPr>
            <w:tcW w:w="9634" w:type="dxa"/>
            <w:shd w:val="clear" w:color="auto" w:fill="F2F2F2" w:themeFill="background1" w:themeFillShade="F2"/>
          </w:tcPr>
          <w:p w:rsidR="00801702" w:rsidRPr="00801702" w:rsidRDefault="00801702" w:rsidP="00801702">
            <w:pPr>
              <w:spacing w:line="276" w:lineRule="auto"/>
              <w:ind w:firstLine="426"/>
              <w:jc w:val="both"/>
              <w:rPr>
                <w:rFonts w:ascii="Times New Roman" w:eastAsia="Times New Roman" w:hAnsi="Times New Roman" w:cs="Times New Roman"/>
                <w:i/>
                <w:iCs/>
                <w:sz w:val="24"/>
                <w:szCs w:val="24"/>
                <w:lang w:eastAsia="ro-RO"/>
              </w:rPr>
            </w:pPr>
            <w:r w:rsidRPr="00801702">
              <w:rPr>
                <w:rFonts w:ascii="Times New Roman" w:eastAsia="Times New Roman" w:hAnsi="Times New Roman" w:cs="Times New Roman"/>
                <w:b/>
                <w:bCs/>
                <w:sz w:val="24"/>
                <w:szCs w:val="24"/>
                <w:lang w:eastAsia="ro-RO"/>
              </w:rPr>
              <w:t xml:space="preserve">4.4.1. </w:t>
            </w:r>
            <w:r w:rsidRPr="00AE33FF">
              <w:rPr>
                <w:rFonts w:ascii="Times New Roman" w:eastAsia="Times New Roman" w:hAnsi="Times New Roman" w:cs="Times New Roman"/>
                <w:bCs/>
                <w:sz w:val="24"/>
                <w:szCs w:val="24"/>
                <w:lang w:eastAsia="ro-RO"/>
              </w:rPr>
              <w:t>Impactul asupra datelor cu caracter personal</w:t>
            </w:r>
          </w:p>
        </w:tc>
      </w:tr>
      <w:tr w:rsidR="00801702" w:rsidRPr="00801702" w:rsidTr="00801702">
        <w:trPr>
          <w:trHeight w:val="356"/>
        </w:trPr>
        <w:tc>
          <w:tcPr>
            <w:tcW w:w="9634" w:type="dxa"/>
            <w:shd w:val="clear" w:color="auto" w:fill="FFFFFF" w:themeFill="background1"/>
          </w:tcPr>
          <w:p w:rsidR="00801702" w:rsidRPr="00801702" w:rsidRDefault="00801702" w:rsidP="00190513">
            <w:pPr>
              <w:spacing w:line="276" w:lineRule="auto"/>
              <w:ind w:firstLine="426"/>
              <w:jc w:val="both"/>
              <w:rPr>
                <w:rFonts w:ascii="Times New Roman" w:eastAsia="Times New Roman" w:hAnsi="Times New Roman" w:cs="Times New Roman"/>
                <w:sz w:val="24"/>
                <w:szCs w:val="24"/>
                <w:lang w:eastAsia="ro-RO"/>
              </w:rPr>
            </w:pPr>
            <w:r w:rsidRPr="00801702">
              <w:rPr>
                <w:rFonts w:ascii="Times New Roman" w:eastAsia="Times New Roman" w:hAnsi="Times New Roman" w:cs="Times New Roman"/>
                <w:sz w:val="24"/>
                <w:szCs w:val="24"/>
                <w:lang w:eastAsia="ro-RO"/>
              </w:rPr>
              <w:t xml:space="preserve">         </w:t>
            </w:r>
            <w:r w:rsidRPr="00801702">
              <w:rPr>
                <w:rFonts w:ascii="Times New Roman" w:hAnsi="Times New Roman" w:cs="Times New Roman"/>
                <w:sz w:val="24"/>
                <w:szCs w:val="24"/>
              </w:rPr>
              <w:t>Proiectul de lege nu implică instituirea unor mecanisme noi de colectare sau prelucrare a datelor cu caracter personal și nu prevede utilizarea unor categorii suplimentare de date. Eventuala prelucrare a datelor se realizează exclusiv în cadrul procedurilor existente, cu respectarea legislației aplicabile în domeniul protecției datelor cu caracter persona</w:t>
            </w:r>
            <w:r w:rsidR="00AE33FF">
              <w:rPr>
                <w:rFonts w:ascii="Times New Roman" w:hAnsi="Times New Roman" w:cs="Times New Roman"/>
                <w:sz w:val="24"/>
                <w:szCs w:val="24"/>
              </w:rPr>
              <w:t>l.</w:t>
            </w:r>
          </w:p>
        </w:tc>
      </w:tr>
      <w:tr w:rsidR="00801702" w:rsidRPr="00801702" w:rsidTr="00AE33FF">
        <w:tc>
          <w:tcPr>
            <w:tcW w:w="9634" w:type="dxa"/>
            <w:shd w:val="clear" w:color="auto" w:fill="F2F2F2" w:themeFill="background1" w:themeFillShade="F2"/>
          </w:tcPr>
          <w:p w:rsidR="00801702" w:rsidRPr="00801702" w:rsidRDefault="00801702" w:rsidP="00801702">
            <w:pPr>
              <w:spacing w:line="276" w:lineRule="auto"/>
              <w:ind w:firstLine="426"/>
              <w:jc w:val="both"/>
              <w:rPr>
                <w:rFonts w:ascii="Times New Roman" w:eastAsia="Times New Roman" w:hAnsi="Times New Roman" w:cs="Times New Roman"/>
                <w:i/>
                <w:iCs/>
                <w:sz w:val="24"/>
                <w:szCs w:val="24"/>
                <w:lang w:eastAsia="ro-RO"/>
              </w:rPr>
            </w:pPr>
            <w:r w:rsidRPr="00801702">
              <w:rPr>
                <w:rFonts w:ascii="Times New Roman" w:eastAsia="Times New Roman" w:hAnsi="Times New Roman" w:cs="Times New Roman"/>
                <w:b/>
                <w:bCs/>
                <w:sz w:val="24"/>
                <w:szCs w:val="24"/>
                <w:lang w:eastAsia="ro-RO"/>
              </w:rPr>
              <w:t xml:space="preserve">4.4.2. </w:t>
            </w:r>
            <w:r w:rsidRPr="00AE33FF">
              <w:rPr>
                <w:rFonts w:ascii="Times New Roman" w:eastAsia="Times New Roman" w:hAnsi="Times New Roman" w:cs="Times New Roman"/>
                <w:bCs/>
                <w:sz w:val="24"/>
                <w:szCs w:val="24"/>
                <w:lang w:eastAsia="ro-RO"/>
              </w:rPr>
              <w:t>Impactul asupra echit</w:t>
            </w:r>
            <w:r w:rsidR="00190513" w:rsidRPr="00AE33FF">
              <w:rPr>
                <w:rFonts w:ascii="Times New Roman" w:eastAsia="Times New Roman" w:hAnsi="Times New Roman" w:cs="Times New Roman"/>
                <w:bCs/>
                <w:sz w:val="24"/>
                <w:szCs w:val="24"/>
                <w:lang w:eastAsia="ro-RO"/>
              </w:rPr>
              <w:t>ăț</w:t>
            </w:r>
            <w:r w:rsidRPr="00AE33FF">
              <w:rPr>
                <w:rFonts w:ascii="Times New Roman" w:eastAsia="Times New Roman" w:hAnsi="Times New Roman" w:cs="Times New Roman"/>
                <w:bCs/>
                <w:sz w:val="24"/>
                <w:szCs w:val="24"/>
                <w:lang w:eastAsia="ro-RO"/>
              </w:rPr>
              <w:t xml:space="preserve">ii </w:t>
            </w:r>
            <w:r w:rsidR="00190513" w:rsidRPr="00AE33FF">
              <w:rPr>
                <w:rFonts w:ascii="Times New Roman" w:eastAsia="Times New Roman" w:hAnsi="Times New Roman" w:cs="Times New Roman"/>
                <w:bCs/>
                <w:sz w:val="24"/>
                <w:szCs w:val="24"/>
                <w:lang w:eastAsia="ro-RO"/>
              </w:rPr>
              <w:t>ș</w:t>
            </w:r>
            <w:r w:rsidRPr="00AE33FF">
              <w:rPr>
                <w:rFonts w:ascii="Times New Roman" w:eastAsia="Times New Roman" w:hAnsi="Times New Roman" w:cs="Times New Roman"/>
                <w:bCs/>
                <w:sz w:val="24"/>
                <w:szCs w:val="24"/>
                <w:lang w:eastAsia="ro-RO"/>
              </w:rPr>
              <w:t>i egalit</w:t>
            </w:r>
            <w:r w:rsidR="00190513" w:rsidRPr="00AE33FF">
              <w:rPr>
                <w:rFonts w:ascii="Times New Roman" w:eastAsia="Times New Roman" w:hAnsi="Times New Roman" w:cs="Times New Roman"/>
                <w:bCs/>
                <w:sz w:val="24"/>
                <w:szCs w:val="24"/>
                <w:lang w:eastAsia="ro-RO"/>
              </w:rPr>
              <w:t>ăț</w:t>
            </w:r>
            <w:r w:rsidRPr="00AE33FF">
              <w:rPr>
                <w:rFonts w:ascii="Times New Roman" w:eastAsia="Times New Roman" w:hAnsi="Times New Roman" w:cs="Times New Roman"/>
                <w:bCs/>
                <w:sz w:val="24"/>
                <w:szCs w:val="24"/>
                <w:lang w:eastAsia="ro-RO"/>
              </w:rPr>
              <w:t>ii de gen</w:t>
            </w:r>
          </w:p>
        </w:tc>
      </w:tr>
      <w:tr w:rsidR="00801702" w:rsidRPr="00801702" w:rsidTr="00801702">
        <w:tc>
          <w:tcPr>
            <w:tcW w:w="9634" w:type="dxa"/>
          </w:tcPr>
          <w:p w:rsidR="00801702" w:rsidRPr="00190513" w:rsidRDefault="00190513" w:rsidP="00801702">
            <w:pPr>
              <w:spacing w:line="276" w:lineRule="auto"/>
              <w:ind w:firstLine="426"/>
              <w:jc w:val="both"/>
              <w:rPr>
                <w:rFonts w:ascii="Times New Roman" w:hAnsi="Times New Roman" w:cs="Times New Roman"/>
                <w:sz w:val="24"/>
                <w:szCs w:val="24"/>
              </w:rPr>
            </w:pPr>
            <w:r w:rsidRPr="00190513">
              <w:rPr>
                <w:rFonts w:ascii="Times New Roman" w:hAnsi="Times New Roman" w:cs="Times New Roman"/>
                <w:sz w:val="24"/>
                <w:szCs w:val="24"/>
                <w:lang w:val="ro-MD"/>
              </w:rPr>
              <w:t xml:space="preserve">Prevederile acestui proiect de lege se aplică în mod </w:t>
            </w:r>
            <w:r w:rsidRPr="00190513">
              <w:rPr>
                <w:rStyle w:val="Robust"/>
                <w:rFonts w:ascii="Times New Roman" w:hAnsi="Times New Roman" w:cs="Times New Roman"/>
                <w:b w:val="0"/>
                <w:sz w:val="24"/>
                <w:szCs w:val="24"/>
                <w:lang w:val="ro-MD"/>
              </w:rPr>
              <w:t>neutru din punct de vedere al genului</w:t>
            </w:r>
            <w:r w:rsidRPr="00190513">
              <w:rPr>
                <w:rFonts w:ascii="Times New Roman" w:hAnsi="Times New Roman" w:cs="Times New Roman"/>
                <w:sz w:val="24"/>
                <w:szCs w:val="24"/>
                <w:lang w:val="ro-MD"/>
              </w:rPr>
              <w:t>, fără a introduce diferențieri sau tratamente preferențiale bazate pe sex.</w:t>
            </w:r>
          </w:p>
        </w:tc>
      </w:tr>
      <w:tr w:rsidR="00801702" w:rsidRPr="00801702" w:rsidTr="00AE33FF">
        <w:tc>
          <w:tcPr>
            <w:tcW w:w="9634" w:type="dxa"/>
            <w:shd w:val="clear" w:color="auto" w:fill="F2F2F2" w:themeFill="background1" w:themeFillShade="F2"/>
          </w:tcPr>
          <w:p w:rsidR="00801702" w:rsidRPr="00801702" w:rsidRDefault="00801702" w:rsidP="00801702">
            <w:pPr>
              <w:spacing w:line="276" w:lineRule="auto"/>
              <w:ind w:firstLine="426"/>
              <w:jc w:val="both"/>
              <w:rPr>
                <w:rFonts w:ascii="Times New Roman" w:hAnsi="Times New Roman" w:cs="Times New Roman"/>
                <w:b/>
                <w:i/>
                <w:iCs/>
                <w:sz w:val="24"/>
                <w:szCs w:val="24"/>
              </w:rPr>
            </w:pPr>
            <w:r w:rsidRPr="00801702">
              <w:rPr>
                <w:rFonts w:ascii="Times New Roman" w:eastAsia="Times New Roman" w:hAnsi="Times New Roman" w:cs="Times New Roman"/>
                <w:b/>
                <w:bCs/>
                <w:sz w:val="24"/>
                <w:szCs w:val="24"/>
                <w:lang w:eastAsia="ro-RO"/>
              </w:rPr>
              <w:t xml:space="preserve">4.5. </w:t>
            </w:r>
            <w:r w:rsidRPr="00AE33FF">
              <w:rPr>
                <w:rFonts w:ascii="Times New Roman" w:eastAsia="Times New Roman" w:hAnsi="Times New Roman" w:cs="Times New Roman"/>
                <w:bCs/>
                <w:sz w:val="24"/>
                <w:szCs w:val="24"/>
                <w:lang w:eastAsia="ro-RO"/>
              </w:rPr>
              <w:t>Impactul asupra mediului</w:t>
            </w:r>
          </w:p>
        </w:tc>
      </w:tr>
      <w:tr w:rsidR="00801702" w:rsidRPr="00801702" w:rsidTr="00801702">
        <w:tc>
          <w:tcPr>
            <w:tcW w:w="9634" w:type="dxa"/>
            <w:shd w:val="clear" w:color="auto" w:fill="FFFFFF" w:themeFill="background1"/>
          </w:tcPr>
          <w:p w:rsidR="00801702" w:rsidRPr="00AE33FF" w:rsidRDefault="00AE33FF" w:rsidP="00801702">
            <w:pPr>
              <w:spacing w:line="276" w:lineRule="auto"/>
              <w:ind w:firstLine="426"/>
              <w:contextualSpacing/>
              <w:jc w:val="both"/>
              <w:rPr>
                <w:rFonts w:ascii="Times New Roman" w:hAnsi="Times New Roman" w:cs="Times New Roman"/>
                <w:iCs/>
                <w:sz w:val="24"/>
                <w:szCs w:val="24"/>
              </w:rPr>
            </w:pPr>
            <w:r w:rsidRPr="00AE33FF">
              <w:rPr>
                <w:rFonts w:ascii="Times New Roman" w:hAnsi="Times New Roman" w:cs="Times New Roman"/>
                <w:sz w:val="24"/>
                <w:szCs w:val="24"/>
                <w:lang w:val="ro-MD"/>
              </w:rPr>
              <w:t xml:space="preserve">Proiectul de lege nu are un </w:t>
            </w:r>
            <w:r w:rsidRPr="00AE33FF">
              <w:rPr>
                <w:rStyle w:val="Robust"/>
                <w:rFonts w:ascii="Times New Roman" w:hAnsi="Times New Roman" w:cs="Times New Roman"/>
                <w:b w:val="0"/>
                <w:sz w:val="24"/>
                <w:szCs w:val="24"/>
                <w:lang w:val="ro-MD"/>
              </w:rPr>
              <w:t>impact direct asupra mediului</w:t>
            </w:r>
            <w:r w:rsidRPr="00AE33FF">
              <w:rPr>
                <w:rFonts w:ascii="Times New Roman" w:hAnsi="Times New Roman" w:cs="Times New Roman"/>
                <w:sz w:val="24"/>
                <w:szCs w:val="24"/>
                <w:lang w:val="ro-MD"/>
              </w:rPr>
              <w:t xml:space="preserve">, întrucât nu reglementează activități de producție agricolă, utilizarea resurselor naturale sau standarde de mediu. În mod indirect, prin contribuția la stabilitatea relațiilor comerciale și la prevenirea anulării tardive a comenzilor și a risipei economice, proiectul poate avea </w:t>
            </w:r>
            <w:r w:rsidRPr="00AE33FF">
              <w:rPr>
                <w:rStyle w:val="Robust"/>
                <w:rFonts w:ascii="Times New Roman" w:hAnsi="Times New Roman" w:cs="Times New Roman"/>
                <w:b w:val="0"/>
                <w:sz w:val="24"/>
                <w:szCs w:val="24"/>
                <w:lang w:val="ro-MD"/>
              </w:rPr>
              <w:t>efecte secundare pozitive</w:t>
            </w:r>
            <w:r w:rsidRPr="00AE33FF">
              <w:rPr>
                <w:rFonts w:ascii="Times New Roman" w:hAnsi="Times New Roman" w:cs="Times New Roman"/>
                <w:sz w:val="24"/>
                <w:szCs w:val="24"/>
                <w:lang w:val="ro-MD"/>
              </w:rPr>
              <w:t xml:space="preserve">, inclusiv prin reducerea pierderilor de produse agroalimentare (în special în cazul anulării nejustificate a comenzilor sau al returnării produselor nevândute) și prin încurajarea unei planificări mai eficiente a producției, creând premise pentru </w:t>
            </w:r>
            <w:r w:rsidRPr="00AE33FF">
              <w:rPr>
                <w:rStyle w:val="Robust"/>
                <w:rFonts w:ascii="Times New Roman" w:hAnsi="Times New Roman" w:cs="Times New Roman"/>
                <w:b w:val="0"/>
                <w:sz w:val="24"/>
                <w:szCs w:val="24"/>
                <w:lang w:val="ro-MD"/>
              </w:rPr>
              <w:t>planificarea pe termen mediu și lung a activităților agricole</w:t>
            </w:r>
            <w:r w:rsidRPr="00AE33FF">
              <w:rPr>
                <w:rFonts w:ascii="Times New Roman" w:hAnsi="Times New Roman" w:cs="Times New Roman"/>
                <w:sz w:val="24"/>
                <w:szCs w:val="24"/>
                <w:lang w:val="ro-MD"/>
              </w:rPr>
              <w:t>, inclusiv pentru adoptarea unor practici mai durabile. Astfel, proiectul susține tranziția către un lanț agroalimentar mai responsabil din punct de vedere al utilizării resurselor.</w:t>
            </w:r>
          </w:p>
        </w:tc>
      </w:tr>
      <w:tr w:rsidR="00801702" w:rsidRPr="00801702" w:rsidTr="00AE33FF">
        <w:trPr>
          <w:trHeight w:val="320"/>
        </w:trPr>
        <w:tc>
          <w:tcPr>
            <w:tcW w:w="9634" w:type="dxa"/>
            <w:shd w:val="clear" w:color="auto" w:fill="F2F2F2" w:themeFill="background1" w:themeFillShade="F2"/>
          </w:tcPr>
          <w:p w:rsidR="00AE33FF" w:rsidRPr="00801702" w:rsidRDefault="00801702" w:rsidP="00AE33FF">
            <w:pPr>
              <w:spacing w:line="276" w:lineRule="auto"/>
              <w:ind w:firstLine="426"/>
              <w:jc w:val="both"/>
              <w:rPr>
                <w:rFonts w:ascii="Times New Roman" w:eastAsia="Times New Roman" w:hAnsi="Times New Roman" w:cs="Times New Roman"/>
                <w:b/>
                <w:bCs/>
                <w:sz w:val="24"/>
                <w:szCs w:val="24"/>
                <w:lang w:eastAsia="ro-RO"/>
              </w:rPr>
            </w:pPr>
            <w:r w:rsidRPr="00801702">
              <w:rPr>
                <w:rFonts w:ascii="Times New Roman" w:eastAsia="Times New Roman" w:hAnsi="Times New Roman" w:cs="Times New Roman"/>
                <w:b/>
                <w:bCs/>
                <w:sz w:val="24"/>
                <w:szCs w:val="24"/>
                <w:lang w:eastAsia="ro-RO"/>
              </w:rPr>
              <w:t xml:space="preserve">4.6. </w:t>
            </w:r>
            <w:r w:rsidRPr="00AE33FF">
              <w:rPr>
                <w:rFonts w:ascii="Times New Roman" w:eastAsia="Times New Roman" w:hAnsi="Times New Roman" w:cs="Times New Roman"/>
                <w:bCs/>
                <w:sz w:val="24"/>
                <w:szCs w:val="24"/>
                <w:lang w:eastAsia="ro-RO"/>
              </w:rPr>
              <w:t>Alte impacturi și informații relevante</w:t>
            </w:r>
            <w:r w:rsidRPr="00801702">
              <w:rPr>
                <w:rFonts w:ascii="Times New Roman" w:eastAsia="Times New Roman" w:hAnsi="Times New Roman" w:cs="Times New Roman"/>
                <w:b/>
                <w:bCs/>
                <w:sz w:val="24"/>
                <w:szCs w:val="24"/>
                <w:lang w:eastAsia="ro-RO"/>
              </w:rPr>
              <w:t xml:space="preserve"> </w:t>
            </w:r>
          </w:p>
        </w:tc>
      </w:tr>
      <w:tr w:rsidR="00801702" w:rsidRPr="00801702" w:rsidTr="00801702">
        <w:trPr>
          <w:trHeight w:val="420"/>
        </w:trPr>
        <w:tc>
          <w:tcPr>
            <w:tcW w:w="9634" w:type="dxa"/>
            <w:shd w:val="clear" w:color="auto" w:fill="FFFFFF" w:themeFill="background1"/>
          </w:tcPr>
          <w:p w:rsidR="00801702" w:rsidRPr="00AE33FF" w:rsidRDefault="00AE33FF" w:rsidP="00801702">
            <w:pPr>
              <w:spacing w:line="276" w:lineRule="auto"/>
              <w:ind w:firstLine="426"/>
              <w:jc w:val="both"/>
              <w:rPr>
                <w:rFonts w:ascii="Times New Roman" w:eastAsia="Times New Roman" w:hAnsi="Times New Roman" w:cs="Times New Roman"/>
                <w:bCs/>
                <w:sz w:val="24"/>
                <w:szCs w:val="24"/>
                <w:lang w:eastAsia="ro-RO"/>
              </w:rPr>
            </w:pPr>
            <w:r w:rsidRPr="00AE33FF">
              <w:rPr>
                <w:rFonts w:ascii="Times New Roman" w:hAnsi="Times New Roman" w:cs="Times New Roman"/>
                <w:sz w:val="24"/>
                <w:szCs w:val="24"/>
                <w:lang w:val="ro-MD"/>
              </w:rPr>
              <w:t>Adoptarea proiectului are un</w:t>
            </w:r>
            <w:r w:rsidRPr="00AE33FF">
              <w:rPr>
                <w:rFonts w:ascii="Times New Roman" w:hAnsi="Times New Roman" w:cs="Times New Roman"/>
                <w:b/>
                <w:sz w:val="24"/>
                <w:szCs w:val="24"/>
                <w:lang w:val="ro-MD"/>
              </w:rPr>
              <w:t xml:space="preserve"> </w:t>
            </w:r>
            <w:r w:rsidRPr="00AE33FF">
              <w:rPr>
                <w:rStyle w:val="Robust"/>
                <w:rFonts w:ascii="Times New Roman" w:hAnsi="Times New Roman" w:cs="Times New Roman"/>
                <w:b w:val="0"/>
                <w:sz w:val="24"/>
                <w:szCs w:val="24"/>
                <w:lang w:val="ro-MD"/>
              </w:rPr>
              <w:t>impact major pozitiv asupra procesului de integrare europeană</w:t>
            </w:r>
            <w:r w:rsidRPr="00AE33FF">
              <w:rPr>
                <w:rFonts w:ascii="Times New Roman" w:hAnsi="Times New Roman" w:cs="Times New Roman"/>
                <w:sz w:val="24"/>
                <w:szCs w:val="24"/>
                <w:lang w:val="ro-MD"/>
              </w:rPr>
              <w:t>, prin transpunerea Directivei (UE) 2019/633 și alinierea Republicii Moldova la standardele Uniunii Europene privind funcționarea lanțului agroalimentar.</w:t>
            </w:r>
          </w:p>
        </w:tc>
      </w:tr>
      <w:tr w:rsidR="00801702" w:rsidRPr="00801702" w:rsidTr="00801702">
        <w:tc>
          <w:tcPr>
            <w:tcW w:w="9634" w:type="dxa"/>
            <w:shd w:val="clear" w:color="auto" w:fill="D9D9D9" w:themeFill="background1" w:themeFillShade="D9"/>
          </w:tcPr>
          <w:p w:rsidR="00801702" w:rsidRPr="00801702" w:rsidRDefault="00801702" w:rsidP="00801702">
            <w:pPr>
              <w:spacing w:line="276" w:lineRule="auto"/>
              <w:ind w:firstLine="426"/>
              <w:jc w:val="both"/>
              <w:rPr>
                <w:rFonts w:ascii="Times New Roman" w:hAnsi="Times New Roman" w:cs="Times New Roman"/>
                <w:b/>
                <w:sz w:val="24"/>
                <w:szCs w:val="24"/>
              </w:rPr>
            </w:pPr>
            <w:r w:rsidRPr="00801702">
              <w:rPr>
                <w:rFonts w:ascii="Times New Roman" w:hAnsi="Times New Roman" w:cs="Times New Roman"/>
                <w:b/>
                <w:sz w:val="24"/>
                <w:szCs w:val="24"/>
              </w:rPr>
              <w:t>5. Compatibilitatea proiectului actului normativ cu legislația UE</w:t>
            </w:r>
          </w:p>
        </w:tc>
      </w:tr>
      <w:tr w:rsidR="00801702" w:rsidRPr="00801702" w:rsidTr="00801702">
        <w:tc>
          <w:tcPr>
            <w:tcW w:w="9634" w:type="dxa"/>
            <w:shd w:val="clear" w:color="auto" w:fill="FFFFFF" w:themeFill="background1"/>
          </w:tcPr>
          <w:p w:rsidR="00801702" w:rsidRPr="00AE33FF" w:rsidRDefault="00AE33FF" w:rsidP="00AE33FF">
            <w:pPr>
              <w:spacing w:line="276" w:lineRule="auto"/>
              <w:ind w:firstLine="426"/>
              <w:jc w:val="both"/>
              <w:rPr>
                <w:rFonts w:ascii="Times New Roman" w:hAnsi="Times New Roman" w:cs="Times New Roman"/>
                <w:sz w:val="24"/>
                <w:szCs w:val="24"/>
              </w:rPr>
            </w:pPr>
            <w:r w:rsidRPr="00AE33FF">
              <w:rPr>
                <w:rFonts w:ascii="Times New Roman" w:hAnsi="Times New Roman" w:cs="Times New Roman"/>
                <w:sz w:val="24"/>
                <w:szCs w:val="24"/>
                <w:lang w:val="ro-MD"/>
              </w:rPr>
              <w:t xml:space="preserve">Proiectul de lege privind </w:t>
            </w:r>
            <w:r w:rsidRPr="00AE33FF">
              <w:rPr>
                <w:rFonts w:ascii="Times New Roman" w:eastAsia="Times New Roman" w:hAnsi="Times New Roman" w:cs="Times New Roman"/>
                <w:bCs/>
                <w:sz w:val="24"/>
                <w:szCs w:val="24"/>
                <w:lang w:val="ro-MD"/>
              </w:rPr>
              <w:t xml:space="preserve">combaterea practicilor comerciale neloiale în cadrul lanțului de aprovizionare agricol și alimentar este </w:t>
            </w:r>
            <w:r w:rsidRPr="00AE33FF">
              <w:rPr>
                <w:rStyle w:val="Robust"/>
                <w:rFonts w:ascii="Times New Roman" w:hAnsi="Times New Roman" w:cs="Times New Roman"/>
                <w:b w:val="0"/>
                <w:sz w:val="24"/>
                <w:szCs w:val="24"/>
                <w:lang w:val="ro-MD"/>
              </w:rPr>
              <w:t>compatibil cu Directiva (UE) 2019/633</w:t>
            </w:r>
            <w:r w:rsidRPr="00AE33FF">
              <w:rPr>
                <w:rFonts w:ascii="Times New Roman" w:hAnsi="Times New Roman" w:cs="Times New Roman"/>
                <w:sz w:val="24"/>
                <w:szCs w:val="24"/>
                <w:lang w:val="ro-MD"/>
              </w:rPr>
              <w:t xml:space="preserve"> a Parlamentului European și a Consiliului din 17 aprilie 2019 și asigură </w:t>
            </w:r>
            <w:r w:rsidRPr="00AE33FF">
              <w:rPr>
                <w:rStyle w:val="Robust"/>
                <w:rFonts w:ascii="Times New Roman" w:hAnsi="Times New Roman" w:cs="Times New Roman"/>
                <w:b w:val="0"/>
                <w:sz w:val="24"/>
                <w:szCs w:val="24"/>
                <w:lang w:val="ro-MD"/>
              </w:rPr>
              <w:t>transpunerea completă a cerințelor minime</w:t>
            </w:r>
            <w:r w:rsidRPr="00AE33FF">
              <w:rPr>
                <w:rFonts w:ascii="Times New Roman" w:hAnsi="Times New Roman" w:cs="Times New Roman"/>
                <w:sz w:val="24"/>
                <w:szCs w:val="24"/>
                <w:lang w:val="ro-MD"/>
              </w:rPr>
              <w:t xml:space="preserve"> prevăzute de aceasta, ca act legislativ distinct, dedicat, așa cum au abordat majoritatea statelor </w:t>
            </w:r>
            <w:r w:rsidRPr="00AE33FF">
              <w:rPr>
                <w:rFonts w:ascii="Times New Roman" w:hAnsi="Times New Roman" w:cs="Times New Roman"/>
                <w:sz w:val="24"/>
                <w:szCs w:val="24"/>
                <w:lang w:val="ro-MD"/>
              </w:rPr>
              <w:lastRenderedPageBreak/>
              <w:t>membre UE alinierea, prin preluarea structurii, logicii și mecanismelor esențiale de reglementare. Totodată, proiectul este suplimentat cu prevederi adaptate specificului pieței interne</w:t>
            </w:r>
            <w:r w:rsidR="00801702" w:rsidRPr="00AE33FF">
              <w:rPr>
                <w:rFonts w:ascii="Times New Roman" w:hAnsi="Times New Roman" w:cs="Times New Roman"/>
                <w:sz w:val="24"/>
                <w:szCs w:val="24"/>
              </w:rPr>
              <w:t>.</w:t>
            </w:r>
          </w:p>
        </w:tc>
      </w:tr>
      <w:tr w:rsidR="00AE33FF" w:rsidRPr="00801702" w:rsidTr="00AE33FF">
        <w:tc>
          <w:tcPr>
            <w:tcW w:w="9634" w:type="dxa"/>
            <w:shd w:val="clear" w:color="auto" w:fill="F2F2F2" w:themeFill="background1" w:themeFillShade="F2"/>
          </w:tcPr>
          <w:p w:rsidR="00AE33FF" w:rsidRPr="00AE33FF" w:rsidRDefault="00AE33FF" w:rsidP="00AE33FF">
            <w:pPr>
              <w:spacing w:line="276" w:lineRule="auto"/>
              <w:ind w:firstLine="426"/>
              <w:jc w:val="both"/>
              <w:rPr>
                <w:rFonts w:ascii="Times New Roman" w:hAnsi="Times New Roman" w:cs="Times New Roman"/>
                <w:sz w:val="24"/>
                <w:szCs w:val="24"/>
                <w:lang w:val="ro-MD"/>
              </w:rPr>
            </w:pPr>
            <w:r w:rsidRPr="00AE33FF">
              <w:rPr>
                <w:rFonts w:ascii="Times New Roman" w:hAnsi="Times New Roman" w:cs="Times New Roman"/>
                <w:b/>
                <w:sz w:val="24"/>
                <w:szCs w:val="24"/>
                <w:lang w:val="ro-MD"/>
              </w:rPr>
              <w:lastRenderedPageBreak/>
              <w:t>5.1.</w:t>
            </w:r>
            <w:r w:rsidRPr="00AE33FF">
              <w:rPr>
                <w:rFonts w:ascii="Times New Roman" w:hAnsi="Times New Roman" w:cs="Times New Roman"/>
                <w:sz w:val="24"/>
                <w:szCs w:val="24"/>
                <w:lang w:val="ro-MD"/>
              </w:rPr>
              <w:t xml:space="preserve"> Măsuri normative necesare pentru transpunerea actelor juridice ale UE în legislația națională</w:t>
            </w:r>
          </w:p>
        </w:tc>
      </w:tr>
      <w:tr w:rsidR="00AE33FF" w:rsidRPr="00801702" w:rsidTr="00801702">
        <w:tc>
          <w:tcPr>
            <w:tcW w:w="9634" w:type="dxa"/>
            <w:shd w:val="clear" w:color="auto" w:fill="FFFFFF" w:themeFill="background1"/>
          </w:tcPr>
          <w:p w:rsidR="00AE33FF" w:rsidRPr="00AE33FF" w:rsidRDefault="00AE33FF" w:rsidP="00AE33FF">
            <w:pPr>
              <w:spacing w:line="276" w:lineRule="auto"/>
              <w:ind w:firstLine="426"/>
              <w:jc w:val="both"/>
              <w:rPr>
                <w:rFonts w:ascii="Times New Roman" w:hAnsi="Times New Roman" w:cs="Times New Roman"/>
                <w:sz w:val="24"/>
                <w:szCs w:val="24"/>
                <w:lang w:val="ro-MD"/>
              </w:rPr>
            </w:pPr>
            <w:r w:rsidRPr="00AE33FF">
              <w:rPr>
                <w:rFonts w:ascii="Times New Roman" w:hAnsi="Times New Roman" w:cs="Times New Roman"/>
                <w:sz w:val="24"/>
                <w:szCs w:val="24"/>
                <w:lang w:val="ro-MD"/>
              </w:rPr>
              <w:t>Transpunerea Directivei (UE) 2019/633 presupune preluare normelor minime stabilite de către aceasta, a drepturilor și obligațiilor subiecților vizați și a mecanismelor de protecție indicate în act, fapt asigurat de proiectul de lege respectiv, prin instituirea listei practicilor comerciale neloiale interzise și a celor permise condiționat, reglementarea drepturilor și obligațiilor subiecților în formă scrisă, stabilirea măsurilor preventive și sancțiunilor pentru încălcarea legii etc. Aceste măsuri reprezintă transpunerea directă a normelor Directivei.</w:t>
            </w:r>
          </w:p>
        </w:tc>
      </w:tr>
      <w:tr w:rsidR="00801702" w:rsidRPr="00801702" w:rsidTr="00AE33FF">
        <w:tc>
          <w:tcPr>
            <w:tcW w:w="9634" w:type="dxa"/>
            <w:shd w:val="clear" w:color="auto" w:fill="F2F2F2" w:themeFill="background1" w:themeFillShade="F2"/>
          </w:tcPr>
          <w:p w:rsidR="00801702" w:rsidRPr="00AE33FF" w:rsidRDefault="00801702" w:rsidP="00AE33FF">
            <w:pPr>
              <w:spacing w:line="276" w:lineRule="auto"/>
              <w:ind w:firstLine="450"/>
              <w:jc w:val="both"/>
              <w:rPr>
                <w:rFonts w:ascii="Times New Roman" w:hAnsi="Times New Roman" w:cs="Times New Roman"/>
                <w:lang w:val="ro-MD"/>
              </w:rPr>
            </w:pPr>
            <w:r w:rsidRPr="00AE33FF">
              <w:rPr>
                <w:rFonts w:ascii="Times New Roman" w:hAnsi="Times New Roman" w:cs="Times New Roman"/>
                <w:b/>
                <w:iCs/>
                <w:sz w:val="24"/>
                <w:szCs w:val="24"/>
              </w:rPr>
              <w:t>5.2</w:t>
            </w:r>
            <w:r w:rsidRPr="00801702">
              <w:rPr>
                <w:rFonts w:ascii="Times New Roman" w:hAnsi="Times New Roman" w:cs="Times New Roman"/>
                <w:b/>
                <w:i/>
                <w:iCs/>
                <w:sz w:val="24"/>
                <w:szCs w:val="24"/>
              </w:rPr>
              <w:t>.</w:t>
            </w:r>
            <w:r w:rsidR="00AE33FF">
              <w:rPr>
                <w:rFonts w:ascii="Times New Roman" w:hAnsi="Times New Roman" w:cs="Times New Roman"/>
                <w:b/>
                <w:i/>
                <w:iCs/>
                <w:sz w:val="24"/>
                <w:szCs w:val="24"/>
              </w:rPr>
              <w:t xml:space="preserve"> </w:t>
            </w:r>
            <w:r w:rsidR="00AE33FF" w:rsidRPr="00AE33FF">
              <w:rPr>
                <w:rFonts w:ascii="Times New Roman" w:hAnsi="Times New Roman" w:cs="Times New Roman"/>
                <w:sz w:val="24"/>
                <w:szCs w:val="24"/>
                <w:lang w:val="ro-MD"/>
              </w:rPr>
              <w:t>Măsuri normative care urmăresc crearea cadrului juridic intern necesar pentru implementarea legislației UE</w:t>
            </w:r>
          </w:p>
        </w:tc>
      </w:tr>
      <w:tr w:rsidR="00801702" w:rsidRPr="00801702" w:rsidTr="00801702">
        <w:tc>
          <w:tcPr>
            <w:tcW w:w="9634" w:type="dxa"/>
          </w:tcPr>
          <w:p w:rsidR="00801702" w:rsidRPr="00801702" w:rsidRDefault="00801702" w:rsidP="00801702">
            <w:pPr>
              <w:spacing w:line="276" w:lineRule="auto"/>
              <w:ind w:firstLine="426"/>
              <w:jc w:val="both"/>
              <w:rPr>
                <w:rFonts w:ascii="Times New Roman" w:hAnsi="Times New Roman" w:cs="Times New Roman"/>
                <w:sz w:val="24"/>
                <w:szCs w:val="24"/>
              </w:rPr>
            </w:pPr>
            <w:r w:rsidRPr="00801702">
              <w:rPr>
                <w:rFonts w:ascii="Times New Roman" w:hAnsi="Times New Roman" w:cs="Times New Roman"/>
                <w:sz w:val="24"/>
                <w:szCs w:val="24"/>
              </w:rPr>
              <w:t>Adoptarea proiectului de lege privind practicile comerciale neloiale în lanțul de aprovizionare agricol și alimentar, drept act primar, va continua cu elaborarea/ modificarea actelor normative subsecvente pentru a evita suprapuneri, contradicții sau lacune în legislație. În acest sens, a fost instituită competența de a elabora acte normative și administrative de punere în aplicare a legii, precum și reglementări privind procedura de examinare a plângerilor, desemnarea autorităților competente de implementare și aplicare a legii și stabilirea atribuțiilor acestora, au fost instituite dispoziții tranzitorii etc. – măsuri pentru asigurarea aplicabilității cadrului juridic în proiect.</w:t>
            </w:r>
          </w:p>
        </w:tc>
      </w:tr>
      <w:tr w:rsidR="00801702" w:rsidRPr="00801702" w:rsidTr="00801702">
        <w:tc>
          <w:tcPr>
            <w:tcW w:w="9634" w:type="dxa"/>
            <w:shd w:val="clear" w:color="auto" w:fill="D9D9D9" w:themeFill="background1" w:themeFillShade="D9"/>
          </w:tcPr>
          <w:p w:rsidR="00801702" w:rsidRPr="00801702" w:rsidRDefault="00801702" w:rsidP="00801702">
            <w:pPr>
              <w:spacing w:line="276" w:lineRule="auto"/>
              <w:ind w:firstLine="426"/>
              <w:jc w:val="both"/>
              <w:rPr>
                <w:rFonts w:ascii="Times New Roman" w:hAnsi="Times New Roman" w:cs="Times New Roman"/>
                <w:b/>
                <w:sz w:val="24"/>
                <w:szCs w:val="24"/>
              </w:rPr>
            </w:pPr>
            <w:r w:rsidRPr="00801702">
              <w:rPr>
                <w:rFonts w:ascii="Times New Roman" w:hAnsi="Times New Roman" w:cs="Times New Roman"/>
                <w:b/>
                <w:sz w:val="24"/>
                <w:szCs w:val="24"/>
              </w:rPr>
              <w:t>6. Avizarea și consultarea publică a proiectului actului normativ</w:t>
            </w:r>
          </w:p>
        </w:tc>
      </w:tr>
      <w:tr w:rsidR="00801702" w:rsidRPr="00801702" w:rsidTr="00801702">
        <w:trPr>
          <w:trHeight w:val="283"/>
        </w:trPr>
        <w:tc>
          <w:tcPr>
            <w:tcW w:w="9634" w:type="dxa"/>
          </w:tcPr>
          <w:p w:rsidR="00801702" w:rsidRPr="00801702" w:rsidRDefault="00801702" w:rsidP="00801702">
            <w:pPr>
              <w:spacing w:line="276" w:lineRule="auto"/>
              <w:ind w:firstLine="426"/>
              <w:jc w:val="both"/>
              <w:rPr>
                <w:rFonts w:ascii="Times New Roman" w:hAnsi="Times New Roman" w:cs="Times New Roman"/>
                <w:sz w:val="24"/>
                <w:szCs w:val="24"/>
              </w:rPr>
            </w:pPr>
            <w:r w:rsidRPr="00801702">
              <w:rPr>
                <w:rFonts w:ascii="Times New Roman" w:hAnsi="Times New Roman" w:cs="Times New Roman"/>
                <w:sz w:val="24"/>
                <w:szCs w:val="24"/>
              </w:rPr>
              <w:t xml:space="preserve">      Întru respectarea art</w:t>
            </w:r>
            <w:r w:rsidR="00AE33FF">
              <w:rPr>
                <w:rFonts w:ascii="Times New Roman" w:hAnsi="Times New Roman" w:cs="Times New Roman"/>
                <w:sz w:val="24"/>
                <w:szCs w:val="24"/>
              </w:rPr>
              <w:t>.</w:t>
            </w:r>
            <w:r w:rsidRPr="00801702">
              <w:rPr>
                <w:rFonts w:ascii="Times New Roman" w:hAnsi="Times New Roman" w:cs="Times New Roman"/>
                <w:sz w:val="24"/>
                <w:szCs w:val="24"/>
              </w:rPr>
              <w:t xml:space="preserve"> 9 al Legii nr.</w:t>
            </w:r>
            <w:r w:rsidR="00AE33FF">
              <w:rPr>
                <w:rFonts w:ascii="Times New Roman" w:hAnsi="Times New Roman" w:cs="Times New Roman"/>
                <w:sz w:val="24"/>
                <w:szCs w:val="24"/>
              </w:rPr>
              <w:t xml:space="preserve"> </w:t>
            </w:r>
            <w:r w:rsidRPr="00801702">
              <w:rPr>
                <w:rFonts w:ascii="Times New Roman" w:hAnsi="Times New Roman" w:cs="Times New Roman"/>
                <w:sz w:val="24"/>
                <w:szCs w:val="24"/>
              </w:rPr>
              <w:t>239/2008 privind transparența în procesul decizional</w:t>
            </w:r>
            <w:r w:rsidR="00AE33FF">
              <w:rPr>
                <w:rFonts w:ascii="Times New Roman" w:hAnsi="Times New Roman" w:cs="Times New Roman"/>
                <w:sz w:val="24"/>
                <w:szCs w:val="24"/>
              </w:rPr>
              <w:t>, a</w:t>
            </w:r>
            <w:r w:rsidRPr="00801702">
              <w:rPr>
                <w:rFonts w:ascii="Times New Roman" w:hAnsi="Times New Roman" w:cs="Times New Roman"/>
                <w:sz w:val="24"/>
                <w:szCs w:val="24"/>
              </w:rPr>
              <w:t>nunțul de inițiere a elaborării proiectului</w:t>
            </w:r>
            <w:r w:rsidRPr="00801702">
              <w:rPr>
                <w:rFonts w:ascii="Times New Roman" w:hAnsi="Times New Roman" w:cs="Times New Roman"/>
                <w:b/>
                <w:bCs/>
                <w:color w:val="000000"/>
                <w:sz w:val="24"/>
                <w:szCs w:val="24"/>
              </w:rPr>
              <w:t> </w:t>
            </w:r>
            <w:r w:rsidRPr="00801702">
              <w:rPr>
                <w:rFonts w:ascii="Times New Roman" w:hAnsi="Times New Roman" w:cs="Times New Roman"/>
                <w:sz w:val="24"/>
                <w:szCs w:val="24"/>
              </w:rPr>
              <w:t xml:space="preserve">a fost plasat </w:t>
            </w:r>
            <w:r w:rsidR="00AE33FF">
              <w:rPr>
                <w:rFonts w:ascii="Times New Roman" w:hAnsi="Times New Roman" w:cs="Times New Roman"/>
                <w:sz w:val="24"/>
                <w:szCs w:val="24"/>
              </w:rPr>
              <w:t>pentru consultări publice pe</w:t>
            </w:r>
            <w:r w:rsidRPr="00801702">
              <w:rPr>
                <w:rFonts w:ascii="Times New Roman" w:hAnsi="Times New Roman" w:cs="Times New Roman"/>
                <w:sz w:val="24"/>
                <w:szCs w:val="24"/>
              </w:rPr>
              <w:t xml:space="preserve">: </w:t>
            </w:r>
          </w:p>
          <w:p w:rsidR="00801702" w:rsidRPr="00801702" w:rsidRDefault="000A5191" w:rsidP="00801702">
            <w:pPr>
              <w:spacing w:line="276" w:lineRule="auto"/>
              <w:ind w:firstLine="426"/>
              <w:rPr>
                <w:rFonts w:ascii="Times New Roman" w:hAnsi="Times New Roman" w:cs="Times New Roman"/>
                <w:color w:val="0000FF"/>
                <w:sz w:val="24"/>
                <w:szCs w:val="24"/>
                <w:u w:val="single"/>
              </w:rPr>
            </w:pPr>
            <w:hyperlink r:id="rId5" w:history="1">
              <w:r w:rsidR="00801702" w:rsidRPr="00801702">
                <w:rPr>
                  <w:rStyle w:val="Hyperlink"/>
                  <w:rFonts w:ascii="Times New Roman" w:hAnsi="Times New Roman" w:cs="Times New Roman"/>
                  <w:bCs/>
                  <w:noProof/>
                  <w:kern w:val="3"/>
                  <w:sz w:val="24"/>
                  <w:szCs w:val="24"/>
                  <w:lang w:val="ro-MD"/>
                </w:rPr>
                <w:t>https://particip.gov.md/ro/document/stages/anunt-de-initiere-pentru-elaborarea-proiectului-de-lege-pentru-modificarea-legii-nr-2312010-privin/14544</w:t>
              </w:r>
            </w:hyperlink>
          </w:p>
          <w:p w:rsidR="00A071B0" w:rsidRPr="00801702" w:rsidRDefault="00A071B0" w:rsidP="00A071B0">
            <w:pPr>
              <w:spacing w:line="276" w:lineRule="auto"/>
              <w:ind w:firstLine="426"/>
              <w:jc w:val="both"/>
              <w:rPr>
                <w:rFonts w:ascii="Times New Roman" w:hAnsi="Times New Roman" w:cs="Times New Roman"/>
                <w:sz w:val="24"/>
                <w:szCs w:val="24"/>
              </w:rPr>
            </w:pPr>
            <w:r w:rsidRPr="00801702">
              <w:rPr>
                <w:rFonts w:ascii="Times New Roman" w:hAnsi="Times New Roman" w:cs="Times New Roman"/>
                <w:sz w:val="24"/>
                <w:szCs w:val="24"/>
              </w:rPr>
              <w:t>Urmare a recomandă</w:t>
            </w:r>
            <w:r>
              <w:rPr>
                <w:rFonts w:ascii="Times New Roman" w:hAnsi="Times New Roman" w:cs="Times New Roman"/>
                <w:sz w:val="24"/>
                <w:szCs w:val="24"/>
              </w:rPr>
              <w:t>r</w:t>
            </w:r>
            <w:r w:rsidRPr="00801702">
              <w:rPr>
                <w:rFonts w:ascii="Times New Roman" w:hAnsi="Times New Roman" w:cs="Times New Roman"/>
                <w:sz w:val="24"/>
                <w:szCs w:val="24"/>
              </w:rPr>
              <w:t>ilor și obiecțiilor prezentate</w:t>
            </w:r>
            <w:r>
              <w:rPr>
                <w:rFonts w:ascii="Times New Roman" w:hAnsi="Times New Roman" w:cs="Times New Roman"/>
                <w:sz w:val="24"/>
                <w:szCs w:val="24"/>
              </w:rPr>
              <w:t xml:space="preserve"> în procesul de avizare</w:t>
            </w:r>
            <w:r w:rsidRPr="00801702">
              <w:rPr>
                <w:rFonts w:ascii="Times New Roman" w:hAnsi="Times New Roman" w:cs="Times New Roman"/>
                <w:sz w:val="24"/>
                <w:szCs w:val="24"/>
              </w:rPr>
              <w:t xml:space="preserve">, </w:t>
            </w:r>
            <w:r>
              <w:rPr>
                <w:rFonts w:ascii="Times New Roman" w:hAnsi="Times New Roman" w:cs="Times New Roman"/>
                <w:sz w:val="24"/>
                <w:szCs w:val="24"/>
              </w:rPr>
              <w:t>p</w:t>
            </w:r>
            <w:r w:rsidRPr="00801702">
              <w:rPr>
                <w:rFonts w:ascii="Times New Roman" w:hAnsi="Times New Roman" w:cs="Times New Roman"/>
                <w:sz w:val="24"/>
                <w:szCs w:val="24"/>
              </w:rPr>
              <w:t xml:space="preserve">roiectul este modificat, ajustat și </w:t>
            </w:r>
            <w:r w:rsidRPr="00A071B0">
              <w:rPr>
                <w:rFonts w:ascii="Times New Roman" w:hAnsi="Times New Roman" w:cs="Times New Roman"/>
                <w:bCs/>
                <w:sz w:val="24"/>
                <w:szCs w:val="24"/>
              </w:rPr>
              <w:t>se transmite repetat spre avizare</w:t>
            </w:r>
            <w:r w:rsidRPr="00801702">
              <w:rPr>
                <w:rFonts w:ascii="Times New Roman" w:hAnsi="Times New Roman" w:cs="Times New Roman"/>
                <w:sz w:val="24"/>
                <w:szCs w:val="24"/>
              </w:rPr>
              <w:t xml:space="preserve"> autorităților competente </w:t>
            </w:r>
            <w:r>
              <w:rPr>
                <w:rFonts w:ascii="Times New Roman" w:hAnsi="Times New Roman" w:cs="Times New Roman"/>
                <w:sz w:val="24"/>
                <w:szCs w:val="24"/>
              </w:rPr>
              <w:t>ș</w:t>
            </w:r>
            <w:r w:rsidRPr="00801702">
              <w:rPr>
                <w:rFonts w:ascii="Times New Roman" w:hAnsi="Times New Roman" w:cs="Times New Roman"/>
                <w:sz w:val="24"/>
                <w:szCs w:val="24"/>
              </w:rPr>
              <w:t>i spre consultare mediului de afaceri.</w:t>
            </w:r>
          </w:p>
          <w:p w:rsidR="00801702" w:rsidRPr="00801702" w:rsidRDefault="00801702" w:rsidP="00801702">
            <w:pPr>
              <w:spacing w:line="276" w:lineRule="auto"/>
              <w:ind w:firstLine="426"/>
              <w:rPr>
                <w:rFonts w:ascii="Times New Roman" w:hAnsi="Times New Roman" w:cs="Times New Roman"/>
                <w:sz w:val="24"/>
                <w:szCs w:val="24"/>
              </w:rPr>
            </w:pPr>
          </w:p>
          <w:p w:rsidR="00801702" w:rsidRPr="00A071B0" w:rsidRDefault="00801702" w:rsidP="00801702">
            <w:pPr>
              <w:spacing w:line="276" w:lineRule="auto"/>
              <w:ind w:firstLine="426"/>
              <w:rPr>
                <w:rFonts w:ascii="Times New Roman" w:hAnsi="Times New Roman" w:cs="Times New Roman"/>
                <w:bCs/>
                <w:sz w:val="24"/>
                <w:szCs w:val="24"/>
              </w:rPr>
            </w:pPr>
            <w:r w:rsidRPr="00A071B0">
              <w:rPr>
                <w:rFonts w:ascii="Times New Roman" w:hAnsi="Times New Roman" w:cs="Times New Roman"/>
                <w:bCs/>
                <w:sz w:val="24"/>
                <w:szCs w:val="24"/>
              </w:rPr>
              <w:t>Spre avizare</w:t>
            </w:r>
            <w:r w:rsidR="00AE33FF" w:rsidRPr="00A071B0">
              <w:rPr>
                <w:rFonts w:ascii="Times New Roman" w:hAnsi="Times New Roman" w:cs="Times New Roman"/>
                <w:bCs/>
                <w:sz w:val="24"/>
                <w:szCs w:val="24"/>
              </w:rPr>
              <w:t xml:space="preserve"> repetată</w:t>
            </w:r>
            <w:r w:rsidRPr="00A071B0">
              <w:rPr>
                <w:rFonts w:ascii="Times New Roman" w:hAnsi="Times New Roman" w:cs="Times New Roman"/>
                <w:bCs/>
                <w:sz w:val="24"/>
                <w:szCs w:val="24"/>
              </w:rPr>
              <w:t>:</w:t>
            </w:r>
          </w:p>
          <w:p w:rsidR="00801702" w:rsidRDefault="00801702" w:rsidP="00801702">
            <w:pPr>
              <w:spacing w:line="276" w:lineRule="auto"/>
              <w:ind w:firstLine="426"/>
              <w:rPr>
                <w:rFonts w:ascii="Times New Roman" w:hAnsi="Times New Roman" w:cs="Times New Roman"/>
                <w:sz w:val="24"/>
                <w:szCs w:val="24"/>
              </w:rPr>
            </w:pPr>
            <w:r w:rsidRPr="00801702">
              <w:rPr>
                <w:rFonts w:ascii="Times New Roman" w:hAnsi="Times New Roman" w:cs="Times New Roman"/>
                <w:sz w:val="24"/>
                <w:szCs w:val="24"/>
              </w:rPr>
              <w:t>Consiliului Concurenței</w:t>
            </w:r>
          </w:p>
          <w:p w:rsidR="00AE33FF" w:rsidRPr="00801702" w:rsidRDefault="00AE33FF" w:rsidP="00AE33FF">
            <w:pPr>
              <w:spacing w:line="276" w:lineRule="auto"/>
              <w:ind w:firstLine="426"/>
              <w:rPr>
                <w:rFonts w:ascii="Times New Roman" w:hAnsi="Times New Roman" w:cs="Times New Roman"/>
                <w:sz w:val="24"/>
                <w:szCs w:val="24"/>
              </w:rPr>
            </w:pPr>
            <w:r w:rsidRPr="00801702">
              <w:rPr>
                <w:rFonts w:ascii="Times New Roman" w:hAnsi="Times New Roman" w:cs="Times New Roman"/>
                <w:sz w:val="24"/>
                <w:szCs w:val="24"/>
              </w:rPr>
              <w:t>Camerei de Comerț și Industrie</w:t>
            </w:r>
            <w:r w:rsidR="00A071B0">
              <w:rPr>
                <w:rFonts w:ascii="Times New Roman" w:hAnsi="Times New Roman" w:cs="Times New Roman"/>
                <w:sz w:val="24"/>
                <w:szCs w:val="24"/>
              </w:rPr>
              <w:t xml:space="preserve"> a republicii Moldova</w:t>
            </w:r>
          </w:p>
          <w:p w:rsidR="00A071B0" w:rsidRDefault="00A071B0" w:rsidP="00801702">
            <w:pPr>
              <w:spacing w:line="276" w:lineRule="auto"/>
              <w:ind w:firstLine="426"/>
              <w:rPr>
                <w:rFonts w:ascii="Times New Roman" w:hAnsi="Times New Roman" w:cs="Times New Roman"/>
                <w:bCs/>
                <w:sz w:val="24"/>
                <w:szCs w:val="24"/>
              </w:rPr>
            </w:pPr>
          </w:p>
          <w:p w:rsidR="00801702" w:rsidRPr="00A071B0" w:rsidRDefault="00801702" w:rsidP="00801702">
            <w:pPr>
              <w:spacing w:line="276" w:lineRule="auto"/>
              <w:ind w:firstLine="426"/>
              <w:rPr>
                <w:rFonts w:ascii="Times New Roman" w:hAnsi="Times New Roman" w:cs="Times New Roman"/>
                <w:bCs/>
                <w:sz w:val="24"/>
                <w:szCs w:val="24"/>
              </w:rPr>
            </w:pPr>
            <w:r w:rsidRPr="00A071B0">
              <w:rPr>
                <w:rFonts w:ascii="Times New Roman" w:hAnsi="Times New Roman" w:cs="Times New Roman"/>
                <w:bCs/>
                <w:sz w:val="24"/>
                <w:szCs w:val="24"/>
              </w:rPr>
              <w:t>Pentru consultări publice:</w:t>
            </w:r>
          </w:p>
          <w:p w:rsidR="00801702" w:rsidRPr="00801702" w:rsidRDefault="00801702" w:rsidP="00801702">
            <w:pPr>
              <w:spacing w:line="276" w:lineRule="auto"/>
              <w:ind w:firstLine="426"/>
              <w:rPr>
                <w:rFonts w:ascii="Times New Roman" w:hAnsi="Times New Roman" w:cs="Times New Roman"/>
                <w:sz w:val="24"/>
                <w:szCs w:val="24"/>
              </w:rPr>
            </w:pPr>
            <w:r w:rsidRPr="00801702">
              <w:rPr>
                <w:rFonts w:ascii="Times New Roman" w:hAnsi="Times New Roman" w:cs="Times New Roman"/>
                <w:sz w:val="24"/>
                <w:szCs w:val="24"/>
              </w:rPr>
              <w:t>Asociația Businessului European</w:t>
            </w:r>
          </w:p>
          <w:p w:rsidR="00801702" w:rsidRPr="00801702" w:rsidRDefault="00801702" w:rsidP="00801702">
            <w:pPr>
              <w:spacing w:line="276" w:lineRule="auto"/>
              <w:ind w:firstLine="426"/>
              <w:rPr>
                <w:rFonts w:ascii="Times New Roman" w:hAnsi="Times New Roman" w:cs="Times New Roman"/>
                <w:sz w:val="24"/>
                <w:szCs w:val="24"/>
              </w:rPr>
            </w:pPr>
            <w:r w:rsidRPr="00801702">
              <w:rPr>
                <w:rFonts w:ascii="Times New Roman" w:hAnsi="Times New Roman" w:cs="Times New Roman"/>
                <w:sz w:val="24"/>
                <w:szCs w:val="24"/>
              </w:rPr>
              <w:t>Camera de Comerț Americană din Moldova</w:t>
            </w:r>
          </w:p>
          <w:p w:rsidR="00801702" w:rsidRPr="00801702" w:rsidRDefault="00A071B0" w:rsidP="00A071B0">
            <w:pPr>
              <w:spacing w:line="276" w:lineRule="auto"/>
              <w:ind w:firstLine="426"/>
              <w:rPr>
                <w:rFonts w:ascii="Times New Roman" w:hAnsi="Times New Roman" w:cs="Times New Roman"/>
                <w:sz w:val="24"/>
                <w:szCs w:val="24"/>
              </w:rPr>
            </w:pPr>
            <w:r>
              <w:rPr>
                <w:rFonts w:ascii="Times New Roman" w:hAnsi="Times New Roman" w:cs="Times New Roman"/>
                <w:sz w:val="24"/>
                <w:szCs w:val="24"/>
              </w:rPr>
              <w:t>A</w:t>
            </w:r>
            <w:r w:rsidRPr="00801702">
              <w:rPr>
                <w:rFonts w:ascii="Times New Roman" w:hAnsi="Times New Roman" w:cs="Times New Roman"/>
                <w:sz w:val="24"/>
                <w:szCs w:val="24"/>
              </w:rPr>
              <w:t xml:space="preserve">sociația patronală a subiecților comerțului interior </w:t>
            </w:r>
            <w:r w:rsidR="00AE33FF">
              <w:rPr>
                <w:rFonts w:ascii="Times New Roman" w:hAnsi="Times New Roman" w:cs="Times New Roman"/>
                <w:sz w:val="24"/>
                <w:szCs w:val="24"/>
              </w:rPr>
              <w:t>„</w:t>
            </w:r>
            <w:proofErr w:type="spellStart"/>
            <w:r w:rsidR="00801702" w:rsidRPr="00801702">
              <w:rPr>
                <w:rFonts w:ascii="Times New Roman" w:hAnsi="Times New Roman" w:cs="Times New Roman"/>
                <w:sz w:val="24"/>
                <w:szCs w:val="24"/>
              </w:rPr>
              <w:t>ProBiz</w:t>
            </w:r>
            <w:proofErr w:type="spellEnd"/>
            <w:r w:rsidR="00801702" w:rsidRPr="00801702">
              <w:rPr>
                <w:rFonts w:ascii="Times New Roman" w:hAnsi="Times New Roman" w:cs="Times New Roman"/>
                <w:sz w:val="24"/>
                <w:szCs w:val="24"/>
              </w:rPr>
              <w:t>”</w:t>
            </w:r>
          </w:p>
        </w:tc>
      </w:tr>
      <w:tr w:rsidR="00801702" w:rsidRPr="00801702" w:rsidTr="00801702">
        <w:trPr>
          <w:trHeight w:val="345"/>
        </w:trPr>
        <w:tc>
          <w:tcPr>
            <w:tcW w:w="9634" w:type="dxa"/>
            <w:shd w:val="clear" w:color="auto" w:fill="D9D9D9" w:themeFill="background1" w:themeFillShade="D9"/>
          </w:tcPr>
          <w:p w:rsidR="00801702" w:rsidRPr="00801702" w:rsidRDefault="00801702" w:rsidP="00801702">
            <w:pPr>
              <w:spacing w:line="276" w:lineRule="auto"/>
              <w:ind w:firstLine="426"/>
              <w:rPr>
                <w:rFonts w:ascii="Times New Roman" w:hAnsi="Times New Roman" w:cs="Times New Roman"/>
                <w:color w:val="808080" w:themeColor="background1" w:themeShade="80"/>
                <w:sz w:val="24"/>
                <w:szCs w:val="24"/>
              </w:rPr>
            </w:pPr>
            <w:r w:rsidRPr="00801702">
              <w:rPr>
                <w:rFonts w:ascii="Times New Roman" w:hAnsi="Times New Roman" w:cs="Times New Roman"/>
                <w:b/>
                <w:sz w:val="24"/>
                <w:szCs w:val="24"/>
              </w:rPr>
              <w:t>7. Concluziile expertizelor</w:t>
            </w:r>
          </w:p>
        </w:tc>
      </w:tr>
      <w:tr w:rsidR="00801702" w:rsidRPr="00801702" w:rsidTr="00801702">
        <w:trPr>
          <w:trHeight w:val="915"/>
        </w:trPr>
        <w:tc>
          <w:tcPr>
            <w:tcW w:w="9634" w:type="dxa"/>
          </w:tcPr>
          <w:p w:rsidR="00801702" w:rsidRPr="00801702" w:rsidRDefault="00801702" w:rsidP="00801702">
            <w:pPr>
              <w:spacing w:line="276" w:lineRule="auto"/>
              <w:ind w:firstLine="426"/>
              <w:jc w:val="both"/>
              <w:rPr>
                <w:rFonts w:ascii="Times New Roman" w:hAnsi="Times New Roman" w:cs="Times New Roman"/>
                <w:sz w:val="24"/>
                <w:szCs w:val="24"/>
              </w:rPr>
            </w:pPr>
            <w:r w:rsidRPr="00801702">
              <w:rPr>
                <w:rFonts w:ascii="Times New Roman" w:hAnsi="Times New Roman" w:cs="Times New Roman"/>
                <w:sz w:val="24"/>
                <w:szCs w:val="24"/>
              </w:rPr>
              <w:t>Proiectul și Nota de fundamentare au fost ajustate și completate conform obiecțiilor și propunerilor GLCSRAÎ.</w:t>
            </w:r>
          </w:p>
          <w:p w:rsidR="00801702" w:rsidRPr="00801702" w:rsidRDefault="00801702" w:rsidP="00801702">
            <w:pPr>
              <w:spacing w:line="276" w:lineRule="auto"/>
              <w:ind w:firstLine="426"/>
              <w:jc w:val="both"/>
              <w:rPr>
                <w:rFonts w:ascii="Times New Roman" w:hAnsi="Times New Roman" w:cs="Times New Roman"/>
                <w:sz w:val="24"/>
                <w:szCs w:val="24"/>
              </w:rPr>
            </w:pPr>
            <w:r w:rsidRPr="00801702">
              <w:rPr>
                <w:rFonts w:ascii="Times New Roman" w:hAnsi="Times New Roman" w:cs="Times New Roman"/>
                <w:sz w:val="24"/>
                <w:szCs w:val="24"/>
              </w:rPr>
              <w:t>Urmare</w:t>
            </w:r>
            <w:r w:rsidR="00A071B0">
              <w:rPr>
                <w:rFonts w:ascii="Times New Roman" w:hAnsi="Times New Roman" w:cs="Times New Roman"/>
                <w:sz w:val="24"/>
                <w:szCs w:val="24"/>
              </w:rPr>
              <w:t xml:space="preserve"> a</w:t>
            </w:r>
            <w:r w:rsidRPr="00801702">
              <w:rPr>
                <w:rFonts w:ascii="Times New Roman" w:hAnsi="Times New Roman" w:cs="Times New Roman"/>
                <w:sz w:val="24"/>
                <w:szCs w:val="24"/>
              </w:rPr>
              <w:t xml:space="preserve"> obiecțiilor și propunerilor</w:t>
            </w:r>
            <w:r w:rsidR="00A071B0">
              <w:rPr>
                <w:rFonts w:ascii="Times New Roman" w:hAnsi="Times New Roman" w:cs="Times New Roman"/>
                <w:sz w:val="24"/>
                <w:szCs w:val="24"/>
              </w:rPr>
              <w:t xml:space="preserve"> autorităților competente,</w:t>
            </w:r>
            <w:r w:rsidRPr="00801702">
              <w:rPr>
                <w:rFonts w:ascii="Times New Roman" w:hAnsi="Times New Roman" w:cs="Times New Roman"/>
                <w:sz w:val="24"/>
                <w:szCs w:val="24"/>
              </w:rPr>
              <w:t xml:space="preserve"> </w:t>
            </w:r>
            <w:r w:rsidR="00A071B0">
              <w:rPr>
                <w:rFonts w:ascii="Times New Roman" w:hAnsi="Times New Roman" w:cs="Times New Roman"/>
                <w:sz w:val="24"/>
                <w:szCs w:val="24"/>
              </w:rPr>
              <w:t>p</w:t>
            </w:r>
            <w:r w:rsidRPr="00801702">
              <w:rPr>
                <w:rFonts w:ascii="Times New Roman" w:hAnsi="Times New Roman" w:cs="Times New Roman"/>
                <w:sz w:val="24"/>
                <w:szCs w:val="24"/>
              </w:rPr>
              <w:t>roiectul  este ajustat, completat</w:t>
            </w:r>
            <w:r w:rsidR="00A071B0">
              <w:rPr>
                <w:rFonts w:ascii="Times New Roman" w:hAnsi="Times New Roman" w:cs="Times New Roman"/>
                <w:sz w:val="24"/>
                <w:szCs w:val="24"/>
              </w:rPr>
              <w:t>.</w:t>
            </w:r>
          </w:p>
        </w:tc>
      </w:tr>
      <w:tr w:rsidR="00801702" w:rsidRPr="00801702" w:rsidTr="00801702">
        <w:tc>
          <w:tcPr>
            <w:tcW w:w="9634" w:type="dxa"/>
            <w:shd w:val="clear" w:color="auto" w:fill="D9D9D9" w:themeFill="background1" w:themeFillShade="D9"/>
          </w:tcPr>
          <w:p w:rsidR="00801702" w:rsidRPr="00801702" w:rsidRDefault="00801702" w:rsidP="00801702">
            <w:pPr>
              <w:spacing w:line="276" w:lineRule="auto"/>
              <w:ind w:firstLine="426"/>
              <w:jc w:val="both"/>
              <w:rPr>
                <w:rFonts w:ascii="Times New Roman" w:hAnsi="Times New Roman" w:cs="Times New Roman"/>
                <w:b/>
                <w:sz w:val="24"/>
                <w:szCs w:val="24"/>
              </w:rPr>
            </w:pPr>
            <w:r w:rsidRPr="00801702">
              <w:rPr>
                <w:rFonts w:ascii="Times New Roman" w:hAnsi="Times New Roman" w:cs="Times New Roman"/>
                <w:b/>
                <w:sz w:val="24"/>
                <w:szCs w:val="24"/>
              </w:rPr>
              <w:t>8. Modul de încorporare a actului în cadrul normativ existent</w:t>
            </w:r>
          </w:p>
        </w:tc>
      </w:tr>
      <w:tr w:rsidR="00801702" w:rsidRPr="00801702" w:rsidTr="00801702">
        <w:trPr>
          <w:trHeight w:val="1136"/>
        </w:trPr>
        <w:tc>
          <w:tcPr>
            <w:tcW w:w="9634" w:type="dxa"/>
          </w:tcPr>
          <w:p w:rsidR="00A071B0" w:rsidRPr="00A071B0" w:rsidRDefault="00A071B0" w:rsidP="00A071B0">
            <w:pPr>
              <w:spacing w:line="276" w:lineRule="auto"/>
              <w:ind w:firstLine="306"/>
              <w:jc w:val="both"/>
              <w:rPr>
                <w:rFonts w:ascii="Times New Roman" w:hAnsi="Times New Roman" w:cs="Times New Roman"/>
                <w:sz w:val="24"/>
                <w:szCs w:val="24"/>
                <w:lang w:val="ro-MD"/>
              </w:rPr>
            </w:pPr>
            <w:r w:rsidRPr="00A071B0">
              <w:rPr>
                <w:rFonts w:ascii="Times New Roman" w:hAnsi="Times New Roman" w:cs="Times New Roman"/>
                <w:sz w:val="24"/>
                <w:szCs w:val="24"/>
                <w:lang w:val="ro-MD"/>
              </w:rPr>
              <w:lastRenderedPageBreak/>
              <w:t xml:space="preserve">Odată cu intrarea în vigoare a legii, prevederile corespunzătoare privind practicile comerciale neloiale din Capitolul V² al Legii nr. 231/2010 cu privire la comerțul interior urmează a fi abrogate, pentru a evita suprapunerile și neconcordanțele normative. Normele proiectului se aplică complementar dispozițiilor Codului civil și ale Legii concurenței nr. 183/2012, fără a aduce atingere domeniilor reglementate de acestea, în măsura în care practicile vizate nu constituie încălcări ale legislației concurențiale sau ale altor acte normative speciale, precum și prin derogare de la Codul contravențional în sensul sancțiunilor (art. 273). </w:t>
            </w:r>
          </w:p>
          <w:p w:rsidR="00A071B0" w:rsidRPr="00A071B0" w:rsidRDefault="00A071B0" w:rsidP="00A071B0">
            <w:pPr>
              <w:spacing w:line="276" w:lineRule="auto"/>
              <w:ind w:firstLine="306"/>
              <w:jc w:val="both"/>
              <w:rPr>
                <w:rFonts w:ascii="Times New Roman" w:hAnsi="Times New Roman" w:cs="Times New Roman"/>
                <w:sz w:val="24"/>
                <w:szCs w:val="24"/>
                <w:lang w:val="ro-MD"/>
              </w:rPr>
            </w:pPr>
            <w:r w:rsidRPr="00A071B0">
              <w:rPr>
                <w:rFonts w:ascii="Times New Roman" w:hAnsi="Times New Roman" w:cs="Times New Roman"/>
                <w:sz w:val="24"/>
                <w:szCs w:val="24"/>
                <w:lang w:val="ro-MD"/>
              </w:rPr>
              <w:t>Se menționează că lista produselor agricole și alimentare este aprobată prin Hotărârea Guvernului nr.328/2023, iar lista produselor social importante, amintită la art. 4, alin. (2), pct. 15) este aprobată prin Hotărârea Guvernului nr. 774/2016 privind prețul de comercializare a produselor social importante.</w:t>
            </w:r>
          </w:p>
          <w:p w:rsidR="00801702" w:rsidRPr="00801702" w:rsidRDefault="00A071B0" w:rsidP="00A071B0">
            <w:pPr>
              <w:spacing w:line="276" w:lineRule="auto"/>
              <w:ind w:firstLine="426"/>
              <w:jc w:val="both"/>
              <w:rPr>
                <w:rFonts w:ascii="Times New Roman" w:hAnsi="Times New Roman" w:cs="Times New Roman"/>
                <w:sz w:val="24"/>
                <w:szCs w:val="24"/>
              </w:rPr>
            </w:pPr>
            <w:r w:rsidRPr="00A071B0">
              <w:rPr>
                <w:rFonts w:ascii="Times New Roman" w:hAnsi="Times New Roman" w:cs="Times New Roman"/>
                <w:sz w:val="24"/>
                <w:szCs w:val="24"/>
                <w:lang w:val="ro-MD"/>
              </w:rPr>
              <w:t>Adoptarea acestui proiect de lege are ca efect delimitarea clară a domeniului practicilor comerciale neloiale specifice lanțului de aprovizionare agricol și alimentar față de reglementările generale aplicabile comerțului interior, dreptului civil și dreptului concurenței.</w:t>
            </w:r>
          </w:p>
        </w:tc>
      </w:tr>
      <w:tr w:rsidR="00801702" w:rsidRPr="00801702" w:rsidTr="00801702">
        <w:tc>
          <w:tcPr>
            <w:tcW w:w="9634" w:type="dxa"/>
            <w:shd w:val="clear" w:color="auto" w:fill="D9D9D9" w:themeFill="background1" w:themeFillShade="D9"/>
          </w:tcPr>
          <w:p w:rsidR="00801702" w:rsidRPr="00801702" w:rsidRDefault="00801702" w:rsidP="00801702">
            <w:pPr>
              <w:spacing w:line="276" w:lineRule="auto"/>
              <w:ind w:firstLine="426"/>
              <w:jc w:val="both"/>
              <w:rPr>
                <w:rFonts w:ascii="Times New Roman" w:hAnsi="Times New Roman" w:cs="Times New Roman"/>
                <w:b/>
                <w:sz w:val="24"/>
                <w:szCs w:val="24"/>
              </w:rPr>
            </w:pPr>
            <w:r w:rsidRPr="00801702">
              <w:rPr>
                <w:rFonts w:ascii="Times New Roman" w:hAnsi="Times New Roman" w:cs="Times New Roman"/>
                <w:b/>
                <w:sz w:val="24"/>
                <w:szCs w:val="24"/>
              </w:rPr>
              <w:t>9. Măsurile necesare pentru implementarea prevederilor proiectului actului normativ</w:t>
            </w:r>
          </w:p>
        </w:tc>
      </w:tr>
      <w:tr w:rsidR="00801702" w:rsidRPr="00801702" w:rsidTr="00801702">
        <w:tc>
          <w:tcPr>
            <w:tcW w:w="9634" w:type="dxa"/>
          </w:tcPr>
          <w:p w:rsidR="00A071B0" w:rsidRPr="00A071B0" w:rsidRDefault="00A071B0" w:rsidP="00A071B0">
            <w:pPr>
              <w:spacing w:line="276" w:lineRule="auto"/>
              <w:ind w:firstLine="306"/>
              <w:jc w:val="both"/>
              <w:rPr>
                <w:rFonts w:ascii="Times New Roman" w:hAnsi="Times New Roman" w:cs="Times New Roman"/>
                <w:sz w:val="24"/>
                <w:szCs w:val="24"/>
                <w:lang w:val="ro-MD"/>
              </w:rPr>
            </w:pPr>
            <w:r w:rsidRPr="00A071B0">
              <w:rPr>
                <w:rFonts w:ascii="Times New Roman" w:hAnsi="Times New Roman" w:cs="Times New Roman"/>
                <w:sz w:val="24"/>
                <w:szCs w:val="24"/>
                <w:lang w:val="ro-MD"/>
              </w:rPr>
              <w:t>Implementarea prevederilor proiectului de lege privind practicile comerciale neloiale în cadrul lanțului de aprovizionare agricol și alimentar se va realiza în cadrul normativ și instituțional existent, fără a fi necesară crearea unor structuri administrative noi sau atribuirea unor competențe suplimentare autorităților publice centrale. Aplicarea legii va avea loc în conformitate cu mecanismele generale prevăzute de legislația în vigoare, în special de cadrul normativ care reglementează activitatea Consiliului Concurenței.</w:t>
            </w:r>
          </w:p>
          <w:p w:rsidR="00A071B0" w:rsidRPr="00A071B0" w:rsidRDefault="00A071B0" w:rsidP="00A071B0">
            <w:pPr>
              <w:spacing w:line="276" w:lineRule="auto"/>
              <w:ind w:firstLine="306"/>
              <w:jc w:val="both"/>
              <w:rPr>
                <w:rFonts w:ascii="Times New Roman" w:hAnsi="Times New Roman" w:cs="Times New Roman"/>
                <w:sz w:val="24"/>
                <w:szCs w:val="24"/>
                <w:lang w:val="ro-MD"/>
              </w:rPr>
            </w:pPr>
            <w:r w:rsidRPr="00A071B0">
              <w:rPr>
                <w:rFonts w:ascii="Times New Roman" w:hAnsi="Times New Roman" w:cs="Times New Roman"/>
                <w:sz w:val="24"/>
                <w:szCs w:val="24"/>
                <w:lang w:val="ro-MD"/>
              </w:rPr>
              <w:t>Pentru facilitarea conformării voluntare și asigurarea unei aplicări uniforme, ar putea fi necesar elaborarea și publicarea unor ghiduri de aplicare destinate furnizorilor și cumpărătorilor din lanțul agroalimentar, cu explicații privind practicile comerciale neloiale în lanțul de aprovizionare agroalimentar, exemple de astfel de practici, modele de contracte de furnizare a produselor agricole și alimentare, dacă e cazul.</w:t>
            </w:r>
          </w:p>
          <w:p w:rsidR="00801702" w:rsidRPr="00A071B0" w:rsidRDefault="00A071B0" w:rsidP="00A071B0">
            <w:pPr>
              <w:spacing w:line="276" w:lineRule="auto"/>
              <w:ind w:firstLine="426"/>
              <w:jc w:val="both"/>
              <w:rPr>
                <w:rFonts w:ascii="Times New Roman" w:hAnsi="Times New Roman" w:cs="Times New Roman"/>
                <w:sz w:val="24"/>
                <w:szCs w:val="24"/>
              </w:rPr>
            </w:pPr>
            <w:r w:rsidRPr="00A071B0">
              <w:rPr>
                <w:rFonts w:ascii="Times New Roman" w:hAnsi="Times New Roman" w:cs="Times New Roman"/>
                <w:sz w:val="24"/>
                <w:szCs w:val="24"/>
                <w:lang w:val="ro-MD"/>
              </w:rPr>
              <w:t xml:space="preserve">Aplicarea efectivă a legii presupune, de asemenea, asigurarea coerenței cu obligațiile de cooperare și raportare (raport anual privind practicile comerciale neloiale în lanțul de aprovizionare agricol și alimentar furnizat către CE începând cu al doilea an de aderare) asumate în cadrul procesului de aliniere la legislația Uniunii Europene, precum și monitorizarea generală a impactului normelor adoptate asupra funcționării lanțului de aprovizionare agricol și alimentar. Eventualele ajustări ulterioare ale cadrului de implementare vor putea fi evaluate în funcție de experiența aplicării practice a legii. </w:t>
            </w:r>
          </w:p>
        </w:tc>
      </w:tr>
    </w:tbl>
    <w:p w:rsidR="00E478EF" w:rsidRDefault="00E478EF" w:rsidP="00801702">
      <w:pPr>
        <w:spacing w:after="0" w:line="276" w:lineRule="auto"/>
        <w:ind w:firstLine="426"/>
        <w:rPr>
          <w:rFonts w:ascii="Times New Roman" w:hAnsi="Times New Roman" w:cs="Times New Roman"/>
          <w:sz w:val="24"/>
          <w:szCs w:val="24"/>
        </w:rPr>
      </w:pPr>
    </w:p>
    <w:p w:rsidR="00A071B0" w:rsidRDefault="00A071B0" w:rsidP="00801702">
      <w:pPr>
        <w:spacing w:after="0" w:line="276" w:lineRule="auto"/>
        <w:ind w:firstLine="426"/>
        <w:rPr>
          <w:rFonts w:ascii="Times New Roman" w:hAnsi="Times New Roman" w:cs="Times New Roman"/>
          <w:sz w:val="24"/>
          <w:szCs w:val="24"/>
        </w:rPr>
      </w:pPr>
    </w:p>
    <w:p w:rsidR="00A071B0" w:rsidRPr="00A071B0" w:rsidRDefault="00A071B0" w:rsidP="00A071B0">
      <w:pPr>
        <w:tabs>
          <w:tab w:val="left" w:pos="6521"/>
        </w:tabs>
        <w:spacing w:after="0" w:line="276" w:lineRule="auto"/>
        <w:ind w:firstLine="426"/>
        <w:rPr>
          <w:rFonts w:ascii="Times New Roman" w:hAnsi="Times New Roman" w:cs="Times New Roman"/>
          <w:b/>
          <w:sz w:val="24"/>
          <w:szCs w:val="24"/>
        </w:rPr>
      </w:pPr>
      <w:r w:rsidRPr="00A071B0">
        <w:rPr>
          <w:rFonts w:ascii="Times New Roman" w:hAnsi="Times New Roman" w:cs="Times New Roman"/>
          <w:b/>
          <w:sz w:val="24"/>
          <w:szCs w:val="24"/>
        </w:rPr>
        <w:t>Secretară de Stat</w:t>
      </w:r>
      <w:r w:rsidRPr="00A071B0">
        <w:rPr>
          <w:rFonts w:ascii="Times New Roman" w:hAnsi="Times New Roman" w:cs="Times New Roman"/>
          <w:b/>
          <w:sz w:val="24"/>
          <w:szCs w:val="24"/>
        </w:rPr>
        <w:tab/>
        <w:t>Tatiana NISTORICĂ</w:t>
      </w:r>
    </w:p>
    <w:sectPr w:rsidR="00A071B0" w:rsidRPr="00A071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E50CE"/>
    <w:multiLevelType w:val="hybridMultilevel"/>
    <w:tmpl w:val="50321034"/>
    <w:lvl w:ilvl="0" w:tplc="3B14ED80">
      <w:start w:val="1"/>
      <w:numFmt w:val="bullet"/>
      <w:lvlText w:val="-"/>
      <w:lvlJc w:val="left"/>
      <w:pPr>
        <w:ind w:left="1146" w:hanging="360"/>
      </w:pPr>
      <w:rPr>
        <w:rFonts w:ascii="Times New Roman" w:eastAsia="Times New Roman" w:hAnsi="Times New Roman" w:cs="Times New Roman"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 w15:restartNumberingAfterBreak="0">
    <w:nsid w:val="0B6E1A57"/>
    <w:multiLevelType w:val="hybridMultilevel"/>
    <w:tmpl w:val="505AECBC"/>
    <w:lvl w:ilvl="0" w:tplc="3B14ED80">
      <w:start w:val="1"/>
      <w:numFmt w:val="bullet"/>
      <w:lvlText w:val="-"/>
      <w:lvlJc w:val="left"/>
      <w:pPr>
        <w:ind w:left="904" w:hanging="360"/>
      </w:pPr>
      <w:rPr>
        <w:rFonts w:ascii="Times New Roman" w:eastAsia="Times New Roman" w:hAnsi="Times New Roman" w:cs="Times New Roman" w:hint="default"/>
      </w:rPr>
    </w:lvl>
    <w:lvl w:ilvl="1" w:tplc="04180003" w:tentative="1">
      <w:start w:val="1"/>
      <w:numFmt w:val="bullet"/>
      <w:lvlText w:val="o"/>
      <w:lvlJc w:val="left"/>
      <w:pPr>
        <w:ind w:left="2038" w:hanging="360"/>
      </w:pPr>
      <w:rPr>
        <w:rFonts w:ascii="Courier New" w:hAnsi="Courier New" w:cs="Courier New" w:hint="default"/>
      </w:rPr>
    </w:lvl>
    <w:lvl w:ilvl="2" w:tplc="04180005" w:tentative="1">
      <w:start w:val="1"/>
      <w:numFmt w:val="bullet"/>
      <w:lvlText w:val=""/>
      <w:lvlJc w:val="left"/>
      <w:pPr>
        <w:ind w:left="2758" w:hanging="360"/>
      </w:pPr>
      <w:rPr>
        <w:rFonts w:ascii="Wingdings" w:hAnsi="Wingdings" w:hint="default"/>
      </w:rPr>
    </w:lvl>
    <w:lvl w:ilvl="3" w:tplc="04180001" w:tentative="1">
      <w:start w:val="1"/>
      <w:numFmt w:val="bullet"/>
      <w:lvlText w:val=""/>
      <w:lvlJc w:val="left"/>
      <w:pPr>
        <w:ind w:left="3478" w:hanging="360"/>
      </w:pPr>
      <w:rPr>
        <w:rFonts w:ascii="Symbol" w:hAnsi="Symbol" w:hint="default"/>
      </w:rPr>
    </w:lvl>
    <w:lvl w:ilvl="4" w:tplc="04180003" w:tentative="1">
      <w:start w:val="1"/>
      <w:numFmt w:val="bullet"/>
      <w:lvlText w:val="o"/>
      <w:lvlJc w:val="left"/>
      <w:pPr>
        <w:ind w:left="4198" w:hanging="360"/>
      </w:pPr>
      <w:rPr>
        <w:rFonts w:ascii="Courier New" w:hAnsi="Courier New" w:cs="Courier New" w:hint="default"/>
      </w:rPr>
    </w:lvl>
    <w:lvl w:ilvl="5" w:tplc="04180005" w:tentative="1">
      <w:start w:val="1"/>
      <w:numFmt w:val="bullet"/>
      <w:lvlText w:val=""/>
      <w:lvlJc w:val="left"/>
      <w:pPr>
        <w:ind w:left="4918" w:hanging="360"/>
      </w:pPr>
      <w:rPr>
        <w:rFonts w:ascii="Wingdings" w:hAnsi="Wingdings" w:hint="default"/>
      </w:rPr>
    </w:lvl>
    <w:lvl w:ilvl="6" w:tplc="04180001" w:tentative="1">
      <w:start w:val="1"/>
      <w:numFmt w:val="bullet"/>
      <w:lvlText w:val=""/>
      <w:lvlJc w:val="left"/>
      <w:pPr>
        <w:ind w:left="5638" w:hanging="360"/>
      </w:pPr>
      <w:rPr>
        <w:rFonts w:ascii="Symbol" w:hAnsi="Symbol" w:hint="default"/>
      </w:rPr>
    </w:lvl>
    <w:lvl w:ilvl="7" w:tplc="04180003" w:tentative="1">
      <w:start w:val="1"/>
      <w:numFmt w:val="bullet"/>
      <w:lvlText w:val="o"/>
      <w:lvlJc w:val="left"/>
      <w:pPr>
        <w:ind w:left="6358" w:hanging="360"/>
      </w:pPr>
      <w:rPr>
        <w:rFonts w:ascii="Courier New" w:hAnsi="Courier New" w:cs="Courier New" w:hint="default"/>
      </w:rPr>
    </w:lvl>
    <w:lvl w:ilvl="8" w:tplc="04180005" w:tentative="1">
      <w:start w:val="1"/>
      <w:numFmt w:val="bullet"/>
      <w:lvlText w:val=""/>
      <w:lvlJc w:val="left"/>
      <w:pPr>
        <w:ind w:left="7078" w:hanging="360"/>
      </w:pPr>
      <w:rPr>
        <w:rFonts w:ascii="Wingdings" w:hAnsi="Wingdings" w:hint="default"/>
      </w:rPr>
    </w:lvl>
  </w:abstractNum>
  <w:abstractNum w:abstractNumId="2" w15:restartNumberingAfterBreak="0">
    <w:nsid w:val="10AB1E47"/>
    <w:multiLevelType w:val="hybridMultilevel"/>
    <w:tmpl w:val="9462D6EA"/>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6CE1C32"/>
    <w:multiLevelType w:val="hybridMultilevel"/>
    <w:tmpl w:val="0EA8C024"/>
    <w:lvl w:ilvl="0" w:tplc="3B14ED80">
      <w:start w:val="1"/>
      <w:numFmt w:val="bullet"/>
      <w:lvlText w:val="-"/>
      <w:lvlJc w:val="left"/>
      <w:pPr>
        <w:ind w:left="1029" w:hanging="360"/>
      </w:pPr>
      <w:rPr>
        <w:rFonts w:ascii="Times New Roman" w:eastAsia="Times New Roman" w:hAnsi="Times New Roman" w:cs="Times New Roman" w:hint="default"/>
      </w:rPr>
    </w:lvl>
    <w:lvl w:ilvl="1" w:tplc="04180003" w:tentative="1">
      <w:start w:val="1"/>
      <w:numFmt w:val="bullet"/>
      <w:lvlText w:val="o"/>
      <w:lvlJc w:val="left"/>
      <w:pPr>
        <w:ind w:left="1749" w:hanging="360"/>
      </w:pPr>
      <w:rPr>
        <w:rFonts w:ascii="Courier New" w:hAnsi="Courier New" w:cs="Courier New" w:hint="default"/>
      </w:rPr>
    </w:lvl>
    <w:lvl w:ilvl="2" w:tplc="04180005" w:tentative="1">
      <w:start w:val="1"/>
      <w:numFmt w:val="bullet"/>
      <w:lvlText w:val=""/>
      <w:lvlJc w:val="left"/>
      <w:pPr>
        <w:ind w:left="2469" w:hanging="360"/>
      </w:pPr>
      <w:rPr>
        <w:rFonts w:ascii="Wingdings" w:hAnsi="Wingdings" w:hint="default"/>
      </w:rPr>
    </w:lvl>
    <w:lvl w:ilvl="3" w:tplc="04180001" w:tentative="1">
      <w:start w:val="1"/>
      <w:numFmt w:val="bullet"/>
      <w:lvlText w:val=""/>
      <w:lvlJc w:val="left"/>
      <w:pPr>
        <w:ind w:left="3189" w:hanging="360"/>
      </w:pPr>
      <w:rPr>
        <w:rFonts w:ascii="Symbol" w:hAnsi="Symbol" w:hint="default"/>
      </w:rPr>
    </w:lvl>
    <w:lvl w:ilvl="4" w:tplc="04180003" w:tentative="1">
      <w:start w:val="1"/>
      <w:numFmt w:val="bullet"/>
      <w:lvlText w:val="o"/>
      <w:lvlJc w:val="left"/>
      <w:pPr>
        <w:ind w:left="3909" w:hanging="360"/>
      </w:pPr>
      <w:rPr>
        <w:rFonts w:ascii="Courier New" w:hAnsi="Courier New" w:cs="Courier New" w:hint="default"/>
      </w:rPr>
    </w:lvl>
    <w:lvl w:ilvl="5" w:tplc="04180005" w:tentative="1">
      <w:start w:val="1"/>
      <w:numFmt w:val="bullet"/>
      <w:lvlText w:val=""/>
      <w:lvlJc w:val="left"/>
      <w:pPr>
        <w:ind w:left="4629" w:hanging="360"/>
      </w:pPr>
      <w:rPr>
        <w:rFonts w:ascii="Wingdings" w:hAnsi="Wingdings" w:hint="default"/>
      </w:rPr>
    </w:lvl>
    <w:lvl w:ilvl="6" w:tplc="04180001" w:tentative="1">
      <w:start w:val="1"/>
      <w:numFmt w:val="bullet"/>
      <w:lvlText w:val=""/>
      <w:lvlJc w:val="left"/>
      <w:pPr>
        <w:ind w:left="5349" w:hanging="360"/>
      </w:pPr>
      <w:rPr>
        <w:rFonts w:ascii="Symbol" w:hAnsi="Symbol" w:hint="default"/>
      </w:rPr>
    </w:lvl>
    <w:lvl w:ilvl="7" w:tplc="04180003" w:tentative="1">
      <w:start w:val="1"/>
      <w:numFmt w:val="bullet"/>
      <w:lvlText w:val="o"/>
      <w:lvlJc w:val="left"/>
      <w:pPr>
        <w:ind w:left="6069" w:hanging="360"/>
      </w:pPr>
      <w:rPr>
        <w:rFonts w:ascii="Courier New" w:hAnsi="Courier New" w:cs="Courier New" w:hint="default"/>
      </w:rPr>
    </w:lvl>
    <w:lvl w:ilvl="8" w:tplc="04180005" w:tentative="1">
      <w:start w:val="1"/>
      <w:numFmt w:val="bullet"/>
      <w:lvlText w:val=""/>
      <w:lvlJc w:val="left"/>
      <w:pPr>
        <w:ind w:left="6789" w:hanging="360"/>
      </w:pPr>
      <w:rPr>
        <w:rFonts w:ascii="Wingdings" w:hAnsi="Wingdings" w:hint="default"/>
      </w:rPr>
    </w:lvl>
  </w:abstractNum>
  <w:abstractNum w:abstractNumId="4" w15:restartNumberingAfterBreak="0">
    <w:nsid w:val="17E67A4A"/>
    <w:multiLevelType w:val="hybridMultilevel"/>
    <w:tmpl w:val="8ABA66A4"/>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54510E2"/>
    <w:multiLevelType w:val="hybridMultilevel"/>
    <w:tmpl w:val="581CB1F0"/>
    <w:lvl w:ilvl="0" w:tplc="A3544A1E">
      <w:start w:val="1"/>
      <w:numFmt w:val="upperRoman"/>
      <w:lvlText w:val="%1."/>
      <w:lvlJc w:val="right"/>
      <w:pPr>
        <w:ind w:left="1026" w:hanging="360"/>
      </w:pPr>
      <w:rPr>
        <w:b/>
      </w:rPr>
    </w:lvl>
    <w:lvl w:ilvl="1" w:tplc="04180019" w:tentative="1">
      <w:start w:val="1"/>
      <w:numFmt w:val="lowerLetter"/>
      <w:lvlText w:val="%2."/>
      <w:lvlJc w:val="left"/>
      <w:pPr>
        <w:ind w:left="1746" w:hanging="360"/>
      </w:pPr>
    </w:lvl>
    <w:lvl w:ilvl="2" w:tplc="0418001B" w:tentative="1">
      <w:start w:val="1"/>
      <w:numFmt w:val="lowerRoman"/>
      <w:lvlText w:val="%3."/>
      <w:lvlJc w:val="right"/>
      <w:pPr>
        <w:ind w:left="2466" w:hanging="180"/>
      </w:pPr>
    </w:lvl>
    <w:lvl w:ilvl="3" w:tplc="0418000F" w:tentative="1">
      <w:start w:val="1"/>
      <w:numFmt w:val="decimal"/>
      <w:lvlText w:val="%4."/>
      <w:lvlJc w:val="left"/>
      <w:pPr>
        <w:ind w:left="3186" w:hanging="360"/>
      </w:pPr>
    </w:lvl>
    <w:lvl w:ilvl="4" w:tplc="04180019" w:tentative="1">
      <w:start w:val="1"/>
      <w:numFmt w:val="lowerLetter"/>
      <w:lvlText w:val="%5."/>
      <w:lvlJc w:val="left"/>
      <w:pPr>
        <w:ind w:left="3906" w:hanging="360"/>
      </w:pPr>
    </w:lvl>
    <w:lvl w:ilvl="5" w:tplc="0418001B" w:tentative="1">
      <w:start w:val="1"/>
      <w:numFmt w:val="lowerRoman"/>
      <w:lvlText w:val="%6."/>
      <w:lvlJc w:val="right"/>
      <w:pPr>
        <w:ind w:left="4626" w:hanging="180"/>
      </w:pPr>
    </w:lvl>
    <w:lvl w:ilvl="6" w:tplc="0418000F" w:tentative="1">
      <w:start w:val="1"/>
      <w:numFmt w:val="decimal"/>
      <w:lvlText w:val="%7."/>
      <w:lvlJc w:val="left"/>
      <w:pPr>
        <w:ind w:left="5346" w:hanging="360"/>
      </w:pPr>
    </w:lvl>
    <w:lvl w:ilvl="7" w:tplc="04180019" w:tentative="1">
      <w:start w:val="1"/>
      <w:numFmt w:val="lowerLetter"/>
      <w:lvlText w:val="%8."/>
      <w:lvlJc w:val="left"/>
      <w:pPr>
        <w:ind w:left="6066" w:hanging="360"/>
      </w:pPr>
    </w:lvl>
    <w:lvl w:ilvl="8" w:tplc="0418001B" w:tentative="1">
      <w:start w:val="1"/>
      <w:numFmt w:val="lowerRoman"/>
      <w:lvlText w:val="%9."/>
      <w:lvlJc w:val="right"/>
      <w:pPr>
        <w:ind w:left="6786" w:hanging="180"/>
      </w:pPr>
    </w:lvl>
  </w:abstractNum>
  <w:abstractNum w:abstractNumId="6" w15:restartNumberingAfterBreak="0">
    <w:nsid w:val="35A06C38"/>
    <w:multiLevelType w:val="hybridMultilevel"/>
    <w:tmpl w:val="BAB65E42"/>
    <w:lvl w:ilvl="0" w:tplc="04180017">
      <w:start w:val="1"/>
      <w:numFmt w:val="lowerLetter"/>
      <w:lvlText w:val="%1)"/>
      <w:lvlJc w:val="left"/>
      <w:pPr>
        <w:ind w:left="1170" w:hanging="360"/>
      </w:p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7" w15:restartNumberingAfterBreak="0">
    <w:nsid w:val="44227C0B"/>
    <w:multiLevelType w:val="hybridMultilevel"/>
    <w:tmpl w:val="FF201D9C"/>
    <w:lvl w:ilvl="0" w:tplc="4E56B5C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51925FF"/>
    <w:multiLevelType w:val="hybridMultilevel"/>
    <w:tmpl w:val="DCA8AF1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8F77380"/>
    <w:multiLevelType w:val="hybridMultilevel"/>
    <w:tmpl w:val="72D6F17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F8E32BE"/>
    <w:multiLevelType w:val="hybridMultilevel"/>
    <w:tmpl w:val="620849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5E6E76D9"/>
    <w:multiLevelType w:val="hybridMultilevel"/>
    <w:tmpl w:val="9432B316"/>
    <w:lvl w:ilvl="0" w:tplc="E41229C4">
      <w:start w:val="1"/>
      <w:numFmt w:val="upperRoman"/>
      <w:lvlText w:val="%1."/>
      <w:lvlJc w:val="right"/>
      <w:pPr>
        <w:ind w:left="720" w:hanging="360"/>
      </w:pPr>
      <w:rPr>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92E6228"/>
    <w:multiLevelType w:val="hybridMultilevel"/>
    <w:tmpl w:val="2D2682A0"/>
    <w:lvl w:ilvl="0" w:tplc="3B14ED80">
      <w:start w:val="1"/>
      <w:numFmt w:val="bullet"/>
      <w:lvlText w:val="-"/>
      <w:lvlJc w:val="left"/>
      <w:pPr>
        <w:ind w:left="1146" w:hanging="360"/>
      </w:pPr>
      <w:rPr>
        <w:rFonts w:ascii="Times New Roman" w:eastAsia="Times New Roman" w:hAnsi="Times New Roman" w:cs="Times New Roman"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3" w15:restartNumberingAfterBreak="0">
    <w:nsid w:val="6AF04F87"/>
    <w:multiLevelType w:val="hybridMultilevel"/>
    <w:tmpl w:val="7A9E8A6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73CB7FB1"/>
    <w:multiLevelType w:val="hybridMultilevel"/>
    <w:tmpl w:val="E070EEB4"/>
    <w:lvl w:ilvl="0" w:tplc="3B14ED80">
      <w:start w:val="1"/>
      <w:numFmt w:val="bullet"/>
      <w:lvlText w:val="-"/>
      <w:lvlJc w:val="left"/>
      <w:pPr>
        <w:ind w:left="1170" w:hanging="360"/>
      </w:pPr>
      <w:rPr>
        <w:rFonts w:ascii="Times New Roman" w:eastAsia="Times New Roman" w:hAnsi="Times New Roman" w:cs="Times New Roman" w:hint="default"/>
      </w:rPr>
    </w:lvl>
    <w:lvl w:ilvl="1" w:tplc="04180003" w:tentative="1">
      <w:start w:val="1"/>
      <w:numFmt w:val="bullet"/>
      <w:lvlText w:val="o"/>
      <w:lvlJc w:val="left"/>
      <w:pPr>
        <w:ind w:left="1890" w:hanging="360"/>
      </w:pPr>
      <w:rPr>
        <w:rFonts w:ascii="Courier New" w:hAnsi="Courier New" w:cs="Courier New" w:hint="default"/>
      </w:rPr>
    </w:lvl>
    <w:lvl w:ilvl="2" w:tplc="04180005" w:tentative="1">
      <w:start w:val="1"/>
      <w:numFmt w:val="bullet"/>
      <w:lvlText w:val=""/>
      <w:lvlJc w:val="left"/>
      <w:pPr>
        <w:ind w:left="2610" w:hanging="360"/>
      </w:pPr>
      <w:rPr>
        <w:rFonts w:ascii="Wingdings" w:hAnsi="Wingdings" w:hint="default"/>
      </w:rPr>
    </w:lvl>
    <w:lvl w:ilvl="3" w:tplc="04180001" w:tentative="1">
      <w:start w:val="1"/>
      <w:numFmt w:val="bullet"/>
      <w:lvlText w:val=""/>
      <w:lvlJc w:val="left"/>
      <w:pPr>
        <w:ind w:left="3330" w:hanging="360"/>
      </w:pPr>
      <w:rPr>
        <w:rFonts w:ascii="Symbol" w:hAnsi="Symbol" w:hint="default"/>
      </w:rPr>
    </w:lvl>
    <w:lvl w:ilvl="4" w:tplc="04180003" w:tentative="1">
      <w:start w:val="1"/>
      <w:numFmt w:val="bullet"/>
      <w:lvlText w:val="o"/>
      <w:lvlJc w:val="left"/>
      <w:pPr>
        <w:ind w:left="4050" w:hanging="360"/>
      </w:pPr>
      <w:rPr>
        <w:rFonts w:ascii="Courier New" w:hAnsi="Courier New" w:cs="Courier New" w:hint="default"/>
      </w:rPr>
    </w:lvl>
    <w:lvl w:ilvl="5" w:tplc="04180005" w:tentative="1">
      <w:start w:val="1"/>
      <w:numFmt w:val="bullet"/>
      <w:lvlText w:val=""/>
      <w:lvlJc w:val="left"/>
      <w:pPr>
        <w:ind w:left="4770" w:hanging="360"/>
      </w:pPr>
      <w:rPr>
        <w:rFonts w:ascii="Wingdings" w:hAnsi="Wingdings" w:hint="default"/>
      </w:rPr>
    </w:lvl>
    <w:lvl w:ilvl="6" w:tplc="04180001" w:tentative="1">
      <w:start w:val="1"/>
      <w:numFmt w:val="bullet"/>
      <w:lvlText w:val=""/>
      <w:lvlJc w:val="left"/>
      <w:pPr>
        <w:ind w:left="5490" w:hanging="360"/>
      </w:pPr>
      <w:rPr>
        <w:rFonts w:ascii="Symbol" w:hAnsi="Symbol" w:hint="default"/>
      </w:rPr>
    </w:lvl>
    <w:lvl w:ilvl="7" w:tplc="04180003" w:tentative="1">
      <w:start w:val="1"/>
      <w:numFmt w:val="bullet"/>
      <w:lvlText w:val="o"/>
      <w:lvlJc w:val="left"/>
      <w:pPr>
        <w:ind w:left="6210" w:hanging="360"/>
      </w:pPr>
      <w:rPr>
        <w:rFonts w:ascii="Courier New" w:hAnsi="Courier New" w:cs="Courier New" w:hint="default"/>
      </w:rPr>
    </w:lvl>
    <w:lvl w:ilvl="8" w:tplc="04180005" w:tentative="1">
      <w:start w:val="1"/>
      <w:numFmt w:val="bullet"/>
      <w:lvlText w:val=""/>
      <w:lvlJc w:val="left"/>
      <w:pPr>
        <w:ind w:left="6930" w:hanging="360"/>
      </w:pPr>
      <w:rPr>
        <w:rFonts w:ascii="Wingdings" w:hAnsi="Wingdings" w:hint="default"/>
      </w:rPr>
    </w:lvl>
  </w:abstractNum>
  <w:abstractNum w:abstractNumId="15" w15:restartNumberingAfterBreak="0">
    <w:nsid w:val="7D55019E"/>
    <w:multiLevelType w:val="hybridMultilevel"/>
    <w:tmpl w:val="8AC2A970"/>
    <w:lvl w:ilvl="0" w:tplc="3B14ED80">
      <w:start w:val="1"/>
      <w:numFmt w:val="bullet"/>
      <w:lvlText w:val="-"/>
      <w:lvlJc w:val="left"/>
      <w:pPr>
        <w:ind w:left="1026" w:hanging="360"/>
      </w:pPr>
      <w:rPr>
        <w:rFonts w:ascii="Times New Roman" w:eastAsia="Times New Roman" w:hAnsi="Times New Roman" w:cs="Times New Roman" w:hint="default"/>
      </w:rPr>
    </w:lvl>
    <w:lvl w:ilvl="1" w:tplc="04180003" w:tentative="1">
      <w:start w:val="1"/>
      <w:numFmt w:val="bullet"/>
      <w:lvlText w:val="o"/>
      <w:lvlJc w:val="left"/>
      <w:pPr>
        <w:ind w:left="1746" w:hanging="360"/>
      </w:pPr>
      <w:rPr>
        <w:rFonts w:ascii="Courier New" w:hAnsi="Courier New" w:cs="Courier New" w:hint="default"/>
      </w:rPr>
    </w:lvl>
    <w:lvl w:ilvl="2" w:tplc="04180005" w:tentative="1">
      <w:start w:val="1"/>
      <w:numFmt w:val="bullet"/>
      <w:lvlText w:val=""/>
      <w:lvlJc w:val="left"/>
      <w:pPr>
        <w:ind w:left="2466" w:hanging="360"/>
      </w:pPr>
      <w:rPr>
        <w:rFonts w:ascii="Wingdings" w:hAnsi="Wingdings" w:hint="default"/>
      </w:rPr>
    </w:lvl>
    <w:lvl w:ilvl="3" w:tplc="04180001" w:tentative="1">
      <w:start w:val="1"/>
      <w:numFmt w:val="bullet"/>
      <w:lvlText w:val=""/>
      <w:lvlJc w:val="left"/>
      <w:pPr>
        <w:ind w:left="3186" w:hanging="360"/>
      </w:pPr>
      <w:rPr>
        <w:rFonts w:ascii="Symbol" w:hAnsi="Symbol" w:hint="default"/>
      </w:rPr>
    </w:lvl>
    <w:lvl w:ilvl="4" w:tplc="04180003" w:tentative="1">
      <w:start w:val="1"/>
      <w:numFmt w:val="bullet"/>
      <w:lvlText w:val="o"/>
      <w:lvlJc w:val="left"/>
      <w:pPr>
        <w:ind w:left="3906" w:hanging="360"/>
      </w:pPr>
      <w:rPr>
        <w:rFonts w:ascii="Courier New" w:hAnsi="Courier New" w:cs="Courier New" w:hint="default"/>
      </w:rPr>
    </w:lvl>
    <w:lvl w:ilvl="5" w:tplc="04180005" w:tentative="1">
      <w:start w:val="1"/>
      <w:numFmt w:val="bullet"/>
      <w:lvlText w:val=""/>
      <w:lvlJc w:val="left"/>
      <w:pPr>
        <w:ind w:left="4626" w:hanging="360"/>
      </w:pPr>
      <w:rPr>
        <w:rFonts w:ascii="Wingdings" w:hAnsi="Wingdings" w:hint="default"/>
      </w:rPr>
    </w:lvl>
    <w:lvl w:ilvl="6" w:tplc="04180001" w:tentative="1">
      <w:start w:val="1"/>
      <w:numFmt w:val="bullet"/>
      <w:lvlText w:val=""/>
      <w:lvlJc w:val="left"/>
      <w:pPr>
        <w:ind w:left="5346" w:hanging="360"/>
      </w:pPr>
      <w:rPr>
        <w:rFonts w:ascii="Symbol" w:hAnsi="Symbol" w:hint="default"/>
      </w:rPr>
    </w:lvl>
    <w:lvl w:ilvl="7" w:tplc="04180003" w:tentative="1">
      <w:start w:val="1"/>
      <w:numFmt w:val="bullet"/>
      <w:lvlText w:val="o"/>
      <w:lvlJc w:val="left"/>
      <w:pPr>
        <w:ind w:left="6066" w:hanging="360"/>
      </w:pPr>
      <w:rPr>
        <w:rFonts w:ascii="Courier New" w:hAnsi="Courier New" w:cs="Courier New" w:hint="default"/>
      </w:rPr>
    </w:lvl>
    <w:lvl w:ilvl="8" w:tplc="04180005" w:tentative="1">
      <w:start w:val="1"/>
      <w:numFmt w:val="bullet"/>
      <w:lvlText w:val=""/>
      <w:lvlJc w:val="left"/>
      <w:pPr>
        <w:ind w:left="6786" w:hanging="360"/>
      </w:pPr>
      <w:rPr>
        <w:rFonts w:ascii="Wingdings" w:hAnsi="Wingdings" w:hint="default"/>
      </w:rPr>
    </w:lvl>
  </w:abstractNum>
  <w:num w:numId="1">
    <w:abstractNumId w:val="1"/>
  </w:num>
  <w:num w:numId="2">
    <w:abstractNumId w:val="7"/>
  </w:num>
  <w:num w:numId="3">
    <w:abstractNumId w:val="10"/>
  </w:num>
  <w:num w:numId="4">
    <w:abstractNumId w:val="0"/>
  </w:num>
  <w:num w:numId="5">
    <w:abstractNumId w:val="11"/>
  </w:num>
  <w:num w:numId="6">
    <w:abstractNumId w:val="6"/>
  </w:num>
  <w:num w:numId="7">
    <w:abstractNumId w:val="13"/>
  </w:num>
  <w:num w:numId="8">
    <w:abstractNumId w:val="8"/>
  </w:num>
  <w:num w:numId="9">
    <w:abstractNumId w:val="12"/>
  </w:num>
  <w:num w:numId="10">
    <w:abstractNumId w:val="5"/>
  </w:num>
  <w:num w:numId="11">
    <w:abstractNumId w:val="15"/>
  </w:num>
  <w:num w:numId="12">
    <w:abstractNumId w:val="4"/>
  </w:num>
  <w:num w:numId="13">
    <w:abstractNumId w:val="2"/>
  </w:num>
  <w:num w:numId="14">
    <w:abstractNumId w:val="9"/>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B16"/>
    <w:rsid w:val="000024B1"/>
    <w:rsid w:val="000A5191"/>
    <w:rsid w:val="00152F7D"/>
    <w:rsid w:val="00154A0C"/>
    <w:rsid w:val="00190513"/>
    <w:rsid w:val="00247969"/>
    <w:rsid w:val="00275B16"/>
    <w:rsid w:val="002C1968"/>
    <w:rsid w:val="00361728"/>
    <w:rsid w:val="00480DEB"/>
    <w:rsid w:val="00601AF2"/>
    <w:rsid w:val="006276EF"/>
    <w:rsid w:val="00685D5C"/>
    <w:rsid w:val="00721128"/>
    <w:rsid w:val="00743C60"/>
    <w:rsid w:val="007E5FB7"/>
    <w:rsid w:val="00801702"/>
    <w:rsid w:val="00873196"/>
    <w:rsid w:val="00A071B0"/>
    <w:rsid w:val="00A22776"/>
    <w:rsid w:val="00AE33FF"/>
    <w:rsid w:val="00B0293C"/>
    <w:rsid w:val="00B314AD"/>
    <w:rsid w:val="00B46366"/>
    <w:rsid w:val="00BE06A2"/>
    <w:rsid w:val="00C66B71"/>
    <w:rsid w:val="00C74A2F"/>
    <w:rsid w:val="00C94BC2"/>
    <w:rsid w:val="00D63369"/>
    <w:rsid w:val="00D905CB"/>
    <w:rsid w:val="00DF51EC"/>
    <w:rsid w:val="00E478EF"/>
    <w:rsid w:val="00E601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6F468"/>
  <w15:chartTrackingRefBased/>
  <w15:docId w15:val="{3577F5CC-2414-4ED6-974C-01C952DC4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5B16"/>
    <w:rPr>
      <w:kern w:val="2"/>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801702"/>
    <w:pPr>
      <w:ind w:left="720"/>
      <w:contextualSpacing/>
    </w:pPr>
  </w:style>
  <w:style w:type="table" w:styleId="Tabelgril">
    <w:name w:val="Table Grid"/>
    <w:basedOn w:val="TabelNormal"/>
    <w:uiPriority w:val="39"/>
    <w:rsid w:val="00801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obust">
    <w:name w:val="Strong"/>
    <w:basedOn w:val="Fontdeparagrafimplicit"/>
    <w:uiPriority w:val="22"/>
    <w:qFormat/>
    <w:rsid w:val="00801702"/>
    <w:rPr>
      <w:b/>
      <w:bCs/>
    </w:rPr>
  </w:style>
  <w:style w:type="character" w:styleId="Hyperlink">
    <w:name w:val="Hyperlink"/>
    <w:basedOn w:val="Fontdeparagrafimplicit"/>
    <w:uiPriority w:val="99"/>
    <w:unhideWhenUsed/>
    <w:rsid w:val="008017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rticip.gov.md/ro/document/stages/anunt-de-initiere-pentru-elaborarea-proiectului-de-lege-pentru-modificarea-legii-nr-2312010-privin/14544"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1</Pages>
  <Words>4996</Words>
  <Characters>28982</Characters>
  <Application>Microsoft Office Word</Application>
  <DocSecurity>0</DocSecurity>
  <Lines>241</Lines>
  <Paragraphs>67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MAIA</dc:creator>
  <cp:keywords/>
  <dc:description/>
  <cp:lastModifiedBy>User MAIA</cp:lastModifiedBy>
  <cp:revision>6</cp:revision>
  <dcterms:created xsi:type="dcterms:W3CDTF">2026-04-03T05:13:00Z</dcterms:created>
  <dcterms:modified xsi:type="dcterms:W3CDTF">2026-04-06T05:24:00Z</dcterms:modified>
</cp:coreProperties>
</file>