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252C5" w14:textId="77777777" w:rsidR="0091081E" w:rsidRDefault="00000000">
      <w:pPr>
        <w:spacing w:line="240" w:lineRule="auto"/>
        <w:ind w:firstLine="567"/>
        <w:jc w:val="center"/>
        <w:rPr>
          <w:rFonts w:ascii="Times New Roman" w:eastAsia="Times New Roman" w:hAnsi="Times New Roman" w:cs="Times New Roman"/>
        </w:rPr>
      </w:pPr>
      <w:r>
        <w:rPr>
          <w:rFonts w:ascii="Times New Roman" w:eastAsia="Times New Roman" w:hAnsi="Times New Roman" w:cs="Times New Roman"/>
          <w:b/>
          <w:bCs/>
        </w:rPr>
        <w:t xml:space="preserve">   SINTEZA</w:t>
      </w:r>
      <w:r>
        <w:rPr>
          <w:rFonts w:ascii="Times New Roman" w:eastAsia="Times New Roman" w:hAnsi="Times New Roman" w:cs="Times New Roman"/>
        </w:rPr>
        <w:t xml:space="preserve"> </w:t>
      </w:r>
    </w:p>
    <w:p w14:paraId="77CE11A6" w14:textId="77777777" w:rsidR="0091081E"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la proiectul de lege pentru modificarea unor acte normative în domeniul raporturilor de muncă, securității și sănătății în muncă și egalității de tratament </w:t>
      </w:r>
    </w:p>
    <w:p w14:paraId="37881573" w14:textId="77777777" w:rsidR="0091081E" w:rsidRDefault="0091081E">
      <w:pPr>
        <w:spacing w:line="240" w:lineRule="auto"/>
        <w:ind w:firstLine="567"/>
        <w:jc w:val="center"/>
        <w:rPr>
          <w:rFonts w:ascii="Times New Roman" w:eastAsia="Times New Roman" w:hAnsi="Times New Roman" w:cs="Times New Roman"/>
          <w:b/>
          <w:bCs/>
        </w:rPr>
      </w:pPr>
    </w:p>
    <w:p w14:paraId="7AABB843" w14:textId="77777777" w:rsidR="0091081E" w:rsidRDefault="00000000">
      <w:pPr>
        <w:spacing w:line="240" w:lineRule="auto"/>
        <w:ind w:firstLine="567"/>
        <w:jc w:val="center"/>
        <w:rPr>
          <w:rFonts w:ascii="Times New Roman" w:eastAsia="Times New Roman" w:hAnsi="Times New Roman" w:cs="Times New Roman"/>
          <w:b/>
          <w:bCs/>
          <w:i/>
          <w:iCs/>
        </w:rPr>
      </w:pPr>
      <w:bookmarkStart w:id="0" w:name="_29tri7afl5lk" w:colFirst="0" w:colLast="0"/>
      <w:bookmarkEnd w:id="0"/>
      <w:r>
        <w:rPr>
          <w:rFonts w:ascii="Times New Roman" w:eastAsia="Times New Roman" w:hAnsi="Times New Roman" w:cs="Times New Roman"/>
          <w:b/>
          <w:bCs/>
          <w:i/>
          <w:iCs/>
        </w:rPr>
        <w:t>(număr unic 181/MMPS/2026)</w:t>
      </w:r>
    </w:p>
    <w:p w14:paraId="28C8DA3A" w14:textId="77777777" w:rsidR="0091081E" w:rsidRDefault="00000000">
      <w:pPr>
        <w:spacing w:line="240" w:lineRule="auto"/>
        <w:ind w:firstLine="56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bl>
      <w:tblPr>
        <w:tblStyle w:val="a"/>
        <w:tblpPr w:leftFromText="180" w:rightFromText="180" w:vertAnchor="text"/>
        <w:tblW w:w="15015" w:type="dxa"/>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555"/>
        <w:gridCol w:w="2700"/>
        <w:gridCol w:w="5880"/>
        <w:gridCol w:w="5880"/>
      </w:tblGrid>
      <w:tr w:rsidR="0091081E" w14:paraId="06D6C114" w14:textId="77777777">
        <w:trPr>
          <w:trHeight w:val="621"/>
        </w:trPr>
        <w:tc>
          <w:tcPr>
            <w:tcW w:w="555" w:type="dxa"/>
          </w:tcPr>
          <w:p w14:paraId="3C68AE86" w14:textId="77777777" w:rsidR="0091081E"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Nr. d/o</w:t>
            </w:r>
          </w:p>
        </w:tc>
        <w:tc>
          <w:tcPr>
            <w:tcW w:w="2700" w:type="dxa"/>
          </w:tcPr>
          <w:p w14:paraId="16FC2126"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Autorul propunerilor </w:t>
            </w:r>
            <w:proofErr w:type="spellStart"/>
            <w:r>
              <w:rPr>
                <w:rFonts w:ascii="Times New Roman" w:eastAsia="Times New Roman" w:hAnsi="Times New Roman" w:cs="Times New Roman"/>
              </w:rPr>
              <w:t>şi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obiecţiilor</w:t>
            </w:r>
            <w:proofErr w:type="spellEnd"/>
          </w:p>
        </w:tc>
        <w:tc>
          <w:tcPr>
            <w:tcW w:w="5880" w:type="dxa"/>
          </w:tcPr>
          <w:p w14:paraId="619079CE" w14:textId="77777777" w:rsidR="0091081E" w:rsidRDefault="00000000">
            <w:pPr>
              <w:keepNext/>
              <w:spacing w:line="240" w:lineRule="auto"/>
              <w:ind w:firstLine="567"/>
              <w:jc w:val="center"/>
              <w:rPr>
                <w:rFonts w:ascii="Times New Roman" w:eastAsia="Times New Roman" w:hAnsi="Times New Roman" w:cs="Times New Roman"/>
              </w:rPr>
            </w:pPr>
            <w:r>
              <w:rPr>
                <w:rFonts w:ascii="Times New Roman" w:eastAsia="Times New Roman" w:hAnsi="Times New Roman" w:cs="Times New Roman"/>
              </w:rPr>
              <w:t>Conținutul propunerilor, obiecțiilor</w:t>
            </w:r>
          </w:p>
        </w:tc>
        <w:tc>
          <w:tcPr>
            <w:tcW w:w="5880" w:type="dxa"/>
          </w:tcPr>
          <w:p w14:paraId="7E9DCD37" w14:textId="77777777" w:rsidR="0091081E" w:rsidRDefault="00000000">
            <w:pPr>
              <w:spacing w:line="240" w:lineRule="auto"/>
              <w:ind w:firstLine="567"/>
              <w:jc w:val="center"/>
              <w:rPr>
                <w:rFonts w:ascii="Times New Roman" w:eastAsia="Times New Roman" w:hAnsi="Times New Roman" w:cs="Times New Roman"/>
              </w:rPr>
            </w:pPr>
            <w:r>
              <w:rPr>
                <w:rFonts w:ascii="Times New Roman" w:eastAsia="Times New Roman" w:hAnsi="Times New Roman" w:cs="Times New Roman"/>
              </w:rPr>
              <w:t>Argumentare</w:t>
            </w:r>
          </w:p>
        </w:tc>
      </w:tr>
      <w:tr w:rsidR="0091081E" w14:paraId="09843A52" w14:textId="77777777">
        <w:trPr>
          <w:trHeight w:val="267"/>
        </w:trPr>
        <w:tc>
          <w:tcPr>
            <w:tcW w:w="555" w:type="dxa"/>
          </w:tcPr>
          <w:p w14:paraId="77B9C6BF" w14:textId="77777777" w:rsidR="0091081E" w:rsidRDefault="00000000">
            <w:pPr>
              <w:spacing w:line="240" w:lineRule="auto"/>
              <w:ind w:firstLine="567"/>
              <w:rPr>
                <w:rFonts w:ascii="Times New Roman" w:eastAsia="Times New Roman" w:hAnsi="Times New Roman" w:cs="Times New Roman"/>
                <w:i/>
                <w:iCs/>
              </w:rPr>
            </w:pPr>
            <w:r>
              <w:rPr>
                <w:rFonts w:ascii="Times New Roman" w:eastAsia="Times New Roman" w:hAnsi="Times New Roman" w:cs="Times New Roman"/>
                <w:i/>
                <w:iCs/>
              </w:rPr>
              <w:t>1</w:t>
            </w:r>
          </w:p>
        </w:tc>
        <w:tc>
          <w:tcPr>
            <w:tcW w:w="2700" w:type="dxa"/>
          </w:tcPr>
          <w:p w14:paraId="2D0A8D37" w14:textId="77777777" w:rsidR="0091081E" w:rsidRDefault="00000000">
            <w:pPr>
              <w:spacing w:line="240" w:lineRule="auto"/>
              <w:ind w:firstLine="567"/>
              <w:jc w:val="center"/>
              <w:rPr>
                <w:rFonts w:ascii="Times New Roman" w:eastAsia="Times New Roman" w:hAnsi="Times New Roman" w:cs="Times New Roman"/>
                <w:i/>
                <w:iCs/>
              </w:rPr>
            </w:pPr>
            <w:r>
              <w:rPr>
                <w:rFonts w:ascii="Times New Roman" w:eastAsia="Times New Roman" w:hAnsi="Times New Roman" w:cs="Times New Roman"/>
                <w:i/>
                <w:iCs/>
              </w:rPr>
              <w:t>2</w:t>
            </w:r>
          </w:p>
        </w:tc>
        <w:tc>
          <w:tcPr>
            <w:tcW w:w="5880" w:type="dxa"/>
          </w:tcPr>
          <w:p w14:paraId="08D84C54" w14:textId="77777777" w:rsidR="0091081E" w:rsidRDefault="00000000">
            <w:pPr>
              <w:spacing w:line="240" w:lineRule="auto"/>
              <w:ind w:firstLine="567"/>
              <w:jc w:val="center"/>
              <w:rPr>
                <w:rFonts w:ascii="Times New Roman" w:eastAsia="Times New Roman" w:hAnsi="Times New Roman" w:cs="Times New Roman"/>
                <w:i/>
                <w:iCs/>
              </w:rPr>
            </w:pPr>
            <w:r>
              <w:rPr>
                <w:rFonts w:ascii="Times New Roman" w:eastAsia="Times New Roman" w:hAnsi="Times New Roman" w:cs="Times New Roman"/>
                <w:i/>
                <w:iCs/>
              </w:rPr>
              <w:t>3</w:t>
            </w:r>
          </w:p>
        </w:tc>
        <w:tc>
          <w:tcPr>
            <w:tcW w:w="5880" w:type="dxa"/>
          </w:tcPr>
          <w:p w14:paraId="6CF4E1B8" w14:textId="77777777" w:rsidR="0091081E" w:rsidRDefault="00000000">
            <w:pPr>
              <w:spacing w:line="240" w:lineRule="auto"/>
              <w:ind w:firstLine="567"/>
              <w:jc w:val="center"/>
              <w:rPr>
                <w:rFonts w:ascii="Times New Roman" w:eastAsia="Times New Roman" w:hAnsi="Times New Roman" w:cs="Times New Roman"/>
                <w:i/>
                <w:iCs/>
              </w:rPr>
            </w:pPr>
            <w:r>
              <w:rPr>
                <w:rFonts w:ascii="Times New Roman" w:eastAsia="Times New Roman" w:hAnsi="Times New Roman" w:cs="Times New Roman"/>
                <w:i/>
                <w:iCs/>
              </w:rPr>
              <w:t>4</w:t>
            </w:r>
          </w:p>
        </w:tc>
      </w:tr>
      <w:tr w:rsidR="0091081E" w14:paraId="07032DE1" w14:textId="77777777">
        <w:trPr>
          <w:trHeight w:val="267"/>
        </w:trPr>
        <w:tc>
          <w:tcPr>
            <w:tcW w:w="15015" w:type="dxa"/>
            <w:gridSpan w:val="4"/>
          </w:tcPr>
          <w:p w14:paraId="30BE139D" w14:textId="77777777" w:rsidR="0091081E" w:rsidRDefault="00000000">
            <w:pPr>
              <w:spacing w:line="240" w:lineRule="auto"/>
              <w:ind w:firstLine="567"/>
              <w:jc w:val="center"/>
              <w:rPr>
                <w:rFonts w:ascii="Times New Roman" w:eastAsia="Times New Roman" w:hAnsi="Times New Roman" w:cs="Times New Roman"/>
                <w:i/>
                <w:iCs/>
              </w:rPr>
            </w:pPr>
            <w:r>
              <w:rPr>
                <w:rFonts w:ascii="Times New Roman" w:eastAsia="Times New Roman" w:hAnsi="Times New Roman" w:cs="Times New Roman"/>
                <w:b/>
                <w:bCs/>
              </w:rPr>
              <w:t xml:space="preserve">Procedura de avizare </w:t>
            </w:r>
          </w:p>
        </w:tc>
      </w:tr>
      <w:tr w:rsidR="0091081E" w14:paraId="32B47C74" w14:textId="77777777">
        <w:trPr>
          <w:trHeight w:val="315"/>
        </w:trPr>
        <w:tc>
          <w:tcPr>
            <w:tcW w:w="555" w:type="dxa"/>
            <w:vMerge w:val="restart"/>
          </w:tcPr>
          <w:p w14:paraId="2003BAED" w14:textId="77777777" w:rsidR="0091081E" w:rsidRDefault="0091081E">
            <w:pPr>
              <w:numPr>
                <w:ilvl w:val="0"/>
                <w:numId w:val="4"/>
              </w:numPr>
              <w:spacing w:line="240" w:lineRule="auto"/>
              <w:ind w:hanging="338"/>
              <w:rPr>
                <w:rFonts w:ascii="Times New Roman" w:eastAsia="Times New Roman" w:hAnsi="Times New Roman" w:cs="Times New Roman"/>
                <w:b/>
                <w:bCs/>
              </w:rPr>
            </w:pPr>
          </w:p>
          <w:p w14:paraId="4A26D3B0" w14:textId="77777777" w:rsidR="0091081E" w:rsidRDefault="0091081E">
            <w:pPr>
              <w:spacing w:line="240" w:lineRule="auto"/>
              <w:ind w:hanging="338"/>
              <w:rPr>
                <w:rFonts w:ascii="Times New Roman" w:eastAsia="Times New Roman" w:hAnsi="Times New Roman" w:cs="Times New Roman"/>
                <w:b/>
                <w:bCs/>
              </w:rPr>
            </w:pPr>
          </w:p>
        </w:tc>
        <w:tc>
          <w:tcPr>
            <w:tcW w:w="2700" w:type="dxa"/>
            <w:vMerge w:val="restart"/>
          </w:tcPr>
          <w:p w14:paraId="4E93EC9D"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Cancelaria de Stat </w:t>
            </w:r>
          </w:p>
          <w:p w14:paraId="1BE92F89"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22-69-2681 din 10.03.2026</w:t>
            </w:r>
          </w:p>
        </w:tc>
        <w:tc>
          <w:tcPr>
            <w:tcW w:w="5880" w:type="dxa"/>
            <w:tcBorders>
              <w:bottom w:val="single" w:sz="4" w:space="0" w:color="000000"/>
            </w:tcBorders>
          </w:tcPr>
          <w:p w14:paraId="5BD14ED8"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 I. din proiectul de lege: La pct. 4, la articolul 13</w:t>
            </w:r>
            <w:r>
              <w:rPr>
                <w:rFonts w:ascii="Times New Roman" w:eastAsia="Times New Roman" w:hAnsi="Times New Roman" w:cs="Times New Roman"/>
                <w:highlight w:val="white"/>
                <w:vertAlign w:val="superscript"/>
              </w:rPr>
              <w:t>3</w:t>
            </w:r>
            <w:r>
              <w:rPr>
                <w:rFonts w:ascii="Times New Roman" w:eastAsia="Times New Roman" w:hAnsi="Times New Roman" w:cs="Times New Roman"/>
                <w:highlight w:val="white"/>
              </w:rPr>
              <w:t xml:space="preserve"> alin. (3) se recomandă clarificarea conținutului sintagmei „sprijinul logistic" asigurat de către Inspectoratul de Stat al Muncii pentru participarea inspectorilor străini, precum și a aspectelor concrete asupra cărora acesta se extinde, întrucât în redacția sa actuală, prezintă un caracter incomplet și este susceptibilă de interpretări neuniforme. În acest sens, se menționează că, în temeiul prevederilor art. 54 alin. (1), lit. a) din Legea nr.100/2017 cu privire la actele normative, conținutul proiectului trebuie să fie expus într-un limbaj simplu, clar și concis, astfel încât să fie exclus orice echivoc.</w:t>
            </w:r>
          </w:p>
        </w:tc>
        <w:tc>
          <w:tcPr>
            <w:tcW w:w="5880" w:type="dxa"/>
            <w:tcBorders>
              <w:bottom w:val="single" w:sz="4" w:space="0" w:color="000000"/>
            </w:tcBorders>
          </w:tcPr>
          <w:p w14:paraId="07CA9787"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0223CE78"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13</w:t>
            </w:r>
            <w:r>
              <w:rPr>
                <w:rFonts w:ascii="Times New Roman" w:eastAsia="Times New Roman" w:hAnsi="Times New Roman" w:cs="Times New Roman"/>
                <w:highlight w:val="white"/>
                <w:vertAlign w:val="superscript"/>
              </w:rPr>
              <w:t>3</w:t>
            </w:r>
            <w:r>
              <w:rPr>
                <w:rFonts w:ascii="Times New Roman" w:eastAsia="Times New Roman" w:hAnsi="Times New Roman" w:cs="Times New Roman"/>
                <w:highlight w:val="white"/>
              </w:rPr>
              <w:t xml:space="preserve"> alin. (3) va avea următoarea redacție:</w:t>
            </w:r>
            <w:r>
              <w:rPr>
                <w:rFonts w:ascii="Times New Roman" w:eastAsia="Times New Roman" w:hAnsi="Times New Roman" w:cs="Times New Roman"/>
                <w:highlight w:val="white"/>
              </w:rPr>
              <w:br/>
            </w:r>
            <w:r>
              <w:rPr>
                <w:rFonts w:ascii="Times New Roman" w:eastAsia="Times New Roman" w:hAnsi="Times New Roman" w:cs="Times New Roman"/>
                <w:highlight w:val="white"/>
              </w:rPr>
              <w:br/>
              <w:t>“Inspectoratul de Stat al Muncii asigură condițiile organizatorice necesare pentru participarea inspectorilor străini la activitățile desfășurate în condițiile prezentului capitol, în limitele competențelor sale și în condițiile legii.”</w:t>
            </w:r>
          </w:p>
        </w:tc>
      </w:tr>
      <w:tr w:rsidR="0091081E" w14:paraId="3B42D96A" w14:textId="77777777">
        <w:trPr>
          <w:trHeight w:val="432"/>
        </w:trPr>
        <w:tc>
          <w:tcPr>
            <w:tcW w:w="555" w:type="dxa"/>
            <w:vMerge/>
          </w:tcPr>
          <w:p w14:paraId="51174416" w14:textId="77777777" w:rsidR="0091081E" w:rsidRDefault="0091081E">
            <w:pPr>
              <w:widowControl w:val="0"/>
              <w:rPr>
                <w:rFonts w:ascii="Times New Roman" w:eastAsia="Times New Roman" w:hAnsi="Times New Roman" w:cs="Times New Roman"/>
                <w:highlight w:val="white"/>
              </w:rPr>
            </w:pPr>
          </w:p>
        </w:tc>
        <w:tc>
          <w:tcPr>
            <w:tcW w:w="2700" w:type="dxa"/>
            <w:vMerge/>
          </w:tcPr>
          <w:p w14:paraId="049BD796"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69AA55EE"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 II. din proiectul de lege: la pct. 4, la articolul 8, alin. (1.1), se recomandă revizuirea textului de la lit. a) și lit. c) întrucât din formularea actuală nu reiese clar care este distincția dintre „condițiile de acces la încadrare în muncă, sau la muncă”, și „condițiile de încadrare și de muncă” și nici care este justificarea opțiunii de a reglementa aceste prevederi în mod enumerativ.</w:t>
            </w:r>
          </w:p>
        </w:tc>
        <w:tc>
          <w:tcPr>
            <w:tcW w:w="5880" w:type="dxa"/>
            <w:tcBorders>
              <w:top w:val="single" w:sz="4" w:space="0" w:color="000000"/>
              <w:bottom w:val="single" w:sz="4" w:space="0" w:color="000000"/>
            </w:tcBorders>
          </w:tcPr>
          <w:p w14:paraId="46AF6D6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53047EAD"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Articolul 8, alin. (1.1), are rolul de a prelua și transpune în mod fidel art. 3 alin. (1) din Directiva 2000/78/CE, care utilizează o enumerare a principalelor domenii de aplicare ale principiului egalității de tratament în materie de muncă și ocupare a forței de muncă. Lit. a) protejează împotriva discriminării în accesul la piața muncii. Lit. c) protejează împotriva discriminării în derularea și încetarea raportului de muncă, prin urmare la lit. a fost exclus sintagma „sau la muncă”, iar la lit. c) a fost exclusă sintagma de încadrare”.  </w:t>
            </w:r>
          </w:p>
          <w:p w14:paraId="6E7C9B85" w14:textId="77777777" w:rsidR="0091081E" w:rsidRDefault="0091081E">
            <w:pPr>
              <w:spacing w:line="240" w:lineRule="auto"/>
              <w:ind w:firstLine="705"/>
              <w:jc w:val="both"/>
              <w:rPr>
                <w:rFonts w:ascii="Times New Roman" w:eastAsia="Times New Roman" w:hAnsi="Times New Roman" w:cs="Times New Roman"/>
                <w:b/>
                <w:bCs/>
                <w:sz w:val="24"/>
                <w:szCs w:val="24"/>
                <w:highlight w:val="white"/>
              </w:rPr>
            </w:pPr>
          </w:p>
          <w:p w14:paraId="3D67340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91081E" w14:paraId="160D48E9" w14:textId="77777777">
        <w:trPr>
          <w:trHeight w:val="420"/>
        </w:trPr>
        <w:tc>
          <w:tcPr>
            <w:tcW w:w="555" w:type="dxa"/>
            <w:vMerge/>
          </w:tcPr>
          <w:p w14:paraId="0E9B8330" w14:textId="77777777" w:rsidR="0091081E" w:rsidRDefault="0091081E">
            <w:pPr>
              <w:widowControl w:val="0"/>
              <w:rPr>
                <w:rFonts w:ascii="Times New Roman" w:eastAsia="Times New Roman" w:hAnsi="Times New Roman" w:cs="Times New Roman"/>
                <w:highlight w:val="white"/>
              </w:rPr>
            </w:pPr>
          </w:p>
        </w:tc>
        <w:tc>
          <w:tcPr>
            <w:tcW w:w="2700" w:type="dxa"/>
            <w:vMerge/>
          </w:tcPr>
          <w:p w14:paraId="7F048D71"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6CB3336A"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Suplimentar, la litera c), se propune reconsiderarea sintagmei „condițiile de concediere”, dat fiind că concedierea reprezintă doar una dintre modalitățile de încetare a raporturilor de muncă/serviciu, din inițiativa angajatorului, or principiul egalității de tratament trebuie să se aplice asupra tuturor aspectelor și reglementărilor ce țin de raportul de muncă.</w:t>
            </w:r>
          </w:p>
        </w:tc>
        <w:tc>
          <w:tcPr>
            <w:tcW w:w="5880" w:type="dxa"/>
            <w:tcBorders>
              <w:top w:val="single" w:sz="4" w:space="0" w:color="000000"/>
              <w:bottom w:val="single" w:sz="4" w:space="0" w:color="000000"/>
            </w:tcBorders>
          </w:tcPr>
          <w:p w14:paraId="31C8640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6FB1C6B1"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Articolul 8, alin. (1.1) se propune în următoarea redacție:</w:t>
            </w:r>
          </w:p>
          <w:p w14:paraId="12205AF5"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condițiile de acces la încadrare în muncă, inclusiv criteriile de selecție și condițiile de recrutare, oricare ar fi ramura de activitate și la toate nivelurile ierarhiei profesionale, inclusiv în materie de promovare;</w:t>
            </w:r>
          </w:p>
          <w:p w14:paraId="7E4E16C8" w14:textId="77777777" w:rsidR="0091081E" w:rsidRDefault="0091081E">
            <w:pPr>
              <w:spacing w:line="240" w:lineRule="auto"/>
              <w:ind w:firstLine="705"/>
              <w:jc w:val="both"/>
              <w:rPr>
                <w:rFonts w:ascii="Times New Roman" w:eastAsia="Times New Roman" w:hAnsi="Times New Roman" w:cs="Times New Roman"/>
                <w:highlight w:val="white"/>
              </w:rPr>
            </w:pPr>
          </w:p>
          <w:p w14:paraId="14CCF630"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c) condițiile de muncă, inclusiv condițiile de remunerare și  de încetare a raporturilor de muncă;”</w:t>
            </w:r>
          </w:p>
        </w:tc>
      </w:tr>
      <w:tr w:rsidR="0091081E" w14:paraId="2492EA74" w14:textId="77777777">
        <w:trPr>
          <w:trHeight w:val="516"/>
        </w:trPr>
        <w:tc>
          <w:tcPr>
            <w:tcW w:w="555" w:type="dxa"/>
            <w:vMerge/>
          </w:tcPr>
          <w:p w14:paraId="16B2D256" w14:textId="77777777" w:rsidR="0091081E" w:rsidRDefault="0091081E">
            <w:pPr>
              <w:widowControl w:val="0"/>
              <w:rPr>
                <w:rFonts w:ascii="Times New Roman" w:eastAsia="Times New Roman" w:hAnsi="Times New Roman" w:cs="Times New Roman"/>
                <w:highlight w:val="white"/>
              </w:rPr>
            </w:pPr>
          </w:p>
        </w:tc>
        <w:tc>
          <w:tcPr>
            <w:tcW w:w="2700" w:type="dxa"/>
            <w:vMerge/>
          </w:tcPr>
          <w:p w14:paraId="653BEFDA"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tcBorders>
          </w:tcPr>
          <w:p w14:paraId="476D6A64"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alineatul (2) al aceluiași articol, se impune precizarea noțiunii de „obiectiv legitim" în sensul normei în cauză.</w:t>
            </w:r>
          </w:p>
        </w:tc>
        <w:tc>
          <w:tcPr>
            <w:tcW w:w="5880" w:type="dxa"/>
            <w:tcBorders>
              <w:top w:val="single" w:sz="4" w:space="0" w:color="000000"/>
            </w:tcBorders>
          </w:tcPr>
          <w:p w14:paraId="4B976342"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r>
              <w:rPr>
                <w:rFonts w:ascii="Times New Roman" w:eastAsia="Times New Roman" w:hAnsi="Times New Roman" w:cs="Times New Roman"/>
                <w:highlight w:val="white"/>
              </w:rPr>
              <w:t xml:space="preserve"> în varianta propusă de Consiliul pentru egalitate, astfel articolul 8, alin. (2) se propune în următoarea redacție:</w:t>
            </w:r>
          </w:p>
          <w:p w14:paraId="09C7A828"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8 alin. (2)</w:t>
            </w:r>
            <w:r>
              <w:rPr>
                <w:rFonts w:ascii="Times New Roman" w:eastAsia="Times New Roman" w:hAnsi="Times New Roman" w:cs="Times New Roman"/>
                <w:b/>
                <w:bCs/>
                <w:highlight w:val="white"/>
              </w:rPr>
              <w:t xml:space="preserve"> </w:t>
            </w:r>
            <w:r>
              <w:rPr>
                <w:rFonts w:ascii="Times New Roman" w:eastAsia="Times New Roman" w:hAnsi="Times New Roman" w:cs="Times New Roman"/>
                <w:highlight w:val="white"/>
              </w:rPr>
              <w:t>Orice diferență de tratament bazată pe o caracteristică legată de unul din criteriile prevăzute la alin. (1) nu constituie o discriminare atunci când, având în vedere natura unei activități profesionale sau condițiile de exercitare a acesteia, caracteristică în cauză constituie o cerință profesională esențială și determinantă, astfel încât obiectivul să fie legitim, iar cerința să fie proporțională.</w:t>
            </w:r>
          </w:p>
          <w:p w14:paraId="4B8ABD74" w14:textId="77777777" w:rsidR="0091081E" w:rsidRDefault="0091081E">
            <w:pPr>
              <w:spacing w:line="240" w:lineRule="auto"/>
              <w:ind w:firstLine="284"/>
              <w:jc w:val="both"/>
              <w:rPr>
                <w:rFonts w:ascii="Times New Roman" w:eastAsia="Times New Roman" w:hAnsi="Times New Roman" w:cs="Times New Roman"/>
                <w:highlight w:val="white"/>
              </w:rPr>
            </w:pPr>
          </w:p>
        </w:tc>
      </w:tr>
      <w:tr w:rsidR="0091081E" w14:paraId="646FFA70" w14:textId="77777777">
        <w:trPr>
          <w:trHeight w:val="376"/>
        </w:trPr>
        <w:tc>
          <w:tcPr>
            <w:tcW w:w="555" w:type="dxa"/>
            <w:vMerge w:val="restart"/>
          </w:tcPr>
          <w:p w14:paraId="3339196A" w14:textId="77777777" w:rsidR="0091081E" w:rsidRDefault="0091081E">
            <w:pPr>
              <w:spacing w:line="240" w:lineRule="auto"/>
              <w:ind w:left="360" w:hanging="338"/>
              <w:rPr>
                <w:rFonts w:ascii="Times New Roman" w:eastAsia="Times New Roman" w:hAnsi="Times New Roman" w:cs="Times New Roman"/>
                <w:b/>
                <w:bCs/>
              </w:rPr>
            </w:pPr>
          </w:p>
        </w:tc>
        <w:tc>
          <w:tcPr>
            <w:tcW w:w="2700" w:type="dxa"/>
            <w:vMerge w:val="restart"/>
          </w:tcPr>
          <w:p w14:paraId="3090D6F8"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Centrul de Armonizare a Legislației</w:t>
            </w:r>
          </w:p>
          <w:p w14:paraId="3F93AB4E"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31/02-126-3296</w:t>
            </w:r>
          </w:p>
          <w:p w14:paraId="1F1FA68E"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23.03.2026</w:t>
            </w:r>
          </w:p>
        </w:tc>
        <w:tc>
          <w:tcPr>
            <w:tcW w:w="5880" w:type="dxa"/>
            <w:tcBorders>
              <w:bottom w:val="single" w:sz="4" w:space="0" w:color="000000"/>
            </w:tcBorders>
          </w:tcPr>
          <w:p w14:paraId="1C45598C"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II. Evaluarea din perspectiva compatibilității cu Dreptul UE</w:t>
            </w:r>
          </w:p>
          <w:p w14:paraId="2B892009"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Din punct de vedere al dreptului UE, prin prisma obiectului de reglementare, prezentul demers normativ se circumscrie reglementărilor statuate la nivelul UE, subsumate Capitolului 2 „Libera circulație a lucrătorilor” și Capitolului 19 „Politica socială și ocuparea forței de muncă”.</w:t>
            </w:r>
          </w:p>
          <w:p w14:paraId="469EBA62"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Astfel, din perspectiva proiectului examinat, la nivelul legislației europene, prezintă relevanță directă prevederile Directivelor nr. </w:t>
            </w:r>
            <w:r>
              <w:rPr>
                <w:rFonts w:ascii="Times New Roman" w:eastAsia="Times New Roman" w:hAnsi="Times New Roman" w:cs="Times New Roman"/>
                <w:highlight w:val="white"/>
              </w:rPr>
              <w:lastRenderedPageBreak/>
              <w:t>89/391/CEE a Consiliului din 12 iunie 1989 privind punerea în aplicare de măsuri pentru promovarea îmbunătățirii securității și sănătății lucrătorilor la locul de muncă, 91/383/CEE Consiliului din 25 iunie 1991 de completare a măsurilor destinate să promoveze îmbunătățirea securității și sănătății la locul de muncă în cazul lucrătorilor care au un raport de muncă pe durată determinată sau un raport de muncă temporară, 92/85/CEE a Consiliului din 19 octombrie 1992 privind introducerea de măsuri pentru promovarea îmbunătățirii securității și a sănătății la locul de muncă în cazul lucrătoarelor gravide, care au născut de curând sau care alăptează [a zecea directivă specială în sensul articolului 16 alineatul (1) din Directiva 89/391/CEE], 2000/43/CE a Consiliului din 29 iunie 2000 de punere în aplicare a principiului egalității de tratament între persoane, fără deosebire de rasă sau origine etnică, 2000/78/CE a Consiliului din 27 noiembrie 2000 de creare a unui cadru general în favoarea egalității de tratament în ceea ce privește încadrarea în muncă și ocuparea forței de muncă, 2002/14/CE a Parlamentului European și a Consiliului din 11 martie 2002 de stabilire a unui cadru general de informare și consultare a lucrătorilor din Comunitatea Europeană, 2008/104/CE a Parlamentului European și a Consiliului din 19 noiembrie 2008 privind munca prin agent de muncă temporară, 2014/67/UE 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 „Regulamentul IMI”) și a Regulamentului (UE) 2019/1149 al Parlamentului European și al Consiliului din 20 iunie 2019 de instituire a unei Autorități Europene a Muncii, de modificare a Regulamentului (CE) nr. 883/2004, a Regulamentului (UE) nr. 492/2011 și a Regulamentului (UE) 2016/589 și de abrogare a Deciziei (UE) 2016/344.</w:t>
            </w:r>
          </w:p>
          <w:p w14:paraId="52611585"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Examinând proiectul național (Art. I, pct. 4) prin prisma Regulamentului (UE) 2019/1149 al Parlamentului European și al Consiliului din 20 iunie 2019, constatăm că, acesta nu are ca scop transpunerea directă a legislației UE relevante, dar creează cadrul juridic necesar aplicării actului UE pentru consolidarea cooperării administrative și a schimbului de informații între autoritățile naționale competente și Autoritatea Europeană a Muncii.</w:t>
            </w:r>
          </w:p>
        </w:tc>
        <w:tc>
          <w:tcPr>
            <w:tcW w:w="5880" w:type="dxa"/>
            <w:tcBorders>
              <w:bottom w:val="single" w:sz="4" w:space="0" w:color="000000"/>
            </w:tcBorders>
          </w:tcPr>
          <w:p w14:paraId="718379F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BE9D83C"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ia act.</w:t>
            </w:r>
          </w:p>
          <w:p w14:paraId="35194CF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6A9768B"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4E3586C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680DA7B"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484A9E7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1AEFA59"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0C71979"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1291B96"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31142129"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C48E94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442B0CC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42963E6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18E3F465"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C23826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94EC71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E37B79B"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1A8BACD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B71C34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65CCC69"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411AC7B7"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3B6C7CB7"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4BF94C06"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35E67053"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tc>
      </w:tr>
      <w:tr w:rsidR="0091081E" w14:paraId="7A4D7E2D" w14:textId="77777777">
        <w:trPr>
          <w:trHeight w:val="376"/>
        </w:trPr>
        <w:tc>
          <w:tcPr>
            <w:tcW w:w="555" w:type="dxa"/>
            <w:vMerge/>
          </w:tcPr>
          <w:p w14:paraId="36E7962C" w14:textId="77777777" w:rsidR="0091081E" w:rsidRDefault="0091081E">
            <w:pPr>
              <w:spacing w:line="240" w:lineRule="auto"/>
              <w:rPr>
                <w:rFonts w:ascii="Times New Roman" w:eastAsia="Times New Roman" w:hAnsi="Times New Roman" w:cs="Times New Roman"/>
                <w:b/>
                <w:bCs/>
              </w:rPr>
            </w:pPr>
          </w:p>
        </w:tc>
        <w:tc>
          <w:tcPr>
            <w:tcW w:w="2700" w:type="dxa"/>
            <w:vMerge/>
          </w:tcPr>
          <w:p w14:paraId="6D78D6A5"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4FCF6EC7"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1. Directiva 89/391/CEE a Consiliului din 12 iunie 1989</w:t>
            </w:r>
            <w:r>
              <w:rPr>
                <w:rFonts w:ascii="Times New Roman" w:eastAsia="Times New Roman" w:hAnsi="Times New Roman" w:cs="Times New Roman"/>
                <w:highlight w:val="white"/>
              </w:rPr>
              <w:t xml:space="preserve"> urmărește instituirea unui cadru unitar de măsuri pentru prevenirea riscurilor profesionale și protejarea sănătății lucrătorilor, prin responsabilizarea directă a angajatorilor în eliminarea factorilor de pericol la locul de muncă.</w:t>
            </w:r>
          </w:p>
          <w:p w14:paraId="63D9A56D" w14:textId="77777777" w:rsidR="0091081E"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a) Măsuri naționale de transpunere existente a Directivei 89/391/CEE</w:t>
            </w:r>
          </w:p>
          <w:p w14:paraId="2FAC3E56"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Directiva 89/391/CEE a Consiliului din 12 iunie 1989 a constituit obiect al transpunerii prin Legea securității și sănătății în muncă nr. 186/2008.</w:t>
            </w:r>
          </w:p>
          <w:p w14:paraId="7DE026C1" w14:textId="77777777" w:rsidR="0091081E"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b) Analiza comparativă a transpunerii dispozițiilor Directivei 89/391/CEE</w:t>
            </w:r>
          </w:p>
          <w:p w14:paraId="1B3BBF30"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ceea ce privește transpunerea Directivei 89/391/CEE, apreciem că proiectul național asigură transpunerea parțială a actului UE, conform celor constatate infra.</w:t>
            </w:r>
          </w:p>
          <w:p w14:paraId="5E225EB1"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prevederile prezentului proiect coroborate cu cele existente în Legea securității și sănătății în muncă nr. 186/2008, asigură transpunerea Directivei 89/391/CEE.</w:t>
            </w:r>
          </w:p>
          <w:p w14:paraId="6797865D"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Prevederile art. 6 „Obligații generale ale angajatorilor ”, art. 7 „Servicii de protecție și prevenire”, art. 8 „Primul-ajutor, stingerea incendiilor și evacuarea lucrătorilor, riscurile grave și imediate ”, art. 9 „Diverse obligații ale angajatorului ”, art. 10 „Informarea lucrătorilor” și art. 15 „Grupurile de risc” din actul UE, sunt transpuse parțial în Art. III, pct. 3 - 8 din proiectul național.</w:t>
            </w:r>
          </w:p>
          <w:p w14:paraId="3B0A845D"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Prevederile art. 17a „Rapoartele privind punerea în aplicare” din actul UE sunt transpuse în Art. III, pct. 9 - 10 din proiectul național.</w:t>
            </w:r>
          </w:p>
          <w:p w14:paraId="1D84B0D0" w14:textId="77777777" w:rsidR="0091081E"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c) Prevederi ale actului UE neaplicabile</w:t>
            </w:r>
          </w:p>
          <w:p w14:paraId="067FEAEA"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Dispozițiile art. 16 - 17, art. 18 - 19 și Anexei nu fac obiectul transpunerii, întrucât au caracter procedural-instituțional, vizând competențele de legiferare ale Consiliului și Comisiei, procedurile de cooperare între instituțiile UE sau sunt prevederi finale sau tranzitorii.</w:t>
            </w:r>
          </w:p>
        </w:tc>
        <w:tc>
          <w:tcPr>
            <w:tcW w:w="5880" w:type="dxa"/>
            <w:tcBorders>
              <w:bottom w:val="single" w:sz="4" w:space="0" w:color="000000"/>
            </w:tcBorders>
          </w:tcPr>
          <w:p w14:paraId="7463D43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4D05D0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88EA24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2F5310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3659C5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C2BE9E3"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0BB85DF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AFA996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ADC3D9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E32B726"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AA8ED9E"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6DB0A4C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CAF6DF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119A12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F49010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EB966E6"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9AD5AF9"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A87DEFF"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9829CA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2BF849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84F306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100060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8F41FF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87C513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44504DF"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6D8C0F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46EC6E6"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8D14E6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0B8BD92"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w:t>
            </w:r>
            <w:r>
              <w:rPr>
                <w:rFonts w:ascii="Times New Roman" w:eastAsia="Times New Roman" w:hAnsi="Times New Roman" w:cs="Times New Roman"/>
                <w:highlight w:val="white"/>
              </w:rPr>
              <w:t>(tabel de concordanță ajustat)</w:t>
            </w:r>
            <w:r>
              <w:rPr>
                <w:rFonts w:ascii="Times New Roman" w:eastAsia="Times New Roman" w:hAnsi="Times New Roman" w:cs="Times New Roman"/>
                <w:b/>
                <w:bCs/>
                <w:highlight w:val="white"/>
              </w:rPr>
              <w:t>.</w:t>
            </w:r>
          </w:p>
        </w:tc>
      </w:tr>
      <w:tr w:rsidR="0091081E" w14:paraId="44852653" w14:textId="77777777">
        <w:trPr>
          <w:trHeight w:val="376"/>
        </w:trPr>
        <w:tc>
          <w:tcPr>
            <w:tcW w:w="555" w:type="dxa"/>
            <w:vMerge/>
          </w:tcPr>
          <w:p w14:paraId="09EE732C" w14:textId="77777777" w:rsidR="0091081E" w:rsidRDefault="0091081E">
            <w:pPr>
              <w:spacing w:line="240" w:lineRule="auto"/>
              <w:rPr>
                <w:rFonts w:ascii="Times New Roman" w:eastAsia="Times New Roman" w:hAnsi="Times New Roman" w:cs="Times New Roman"/>
                <w:b/>
                <w:bCs/>
              </w:rPr>
            </w:pPr>
          </w:p>
        </w:tc>
        <w:tc>
          <w:tcPr>
            <w:tcW w:w="2700" w:type="dxa"/>
            <w:vMerge/>
          </w:tcPr>
          <w:p w14:paraId="1BC504FA"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705CA1D1"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2. Directiva 91/383/CEE Consiliului din 25 iunie 19</w:t>
            </w:r>
            <w:r>
              <w:rPr>
                <w:rFonts w:ascii="Times New Roman" w:eastAsia="Times New Roman" w:hAnsi="Times New Roman" w:cs="Times New Roman"/>
                <w:highlight w:val="white"/>
              </w:rPr>
              <w:t>91 urmărește să asigure lucrătorilor cu raporturi de muncă pe durată determinată sau temporară același nivel de protecție a securității și sănătății la locul de muncă precum cel de care beneficiază ceilalți lucrători din unitatea utilizatoare.</w:t>
            </w:r>
          </w:p>
          <w:p w14:paraId="2CB8B534" w14:textId="77777777" w:rsidR="0091081E"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a) Măsuri naționale de transpunere existente a Directivei 91/383/CEE</w:t>
            </w:r>
          </w:p>
          <w:p w14:paraId="450C637B"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Directiva 91/383/CEE Consiliului din 25 iunie 1991 a constituit obiect al transpunerii prin Legea securității și sănătății în muncă nr. 186/2008.</w:t>
            </w:r>
          </w:p>
          <w:p w14:paraId="07514C7D" w14:textId="77777777" w:rsidR="0091081E"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b) Analiza comparativă a transpunerii dispozițiilor Directivei 91/383/CEE</w:t>
            </w:r>
          </w:p>
          <w:p w14:paraId="54F012FA"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ceea ce privește transpunerea Directivei 91/383/CEE, apreciem că proiectul național asigură transpunerea parțială a actului UE, conform celor constatate infra.</w:t>
            </w:r>
          </w:p>
          <w:p w14:paraId="1914EA2C"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prevederile prezentului proiect coroborate cu cele existente în Legea securității și sănătății în muncă nr. 186/2008, asigură transpunerea Directivei 91/383/CEE.</w:t>
            </w:r>
          </w:p>
          <w:p w14:paraId="52685C4C"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Prevederile art. 6 „Servicii de protecție și de prevenire” din actul UE sunt transpuse parțial în Art. III, pct. 4 din proiectul național.</w:t>
            </w:r>
          </w:p>
          <w:p w14:paraId="08A99FF0"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Prevederile art. 10a „Raportul privind punerea în aplicare” din actul UE sunt transpuse în Art. III, pct. 9 - 10 din proiectul național.</w:t>
            </w:r>
          </w:p>
          <w:p w14:paraId="6E6962DF" w14:textId="77777777" w:rsidR="0091081E"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c) Prevederi ale actului UE neaplicabile</w:t>
            </w:r>
          </w:p>
          <w:p w14:paraId="5C02F70D"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Dispozițiile art. 9 - 10 și art. 11 nu fac obiectul transpunerii, întrucât au caracter procedural-instituțional, vizând raportul juridic dintre statul membru și Uniunea Europeană, sau constituie prevederi finale și de implementare administrativă care nu generează drepturi sau obligații directe pentru subiecții de drept intern.</w:t>
            </w:r>
          </w:p>
        </w:tc>
        <w:tc>
          <w:tcPr>
            <w:tcW w:w="5880" w:type="dxa"/>
            <w:tcBorders>
              <w:bottom w:val="single" w:sz="4" w:space="0" w:color="000000"/>
            </w:tcBorders>
          </w:tcPr>
          <w:p w14:paraId="78CC993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C1FD276"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BD9EB4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224110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CAD4A2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F0183A5"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8242F8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F3F242D"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345BDB05"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2EE0E4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1A6B43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35CE745"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E20FF8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2F6F5F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746F977"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8DD4A48"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5C779654"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2CEFD3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9D4112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7A1C7A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4760387"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E72170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9EB32B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F05DDB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F178EA5"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5C82F9F"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BD7E551"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 xml:space="preserve">Se acceptă </w:t>
            </w:r>
            <w:r>
              <w:rPr>
                <w:rFonts w:ascii="Times New Roman" w:eastAsia="Times New Roman" w:hAnsi="Times New Roman" w:cs="Times New Roman"/>
                <w:highlight w:val="white"/>
              </w:rPr>
              <w:t>(tabel de concordanță ajustat)</w:t>
            </w:r>
            <w:r>
              <w:rPr>
                <w:rFonts w:ascii="Times New Roman" w:eastAsia="Times New Roman" w:hAnsi="Times New Roman" w:cs="Times New Roman"/>
                <w:b/>
                <w:bCs/>
                <w:highlight w:val="white"/>
              </w:rPr>
              <w:t>.</w:t>
            </w:r>
          </w:p>
        </w:tc>
      </w:tr>
      <w:tr w:rsidR="0091081E" w14:paraId="73B1EFF0" w14:textId="77777777">
        <w:trPr>
          <w:trHeight w:val="376"/>
        </w:trPr>
        <w:tc>
          <w:tcPr>
            <w:tcW w:w="555" w:type="dxa"/>
            <w:vMerge/>
          </w:tcPr>
          <w:p w14:paraId="431C0615" w14:textId="77777777" w:rsidR="0091081E" w:rsidRDefault="0091081E">
            <w:pPr>
              <w:spacing w:line="240" w:lineRule="auto"/>
              <w:rPr>
                <w:rFonts w:ascii="Times New Roman" w:eastAsia="Times New Roman" w:hAnsi="Times New Roman" w:cs="Times New Roman"/>
                <w:b/>
                <w:bCs/>
              </w:rPr>
            </w:pPr>
          </w:p>
        </w:tc>
        <w:tc>
          <w:tcPr>
            <w:tcW w:w="2700" w:type="dxa"/>
            <w:vMerge/>
          </w:tcPr>
          <w:p w14:paraId="25223BDB"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2D5F0D70"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Directiva 92/85/CEE a Consiliului din 19 octombrie 1992 urmărește implementarea unor standarde minime de protecție a sănătății și securității la locul de muncă pentru lucrătoarele gravide, care au născut de curând sau care alăptează, garantându-le acestora drepturi specifice privind concediul de maternitate și protecția împotriva concedierii.</w:t>
            </w:r>
          </w:p>
          <w:p w14:paraId="3293431A" w14:textId="77777777" w:rsidR="0091081E"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a) Măsuri naționale de transpunere existente a Directivei 92/85/CEE</w:t>
            </w:r>
          </w:p>
          <w:p w14:paraId="568205E0"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Directiva 92/85/CEE a Consiliului din 19 octombrie 1992 a constituit obiect al transpunerii prin:</w:t>
            </w:r>
          </w:p>
          <w:p w14:paraId="55283C83"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Codul Muncii nr. 154/2003;</w:t>
            </w:r>
          </w:p>
          <w:p w14:paraId="03A65B24"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2. Legea securității și sănătății în muncă nr. 186/2008;</w:t>
            </w:r>
          </w:p>
          <w:p w14:paraId="2003169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3. HG nr. 1408/2016 privind Cerințele minime de securitate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sănătate în muncă pentru protecția salariatelor gravide, care au născut de curând sau care alăptează;</w:t>
            </w:r>
          </w:p>
          <w:p w14:paraId="3187A17D"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4. HG nr.1079/2023 pentru aprobarea Regulamentului sanitar cu privire la supravegherea sănătății lucrătorilor, Anexa nr. 1;</w:t>
            </w:r>
          </w:p>
          <w:p w14:paraId="3B4AF614"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5. HG nr.639/2024 pentru aprobarea Regulamentului privind protecția lucrătorilor împotriva riscurilor legate de expunerea la agenți biologici la locul de muncă;</w:t>
            </w:r>
          </w:p>
          <w:p w14:paraId="45CF238C"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6. HG nr.640/2024 pentru aprobarea Regulamentului privind protecția sănătății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securității lucrătorilor împotriva riscurilor legate de prezența agenților chimici la locul de muncă.</w:t>
            </w:r>
          </w:p>
          <w:p w14:paraId="36939A3C" w14:textId="77777777" w:rsidR="0091081E"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b) Analiza comparativă a transpunerii dispozițiilor Directivei 92/85/CEE</w:t>
            </w:r>
          </w:p>
          <w:p w14:paraId="5790CA9C"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ceea ce privește transpunerea Directivei 92/85/CEE, apreciem că proiectul național asigură transpunerea parțială a actului UE, conform celor constatate infra.</w:t>
            </w:r>
          </w:p>
          <w:p w14:paraId="68B9A234"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Totodată, prevederile prezentului proiect coroborate cu cele existente în actele indicate mai sus, asigură transpunerea Directivei 92/85/CEE.</w:t>
            </w:r>
          </w:p>
          <w:p w14:paraId="3490956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Prevederile art. 9 „Acordarea de dispense pentru consultații prenatale” din actul UE sunt transpuse în Art. II, pct. 2 și pct. 8 din proiectul național.</w:t>
            </w:r>
          </w:p>
          <w:p w14:paraId="29C1966C" w14:textId="77777777" w:rsidR="0091081E"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d) Prevederi ale actului UE neaplicabile</w:t>
            </w:r>
          </w:p>
          <w:p w14:paraId="02B47193"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Dispozițiile art. 3, art. 13-15 și Declarația anexată nu fac obiectul transpunerii, întrucât au caracter procedural-instituțional, vizând competențele de legiferare ale Comisiei și Consiliului, procedurile de delegare și urgență specifice UE, sunt atribuții exclusive ale Comisiei sau sunt prevederi finale și interpretative.</w:t>
            </w:r>
          </w:p>
          <w:p w14:paraId="5F75BAB0"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acest sens, cu referire la art. 3 din actul UE, informația de la compartimentul 9 al tabelului de concordanță urmează a fi exclusă, cu indicarea la compartimentul 8 a calificativului „Prevederi UE neaplicabile”.</w:t>
            </w:r>
          </w:p>
        </w:tc>
        <w:tc>
          <w:tcPr>
            <w:tcW w:w="5880" w:type="dxa"/>
            <w:tcBorders>
              <w:bottom w:val="single" w:sz="4" w:space="0" w:color="000000"/>
            </w:tcBorders>
          </w:tcPr>
          <w:p w14:paraId="4287EB2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355E3C7"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1103F9B"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764EFF5"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6564AE4"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783F235"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BEFABE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4A19B4B"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6CF942A"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1473FC4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0A214B9"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501CA6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0BDEEE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18259C7"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0BADC9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BAC862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4A2AFE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043EE5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91A5D6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37D6F2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E1D793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BBF20B9"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E571D77"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F124A47"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BB85CC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ACC607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D9C8539"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08AFC21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9B497EF"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035878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09D793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43F589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D378B6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6EAC3E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7697F0F"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53C20B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EBFE426"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parțial. </w:t>
            </w:r>
          </w:p>
          <w:p w14:paraId="62A04D36"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(doar pentru alin (1)) propunerea referitoare la articolul 3 din Actul UE (pct. 3 </w:t>
            </w:r>
            <w:proofErr w:type="spellStart"/>
            <w:r>
              <w:rPr>
                <w:rFonts w:ascii="Times New Roman" w:eastAsia="Times New Roman" w:hAnsi="Times New Roman" w:cs="Times New Roman"/>
                <w:highlight w:val="white"/>
              </w:rPr>
              <w:t>lit</w:t>
            </w:r>
            <w:proofErr w:type="spellEnd"/>
            <w:r>
              <w:rPr>
                <w:rFonts w:ascii="Times New Roman" w:eastAsia="Times New Roman" w:hAnsi="Times New Roman" w:cs="Times New Roman"/>
                <w:highlight w:val="white"/>
              </w:rPr>
              <w:t xml:space="preserve"> d) din Aviz).</w:t>
            </w:r>
          </w:p>
          <w:p w14:paraId="3ABEEE6E"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tabelul de concordanță la Articolul 3 alin (1) în compartimentul 8 este inclus calificativul „Prevederi UE neaplicabile”, iar informația din compartimentul 9 este exclusă.  </w:t>
            </w:r>
          </w:p>
          <w:p w14:paraId="49CDB55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tc>
      </w:tr>
      <w:tr w:rsidR="0091081E" w14:paraId="76912631" w14:textId="77777777">
        <w:trPr>
          <w:trHeight w:val="376"/>
        </w:trPr>
        <w:tc>
          <w:tcPr>
            <w:tcW w:w="555" w:type="dxa"/>
            <w:vMerge/>
          </w:tcPr>
          <w:p w14:paraId="0C4ED2A3" w14:textId="77777777" w:rsidR="0091081E" w:rsidRDefault="0091081E">
            <w:pPr>
              <w:spacing w:line="240" w:lineRule="auto"/>
              <w:rPr>
                <w:rFonts w:ascii="Times New Roman" w:eastAsia="Times New Roman" w:hAnsi="Times New Roman" w:cs="Times New Roman"/>
                <w:b/>
                <w:bCs/>
              </w:rPr>
            </w:pPr>
          </w:p>
        </w:tc>
        <w:tc>
          <w:tcPr>
            <w:tcW w:w="2700" w:type="dxa"/>
            <w:vMerge/>
          </w:tcPr>
          <w:p w14:paraId="46F361D9"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01FDA93D"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4. Directiva 2000/43/CE a Consiliului din 29 iunie 2000 urmărește combaterea discriminării pe criterii de rasă sau origine etnică prin stabilirea unui cadru minim de protecție legală egală în toate statele membre UE, aplicabil în domenii precum ocuparea forței de muncă, educația și serviciile sociale.</w:t>
            </w:r>
          </w:p>
          <w:p w14:paraId="7B522FB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Măsuri naționale de transpunere existente a Directivei 2000/43/CE</w:t>
            </w:r>
          </w:p>
          <w:p w14:paraId="1AFEA123"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Directiva 2000/43/CE a Consiliului din 12 iunie 1989 a constituit obiect al transpunerii parțiale prin:</w:t>
            </w:r>
          </w:p>
          <w:p w14:paraId="357871BD"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Constituția Republicii Moldova;</w:t>
            </w:r>
          </w:p>
          <w:p w14:paraId="68B03813"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2. Hotărârea Parlamentului Republicii Moldova nr. 593-XIII din 26 septembrie 1995;</w:t>
            </w:r>
          </w:p>
          <w:p w14:paraId="4B6417A1"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Codul Penal nr. 985/2002;</w:t>
            </w:r>
          </w:p>
          <w:p w14:paraId="59EB5673"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4. Codul civil nr. 1107/2002;</w:t>
            </w:r>
          </w:p>
          <w:p w14:paraId="34606740"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5. Codul Muncii nr. 154/2003;</w:t>
            </w:r>
          </w:p>
          <w:p w14:paraId="7165C42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6. Codul de procedură civilă nr. 225/2003;</w:t>
            </w:r>
          </w:p>
          <w:p w14:paraId="68243948"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7. Codul Contravențional nr. 218/2008;</w:t>
            </w:r>
          </w:p>
          <w:p w14:paraId="50B662E3"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8. Codul Educației nr.152 /2014;</w:t>
            </w:r>
          </w:p>
          <w:p w14:paraId="7FFC6F3C"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9. Codul administrativ nr. 116/2018;</w:t>
            </w:r>
          </w:p>
          <w:p w14:paraId="124449A9"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10. Legea ocrotirii </w:t>
            </w:r>
            <w:proofErr w:type="spellStart"/>
            <w:r>
              <w:rPr>
                <w:rFonts w:ascii="Times New Roman" w:eastAsia="Times New Roman" w:hAnsi="Times New Roman" w:cs="Times New Roman"/>
                <w:highlight w:val="white"/>
              </w:rPr>
              <w:t>sănătăţii</w:t>
            </w:r>
            <w:proofErr w:type="spellEnd"/>
            <w:r>
              <w:rPr>
                <w:rFonts w:ascii="Times New Roman" w:eastAsia="Times New Roman" w:hAnsi="Times New Roman" w:cs="Times New Roman"/>
                <w:highlight w:val="white"/>
              </w:rPr>
              <w:t xml:space="preserve"> nr. 411/1995;</w:t>
            </w:r>
          </w:p>
          <w:p w14:paraId="60CA8B6B"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11. Legea privind sistemul public de asigurări sociale nr. 489/1999;</w:t>
            </w:r>
          </w:p>
          <w:p w14:paraId="55537C75"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12. Legea Patronatelor nr. 976/2000;</w:t>
            </w:r>
          </w:p>
          <w:p w14:paraId="7EDA869E"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13. Legea Sindicatelor nr. 1129/2000;</w:t>
            </w:r>
          </w:p>
          <w:p w14:paraId="206B4DBE"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14. Legea privind Inspectoratul de Stat al Muncii nr. 140/2001;</w:t>
            </w:r>
          </w:p>
          <w:p w14:paraId="4F922CB1"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15. Legea nr. 382/2001 cu privire la drepturile persoanelor aparținând </w:t>
            </w:r>
            <w:proofErr w:type="spellStart"/>
            <w:r>
              <w:rPr>
                <w:rFonts w:ascii="Times New Roman" w:eastAsia="Times New Roman" w:hAnsi="Times New Roman" w:cs="Times New Roman"/>
                <w:highlight w:val="white"/>
              </w:rPr>
              <w:t>minorităţilor</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naţionale</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la statutul juridic al </w:t>
            </w:r>
            <w:proofErr w:type="spellStart"/>
            <w:r>
              <w:rPr>
                <w:rFonts w:ascii="Times New Roman" w:eastAsia="Times New Roman" w:hAnsi="Times New Roman" w:cs="Times New Roman"/>
                <w:highlight w:val="white"/>
              </w:rPr>
              <w:t>organizaţiilor</w:t>
            </w:r>
            <w:proofErr w:type="spellEnd"/>
            <w:r>
              <w:rPr>
                <w:rFonts w:ascii="Times New Roman" w:eastAsia="Times New Roman" w:hAnsi="Times New Roman" w:cs="Times New Roman"/>
                <w:highlight w:val="white"/>
              </w:rPr>
              <w:t xml:space="preserve"> lor;</w:t>
            </w:r>
          </w:p>
          <w:p w14:paraId="35C964C2"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16. Legea nr. 245/2006 privind organizarea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funcţionarea</w:t>
            </w:r>
            <w:proofErr w:type="spellEnd"/>
            <w:r>
              <w:rPr>
                <w:rFonts w:ascii="Times New Roman" w:eastAsia="Times New Roman" w:hAnsi="Times New Roman" w:cs="Times New Roman"/>
                <w:highlight w:val="white"/>
              </w:rPr>
              <w:t xml:space="preserve"> Comisiei </w:t>
            </w:r>
            <w:proofErr w:type="spellStart"/>
            <w:r>
              <w:rPr>
                <w:rFonts w:ascii="Times New Roman" w:eastAsia="Times New Roman" w:hAnsi="Times New Roman" w:cs="Times New Roman"/>
                <w:highlight w:val="white"/>
              </w:rPr>
              <w:t>naţionale</w:t>
            </w:r>
            <w:proofErr w:type="spellEnd"/>
            <w:r>
              <w:rPr>
                <w:rFonts w:ascii="Times New Roman" w:eastAsia="Times New Roman" w:hAnsi="Times New Roman" w:cs="Times New Roman"/>
                <w:highlight w:val="white"/>
              </w:rPr>
              <w:t xml:space="preserve"> pentru consultări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negocieri colective, a comisiilor pentru consultări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negocieri colective la nivel de ramură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la nivel teritorial;</w:t>
            </w:r>
          </w:p>
          <w:p w14:paraId="0A2B33E2"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17. Legea nr. 133/2008 cu privire la ajutorul social;</w:t>
            </w:r>
          </w:p>
          <w:p w14:paraId="36720A91"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18. Legea nr. 158/2008 cu privire la funcția publică și statutul funcționarului public;</w:t>
            </w:r>
          </w:p>
          <w:p w14:paraId="500C2F9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19. Legea nr. 239/2008 privind </w:t>
            </w:r>
            <w:proofErr w:type="spellStart"/>
            <w:r>
              <w:rPr>
                <w:rFonts w:ascii="Times New Roman" w:eastAsia="Times New Roman" w:hAnsi="Times New Roman" w:cs="Times New Roman"/>
                <w:highlight w:val="white"/>
              </w:rPr>
              <w:t>transparenţa</w:t>
            </w:r>
            <w:proofErr w:type="spellEnd"/>
            <w:r>
              <w:rPr>
                <w:rFonts w:ascii="Times New Roman" w:eastAsia="Times New Roman" w:hAnsi="Times New Roman" w:cs="Times New Roman"/>
                <w:highlight w:val="white"/>
              </w:rPr>
              <w:t xml:space="preserve"> în procesul decizional;</w:t>
            </w:r>
          </w:p>
          <w:p w14:paraId="7E8BC385"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20. Legea nr. 123/2010 cu privire la serviciile sociale;</w:t>
            </w:r>
          </w:p>
          <w:p w14:paraId="52D8C093"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21. Legea nr. 121/2012 cu privire la asigurarea egalității;</w:t>
            </w:r>
          </w:p>
          <w:p w14:paraId="60609999"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22. Legea nr. 298/2012 cu privire la activitatea Consiliului pentru egalitate;</w:t>
            </w:r>
          </w:p>
          <w:p w14:paraId="74F16662"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23. Legea nr. 52/2014 cu privire la Avocatul Poporului (Ombudsmanul);</w:t>
            </w:r>
          </w:p>
          <w:p w14:paraId="6BF1BBB4"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24. Lege cu privire la </w:t>
            </w:r>
            <w:proofErr w:type="spellStart"/>
            <w:r>
              <w:rPr>
                <w:rFonts w:ascii="Times New Roman" w:eastAsia="Times New Roman" w:hAnsi="Times New Roman" w:cs="Times New Roman"/>
                <w:highlight w:val="white"/>
              </w:rPr>
              <w:t>locuinţe</w:t>
            </w:r>
            <w:proofErr w:type="spellEnd"/>
            <w:r>
              <w:rPr>
                <w:rFonts w:ascii="Times New Roman" w:eastAsia="Times New Roman" w:hAnsi="Times New Roman" w:cs="Times New Roman"/>
                <w:highlight w:val="white"/>
              </w:rPr>
              <w:t xml:space="preserve"> nr. 75/2015;</w:t>
            </w:r>
          </w:p>
          <w:p w14:paraId="33BADD34"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25. Legea nr. 105/2018 cu privire la promovarea ocupării </w:t>
            </w:r>
            <w:proofErr w:type="spellStart"/>
            <w:r>
              <w:rPr>
                <w:rFonts w:ascii="Times New Roman" w:eastAsia="Times New Roman" w:hAnsi="Times New Roman" w:cs="Times New Roman"/>
                <w:highlight w:val="white"/>
              </w:rPr>
              <w:t>forţei</w:t>
            </w:r>
            <w:proofErr w:type="spellEnd"/>
            <w:r>
              <w:rPr>
                <w:rFonts w:ascii="Times New Roman" w:eastAsia="Times New Roman" w:hAnsi="Times New Roman" w:cs="Times New Roman"/>
                <w:highlight w:val="white"/>
              </w:rPr>
              <w:t xml:space="preserve"> de muncă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asigurarea de șomaj;</w:t>
            </w:r>
          </w:p>
          <w:p w14:paraId="22C4F4A0"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26. Legea nr. 148/2023 privind accesul la </w:t>
            </w:r>
            <w:proofErr w:type="spellStart"/>
            <w:r>
              <w:rPr>
                <w:rFonts w:ascii="Times New Roman" w:eastAsia="Times New Roman" w:hAnsi="Times New Roman" w:cs="Times New Roman"/>
                <w:highlight w:val="white"/>
              </w:rPr>
              <w:t>informaţiile</w:t>
            </w:r>
            <w:proofErr w:type="spellEnd"/>
            <w:r>
              <w:rPr>
                <w:rFonts w:ascii="Times New Roman" w:eastAsia="Times New Roman" w:hAnsi="Times New Roman" w:cs="Times New Roman"/>
                <w:highlight w:val="white"/>
              </w:rPr>
              <w:t xml:space="preserve"> de interes public;</w:t>
            </w:r>
          </w:p>
          <w:p w14:paraId="78E964B4"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27. HG nr. 11/2010 cu privire la crearea Consiliului </w:t>
            </w:r>
            <w:proofErr w:type="spellStart"/>
            <w:r>
              <w:rPr>
                <w:rFonts w:ascii="Times New Roman" w:eastAsia="Times New Roman" w:hAnsi="Times New Roman" w:cs="Times New Roman"/>
                <w:highlight w:val="white"/>
              </w:rPr>
              <w:t>Naţional</w:t>
            </w:r>
            <w:proofErr w:type="spellEnd"/>
            <w:r>
              <w:rPr>
                <w:rFonts w:ascii="Times New Roman" w:eastAsia="Times New Roman" w:hAnsi="Times New Roman" w:cs="Times New Roman"/>
                <w:highlight w:val="white"/>
              </w:rPr>
              <w:t xml:space="preserve"> pentru Participare.</w:t>
            </w:r>
          </w:p>
          <w:p w14:paraId="2CC951A4" w14:textId="77777777" w:rsidR="0091081E"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b) Analiza comparativă a transpunerii dispozițiilor Directivei 2000/43/CE</w:t>
            </w:r>
          </w:p>
          <w:p w14:paraId="424DCAFB"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În ceea ce privește transpunerea Directivei 2000/43/CE, apreciem că proiectul național asigură transpunerea parțială a actului UE, conform celor constatate infra.</w:t>
            </w:r>
          </w:p>
          <w:p w14:paraId="3D70E72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Prevederile art. 3 „Domeniul de aplicare”, art. 4 „Cerințe profesionale reale și determinante”, art. 11 „Dialogul social” din actul UE sunt transpuse parțial în Art. II, pct. 3, 4 și 6 din proiectul național.</w:t>
            </w:r>
          </w:p>
          <w:p w14:paraId="2F61D469"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vă informăm că, prin art. 23 din Directiva (UE) 2024/1499 (privind standardele pentru organismele de egalitate) se elimină (abrogă) începând cu data de 19 iunie 2026 întreg Capitolul III (Articolul 13) din Directiva 2000/43/CE. Art. 13 din Directiva 2000/43/CE stabilește cerințele minime pentru „organismele de promovare a egalității” (desemnare, asistență pentru victime, studii și rapoarte independente). Aceste norme nu dispar din dreptul UE, ci sunt înlocuite și consolidate de standarde mai ridicate prevăzute de noua Directivă (UE) 2024/1499.</w:t>
            </w:r>
          </w:p>
          <w:p w14:paraId="571E8DEB" w14:textId="77777777" w:rsidR="0091081E"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c) Obiecții privind compatibilitatea cu Directiva 2000/43/CE</w:t>
            </w:r>
          </w:p>
          <w:p w14:paraId="4A375F0A"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impune transpunerea de proiectul național a art. 17 (1) din Directiva 2000/43/CE, care prevede obligația de raportare a statelor membre către Comisia Europeană, o dată la 5 ani, a măsurilor adoptate și a stadiului implementării prevederilor directivei, cu punerea în aplicare a acestuia din data aderării la UE, având ca obiectiv prima raportare în termen de 5 ani de la data aderării la UE.</w:t>
            </w:r>
          </w:p>
          <w:p w14:paraId="4945E756" w14:textId="77777777" w:rsidR="0091081E" w:rsidRDefault="0091081E">
            <w:pPr>
              <w:spacing w:line="240" w:lineRule="auto"/>
              <w:ind w:firstLine="284"/>
              <w:jc w:val="both"/>
              <w:rPr>
                <w:rFonts w:ascii="Times New Roman" w:eastAsia="Times New Roman" w:hAnsi="Times New Roman" w:cs="Times New Roman"/>
                <w:highlight w:val="white"/>
              </w:rPr>
            </w:pPr>
          </w:p>
          <w:p w14:paraId="19C8ACE1" w14:textId="77777777" w:rsidR="0091081E" w:rsidRDefault="0091081E">
            <w:pPr>
              <w:spacing w:line="240" w:lineRule="auto"/>
              <w:ind w:firstLine="284"/>
              <w:jc w:val="both"/>
              <w:rPr>
                <w:rFonts w:ascii="Times New Roman" w:eastAsia="Times New Roman" w:hAnsi="Times New Roman" w:cs="Times New Roman"/>
                <w:highlight w:val="white"/>
              </w:rPr>
            </w:pPr>
          </w:p>
          <w:p w14:paraId="429CF706" w14:textId="77777777" w:rsidR="0091081E" w:rsidRDefault="0091081E">
            <w:pPr>
              <w:spacing w:line="240" w:lineRule="auto"/>
              <w:ind w:firstLine="284"/>
              <w:jc w:val="both"/>
              <w:rPr>
                <w:rFonts w:ascii="Times New Roman" w:eastAsia="Times New Roman" w:hAnsi="Times New Roman" w:cs="Times New Roman"/>
                <w:highlight w:val="white"/>
              </w:rPr>
            </w:pPr>
          </w:p>
          <w:p w14:paraId="1ABD7F5E" w14:textId="77777777" w:rsidR="0091081E" w:rsidRDefault="0091081E">
            <w:pPr>
              <w:spacing w:line="240" w:lineRule="auto"/>
              <w:ind w:firstLine="284"/>
              <w:jc w:val="both"/>
              <w:rPr>
                <w:rFonts w:ascii="Times New Roman" w:eastAsia="Times New Roman" w:hAnsi="Times New Roman" w:cs="Times New Roman"/>
                <w:highlight w:val="white"/>
              </w:rPr>
            </w:pPr>
          </w:p>
          <w:p w14:paraId="72CBF8FC" w14:textId="77777777" w:rsidR="0091081E" w:rsidRDefault="0091081E">
            <w:pPr>
              <w:spacing w:line="240" w:lineRule="auto"/>
              <w:ind w:firstLine="284"/>
              <w:jc w:val="both"/>
              <w:rPr>
                <w:rFonts w:ascii="Times New Roman" w:eastAsia="Times New Roman" w:hAnsi="Times New Roman" w:cs="Times New Roman"/>
                <w:highlight w:val="white"/>
              </w:rPr>
            </w:pPr>
          </w:p>
          <w:p w14:paraId="161BD276" w14:textId="77777777" w:rsidR="0091081E" w:rsidRDefault="0091081E">
            <w:pPr>
              <w:spacing w:line="240" w:lineRule="auto"/>
              <w:ind w:firstLine="284"/>
              <w:jc w:val="both"/>
              <w:rPr>
                <w:rFonts w:ascii="Times New Roman" w:eastAsia="Times New Roman" w:hAnsi="Times New Roman" w:cs="Times New Roman"/>
                <w:highlight w:val="white"/>
              </w:rPr>
            </w:pPr>
          </w:p>
          <w:p w14:paraId="4465B689" w14:textId="77777777" w:rsidR="0091081E" w:rsidRDefault="0091081E">
            <w:pPr>
              <w:spacing w:line="240" w:lineRule="auto"/>
              <w:ind w:firstLine="284"/>
              <w:jc w:val="both"/>
              <w:rPr>
                <w:rFonts w:ascii="Times New Roman" w:eastAsia="Times New Roman" w:hAnsi="Times New Roman" w:cs="Times New Roman"/>
                <w:highlight w:val="white"/>
              </w:rPr>
            </w:pPr>
          </w:p>
          <w:p w14:paraId="0D186C0E" w14:textId="77777777" w:rsidR="0091081E" w:rsidRDefault="0091081E">
            <w:pPr>
              <w:spacing w:line="240" w:lineRule="auto"/>
              <w:ind w:firstLine="284"/>
              <w:jc w:val="both"/>
              <w:rPr>
                <w:rFonts w:ascii="Times New Roman" w:eastAsia="Times New Roman" w:hAnsi="Times New Roman" w:cs="Times New Roman"/>
                <w:highlight w:val="white"/>
              </w:rPr>
            </w:pPr>
          </w:p>
          <w:p w14:paraId="7CF61718" w14:textId="77777777" w:rsidR="0091081E" w:rsidRDefault="0091081E">
            <w:pPr>
              <w:spacing w:line="240" w:lineRule="auto"/>
              <w:ind w:firstLine="284"/>
              <w:jc w:val="both"/>
              <w:rPr>
                <w:rFonts w:ascii="Times New Roman" w:eastAsia="Times New Roman" w:hAnsi="Times New Roman" w:cs="Times New Roman"/>
                <w:highlight w:val="white"/>
              </w:rPr>
            </w:pPr>
          </w:p>
          <w:p w14:paraId="07E0F4E6" w14:textId="77777777" w:rsidR="0091081E" w:rsidRDefault="0091081E">
            <w:pPr>
              <w:spacing w:line="240" w:lineRule="auto"/>
              <w:ind w:firstLine="284"/>
              <w:jc w:val="both"/>
              <w:rPr>
                <w:rFonts w:ascii="Times New Roman" w:eastAsia="Times New Roman" w:hAnsi="Times New Roman" w:cs="Times New Roman"/>
                <w:highlight w:val="white"/>
              </w:rPr>
            </w:pPr>
          </w:p>
          <w:p w14:paraId="5C1FD4B9" w14:textId="77777777" w:rsidR="0091081E" w:rsidRDefault="0091081E">
            <w:pPr>
              <w:spacing w:line="240" w:lineRule="auto"/>
              <w:ind w:firstLine="284"/>
              <w:jc w:val="both"/>
              <w:rPr>
                <w:rFonts w:ascii="Times New Roman" w:eastAsia="Times New Roman" w:hAnsi="Times New Roman" w:cs="Times New Roman"/>
                <w:highlight w:val="white"/>
              </w:rPr>
            </w:pPr>
          </w:p>
          <w:p w14:paraId="4C30ADC0" w14:textId="77777777" w:rsidR="0091081E" w:rsidRDefault="0091081E">
            <w:pPr>
              <w:spacing w:line="240" w:lineRule="auto"/>
              <w:ind w:firstLine="284"/>
              <w:jc w:val="both"/>
              <w:rPr>
                <w:rFonts w:ascii="Times New Roman" w:eastAsia="Times New Roman" w:hAnsi="Times New Roman" w:cs="Times New Roman"/>
                <w:highlight w:val="white"/>
              </w:rPr>
            </w:pPr>
          </w:p>
          <w:p w14:paraId="028671D9" w14:textId="77777777" w:rsidR="0091081E" w:rsidRDefault="0091081E">
            <w:pPr>
              <w:spacing w:line="240" w:lineRule="auto"/>
              <w:ind w:firstLine="284"/>
              <w:jc w:val="both"/>
              <w:rPr>
                <w:rFonts w:ascii="Times New Roman" w:eastAsia="Times New Roman" w:hAnsi="Times New Roman" w:cs="Times New Roman"/>
                <w:highlight w:val="white"/>
              </w:rPr>
            </w:pPr>
          </w:p>
          <w:p w14:paraId="7ACA562A" w14:textId="77777777" w:rsidR="0091081E" w:rsidRDefault="0091081E">
            <w:pPr>
              <w:spacing w:line="240" w:lineRule="auto"/>
              <w:ind w:firstLine="284"/>
              <w:jc w:val="both"/>
              <w:rPr>
                <w:rFonts w:ascii="Times New Roman" w:eastAsia="Times New Roman" w:hAnsi="Times New Roman" w:cs="Times New Roman"/>
                <w:highlight w:val="white"/>
              </w:rPr>
            </w:pPr>
          </w:p>
          <w:p w14:paraId="3F587C47" w14:textId="77777777" w:rsidR="0091081E" w:rsidRDefault="0091081E">
            <w:pPr>
              <w:spacing w:line="240" w:lineRule="auto"/>
              <w:ind w:firstLine="284"/>
              <w:jc w:val="both"/>
              <w:rPr>
                <w:rFonts w:ascii="Times New Roman" w:eastAsia="Times New Roman" w:hAnsi="Times New Roman" w:cs="Times New Roman"/>
                <w:highlight w:val="white"/>
              </w:rPr>
            </w:pPr>
          </w:p>
          <w:p w14:paraId="40A4734E" w14:textId="77777777" w:rsidR="0091081E" w:rsidRDefault="0091081E">
            <w:pPr>
              <w:spacing w:line="240" w:lineRule="auto"/>
              <w:ind w:firstLine="284"/>
              <w:jc w:val="both"/>
              <w:rPr>
                <w:rFonts w:ascii="Times New Roman" w:eastAsia="Times New Roman" w:hAnsi="Times New Roman" w:cs="Times New Roman"/>
                <w:highlight w:val="white"/>
              </w:rPr>
            </w:pPr>
          </w:p>
          <w:p w14:paraId="7FE8440F" w14:textId="77777777" w:rsidR="0091081E" w:rsidRDefault="0091081E">
            <w:pPr>
              <w:spacing w:line="240" w:lineRule="auto"/>
              <w:ind w:firstLine="284"/>
              <w:jc w:val="both"/>
              <w:rPr>
                <w:rFonts w:ascii="Times New Roman" w:eastAsia="Times New Roman" w:hAnsi="Times New Roman" w:cs="Times New Roman"/>
                <w:highlight w:val="white"/>
              </w:rPr>
            </w:pPr>
          </w:p>
          <w:p w14:paraId="0C87F3A8" w14:textId="77777777" w:rsidR="0091081E" w:rsidRDefault="0091081E">
            <w:pPr>
              <w:spacing w:line="240" w:lineRule="auto"/>
              <w:ind w:firstLine="284"/>
              <w:jc w:val="both"/>
              <w:rPr>
                <w:rFonts w:ascii="Times New Roman" w:eastAsia="Times New Roman" w:hAnsi="Times New Roman" w:cs="Times New Roman"/>
                <w:highlight w:val="white"/>
              </w:rPr>
            </w:pPr>
          </w:p>
          <w:p w14:paraId="569B1F6A" w14:textId="77777777" w:rsidR="0091081E" w:rsidRDefault="0091081E">
            <w:pPr>
              <w:spacing w:line="240" w:lineRule="auto"/>
              <w:ind w:firstLine="284"/>
              <w:jc w:val="both"/>
              <w:rPr>
                <w:rFonts w:ascii="Times New Roman" w:eastAsia="Times New Roman" w:hAnsi="Times New Roman" w:cs="Times New Roman"/>
                <w:highlight w:val="white"/>
              </w:rPr>
            </w:pPr>
          </w:p>
          <w:p w14:paraId="181105DE" w14:textId="77777777" w:rsidR="0091081E" w:rsidRDefault="0091081E">
            <w:pPr>
              <w:spacing w:line="240" w:lineRule="auto"/>
              <w:ind w:firstLine="284"/>
              <w:jc w:val="both"/>
              <w:rPr>
                <w:rFonts w:ascii="Times New Roman" w:eastAsia="Times New Roman" w:hAnsi="Times New Roman" w:cs="Times New Roman"/>
                <w:highlight w:val="white"/>
              </w:rPr>
            </w:pPr>
          </w:p>
          <w:p w14:paraId="601ADFC0" w14:textId="77777777" w:rsidR="0091081E" w:rsidRDefault="0091081E">
            <w:pPr>
              <w:spacing w:line="240" w:lineRule="auto"/>
              <w:ind w:firstLine="284"/>
              <w:jc w:val="both"/>
              <w:rPr>
                <w:rFonts w:ascii="Times New Roman" w:eastAsia="Times New Roman" w:hAnsi="Times New Roman" w:cs="Times New Roman"/>
                <w:highlight w:val="white"/>
              </w:rPr>
            </w:pPr>
          </w:p>
          <w:p w14:paraId="0206BB3F" w14:textId="77777777" w:rsidR="0091081E" w:rsidRDefault="0091081E">
            <w:pPr>
              <w:spacing w:line="240" w:lineRule="auto"/>
              <w:ind w:firstLine="284"/>
              <w:jc w:val="both"/>
              <w:rPr>
                <w:rFonts w:ascii="Times New Roman" w:eastAsia="Times New Roman" w:hAnsi="Times New Roman" w:cs="Times New Roman"/>
                <w:highlight w:val="white"/>
              </w:rPr>
            </w:pPr>
          </w:p>
          <w:p w14:paraId="574A01FA" w14:textId="77777777" w:rsidR="0091081E" w:rsidRDefault="0091081E">
            <w:pPr>
              <w:spacing w:line="240" w:lineRule="auto"/>
              <w:ind w:firstLine="284"/>
              <w:jc w:val="both"/>
              <w:rPr>
                <w:rFonts w:ascii="Times New Roman" w:eastAsia="Times New Roman" w:hAnsi="Times New Roman" w:cs="Times New Roman"/>
                <w:highlight w:val="white"/>
              </w:rPr>
            </w:pPr>
          </w:p>
          <w:p w14:paraId="4D3AC676" w14:textId="77777777" w:rsidR="0091081E" w:rsidRDefault="0091081E">
            <w:pPr>
              <w:spacing w:line="240" w:lineRule="auto"/>
              <w:ind w:firstLine="284"/>
              <w:jc w:val="both"/>
              <w:rPr>
                <w:rFonts w:ascii="Times New Roman" w:eastAsia="Times New Roman" w:hAnsi="Times New Roman" w:cs="Times New Roman"/>
                <w:highlight w:val="white"/>
              </w:rPr>
            </w:pPr>
          </w:p>
          <w:p w14:paraId="62DC8A43" w14:textId="77777777" w:rsidR="0091081E" w:rsidRDefault="0091081E">
            <w:pPr>
              <w:spacing w:line="240" w:lineRule="auto"/>
              <w:ind w:firstLine="284"/>
              <w:jc w:val="both"/>
              <w:rPr>
                <w:rFonts w:ascii="Times New Roman" w:eastAsia="Times New Roman" w:hAnsi="Times New Roman" w:cs="Times New Roman"/>
                <w:highlight w:val="white"/>
              </w:rPr>
            </w:pPr>
          </w:p>
          <w:p w14:paraId="41B10DAC" w14:textId="77777777" w:rsidR="0091081E" w:rsidRDefault="0091081E">
            <w:pPr>
              <w:spacing w:line="240" w:lineRule="auto"/>
              <w:ind w:firstLine="284"/>
              <w:jc w:val="both"/>
              <w:rPr>
                <w:rFonts w:ascii="Times New Roman" w:eastAsia="Times New Roman" w:hAnsi="Times New Roman" w:cs="Times New Roman"/>
                <w:highlight w:val="white"/>
              </w:rPr>
            </w:pPr>
          </w:p>
          <w:p w14:paraId="40665773" w14:textId="77777777" w:rsidR="0091081E" w:rsidRDefault="0091081E">
            <w:pPr>
              <w:spacing w:line="240" w:lineRule="auto"/>
              <w:ind w:firstLine="284"/>
              <w:jc w:val="both"/>
              <w:rPr>
                <w:rFonts w:ascii="Times New Roman" w:eastAsia="Times New Roman" w:hAnsi="Times New Roman" w:cs="Times New Roman"/>
                <w:highlight w:val="white"/>
              </w:rPr>
            </w:pPr>
          </w:p>
          <w:p w14:paraId="3135BA0F" w14:textId="77777777" w:rsidR="0091081E" w:rsidRDefault="0091081E">
            <w:pPr>
              <w:spacing w:line="240" w:lineRule="auto"/>
              <w:ind w:firstLine="284"/>
              <w:jc w:val="both"/>
              <w:rPr>
                <w:rFonts w:ascii="Times New Roman" w:eastAsia="Times New Roman" w:hAnsi="Times New Roman" w:cs="Times New Roman"/>
                <w:highlight w:val="white"/>
              </w:rPr>
            </w:pPr>
          </w:p>
          <w:p w14:paraId="752F9EC6" w14:textId="77777777" w:rsidR="0091081E" w:rsidRDefault="0091081E">
            <w:pPr>
              <w:spacing w:line="240" w:lineRule="auto"/>
              <w:ind w:firstLine="284"/>
              <w:jc w:val="both"/>
              <w:rPr>
                <w:rFonts w:ascii="Times New Roman" w:eastAsia="Times New Roman" w:hAnsi="Times New Roman" w:cs="Times New Roman"/>
                <w:highlight w:val="white"/>
              </w:rPr>
            </w:pPr>
          </w:p>
          <w:p w14:paraId="3EEAFD27" w14:textId="77777777" w:rsidR="0091081E" w:rsidRDefault="0091081E">
            <w:pPr>
              <w:spacing w:line="240" w:lineRule="auto"/>
              <w:ind w:firstLine="284"/>
              <w:jc w:val="both"/>
              <w:rPr>
                <w:rFonts w:ascii="Times New Roman" w:eastAsia="Times New Roman" w:hAnsi="Times New Roman" w:cs="Times New Roman"/>
                <w:highlight w:val="white"/>
              </w:rPr>
            </w:pPr>
          </w:p>
          <w:p w14:paraId="57FE984F" w14:textId="77777777" w:rsidR="0091081E" w:rsidRDefault="0091081E">
            <w:pPr>
              <w:spacing w:line="240" w:lineRule="auto"/>
              <w:ind w:firstLine="284"/>
              <w:jc w:val="both"/>
              <w:rPr>
                <w:rFonts w:ascii="Times New Roman" w:eastAsia="Times New Roman" w:hAnsi="Times New Roman" w:cs="Times New Roman"/>
                <w:highlight w:val="white"/>
              </w:rPr>
            </w:pPr>
          </w:p>
          <w:p w14:paraId="5D25F20D" w14:textId="77777777" w:rsidR="0091081E" w:rsidRDefault="0091081E">
            <w:pPr>
              <w:spacing w:line="240" w:lineRule="auto"/>
              <w:ind w:firstLine="284"/>
              <w:jc w:val="both"/>
              <w:rPr>
                <w:rFonts w:ascii="Times New Roman" w:eastAsia="Times New Roman" w:hAnsi="Times New Roman" w:cs="Times New Roman"/>
                <w:highlight w:val="white"/>
              </w:rPr>
            </w:pPr>
          </w:p>
          <w:p w14:paraId="13C3D762" w14:textId="77777777" w:rsidR="0091081E" w:rsidRDefault="0091081E">
            <w:pPr>
              <w:spacing w:line="240" w:lineRule="auto"/>
              <w:ind w:firstLine="284"/>
              <w:jc w:val="both"/>
              <w:rPr>
                <w:rFonts w:ascii="Times New Roman" w:eastAsia="Times New Roman" w:hAnsi="Times New Roman" w:cs="Times New Roman"/>
                <w:highlight w:val="white"/>
              </w:rPr>
            </w:pPr>
          </w:p>
          <w:p w14:paraId="5B2A8B57" w14:textId="77777777" w:rsidR="0091081E" w:rsidRDefault="0091081E">
            <w:pPr>
              <w:spacing w:line="240" w:lineRule="auto"/>
              <w:ind w:firstLine="284"/>
              <w:jc w:val="both"/>
              <w:rPr>
                <w:rFonts w:ascii="Times New Roman" w:eastAsia="Times New Roman" w:hAnsi="Times New Roman" w:cs="Times New Roman"/>
                <w:highlight w:val="white"/>
              </w:rPr>
            </w:pPr>
          </w:p>
          <w:p w14:paraId="0A30600D" w14:textId="77777777" w:rsidR="0091081E" w:rsidRDefault="0091081E">
            <w:pPr>
              <w:spacing w:line="240" w:lineRule="auto"/>
              <w:ind w:firstLine="284"/>
              <w:jc w:val="both"/>
              <w:rPr>
                <w:rFonts w:ascii="Times New Roman" w:eastAsia="Times New Roman" w:hAnsi="Times New Roman" w:cs="Times New Roman"/>
                <w:highlight w:val="white"/>
              </w:rPr>
            </w:pPr>
          </w:p>
          <w:p w14:paraId="7CE18539" w14:textId="77777777" w:rsidR="0091081E" w:rsidRDefault="0091081E">
            <w:pPr>
              <w:spacing w:line="240" w:lineRule="auto"/>
              <w:ind w:firstLine="284"/>
              <w:jc w:val="both"/>
              <w:rPr>
                <w:rFonts w:ascii="Times New Roman" w:eastAsia="Times New Roman" w:hAnsi="Times New Roman" w:cs="Times New Roman"/>
                <w:highlight w:val="white"/>
              </w:rPr>
            </w:pPr>
          </w:p>
          <w:p w14:paraId="72C0C5E1" w14:textId="77777777" w:rsidR="0091081E" w:rsidRDefault="0091081E">
            <w:pPr>
              <w:spacing w:line="240" w:lineRule="auto"/>
              <w:ind w:firstLine="284"/>
              <w:jc w:val="both"/>
              <w:rPr>
                <w:rFonts w:ascii="Times New Roman" w:eastAsia="Times New Roman" w:hAnsi="Times New Roman" w:cs="Times New Roman"/>
                <w:highlight w:val="white"/>
              </w:rPr>
            </w:pPr>
          </w:p>
          <w:p w14:paraId="68743169" w14:textId="77777777" w:rsidR="0091081E" w:rsidRDefault="0091081E">
            <w:pPr>
              <w:spacing w:line="240" w:lineRule="auto"/>
              <w:ind w:firstLine="284"/>
              <w:jc w:val="both"/>
              <w:rPr>
                <w:rFonts w:ascii="Times New Roman" w:eastAsia="Times New Roman" w:hAnsi="Times New Roman" w:cs="Times New Roman"/>
                <w:highlight w:val="white"/>
              </w:rPr>
            </w:pPr>
          </w:p>
          <w:p w14:paraId="4C987FE8" w14:textId="77777777" w:rsidR="0091081E" w:rsidRDefault="0091081E">
            <w:pPr>
              <w:spacing w:line="240" w:lineRule="auto"/>
              <w:ind w:firstLine="284"/>
              <w:jc w:val="both"/>
              <w:rPr>
                <w:rFonts w:ascii="Times New Roman" w:eastAsia="Times New Roman" w:hAnsi="Times New Roman" w:cs="Times New Roman"/>
                <w:highlight w:val="white"/>
              </w:rPr>
            </w:pPr>
          </w:p>
          <w:p w14:paraId="116FBD4D" w14:textId="77777777" w:rsidR="0091081E"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d) Prevederi ale actului UE neaplicabile</w:t>
            </w:r>
          </w:p>
          <w:p w14:paraId="06BDFA88"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Dispozițiile art. 16, art. 17 (2) și art. 18 - 19 nu fac obiectul transpunerii, întrucât sunt prevederi finale.</w:t>
            </w:r>
          </w:p>
        </w:tc>
        <w:tc>
          <w:tcPr>
            <w:tcW w:w="5880" w:type="dxa"/>
            <w:tcBorders>
              <w:bottom w:val="single" w:sz="4" w:space="0" w:color="000000"/>
            </w:tcBorders>
          </w:tcPr>
          <w:p w14:paraId="4140F8C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4953ED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C998A3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9572E7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09ECC66"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71422DF"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A8A993B"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72254C9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BF7323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54F26C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8905BB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51C56C6"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B39C02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18E347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77ED8C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84FECB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D3903D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F5452E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0FC2F1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5A69B4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39F0506"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690988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437B18F"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7A377D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53A4CF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8A7D7AF"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A0A0546"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D79512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22C2A3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35BD44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4EC456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730039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806C36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681F5BF"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2BD58E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507AE4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2B6451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584848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7DC0ED9"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0326756"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8B3132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8F3836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1041ED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621037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B8DC2F7"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87D716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F75011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6B7CCC9"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4381767"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6E6C93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EC169E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D082ACB"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0D5E750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BBB773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1DA2AC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9A75F5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5009684"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29B3BF7"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8584FDF"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EFCC905"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2B8A8B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12C936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61E942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E25A70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586681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0540BC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355A25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740FE6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36B99D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1FAB03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94619C5"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1578FD5"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67359C31"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constată că, în pofida existenței unor mecanisme interne de raportare la nivel național, acestea nu echivalează cu obligația specifică și autonomă instituită prin art. 17 alin. (1) din Directiva 2000/43/CE, care vizează în mod expres relația de raportare a statului către Comisia Europeană.</w:t>
            </w:r>
          </w:p>
          <w:p w14:paraId="0EB5FE63"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impune a se reține că instituirea obligației de raportare externă exclusiv în Codul muncii al Republicii Moldova nu ar corespunde logicii și structurii Directivei 2000/43/CE, nici exigențelor de coerență normativă, având în vedere domeniul material extins al acesteia.</w:t>
            </w:r>
          </w:p>
          <w:p w14:paraId="76ECD5BB"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primul rând, obiectul Directiva 2000/43/CE depășește în mod evident sfera relațiilor de muncă, reglementând principiul egalității de tratament în multiple domenii, inclusiv protecția socială, educația, accesul la bunuri și servicii, precum și alte </w:t>
            </w:r>
            <w:r>
              <w:rPr>
                <w:rFonts w:ascii="Times New Roman" w:eastAsia="Times New Roman" w:hAnsi="Times New Roman" w:cs="Times New Roman"/>
                <w:highlight w:val="white"/>
              </w:rPr>
              <w:lastRenderedPageBreak/>
              <w:t>aspecte ale vieții sociale. În aceste condiții, limitarea mecanismului de raportare la cadrul Codului muncii ar conduce la o fragmentare artificială a obligației de raportare, excluzând alte sectoare esențiale vizate de directivă.</w:t>
            </w:r>
          </w:p>
          <w:p w14:paraId="76D068DB"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al doilea rând, Legea nr. 121/2012 privind asigurarea egalității are caracter de lege-cadru transversală, aplicabilă tuturor domeniilor reglementate de directivă, inclusiv, dar fără a se limita la, relațiile de muncă. Prin natura sa, aceasta constituie instrumentul normativ adecvat pentru centralizarea, coordonarea și reflectarea politicilor publice în materie de nediscriminare la nivel național.</w:t>
            </w:r>
          </w:p>
          <w:p w14:paraId="34539890"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al treilea rând, includerea obligației de raportare în Codul muncii ar genera un risc de incoerență sistemică, întrucât ar plasa o obligație cu vocație generală într-un act normativ sectorial. O asemenea soluție ar putea conduce fie la omisiuni (în privința altor domenii decât munca), fie la necesitatea unor reglementări paralele în alte acte normative, ceea ce ar afecta claritatea și accesibilitatea legii.</w:t>
            </w:r>
          </w:p>
          <w:p w14:paraId="0610A1A9"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În al patrulea rând, mecanismul de raportare prevăzut de directivă implică colectarea și agregarea datelor dintr-o pluralitate de domenii și instituții. Or, acest tip de funcție este, în mod logic, compatibil cu rolul instituțional al Consiliului pentru egalitate și cu cadrul reglementat de Legea nr. 121/2012, și nu cu arhitectura normativă a Codului muncii, care reglementează raporturi juridice individuale și colective de muncă.</w:t>
            </w:r>
          </w:p>
          <w:p w14:paraId="47167F99"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529FB0E"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Se acceptă </w:t>
            </w:r>
            <w:r>
              <w:rPr>
                <w:rFonts w:ascii="Times New Roman" w:eastAsia="Times New Roman" w:hAnsi="Times New Roman" w:cs="Times New Roman"/>
                <w:highlight w:val="white"/>
              </w:rPr>
              <w:t>(tabel de concordanță ajustat).</w:t>
            </w:r>
          </w:p>
        </w:tc>
      </w:tr>
      <w:tr w:rsidR="0091081E" w14:paraId="44B73C5F" w14:textId="77777777">
        <w:trPr>
          <w:trHeight w:val="376"/>
        </w:trPr>
        <w:tc>
          <w:tcPr>
            <w:tcW w:w="555" w:type="dxa"/>
            <w:vMerge/>
          </w:tcPr>
          <w:p w14:paraId="39732B66" w14:textId="77777777" w:rsidR="0091081E" w:rsidRDefault="0091081E">
            <w:pPr>
              <w:spacing w:line="240" w:lineRule="auto"/>
              <w:rPr>
                <w:rFonts w:ascii="Times New Roman" w:eastAsia="Times New Roman" w:hAnsi="Times New Roman" w:cs="Times New Roman"/>
                <w:b/>
                <w:bCs/>
              </w:rPr>
            </w:pPr>
          </w:p>
        </w:tc>
        <w:tc>
          <w:tcPr>
            <w:tcW w:w="2700" w:type="dxa"/>
            <w:vMerge/>
          </w:tcPr>
          <w:p w14:paraId="1254BCCD"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57DBC8A8"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5. Directiva 2000/78/CE a Consiliului din 27 noiembrie 2000</w:t>
            </w:r>
            <w:r>
              <w:rPr>
                <w:rFonts w:ascii="Times New Roman" w:eastAsia="Times New Roman" w:hAnsi="Times New Roman" w:cs="Times New Roman"/>
                <w:highlight w:val="white"/>
              </w:rPr>
              <w:t xml:space="preserve"> urmărește combaterea discriminării la locul de muncă pe criterii de religie sau convingeri, handicap, vârstă sau orientare </w:t>
            </w:r>
            <w:r>
              <w:rPr>
                <w:rFonts w:ascii="Times New Roman" w:eastAsia="Times New Roman" w:hAnsi="Times New Roman" w:cs="Times New Roman"/>
                <w:highlight w:val="white"/>
              </w:rPr>
              <w:lastRenderedPageBreak/>
              <w:t>sexuală, garantând aplicarea principiului egalității de tratament în ceea ce privește accesul la angajare, formarea profesională și condițiile de muncă.</w:t>
            </w:r>
          </w:p>
          <w:p w14:paraId="25ADBA1D"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Măsuri naționale de transpunere existente a Directivei 2000/78/CE</w:t>
            </w:r>
          </w:p>
          <w:p w14:paraId="14C99F4A"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Directiva 2000/78/CE a Consiliului din 27 noiembrie 2000 a constituit obiect al transpunerii parțiale prin:</w:t>
            </w:r>
          </w:p>
          <w:p w14:paraId="15F08891"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Constituția Republicii Moldova;</w:t>
            </w:r>
          </w:p>
          <w:p w14:paraId="47B3DC5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2. Codul Penal nr. 985/2002;</w:t>
            </w:r>
          </w:p>
          <w:p w14:paraId="5A19FD1B"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Codul Muncii nr. 154/2003;</w:t>
            </w:r>
          </w:p>
          <w:p w14:paraId="320FD16C"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4. Codul de procedură civilă nr. 225/2003;</w:t>
            </w:r>
          </w:p>
          <w:p w14:paraId="23E1E332"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5. Codul Contravențional nr. 218/2008;</w:t>
            </w:r>
          </w:p>
          <w:p w14:paraId="2BD5A92A"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6. Codul Administrativ nr. 116/2018;</w:t>
            </w:r>
          </w:p>
          <w:p w14:paraId="3EC78C58"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7. Legea Nr. 489/1999 privind sistemul public de asigurări sociale;</w:t>
            </w:r>
          </w:p>
          <w:p w14:paraId="085FEEE1"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8. Legea sindicatelor nr. 1129/2000;</w:t>
            </w:r>
          </w:p>
          <w:p w14:paraId="635BD839"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9. Legea nr. 245/2006 privind organizarea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funcţionarea</w:t>
            </w:r>
            <w:proofErr w:type="spellEnd"/>
            <w:r>
              <w:rPr>
                <w:rFonts w:ascii="Times New Roman" w:eastAsia="Times New Roman" w:hAnsi="Times New Roman" w:cs="Times New Roman"/>
                <w:highlight w:val="white"/>
              </w:rPr>
              <w:t xml:space="preserve"> Comisiei </w:t>
            </w:r>
            <w:proofErr w:type="spellStart"/>
            <w:r>
              <w:rPr>
                <w:rFonts w:ascii="Times New Roman" w:eastAsia="Times New Roman" w:hAnsi="Times New Roman" w:cs="Times New Roman"/>
                <w:highlight w:val="white"/>
              </w:rPr>
              <w:t>naţionale</w:t>
            </w:r>
            <w:proofErr w:type="spellEnd"/>
            <w:r>
              <w:rPr>
                <w:rFonts w:ascii="Times New Roman" w:eastAsia="Times New Roman" w:hAnsi="Times New Roman" w:cs="Times New Roman"/>
                <w:highlight w:val="white"/>
              </w:rPr>
              <w:t xml:space="preserve"> pentru consultări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negocieri colective, a comisiilor pentru consultări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negocieri colective la nivel de ramură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la nivel teritorial;</w:t>
            </w:r>
          </w:p>
          <w:p w14:paraId="5582DC2C"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10. Legea nr. 100/2017 cu privire la actele normative;</w:t>
            </w:r>
          </w:p>
          <w:p w14:paraId="1845592E"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11. Legea Nr. 200/2010 privind regimul străinilor în Republica Moldova;</w:t>
            </w:r>
          </w:p>
          <w:p w14:paraId="377B0158"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12. Legea nr. 60/2012 privind incluziunea socială a persoanelor cu dizabilități;</w:t>
            </w:r>
          </w:p>
          <w:p w14:paraId="04EF5953"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13. Legea nr. 121/2012 cu privire la asigurarea egalității;</w:t>
            </w:r>
          </w:p>
          <w:p w14:paraId="6D427C26"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14. Legea nr. 298/2012 cu privire la activitatea Consiliului pentru egalitate;</w:t>
            </w:r>
          </w:p>
          <w:p w14:paraId="2AA1A415"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15. Legea nr. 105/2018 cu privire la promovarea ocupării </w:t>
            </w:r>
            <w:proofErr w:type="spellStart"/>
            <w:r>
              <w:rPr>
                <w:rFonts w:ascii="Times New Roman" w:eastAsia="Times New Roman" w:hAnsi="Times New Roman" w:cs="Times New Roman"/>
                <w:highlight w:val="white"/>
              </w:rPr>
              <w:t>forţei</w:t>
            </w:r>
            <w:proofErr w:type="spellEnd"/>
            <w:r>
              <w:rPr>
                <w:rFonts w:ascii="Times New Roman" w:eastAsia="Times New Roman" w:hAnsi="Times New Roman" w:cs="Times New Roman"/>
                <w:highlight w:val="white"/>
              </w:rPr>
              <w:t xml:space="preserve"> de muncă și asigurarea de șomaj.</w:t>
            </w:r>
          </w:p>
          <w:p w14:paraId="16209139" w14:textId="77777777" w:rsidR="0091081E"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b) Analiza comparativă a transpunerii dispozițiilor Directivei 2000/78/CE</w:t>
            </w:r>
          </w:p>
          <w:p w14:paraId="7A6FF824"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ceea ce privește transpunerea Directivei 2000/78/CE, apreciem că proiectul național asigură transpunerea parțială a actului UE, conform celor constatate infra.</w:t>
            </w:r>
          </w:p>
          <w:p w14:paraId="348F8560"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Prevederile art. 1 „Obiectivul”, art. 2 „Conceptul de discriminare”, art. 3 „Domeniul de aplicare”, art. 4 „Cerințe profesionale”, art. 13 (1) „Dialogul social” din actul UE sunt transpuse parțial în Art. II, pct. 3 - 4 și pct. 6 din proiectul național.</w:t>
            </w:r>
          </w:p>
          <w:p w14:paraId="00FC76F1" w14:textId="77777777" w:rsidR="0091081E"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c) Obiecții privind compatibilitatea cu Directiva 2000/78/CE</w:t>
            </w:r>
          </w:p>
          <w:p w14:paraId="706B9E77"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impune transpunerea de proiectul național a art. 19 (1) din Directiva 2000/78/CE, care reglementează obligația statelor membre de a comunica periodic, din 5 în 5 ani, Comisiei Europene a tuturor informațiilor necesare pentru evaluarea aplicării directivei, cu punerea în aplicare a acestuia din data aderării la UE, având ca obiectiv prima raportare în termen de 5 ani de la data aderării la UE.</w:t>
            </w:r>
          </w:p>
          <w:p w14:paraId="6BAB2DCB" w14:textId="77777777" w:rsidR="0091081E" w:rsidRDefault="0091081E">
            <w:pPr>
              <w:spacing w:line="240" w:lineRule="auto"/>
              <w:ind w:firstLine="284"/>
              <w:jc w:val="both"/>
              <w:rPr>
                <w:rFonts w:ascii="Times New Roman" w:eastAsia="Times New Roman" w:hAnsi="Times New Roman" w:cs="Times New Roman"/>
                <w:highlight w:val="white"/>
              </w:rPr>
            </w:pPr>
          </w:p>
          <w:p w14:paraId="2108C626" w14:textId="77777777" w:rsidR="0091081E" w:rsidRDefault="0091081E">
            <w:pPr>
              <w:spacing w:line="240" w:lineRule="auto"/>
              <w:ind w:firstLine="284"/>
              <w:jc w:val="both"/>
              <w:rPr>
                <w:rFonts w:ascii="Times New Roman" w:eastAsia="Times New Roman" w:hAnsi="Times New Roman" w:cs="Times New Roman"/>
                <w:highlight w:val="white"/>
              </w:rPr>
            </w:pPr>
          </w:p>
          <w:p w14:paraId="68A66DF4" w14:textId="77777777" w:rsidR="0091081E" w:rsidRDefault="0091081E">
            <w:pPr>
              <w:spacing w:line="240" w:lineRule="auto"/>
              <w:ind w:firstLine="284"/>
              <w:jc w:val="both"/>
              <w:rPr>
                <w:rFonts w:ascii="Times New Roman" w:eastAsia="Times New Roman" w:hAnsi="Times New Roman" w:cs="Times New Roman"/>
                <w:highlight w:val="white"/>
              </w:rPr>
            </w:pPr>
          </w:p>
          <w:p w14:paraId="53D514CA" w14:textId="77777777" w:rsidR="0091081E" w:rsidRDefault="0091081E">
            <w:pPr>
              <w:spacing w:line="240" w:lineRule="auto"/>
              <w:ind w:firstLine="284"/>
              <w:jc w:val="both"/>
              <w:rPr>
                <w:rFonts w:ascii="Times New Roman" w:eastAsia="Times New Roman" w:hAnsi="Times New Roman" w:cs="Times New Roman"/>
                <w:highlight w:val="white"/>
              </w:rPr>
            </w:pPr>
          </w:p>
          <w:p w14:paraId="308B597C" w14:textId="77777777" w:rsidR="0091081E" w:rsidRDefault="0091081E">
            <w:pPr>
              <w:spacing w:line="240" w:lineRule="auto"/>
              <w:ind w:firstLine="284"/>
              <w:jc w:val="both"/>
              <w:rPr>
                <w:rFonts w:ascii="Times New Roman" w:eastAsia="Times New Roman" w:hAnsi="Times New Roman" w:cs="Times New Roman"/>
                <w:highlight w:val="white"/>
              </w:rPr>
            </w:pPr>
          </w:p>
          <w:p w14:paraId="6CF4A430" w14:textId="77777777" w:rsidR="0091081E" w:rsidRDefault="0091081E">
            <w:pPr>
              <w:spacing w:line="240" w:lineRule="auto"/>
              <w:ind w:firstLine="284"/>
              <w:jc w:val="both"/>
              <w:rPr>
                <w:rFonts w:ascii="Times New Roman" w:eastAsia="Times New Roman" w:hAnsi="Times New Roman" w:cs="Times New Roman"/>
                <w:highlight w:val="white"/>
              </w:rPr>
            </w:pPr>
          </w:p>
          <w:p w14:paraId="004BC3D9" w14:textId="77777777" w:rsidR="0091081E" w:rsidRDefault="0091081E">
            <w:pPr>
              <w:spacing w:line="240" w:lineRule="auto"/>
              <w:ind w:firstLine="284"/>
              <w:jc w:val="both"/>
              <w:rPr>
                <w:rFonts w:ascii="Times New Roman" w:eastAsia="Times New Roman" w:hAnsi="Times New Roman" w:cs="Times New Roman"/>
                <w:highlight w:val="white"/>
              </w:rPr>
            </w:pPr>
          </w:p>
          <w:p w14:paraId="75A4F96D" w14:textId="77777777" w:rsidR="0091081E" w:rsidRDefault="0091081E">
            <w:pPr>
              <w:spacing w:line="240" w:lineRule="auto"/>
              <w:ind w:firstLine="284"/>
              <w:jc w:val="both"/>
              <w:rPr>
                <w:rFonts w:ascii="Times New Roman" w:eastAsia="Times New Roman" w:hAnsi="Times New Roman" w:cs="Times New Roman"/>
                <w:highlight w:val="white"/>
              </w:rPr>
            </w:pPr>
          </w:p>
          <w:p w14:paraId="5501C122" w14:textId="77777777" w:rsidR="0091081E" w:rsidRDefault="0091081E">
            <w:pPr>
              <w:spacing w:line="240" w:lineRule="auto"/>
              <w:ind w:firstLine="284"/>
              <w:jc w:val="both"/>
              <w:rPr>
                <w:rFonts w:ascii="Times New Roman" w:eastAsia="Times New Roman" w:hAnsi="Times New Roman" w:cs="Times New Roman"/>
                <w:highlight w:val="white"/>
              </w:rPr>
            </w:pPr>
          </w:p>
          <w:p w14:paraId="3F5B2B37" w14:textId="77777777" w:rsidR="0091081E" w:rsidRDefault="0091081E">
            <w:pPr>
              <w:spacing w:line="240" w:lineRule="auto"/>
              <w:ind w:firstLine="284"/>
              <w:jc w:val="both"/>
              <w:rPr>
                <w:rFonts w:ascii="Times New Roman" w:eastAsia="Times New Roman" w:hAnsi="Times New Roman" w:cs="Times New Roman"/>
                <w:highlight w:val="white"/>
              </w:rPr>
            </w:pPr>
          </w:p>
          <w:p w14:paraId="2795AC1B" w14:textId="77777777" w:rsidR="0091081E"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d) Prevederi ale actului UE neaplicabile</w:t>
            </w:r>
          </w:p>
          <w:p w14:paraId="33F85A75"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Dispozițiile art. 15, 18, art. 19 (2) și art. 20 - 21 nu fac obiectul transpunerii, întrucât au un caracter administrativ, teritorial sau sunt prevederi finale.</w:t>
            </w:r>
          </w:p>
        </w:tc>
        <w:tc>
          <w:tcPr>
            <w:tcW w:w="5880" w:type="dxa"/>
            <w:tcBorders>
              <w:bottom w:val="single" w:sz="4" w:space="0" w:color="000000"/>
            </w:tcBorders>
          </w:tcPr>
          <w:p w14:paraId="59B2FB64"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426310B5"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D84C06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18D50DCD"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407F2CB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9E4427F"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4D7FB4B"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CD0617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136BC77"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BE8CC3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CF0240B"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3A37DD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21FA05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2583706"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D43CB34"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CD7648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E396D2F"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C1E767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7B4B87B"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B16388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E825CF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A356119"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CDACF1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147FC2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1A21B1F"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2F746C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36259C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F1B880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E3D5E4F"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357F5A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0772849"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66514997"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7811439"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DF1BDE7"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E0F0FA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2D921A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EEC302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5FF013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2DF2AD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67A93D3"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5786084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BF7702B"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constată că obligația de raportare prevăzută la art. 19 alin. (1) din Directiva 2000/78/CE are un caracter general, vizând evaluarea aplicării principiului egalității de tratament în ansamblul domeniilor reglementate, chiar dacă aceasta include în mod central relațiile de muncă. Or, Legea nr. 121/2012 privind asigurarea egalității constituie cadrul normativ transversal în materie de nediscriminare, acoperind inclusiv domeniul ocupării forței de muncă prin art. 7, dar fără a se limita la acesta. În aceste condiții, reglementarea obligației de raportare în această lege asigură o abordare unitară și evită fragmentarea normativă care ar rezulta din plasarea acesteia exclusiv în Codul muncii al Republicii Moldova. Prin urmare, includerea mecanismului de raportare în Legea nr. 121/2012 apare ca fiind soluția coerentă și conformă cu obiectul extins al directivei, permițând agregarea datelor din toate domeniile relevante, inclusiv munca.</w:t>
            </w:r>
          </w:p>
          <w:p w14:paraId="6E96F13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FAFE14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9616F9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Se acceptă </w:t>
            </w:r>
            <w:r>
              <w:rPr>
                <w:rFonts w:ascii="Times New Roman" w:eastAsia="Times New Roman" w:hAnsi="Times New Roman" w:cs="Times New Roman"/>
                <w:highlight w:val="white"/>
              </w:rPr>
              <w:t>(tabel de concordanță ajustat).</w:t>
            </w:r>
          </w:p>
          <w:p w14:paraId="7A0248F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tc>
      </w:tr>
      <w:tr w:rsidR="0091081E" w14:paraId="708B1CA7" w14:textId="77777777">
        <w:trPr>
          <w:trHeight w:val="376"/>
        </w:trPr>
        <w:tc>
          <w:tcPr>
            <w:tcW w:w="555" w:type="dxa"/>
            <w:vMerge/>
          </w:tcPr>
          <w:p w14:paraId="4493EB58" w14:textId="77777777" w:rsidR="0091081E" w:rsidRDefault="0091081E">
            <w:pPr>
              <w:spacing w:line="240" w:lineRule="auto"/>
              <w:rPr>
                <w:rFonts w:ascii="Times New Roman" w:eastAsia="Times New Roman" w:hAnsi="Times New Roman" w:cs="Times New Roman"/>
                <w:b/>
                <w:bCs/>
              </w:rPr>
            </w:pPr>
          </w:p>
        </w:tc>
        <w:tc>
          <w:tcPr>
            <w:tcW w:w="2700" w:type="dxa"/>
            <w:vMerge/>
          </w:tcPr>
          <w:p w14:paraId="79B858D8"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30355A6B"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6. </w:t>
            </w:r>
            <w:r>
              <w:rPr>
                <w:rFonts w:ascii="Times New Roman" w:eastAsia="Times New Roman" w:hAnsi="Times New Roman" w:cs="Times New Roman"/>
                <w:b/>
                <w:bCs/>
                <w:highlight w:val="white"/>
              </w:rPr>
              <w:t xml:space="preserve">Directiva 2002/14/CE a Parlamentului European și a Consiliului din 11 martie 2002 </w:t>
            </w:r>
            <w:r>
              <w:rPr>
                <w:rFonts w:ascii="Times New Roman" w:eastAsia="Times New Roman" w:hAnsi="Times New Roman" w:cs="Times New Roman"/>
                <w:highlight w:val="white"/>
              </w:rPr>
              <w:t>urmărește să stabilească un cadru minim de drepturi pentru informarea și consultarea angajaților cu privire la evoluția activității firmei și la deciziile care le pot afecta locurile de muncă.</w:t>
            </w:r>
          </w:p>
          <w:p w14:paraId="09DA8FC5" w14:textId="77777777" w:rsidR="0091081E"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a) Măsuri naționale de transpunere existente a Directivei 2002/14/CE</w:t>
            </w:r>
          </w:p>
          <w:p w14:paraId="20CA2454"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Directiva 2002/14/CE a Parlamentului European și a Consiliului din 11 martie 2002 a constituit obiect al transpunerii parțiale prin:</w:t>
            </w:r>
          </w:p>
          <w:p w14:paraId="05E060FE"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Codul Muncii nr. 154/2003;</w:t>
            </w:r>
          </w:p>
          <w:p w14:paraId="0BF5A5C7"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2. Codul de procedură civilă nr. 225/2003;</w:t>
            </w:r>
          </w:p>
          <w:p w14:paraId="69E56AEE"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Codul Contravențional nr. 218/2008.</w:t>
            </w:r>
          </w:p>
          <w:p w14:paraId="214409AD" w14:textId="77777777" w:rsidR="0091081E"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b) Analiza comparativă a transpunerii dispozițiilor Directivei 2002/14/CE</w:t>
            </w:r>
          </w:p>
          <w:p w14:paraId="4A33E3D3"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ceea ce privește transpunerea Directivei 2002/14/CE, apreciem că proiectul național asigură transpunerea parțială a actului UE, conform celor constatate infra.</w:t>
            </w:r>
          </w:p>
          <w:p w14:paraId="43B7F569"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Prevederile art. 4 „Modalități de informare și consultare” sunt transpuse parțial în Art. II, pct. 5 din proiectul național, iar prevederile art. 7 „Protecția reprezentanților lucrătorilor” din actul UE, sunt transpuse în Art. II, pct. 5 din proiectul național.</w:t>
            </w:r>
          </w:p>
          <w:p w14:paraId="034E9C3C"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Prevederile art. 8 (2) „Protecția drepturilor” din actul UE sunt transpuse în Art. IV, pct. 2 din proiectul național.</w:t>
            </w:r>
          </w:p>
          <w:p w14:paraId="79CC4A2A"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Dispozițiile art. 3 (2) din Directiva 2002/14/CE reprezintă o clauză de salvgardare opțională, pe care Republica Moldova a ales să nu o transpună în legislația națională.</w:t>
            </w:r>
          </w:p>
          <w:p w14:paraId="2D461915" w14:textId="77777777" w:rsidR="0091081E"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c) Obiecții privind compatibilitatea cu Directiva 2002/14/CE</w:t>
            </w:r>
          </w:p>
          <w:p w14:paraId="753D13B7" w14:textId="77777777" w:rsidR="0091081E" w:rsidRDefault="0091081E">
            <w:pPr>
              <w:spacing w:line="240" w:lineRule="auto"/>
              <w:ind w:firstLine="284"/>
              <w:jc w:val="both"/>
              <w:rPr>
                <w:rFonts w:ascii="Times New Roman" w:eastAsia="Times New Roman" w:hAnsi="Times New Roman" w:cs="Times New Roman"/>
                <w:highlight w:val="white"/>
              </w:rPr>
            </w:pPr>
          </w:p>
          <w:p w14:paraId="432A528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constată că atât proiectul național cât și Codul Muncii nu asigură transpunerea expresă a noțiunilor de „informare” și „consultare”, astfel cum sunt definite la art. 2 lit. f) și g) din Directivă. În legislația națională, aceste concepte nu sunt enunțate ca termeni definiți, ci sunt integrate direct în norme procedurale sau de conduită. Pentru o certitudine juridică deplină și o aliniere terminologică cu actul UE, se impune introducerea definițiilor exprese în corpul legii.</w:t>
            </w:r>
          </w:p>
          <w:p w14:paraId="49AE1430" w14:textId="77777777" w:rsidR="0091081E" w:rsidRDefault="0091081E">
            <w:pPr>
              <w:spacing w:line="240" w:lineRule="auto"/>
              <w:ind w:firstLine="284"/>
              <w:jc w:val="both"/>
              <w:rPr>
                <w:rFonts w:ascii="Times New Roman" w:eastAsia="Times New Roman" w:hAnsi="Times New Roman" w:cs="Times New Roman"/>
                <w:highlight w:val="white"/>
              </w:rPr>
            </w:pPr>
          </w:p>
          <w:p w14:paraId="36493FEB" w14:textId="77777777" w:rsidR="0091081E" w:rsidRDefault="0091081E">
            <w:pPr>
              <w:spacing w:line="240" w:lineRule="auto"/>
              <w:ind w:firstLine="284"/>
              <w:jc w:val="both"/>
              <w:rPr>
                <w:rFonts w:ascii="Times New Roman" w:eastAsia="Times New Roman" w:hAnsi="Times New Roman" w:cs="Times New Roman"/>
                <w:highlight w:val="white"/>
              </w:rPr>
            </w:pPr>
          </w:p>
          <w:p w14:paraId="3325E2FA" w14:textId="77777777" w:rsidR="0091081E" w:rsidRDefault="0091081E">
            <w:pPr>
              <w:spacing w:line="240" w:lineRule="auto"/>
              <w:ind w:firstLine="284"/>
              <w:jc w:val="both"/>
              <w:rPr>
                <w:rFonts w:ascii="Times New Roman" w:eastAsia="Times New Roman" w:hAnsi="Times New Roman" w:cs="Times New Roman"/>
                <w:highlight w:val="white"/>
              </w:rPr>
            </w:pPr>
          </w:p>
          <w:p w14:paraId="4F816B09" w14:textId="77777777" w:rsidR="0091081E" w:rsidRDefault="0091081E">
            <w:pPr>
              <w:spacing w:line="240" w:lineRule="auto"/>
              <w:ind w:firstLine="284"/>
              <w:jc w:val="both"/>
              <w:rPr>
                <w:rFonts w:ascii="Times New Roman" w:eastAsia="Times New Roman" w:hAnsi="Times New Roman" w:cs="Times New Roman"/>
                <w:highlight w:val="white"/>
              </w:rPr>
            </w:pPr>
          </w:p>
          <w:p w14:paraId="32F4066C" w14:textId="77777777" w:rsidR="0091081E" w:rsidRDefault="0091081E">
            <w:pPr>
              <w:spacing w:line="240" w:lineRule="auto"/>
              <w:ind w:firstLine="284"/>
              <w:jc w:val="both"/>
              <w:rPr>
                <w:rFonts w:ascii="Times New Roman" w:eastAsia="Times New Roman" w:hAnsi="Times New Roman" w:cs="Times New Roman"/>
                <w:highlight w:val="white"/>
              </w:rPr>
            </w:pPr>
          </w:p>
          <w:p w14:paraId="56A72204" w14:textId="77777777" w:rsidR="0091081E" w:rsidRDefault="0091081E">
            <w:pPr>
              <w:spacing w:line="240" w:lineRule="auto"/>
              <w:ind w:firstLine="284"/>
              <w:jc w:val="both"/>
              <w:rPr>
                <w:rFonts w:ascii="Times New Roman" w:eastAsia="Times New Roman" w:hAnsi="Times New Roman" w:cs="Times New Roman"/>
                <w:highlight w:val="white"/>
              </w:rPr>
            </w:pPr>
          </w:p>
          <w:p w14:paraId="64D0E9EA" w14:textId="77777777" w:rsidR="0091081E" w:rsidRDefault="0091081E">
            <w:pPr>
              <w:spacing w:line="240" w:lineRule="auto"/>
              <w:ind w:firstLine="284"/>
              <w:jc w:val="both"/>
              <w:rPr>
                <w:rFonts w:ascii="Times New Roman" w:eastAsia="Times New Roman" w:hAnsi="Times New Roman" w:cs="Times New Roman"/>
                <w:highlight w:val="white"/>
              </w:rPr>
            </w:pPr>
          </w:p>
          <w:p w14:paraId="3DAA9684" w14:textId="77777777" w:rsidR="0091081E" w:rsidRDefault="0091081E">
            <w:pPr>
              <w:spacing w:line="240" w:lineRule="auto"/>
              <w:ind w:firstLine="284"/>
              <w:jc w:val="both"/>
              <w:rPr>
                <w:rFonts w:ascii="Times New Roman" w:eastAsia="Times New Roman" w:hAnsi="Times New Roman" w:cs="Times New Roman"/>
                <w:highlight w:val="white"/>
              </w:rPr>
            </w:pPr>
          </w:p>
          <w:p w14:paraId="545D1DFE" w14:textId="77777777" w:rsidR="0091081E" w:rsidRDefault="0091081E">
            <w:pPr>
              <w:spacing w:line="240" w:lineRule="auto"/>
              <w:ind w:firstLine="284"/>
              <w:jc w:val="both"/>
              <w:rPr>
                <w:rFonts w:ascii="Times New Roman" w:eastAsia="Times New Roman" w:hAnsi="Times New Roman" w:cs="Times New Roman"/>
                <w:highlight w:val="white"/>
              </w:rPr>
            </w:pPr>
          </w:p>
          <w:p w14:paraId="13548386" w14:textId="77777777" w:rsidR="0091081E" w:rsidRDefault="0091081E">
            <w:pPr>
              <w:spacing w:line="240" w:lineRule="auto"/>
              <w:ind w:firstLine="284"/>
              <w:jc w:val="both"/>
              <w:rPr>
                <w:rFonts w:ascii="Times New Roman" w:eastAsia="Times New Roman" w:hAnsi="Times New Roman" w:cs="Times New Roman"/>
                <w:highlight w:val="white"/>
              </w:rPr>
            </w:pPr>
          </w:p>
          <w:p w14:paraId="2C4674E3" w14:textId="77777777" w:rsidR="0091081E" w:rsidRDefault="0091081E">
            <w:pPr>
              <w:spacing w:line="240" w:lineRule="auto"/>
              <w:ind w:firstLine="284"/>
              <w:jc w:val="both"/>
              <w:rPr>
                <w:rFonts w:ascii="Times New Roman" w:eastAsia="Times New Roman" w:hAnsi="Times New Roman" w:cs="Times New Roman"/>
                <w:highlight w:val="white"/>
              </w:rPr>
            </w:pPr>
          </w:p>
          <w:p w14:paraId="25FEEDB3" w14:textId="77777777" w:rsidR="0091081E" w:rsidRDefault="0091081E">
            <w:pPr>
              <w:spacing w:line="240" w:lineRule="auto"/>
              <w:ind w:firstLine="284"/>
              <w:jc w:val="both"/>
              <w:rPr>
                <w:rFonts w:ascii="Times New Roman" w:eastAsia="Times New Roman" w:hAnsi="Times New Roman" w:cs="Times New Roman"/>
                <w:highlight w:val="white"/>
              </w:rPr>
            </w:pPr>
          </w:p>
          <w:p w14:paraId="3FF1BF93" w14:textId="77777777" w:rsidR="0091081E" w:rsidRDefault="0091081E">
            <w:pPr>
              <w:spacing w:line="240" w:lineRule="auto"/>
              <w:jc w:val="both"/>
              <w:rPr>
                <w:rFonts w:ascii="Times New Roman" w:eastAsia="Times New Roman" w:hAnsi="Times New Roman" w:cs="Times New Roman"/>
                <w:highlight w:val="white"/>
              </w:rPr>
            </w:pPr>
          </w:p>
          <w:p w14:paraId="384F322F" w14:textId="77777777" w:rsidR="0091081E" w:rsidRDefault="0091081E">
            <w:pPr>
              <w:spacing w:line="240" w:lineRule="auto"/>
              <w:ind w:firstLine="284"/>
              <w:jc w:val="both"/>
              <w:rPr>
                <w:rFonts w:ascii="Times New Roman" w:eastAsia="Times New Roman" w:hAnsi="Times New Roman" w:cs="Times New Roman"/>
                <w:highlight w:val="white"/>
              </w:rPr>
            </w:pPr>
          </w:p>
          <w:p w14:paraId="51450F5D"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Cu referire la art. 3 (1) din actul UE, care oferă statelor membre opțiunea de a impune obligația de informare și consultare fie la unitățile cu cel puțin 20 de angajați, fie la întreprinderile cu cel puțin 50 de angajați, constatăm, că art. 421 din Codul Muncii impune această obligație de informare și consultare tuturor unităților indiferent de dimensiunea acestora. Astfel, norma națională este mai extinsă decât cea prevăzută de Directivă, oferind o protecție superioară în temeiul art. 8 din Directiva UE, fapt ce urmează a fi reflectat și în Tabelul de concordanță.</w:t>
            </w:r>
          </w:p>
          <w:p w14:paraId="616B37E7" w14:textId="77777777" w:rsidR="0091081E" w:rsidRDefault="0091081E">
            <w:pPr>
              <w:spacing w:line="240" w:lineRule="auto"/>
              <w:ind w:firstLine="284"/>
              <w:jc w:val="both"/>
              <w:rPr>
                <w:rFonts w:ascii="Times New Roman" w:eastAsia="Times New Roman" w:hAnsi="Times New Roman" w:cs="Times New Roman"/>
                <w:highlight w:val="white"/>
              </w:rPr>
            </w:pPr>
          </w:p>
          <w:p w14:paraId="694C7FF1" w14:textId="77777777" w:rsidR="0091081E" w:rsidRDefault="00000000">
            <w:pPr>
              <w:spacing w:line="240" w:lineRule="auto"/>
              <w:ind w:firstLine="284"/>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d) Prevederi ale actului UE neaplicabile</w:t>
            </w:r>
          </w:p>
          <w:p w14:paraId="36D53763"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Dispozițiile art. 1 (1) - (2), art. 4 (1) și art. 9 - 13 nu fac obiectul transpunerii, întrucât reprezintă prevederi finale, tranzitorii sau procedurale care reglementează relația dintre norme sau termenele de implementare.</w:t>
            </w:r>
          </w:p>
        </w:tc>
        <w:tc>
          <w:tcPr>
            <w:tcW w:w="5880" w:type="dxa"/>
            <w:tcBorders>
              <w:bottom w:val="single" w:sz="4" w:space="0" w:color="000000"/>
            </w:tcBorders>
          </w:tcPr>
          <w:p w14:paraId="2CBAADF4"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10B02D14"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1BE1E06"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0592AA25"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6695F86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26657C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B429CD9"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588211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269B37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C17973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0117D97"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3A0BC47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07C4B4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B604ED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8BE422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5FC081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0CE355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1E20BA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7E6ABF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760CEF9"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7F0D39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CF1227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9C4F3E4"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3CD73FB"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BE72B4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E749E2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AE544EB"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891CF1A"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7CC2E937"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C79DBD7" w14:textId="77777777" w:rsidR="0091081E"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highlight w:val="white"/>
              </w:rPr>
              <w:t xml:space="preserve">Se propune </w:t>
            </w:r>
            <w:proofErr w:type="spellStart"/>
            <w:r>
              <w:rPr>
                <w:rFonts w:ascii="Times New Roman" w:eastAsia="Times New Roman" w:hAnsi="Times New Roman" w:cs="Times New Roman"/>
                <w:highlight w:val="white"/>
              </w:rPr>
              <w:t>art</w:t>
            </w:r>
            <w:proofErr w:type="spellEnd"/>
            <w:r>
              <w:rPr>
                <w:rFonts w:ascii="Times New Roman" w:eastAsia="Times New Roman" w:hAnsi="Times New Roman" w:cs="Times New Roman"/>
                <w:highlight w:val="white"/>
              </w:rPr>
              <w:t xml:space="preserve"> </w:t>
            </w:r>
            <w:r>
              <w:rPr>
                <w:rFonts w:ascii="Times New Roman" w:eastAsia="Times New Roman" w:hAnsi="Times New Roman" w:cs="Times New Roman"/>
                <w:sz w:val="24"/>
                <w:szCs w:val="24"/>
                <w:highlight w:val="white"/>
              </w:rPr>
              <w:t>42</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alin. (1) din codul Muncii în următoarea redacție:</w:t>
            </w:r>
          </w:p>
          <w:p w14:paraId="49F3A07F" w14:textId="77777777" w:rsidR="0091081E" w:rsidRDefault="0091081E">
            <w:pPr>
              <w:shd w:val="clear" w:color="auto" w:fill="FFFFFF"/>
              <w:jc w:val="both"/>
              <w:rPr>
                <w:rFonts w:ascii="Times New Roman" w:eastAsia="Times New Roman" w:hAnsi="Times New Roman" w:cs="Times New Roman"/>
                <w:highlight w:val="white"/>
              </w:rPr>
            </w:pPr>
          </w:p>
          <w:p w14:paraId="2260F65D" w14:textId="77777777" w:rsidR="0091081E" w:rsidRDefault="00000000">
            <w:pPr>
              <w:shd w:val="clear" w:color="auto" w:fill="FFFFFF"/>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În vederea asigurării dreptului salariaților la administrarea unității prevăzut la art. 42, angajatorul este obligat să-i informeze și să-i consulte referitor la subiectele relevante în raport cu activitatea lor în cadrul unității. </w:t>
            </w:r>
            <w:r>
              <w:rPr>
                <w:rFonts w:ascii="Times New Roman" w:eastAsia="Times New Roman" w:hAnsi="Times New Roman" w:cs="Times New Roman"/>
                <w:b/>
                <w:bCs/>
                <w:highlight w:val="white"/>
              </w:rPr>
              <w:t xml:space="preserve">În sensul prezentului articol prin informare se înțelege transmiterea de date de către angajator reprezentanților salariaților pentru a le permite să </w:t>
            </w:r>
            <w:r>
              <w:rPr>
                <w:rFonts w:ascii="Times New Roman" w:eastAsia="Times New Roman" w:hAnsi="Times New Roman" w:cs="Times New Roman"/>
                <w:b/>
                <w:bCs/>
                <w:highlight w:val="white"/>
              </w:rPr>
              <w:lastRenderedPageBreak/>
              <w:t xml:space="preserve">se familiarizeze cu subiectul și să-l examineze, iar prin consultare se înțelege schimbul de păreri și stabilirea unui dialog între </w:t>
            </w:r>
            <w:proofErr w:type="spellStart"/>
            <w:r>
              <w:rPr>
                <w:rFonts w:ascii="Times New Roman" w:eastAsia="Times New Roman" w:hAnsi="Times New Roman" w:cs="Times New Roman"/>
                <w:b/>
                <w:bCs/>
                <w:highlight w:val="white"/>
              </w:rPr>
              <w:t>reprezentanţii</w:t>
            </w:r>
            <w:proofErr w:type="spellEnd"/>
            <w:r>
              <w:rPr>
                <w:rFonts w:ascii="Times New Roman" w:eastAsia="Times New Roman" w:hAnsi="Times New Roman" w:cs="Times New Roman"/>
                <w:b/>
                <w:bCs/>
                <w:highlight w:val="white"/>
              </w:rPr>
              <w:t xml:space="preserve"> </w:t>
            </w:r>
            <w:proofErr w:type="spellStart"/>
            <w:r>
              <w:rPr>
                <w:rFonts w:ascii="Times New Roman" w:eastAsia="Times New Roman" w:hAnsi="Times New Roman" w:cs="Times New Roman"/>
                <w:b/>
                <w:bCs/>
                <w:highlight w:val="white"/>
              </w:rPr>
              <w:t>salariaţilor</w:t>
            </w:r>
            <w:proofErr w:type="spellEnd"/>
            <w:r>
              <w:rPr>
                <w:rFonts w:ascii="Times New Roman" w:eastAsia="Times New Roman" w:hAnsi="Times New Roman" w:cs="Times New Roman"/>
                <w:b/>
                <w:bCs/>
                <w:highlight w:val="white"/>
              </w:rPr>
              <w:t xml:space="preserve"> și angajator.</w:t>
            </w:r>
          </w:p>
          <w:p w14:paraId="7CD81989"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9588F1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5770635"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6235DB58"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472CB2BC"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propune art. 42 alineatul (2) lit. b) din codul Muncii în următoarea redacție:</w:t>
            </w:r>
          </w:p>
          <w:p w14:paraId="18D1A221" w14:textId="77777777" w:rsidR="0091081E" w:rsidRDefault="00000000">
            <w:pPr>
              <w:spacing w:line="240" w:lineRule="auto"/>
              <w:ind w:firstLine="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Participarea </w:t>
            </w:r>
            <w:proofErr w:type="spellStart"/>
            <w:r>
              <w:rPr>
                <w:rFonts w:ascii="Times New Roman" w:eastAsia="Times New Roman" w:hAnsi="Times New Roman" w:cs="Times New Roman"/>
                <w:highlight w:val="white"/>
              </w:rPr>
              <w:t>salariaţilor</w:t>
            </w:r>
            <w:proofErr w:type="spellEnd"/>
            <w:r>
              <w:rPr>
                <w:rFonts w:ascii="Times New Roman" w:eastAsia="Times New Roman" w:hAnsi="Times New Roman" w:cs="Times New Roman"/>
                <w:highlight w:val="white"/>
              </w:rPr>
              <w:t xml:space="preserve"> la administrarea </w:t>
            </w:r>
            <w:proofErr w:type="spellStart"/>
            <w:r>
              <w:rPr>
                <w:rFonts w:ascii="Times New Roman" w:eastAsia="Times New Roman" w:hAnsi="Times New Roman" w:cs="Times New Roman"/>
                <w:highlight w:val="white"/>
              </w:rPr>
              <w:t>unităţii</w:t>
            </w:r>
            <w:proofErr w:type="spellEnd"/>
            <w:r>
              <w:rPr>
                <w:rFonts w:ascii="Times New Roman" w:eastAsia="Times New Roman" w:hAnsi="Times New Roman" w:cs="Times New Roman"/>
                <w:highlight w:val="white"/>
              </w:rPr>
              <w:t xml:space="preserve"> poate fi realizată prin:</w:t>
            </w:r>
          </w:p>
          <w:p w14:paraId="3D457892" w14:textId="77777777" w:rsidR="0091081E" w:rsidRDefault="00000000">
            <w:pPr>
              <w:spacing w:line="240" w:lineRule="auto"/>
              <w:ind w:firstLine="20"/>
              <w:jc w:val="both"/>
              <w:rPr>
                <w:rFonts w:ascii="Times New Roman" w:eastAsia="Times New Roman" w:hAnsi="Times New Roman" w:cs="Times New Roman"/>
                <w:b/>
                <w:bCs/>
                <w:sz w:val="18"/>
                <w:szCs w:val="18"/>
                <w:highlight w:val="white"/>
              </w:rPr>
            </w:pPr>
            <w:r>
              <w:rPr>
                <w:rFonts w:ascii="Times New Roman" w:eastAsia="Times New Roman" w:hAnsi="Times New Roman" w:cs="Times New Roman"/>
                <w:highlight w:val="white"/>
              </w:rPr>
              <w:t xml:space="preserve">b) informarea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consultarea </w:t>
            </w:r>
            <w:proofErr w:type="spellStart"/>
            <w:r>
              <w:rPr>
                <w:rFonts w:ascii="Times New Roman" w:eastAsia="Times New Roman" w:hAnsi="Times New Roman" w:cs="Times New Roman"/>
                <w:highlight w:val="white"/>
              </w:rPr>
              <w:t>salariaţilor</w:t>
            </w:r>
            <w:proofErr w:type="spellEnd"/>
            <w:r>
              <w:rPr>
                <w:rFonts w:ascii="Times New Roman" w:eastAsia="Times New Roman" w:hAnsi="Times New Roman" w:cs="Times New Roman"/>
                <w:highlight w:val="white"/>
              </w:rPr>
              <w:t xml:space="preserve"> referitor la chestiunile </w:t>
            </w:r>
            <w:proofErr w:type="spellStart"/>
            <w:r>
              <w:rPr>
                <w:rFonts w:ascii="Times New Roman" w:eastAsia="Times New Roman" w:hAnsi="Times New Roman" w:cs="Times New Roman"/>
                <w:highlight w:val="white"/>
              </w:rPr>
              <w:t>menţionate</w:t>
            </w:r>
            <w:proofErr w:type="spellEnd"/>
            <w:r>
              <w:rPr>
                <w:rFonts w:ascii="Times New Roman" w:eastAsia="Times New Roman" w:hAnsi="Times New Roman" w:cs="Times New Roman"/>
                <w:highlight w:val="white"/>
              </w:rPr>
              <w:t xml:space="preserve"> la art.42</w:t>
            </w:r>
            <w:r>
              <w:rPr>
                <w:rFonts w:ascii="Times New Roman" w:eastAsia="Times New Roman" w:hAnsi="Times New Roman" w:cs="Times New Roman"/>
                <w:highlight w:val="white"/>
                <w:vertAlign w:val="superscript"/>
              </w:rPr>
              <w:t>1</w:t>
            </w:r>
            <w:r>
              <w:rPr>
                <w:rFonts w:ascii="Times New Roman" w:eastAsia="Times New Roman" w:hAnsi="Times New Roman" w:cs="Times New Roman"/>
                <w:sz w:val="26"/>
                <w:szCs w:val="26"/>
                <w:highlight w:val="white"/>
              </w:rPr>
              <w:t xml:space="preserve">. </w:t>
            </w:r>
            <w:r>
              <w:rPr>
                <w:rFonts w:ascii="Times New Roman" w:eastAsia="Times New Roman" w:hAnsi="Times New Roman" w:cs="Times New Roman"/>
                <w:highlight w:val="white"/>
              </w:rPr>
              <w:t>Obligația informării ce vizează art. 42</w:t>
            </w:r>
            <w:r>
              <w:rPr>
                <w:rFonts w:ascii="Times New Roman" w:eastAsia="Times New Roman" w:hAnsi="Times New Roman" w:cs="Times New Roman"/>
                <w:highlight w:val="white"/>
                <w:vertAlign w:val="superscript"/>
              </w:rPr>
              <w:t xml:space="preserve">1 </w:t>
            </w:r>
            <w:r>
              <w:rPr>
                <w:rFonts w:ascii="Times New Roman" w:eastAsia="Times New Roman" w:hAnsi="Times New Roman" w:cs="Times New Roman"/>
                <w:highlight w:val="white"/>
              </w:rPr>
              <w:t>alin. (2) lit. a), b) și c) se aplică angajatorilor indiferent de tipul de proprietate, de forma juridică de organizare, cu scop lucrativ sau nu, care încadrează cel puțin 50 de salariați.</w:t>
            </w:r>
          </w:p>
          <w:p w14:paraId="2D2F55C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BFB6E5F"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7C5DE45"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0CECD9E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5704EC7"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w:t>
            </w:r>
            <w:r>
              <w:rPr>
                <w:rFonts w:ascii="Times New Roman" w:eastAsia="Times New Roman" w:hAnsi="Times New Roman" w:cs="Times New Roman"/>
                <w:highlight w:val="white"/>
              </w:rPr>
              <w:t>(tabel de concordanță ajustat).</w:t>
            </w:r>
          </w:p>
        </w:tc>
      </w:tr>
      <w:tr w:rsidR="0091081E" w14:paraId="04BA9180" w14:textId="77777777">
        <w:trPr>
          <w:trHeight w:val="376"/>
        </w:trPr>
        <w:tc>
          <w:tcPr>
            <w:tcW w:w="555" w:type="dxa"/>
            <w:vMerge/>
          </w:tcPr>
          <w:p w14:paraId="23D73652" w14:textId="77777777" w:rsidR="0091081E" w:rsidRDefault="0091081E">
            <w:pPr>
              <w:spacing w:line="240" w:lineRule="auto"/>
              <w:rPr>
                <w:rFonts w:ascii="Times New Roman" w:eastAsia="Times New Roman" w:hAnsi="Times New Roman" w:cs="Times New Roman"/>
                <w:b/>
                <w:bCs/>
              </w:rPr>
            </w:pPr>
          </w:p>
        </w:tc>
        <w:tc>
          <w:tcPr>
            <w:tcW w:w="2700" w:type="dxa"/>
            <w:vMerge/>
          </w:tcPr>
          <w:p w14:paraId="124BA0D0"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7A6507CD"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7. Directiva 2008/104/CE a Parlamentului European și a Consiliului din 19 noiembrie 2008 urmărește să asigure protecția lucrătorilor temporari prin aplicarea principiului egalității de tratament în raport cu angajații direcți, stabilind totodată un cadru armonizat pentru utilizarea muncii prin agent de muncă temporară în Uniunea Europeană.</w:t>
            </w:r>
          </w:p>
          <w:p w14:paraId="10E9452D"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Măsuri naționale de transpunere existente a Directivei 2008/104/CE</w:t>
            </w:r>
          </w:p>
          <w:p w14:paraId="600F9302"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Directiva 2008/104/CE a Parlamentului European și a Consiliului din 19 noiembrie 2008 a constituit obiect al transpunerii parțiale prin:</w:t>
            </w:r>
          </w:p>
          <w:p w14:paraId="50878E64"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Codul Muncii nr. 154/2003;</w:t>
            </w:r>
          </w:p>
          <w:p w14:paraId="7B6E63EC"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2. Legea sindicatelor nr. 1129/2000;</w:t>
            </w:r>
          </w:p>
          <w:p w14:paraId="54FC4D85"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Legea nr. 140/2001 privind Inspectoratul de Stat al Muncii.</w:t>
            </w:r>
          </w:p>
          <w:p w14:paraId="6E36B9A9"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b) Analiza comparativă a transpunerii dispozițiilor Directivei 2008/104/CE</w:t>
            </w:r>
          </w:p>
          <w:p w14:paraId="447D7A23"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ceea ce privește transpunerea Directivei 2008/104/CE, apreciem că proiectul național asigură transpunerea parțială a actului UE, conform celor constatate infra.</w:t>
            </w:r>
          </w:p>
          <w:p w14:paraId="1CC3605E"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prevederile prezentului proiect coroborate cu cele existente în actele naționale indicate mai sus, asigură transpunerea Directivei 2008/104/CE.</w:t>
            </w:r>
          </w:p>
          <w:p w14:paraId="0E54ACD9"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Prevederile art. 8 „Informarea reprezentanților lucrătorilor” din actul UE sunt transpuse parțial în Art. II, pct. 5 din proiectul național.</w:t>
            </w:r>
          </w:p>
          <w:p w14:paraId="6177CB3C"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Dispozițiile art. 1 (3) și art. 5 (3) și (4) din Directiva 2002/14/CE reprezintă prevederi opționale, pe care Republica Moldova a ales să nu le transpună în legislația națională.</w:t>
            </w:r>
          </w:p>
          <w:p w14:paraId="4BBCA4CC"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 Prevederi ale actului UE neaplicabile</w:t>
            </w:r>
          </w:p>
          <w:p w14:paraId="1F0B0472"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Dispozițiile art. 4 (3) și (5), art. 7 (3), art. 9 (1) și art. 11 - 14 nu fac obiectul transpunerii, întrucât reprezintă prevederi finale sau obligații administrative de raportare expirate.</w:t>
            </w:r>
          </w:p>
          <w:p w14:paraId="04B65732" w14:textId="77777777" w:rsidR="0091081E" w:rsidRDefault="0091081E">
            <w:pPr>
              <w:spacing w:line="240" w:lineRule="auto"/>
              <w:jc w:val="both"/>
              <w:rPr>
                <w:rFonts w:ascii="Times New Roman" w:eastAsia="Times New Roman" w:hAnsi="Times New Roman" w:cs="Times New Roman"/>
                <w:highlight w:val="white"/>
              </w:rPr>
            </w:pPr>
          </w:p>
          <w:p w14:paraId="623BBB1B"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8. Directiva 2014/67/UE a Parlamentului European și a Consiliului din 15 mai 2014, urmărește să prevină fraudele și să asigure respectarea drepturilor lucrătorilor detașați prin consolidarea cooperării administrative între statele membre și stabilirea unor mecanisme clare de control și sancționare.</w:t>
            </w:r>
          </w:p>
          <w:p w14:paraId="2885DF84"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Măsuri naționale de transpunere existente a Directivei 2014/67/UE</w:t>
            </w:r>
          </w:p>
          <w:p w14:paraId="32DC833A"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Directiva 2014/67/UE a Parlamentului European și a Consiliului din 15 mai 2014 a constituit obiect al transpunerii </w:t>
            </w:r>
            <w:r>
              <w:rPr>
                <w:rFonts w:ascii="Times New Roman" w:eastAsia="Times New Roman" w:hAnsi="Times New Roman" w:cs="Times New Roman"/>
                <w:highlight w:val="white"/>
              </w:rPr>
              <w:lastRenderedPageBreak/>
              <w:t>parțiale prin proiectul de Lege privind detașarea salariaților în cadrul prestării de servicii (NU 184/MMPS/2026).</w:t>
            </w:r>
          </w:p>
          <w:p w14:paraId="50A30B5B"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b) Analiza comparativă a transpunerii dispozițiilor Directivei 2014/67/UE</w:t>
            </w:r>
          </w:p>
          <w:p w14:paraId="19F7803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ceea ce privește transpunerea Directivei 2014/67/UE, apreciem că proiectul național, la Art. IV, pct. 3 și Art. V pct. 2, asigură transpunerea art. 20 a actului UE.</w:t>
            </w:r>
          </w:p>
          <w:p w14:paraId="46FFB0BA"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pentru a asigura transpunerea completă a Directivei UE, se vor lua în considerație observațiile de compatibilitate cu Directiva 2014/67/UE, expuse de Centrul de armonizare a legislației la proiectul de Lege privind detașarea salariaților în cadrul prestării de servicii (NU 184/MMPS/2026).</w:t>
            </w:r>
          </w:p>
          <w:p w14:paraId="5A2BA01E"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 Prevederi ale actului UE neaplicabile</w:t>
            </w:r>
          </w:p>
          <w:p w14:paraId="56AA82DA"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Dispozițiile art. 5 (3), (4), art. 8 (2), art. 12 (8) și art. 22 - 26 nu fac obiectul transpunerii, întrucât reprezintă prevederi finale sau atribuții exclusive ale Comisiei.</w:t>
            </w:r>
          </w:p>
        </w:tc>
        <w:tc>
          <w:tcPr>
            <w:tcW w:w="5880" w:type="dxa"/>
            <w:tcBorders>
              <w:bottom w:val="single" w:sz="4" w:space="0" w:color="000000"/>
            </w:tcBorders>
          </w:tcPr>
          <w:p w14:paraId="666ACADF"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9F5B98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2DA8AA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5067ED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053BD05A"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62B4B78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9F29887"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AD259F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2D3552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076274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FCCFF7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670848B"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59990F4"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F5AACEB"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14A889C4"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0B9E83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170F434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3F95C454"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F999ECF"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36E524C"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Se acceptă </w:t>
            </w:r>
            <w:r>
              <w:rPr>
                <w:rFonts w:ascii="Times New Roman" w:eastAsia="Times New Roman" w:hAnsi="Times New Roman" w:cs="Times New Roman"/>
                <w:highlight w:val="white"/>
              </w:rPr>
              <w:t>(tabel de concordanță ajustat)</w:t>
            </w:r>
            <w:r>
              <w:rPr>
                <w:rFonts w:ascii="Times New Roman" w:eastAsia="Times New Roman" w:hAnsi="Times New Roman" w:cs="Times New Roman"/>
                <w:b/>
                <w:bCs/>
                <w:highlight w:val="white"/>
              </w:rPr>
              <w:t>.</w:t>
            </w:r>
          </w:p>
          <w:p w14:paraId="6A582B69"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3865A7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448B88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4DD041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3DF1C9E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7FDB98E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686BF86"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A6E423C"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12EFC76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13C05D9B"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5D3D1D5"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3A25C00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5543C83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464EEB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4F271C0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A6A2250"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44B329A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8510C2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484B5DDA" w14:textId="77777777" w:rsidR="0091081E"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0E5C4472"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Cu referire la pct. 8, se vor lua în considerare observațiile de compatibilitate cu Directiva 2014/67/UE, expuse de Centrul de armonizare a legislației la proiectul de Lege privind detașarea salariaților în cadrul prestării de servicii (NU 184/MMPS/2026). </w:t>
            </w:r>
          </w:p>
        </w:tc>
      </w:tr>
      <w:tr w:rsidR="0091081E" w14:paraId="6377E57B" w14:textId="77777777">
        <w:trPr>
          <w:trHeight w:val="376"/>
        </w:trPr>
        <w:tc>
          <w:tcPr>
            <w:tcW w:w="555" w:type="dxa"/>
            <w:vMerge/>
          </w:tcPr>
          <w:p w14:paraId="046C84F0" w14:textId="77777777" w:rsidR="0091081E" w:rsidRDefault="0091081E">
            <w:pPr>
              <w:spacing w:line="240" w:lineRule="auto"/>
              <w:rPr>
                <w:rFonts w:ascii="Times New Roman" w:eastAsia="Times New Roman" w:hAnsi="Times New Roman" w:cs="Times New Roman"/>
                <w:b/>
                <w:bCs/>
              </w:rPr>
            </w:pPr>
          </w:p>
        </w:tc>
        <w:tc>
          <w:tcPr>
            <w:tcW w:w="2700" w:type="dxa"/>
            <w:vMerge/>
          </w:tcPr>
          <w:p w14:paraId="5234AFD2"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4A49F3D0"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III. Respectarea mecanismului de armonizare</w:t>
            </w:r>
          </w:p>
          <w:p w14:paraId="121B5B51"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Obiecții privind clauza de armonizare</w:t>
            </w:r>
          </w:p>
          <w:p w14:paraId="3E8AE35B"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Clauza de armonizare a proiectului urmează a fi expusă în următoarea redacție:</w:t>
            </w:r>
          </w:p>
          <w:p w14:paraId="7140E4FC"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„Prezenta lege: </w:t>
            </w:r>
          </w:p>
          <w:p w14:paraId="619D89F6"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transpune parțial Directiva 89/391/CEE a Consiliului din 12 iunie 1989 privind punerea în aplicare de măsuri pentru promovarea îmbunătățirii securității și sănătății lucrătorilor la locul de muncă, CELEX: 31989L0391, publicată în Jurnalul Oficial al Uniunii Europene L 183 din 29 iunie 1989, astfel cum a fost modificată ultima oară prin Regulamentul (CE) nr. 1137/2008 al Parlamentului European și al Consiliului din 22 octombrie 2008; </w:t>
            </w:r>
          </w:p>
          <w:p w14:paraId="73C28A4A"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transpune parțial Directiva 91/383/CEE Consiliului din 25 iunie 1991 de completare a măsurilor destinate să promoveze îmbunătățirea securității și sănătății la locul de muncă în cazul lucrătorilor care au un raport de muncă pe durată determinată sau un raport de muncă temporară, CELEX: 31991L0383, publicată în Jurnalul Oficial al Uniunii Europene L 206 din 29 iulie 1991, </w:t>
            </w:r>
            <w:r>
              <w:rPr>
                <w:rFonts w:ascii="Times New Roman" w:eastAsia="Times New Roman" w:hAnsi="Times New Roman" w:cs="Times New Roman"/>
                <w:highlight w:val="white"/>
              </w:rPr>
              <w:lastRenderedPageBreak/>
              <w:t xml:space="preserve">astfel cum a fost modificată ultima oară prin Directiva 2007/30/CE a Parlamentului European și a Consiliului din 20 iunie 2007; </w:t>
            </w:r>
          </w:p>
          <w:p w14:paraId="0940369E"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transpune parțial Directiva 92/85/CEE a Consiliului din 19 octombrie 1992 privind introducerea de măsuri pentru promovarea îmbunătățirii securității și a sănătății la locul de muncă în cazul lucrătoarelor gravide, care au născut de curând sau care alăptează [a zecea directivă specială în sensul articolului 16 alineatul (1) din Directiva 89/391/CEE], CELEX: 31992L0085, publicată în Jurnalul Oficial al Uniunii Europene L 348 din 28 noiembrie 1992, astfel cum a fost modificată ultima oară prin Regulamentul (UE) 2019/1243 al Parlamentului European și al Consiliului din 20 iunie 2019;</w:t>
            </w:r>
          </w:p>
          <w:p w14:paraId="7F7BF714"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transpune parțial Directiva 2000/43/CE a Consiliului din 29 iunie 2000 de punere în aplicare a principiului egalității de tratament între persoane, fără deosebire de rasă sau origine etnică, CELEX: 32000L0043, publicată în Jurnalul Oficial al Uniunii Europene L 180 din 19 iulie 2000, astfel cum a fost modificată ultima oară prin Directiva (UE) 2024/1499 a Consiliului din 7 mai 2024; </w:t>
            </w:r>
          </w:p>
          <w:p w14:paraId="51C2B67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transpune parțial Directiva 2000/78/CE a Consiliului din 27 noiembrie 2000 de creare a unui cadru general în favoarea egalității de tratament în ceea ce privește încadrarea în muncă și ocuparea forței de muncă, CELEX: 32000L0078, publicată în Jurnalul Oficial al Uniunii Europene L 303 din 02 decembrie 2000; </w:t>
            </w:r>
          </w:p>
          <w:p w14:paraId="35E00645"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transpune parțial Directiva 2002/14/CE a Parlamentului European și a Consiliului din 11 martie 2002 de stabilire a unui cadru general de informare și consultare a lucrătorilor din Comunitatea Europeană, CELEX: 32002L0014, publicată în Jurnalul Oficial al Uniunii Europene L 80 din 23 martie 2002, astfel cum a fost modificată ultima oară prin Directiva (UE) 2015/1794 a Parlamentului European și a Consiliului din 6 octombrie 2015; - transpune parțial Directiva 2008/104/CE a Parlamentului European și a Consiliului din 19 noiembrie 2008 </w:t>
            </w:r>
            <w:r>
              <w:rPr>
                <w:rFonts w:ascii="Times New Roman" w:eastAsia="Times New Roman" w:hAnsi="Times New Roman" w:cs="Times New Roman"/>
                <w:highlight w:val="white"/>
              </w:rPr>
              <w:lastRenderedPageBreak/>
              <w:t xml:space="preserve">privind munca prin agent de muncă temporară, CELEX: 32008L0104, publicată în Jurnalul Oficial al Uniunii Europene L 327 din 05 decembrie 2008; </w:t>
            </w:r>
          </w:p>
          <w:p w14:paraId="6E5D60A0"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transpune parțial Directiva 2014/67/UE 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 „Regulamentul IMI” ), CELEX: 32014L0067, publicată în Jurnalul Oficial al Uniunii Europene L 159 din 28 mai 2014;</w:t>
            </w:r>
          </w:p>
          <w:p w14:paraId="0F50D8FB"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creează cadrul necesar aplicării Regulamentului (UE) 2019/1149 al Parlamentului European și al Consiliului din 20 iunie 2019 de instituire a unei Autorități Europene a Muncii, de modificare a Regulamentului (CE) nr. 883/2004, a Regulamentului (UE) nr. 492/2011 și a Regulamentului (UE) 2016/589 și de abrogare a Deciziei (UE) 2016/344, CELEX: 32019R1149, publicat în Jurnalul Oficial al Uniunii Europene L 186 din 11 iulie 2019”.</w:t>
            </w:r>
          </w:p>
        </w:tc>
        <w:tc>
          <w:tcPr>
            <w:tcW w:w="5880" w:type="dxa"/>
            <w:tcBorders>
              <w:bottom w:val="single" w:sz="4" w:space="0" w:color="000000"/>
            </w:tcBorders>
          </w:tcPr>
          <w:p w14:paraId="2BA0DC9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53B6AAA"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tc>
      </w:tr>
      <w:tr w:rsidR="0091081E" w14:paraId="742A1DBA" w14:textId="77777777">
        <w:trPr>
          <w:trHeight w:val="376"/>
        </w:trPr>
        <w:tc>
          <w:tcPr>
            <w:tcW w:w="555" w:type="dxa"/>
            <w:vMerge/>
          </w:tcPr>
          <w:p w14:paraId="09AB84D7" w14:textId="77777777" w:rsidR="0091081E" w:rsidRDefault="0091081E">
            <w:pPr>
              <w:spacing w:line="240" w:lineRule="auto"/>
              <w:rPr>
                <w:rFonts w:ascii="Times New Roman" w:eastAsia="Times New Roman" w:hAnsi="Times New Roman" w:cs="Times New Roman"/>
                <w:b/>
                <w:bCs/>
              </w:rPr>
            </w:pPr>
          </w:p>
        </w:tc>
        <w:tc>
          <w:tcPr>
            <w:tcW w:w="2700" w:type="dxa"/>
            <w:vMerge/>
          </w:tcPr>
          <w:p w14:paraId="1413E7D4"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5AB15A93"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Cu referire la Art. I, pct. 1 din proiectul național, acesta va avea următoarea redacție:</w:t>
            </w:r>
          </w:p>
          <w:p w14:paraId="60EC99D5"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„1. După clauza de adoptare se introduce clauza de armonizare cu următorul cuprins: </w:t>
            </w:r>
          </w:p>
          <w:p w14:paraId="6FD677D0"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Prezenta lege creează cadrul necesar aplicării Regulamentului (UE) 2019/1149 al Parlamentului European și al Consiliului din 20 iunie 2019 de instituire a unei Autorități Europene a Muncii, de modificare a Regulamentului (CE) nr. 883/2004, a Regulamentului (UE) nr. 492/2011 și a Regulamentului (UE) 2016/589 și de abrogare a Deciziei (UE) 2016/344, CELEX: 32019R1149, publicat în Jurnalul Oficial al Uniunii Europene L 186 din 11 iulie 2019”.</w:t>
            </w:r>
          </w:p>
        </w:tc>
        <w:tc>
          <w:tcPr>
            <w:tcW w:w="5880" w:type="dxa"/>
            <w:tcBorders>
              <w:bottom w:val="single" w:sz="4" w:space="0" w:color="000000"/>
            </w:tcBorders>
          </w:tcPr>
          <w:p w14:paraId="11BF54EF"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tc>
      </w:tr>
      <w:tr w:rsidR="0091081E" w14:paraId="2200B9A3" w14:textId="77777777">
        <w:trPr>
          <w:trHeight w:val="376"/>
        </w:trPr>
        <w:tc>
          <w:tcPr>
            <w:tcW w:w="555" w:type="dxa"/>
            <w:vMerge/>
          </w:tcPr>
          <w:p w14:paraId="0EC35EA9" w14:textId="77777777" w:rsidR="0091081E" w:rsidRDefault="0091081E">
            <w:pPr>
              <w:spacing w:line="240" w:lineRule="auto"/>
              <w:rPr>
                <w:rFonts w:ascii="Times New Roman" w:eastAsia="Times New Roman" w:hAnsi="Times New Roman" w:cs="Times New Roman"/>
                <w:b/>
                <w:bCs/>
              </w:rPr>
            </w:pPr>
          </w:p>
        </w:tc>
        <w:tc>
          <w:tcPr>
            <w:tcW w:w="2700" w:type="dxa"/>
            <w:vMerge/>
          </w:tcPr>
          <w:p w14:paraId="7813370F"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14342719"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Cu referire la Art. II, pct. 1 din proiectul național, acesta va avea următoarea redacție:</w:t>
            </w:r>
          </w:p>
          <w:p w14:paraId="2FCCAC3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Clauza de armonizare se completează în final, după cum urmează:</w:t>
            </w:r>
          </w:p>
          <w:p w14:paraId="59F8AF46"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transpune parțial Directiva 92/85/CEE a Consiliului din 19 octombrie 1992 privind introducerea de măsuri pentru promovarea îmbunătățirii securității și a sănătății la locul de muncă în cazul lucrătoarelor gravide, care au născut de curând sau care alăptează [a zecea directivă specială în sensul articolului 16 alineatul (1) din Directiva 89/391/CEE], CELEX: 31992L0085, publicată în Jurnalul Oficial al Uniunii Europene L 348 din 28 noiembrie 1992, astfel cum a fost modificată ultima oară prin Regulamentul (UE) 2019/1243 al Parlamentului European și al Consiliului din 20 iunie 2019;</w:t>
            </w:r>
          </w:p>
          <w:p w14:paraId="3468E7B9"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transpune parțial Directiva 2000/43/CE a Consiliului din 29 iunie 2000 de punere în aplicare a principiului egalității de tratament între persoane, fără deosebire de rasă sau origine etnică, CELEX: 32000L0043, publicată în Jurnalul Oficial al Uniunii Europene L 180 din 19 iulie 2000, astfel cum a fost modificată ultima oară prin Directiva (UE) 2024/1499 a Consiliului din 7 mai 2024;</w:t>
            </w:r>
          </w:p>
          <w:p w14:paraId="378E6F23"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transpune parțial Directiva 2000/78/CE a Consiliului din 27 noiembrie 2000 de creare a unui cadru general în favoarea egalității de tratament în ceea ce privește încadrarea în muncă și ocuparea forței de muncă, CELEX: 32000L0078, publicată în Jurnalul Oficial al Uniunii Europene L 303 din 02 decembrie 2000;</w:t>
            </w:r>
          </w:p>
          <w:p w14:paraId="6E4A5DC4"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transpune parțial Directiva 2002/14/CE a Parlamentului European și a Consiliului din 11 martie 2002 de stabilire a unui cadru general de informare și consultare a lucrătorilor din Comunitatea Europeană, CELEX: 32002L0014, publicată în Jurnalul Oficial al Uniunii Europene L 80 din 23 martie 2002, astfel cum a fost modificată ultima oară prin Directiva (UE) 2015/1794 a Parlamentului European și a Consiliului din 6 octombrie 2015”.</w:t>
            </w:r>
          </w:p>
        </w:tc>
        <w:tc>
          <w:tcPr>
            <w:tcW w:w="5880" w:type="dxa"/>
            <w:tcBorders>
              <w:bottom w:val="single" w:sz="4" w:space="0" w:color="000000"/>
            </w:tcBorders>
          </w:tcPr>
          <w:p w14:paraId="35FC100E"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lastRenderedPageBreak/>
              <w:t>Se acceptă.</w:t>
            </w:r>
          </w:p>
        </w:tc>
      </w:tr>
      <w:tr w:rsidR="0091081E" w14:paraId="22F89957" w14:textId="77777777">
        <w:trPr>
          <w:trHeight w:val="376"/>
        </w:trPr>
        <w:tc>
          <w:tcPr>
            <w:tcW w:w="555" w:type="dxa"/>
            <w:vMerge/>
          </w:tcPr>
          <w:p w14:paraId="10DE5FCF" w14:textId="77777777" w:rsidR="0091081E" w:rsidRDefault="0091081E">
            <w:pPr>
              <w:spacing w:line="240" w:lineRule="auto"/>
              <w:rPr>
                <w:rFonts w:ascii="Times New Roman" w:eastAsia="Times New Roman" w:hAnsi="Times New Roman" w:cs="Times New Roman"/>
                <w:b/>
                <w:bCs/>
              </w:rPr>
            </w:pPr>
          </w:p>
        </w:tc>
        <w:tc>
          <w:tcPr>
            <w:tcW w:w="2700" w:type="dxa"/>
            <w:vMerge/>
          </w:tcPr>
          <w:p w14:paraId="3E0E4784"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44DA5916"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Cu referire la art. IV pct. 1 din proiectul național, acesta va avea următoarea redacție:</w:t>
            </w:r>
          </w:p>
          <w:p w14:paraId="07987B6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„După clauza de adoptare se introduce clauza de armonizare cu următorul cuprins:</w:t>
            </w:r>
          </w:p>
          <w:p w14:paraId="7FC40E03"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Prezenta lege:</w:t>
            </w:r>
          </w:p>
          <w:p w14:paraId="1F5A8E3D"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transpune parțial Directiva 2002/14/CE a Parlamentului European și a Consiliului din 11 martie 2002 de stabilire a unui cadru general de informare și consultare a lucrătorilor din Comunitatea Europeană, CELEX: 32002L0014, publicată în Jurnalul Oficial al Uniunii Europene L 80 din 23 martie 2002, astfel cum a fost modificată ultima oară prin Directiva (UE) 2015/1794 a Parlamentului European și a Consiliului din 6 octombrie 2015;</w:t>
            </w:r>
          </w:p>
          <w:p w14:paraId="700F8B74"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transpune parțial Directiva 2014/67/UE 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 „Regulamentul IMI” ), CELEX: 32014L0067, publicată în Jurnalul Oficial al Uniunii Europene L 159 din 28 mai 2014”.</w:t>
            </w:r>
          </w:p>
        </w:tc>
        <w:tc>
          <w:tcPr>
            <w:tcW w:w="5880" w:type="dxa"/>
            <w:tcBorders>
              <w:bottom w:val="single" w:sz="4" w:space="0" w:color="000000"/>
            </w:tcBorders>
          </w:tcPr>
          <w:p w14:paraId="1F65E46B"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lastRenderedPageBreak/>
              <w:t>Se acceptă.</w:t>
            </w:r>
          </w:p>
        </w:tc>
      </w:tr>
      <w:tr w:rsidR="0091081E" w14:paraId="09B88A8F" w14:textId="77777777">
        <w:trPr>
          <w:trHeight w:val="376"/>
        </w:trPr>
        <w:tc>
          <w:tcPr>
            <w:tcW w:w="555" w:type="dxa"/>
            <w:vMerge/>
          </w:tcPr>
          <w:p w14:paraId="361F687C" w14:textId="77777777" w:rsidR="0091081E" w:rsidRDefault="0091081E">
            <w:pPr>
              <w:spacing w:line="240" w:lineRule="auto"/>
              <w:rPr>
                <w:rFonts w:ascii="Times New Roman" w:eastAsia="Times New Roman" w:hAnsi="Times New Roman" w:cs="Times New Roman"/>
                <w:b/>
                <w:bCs/>
              </w:rPr>
            </w:pPr>
          </w:p>
        </w:tc>
        <w:tc>
          <w:tcPr>
            <w:tcW w:w="2700" w:type="dxa"/>
            <w:vMerge/>
          </w:tcPr>
          <w:p w14:paraId="6DF83AA1"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66EE2DAB"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Cu referire la Art. V, pct. 1 din proiectul național, acesta va avea următoarea redacție:</w:t>
            </w:r>
          </w:p>
          <w:p w14:paraId="5A5AEAA3"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„După clauza de adoptare se introduce clauza de armonizare cu următorul cuprins:</w:t>
            </w:r>
          </w:p>
          <w:p w14:paraId="6CE8502B"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Prezenta lege transpune parțial Directiva 2014/67/UE 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 „Regulamentul IMI” ), CELEX: 32014L0067, publicată în Jurnalul Oficial al Uniunii Europene L 159 din 28 mai 2014”.</w:t>
            </w:r>
          </w:p>
        </w:tc>
        <w:tc>
          <w:tcPr>
            <w:tcW w:w="5880" w:type="dxa"/>
            <w:tcBorders>
              <w:bottom w:val="single" w:sz="4" w:space="0" w:color="000000"/>
            </w:tcBorders>
          </w:tcPr>
          <w:p w14:paraId="27588379"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tc>
      </w:tr>
      <w:tr w:rsidR="0091081E" w14:paraId="1982FABE" w14:textId="77777777">
        <w:trPr>
          <w:trHeight w:val="376"/>
        </w:trPr>
        <w:tc>
          <w:tcPr>
            <w:tcW w:w="555" w:type="dxa"/>
            <w:vMerge/>
          </w:tcPr>
          <w:p w14:paraId="07A83C03" w14:textId="77777777" w:rsidR="0091081E" w:rsidRDefault="0091081E">
            <w:pPr>
              <w:spacing w:line="240" w:lineRule="auto"/>
              <w:rPr>
                <w:rFonts w:ascii="Times New Roman" w:eastAsia="Times New Roman" w:hAnsi="Times New Roman" w:cs="Times New Roman"/>
                <w:b/>
                <w:bCs/>
              </w:rPr>
            </w:pPr>
          </w:p>
        </w:tc>
        <w:tc>
          <w:tcPr>
            <w:tcW w:w="2700" w:type="dxa"/>
            <w:vMerge/>
          </w:tcPr>
          <w:p w14:paraId="5C12EB12"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5CD10347"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b) Obiecții privind tabelele de concordanță</w:t>
            </w:r>
          </w:p>
          <w:p w14:paraId="5977B0A7"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Potrivit pct. 1 din Anexa nr. 2 la Regulamentul privind armonizarea legislației Republicii Moldova cu legislația Uniunii Europene aprobat prin HG nr. 1171/2018 (în continuare </w:t>
            </w:r>
            <w:r>
              <w:rPr>
                <w:rFonts w:ascii="Times New Roman" w:eastAsia="Times New Roman" w:hAnsi="Times New Roman" w:cs="Times New Roman"/>
                <w:highlight w:val="white"/>
              </w:rPr>
              <w:lastRenderedPageBreak/>
              <w:t>Regulament), textul din compartimentul 1 al tabelului de concordanță al actului UE relevant, va avea următoarea redacție:</w:t>
            </w:r>
          </w:p>
          <w:p w14:paraId="5FC0EC27"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„Directiva 89/391/CEE a Consiliului din 12 iunie 1989 privind punerea în aplicare de măsuri pentru promovarea îmbunătățirii securității și sănătății lucrătorilor la locul de muncă, CELEX: 31989L0391, publicată în Jurnalul Oficial al Uniunii Europene L 183 din 29 iunie 1989, astfel cum a fost modificată ultima oară prin Regulamentul (CE) nr. 1137/2008 al Parlamentului European și al Consiliului din 22 octombrie 2008”; </w:t>
            </w:r>
          </w:p>
          <w:p w14:paraId="07308D2E"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„Directiva 2000/43/CE a Consiliului din 29 iunie 2000 de punere în aplicare a principiului egalității de tratament între persoane, fără deosebire de rasă sau origine etnică, CELEX: 32000L0043, publicată în Jurnalul Oficial al Uniunii Europene L 180 din 19 iulie 2000, astfel cum a fost modificată ultima oară prin Directiva (UE) 2024/1499 a Consiliului din 7 mai 2024”; </w:t>
            </w:r>
          </w:p>
          <w:p w14:paraId="6CA4DE99"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„Directiva 2000/78/CE a Consiliului din 27 noiembrie 2000 de creare a unui cadru general în favoarea egalității de tratament în ceea ce privește încadrarea în muncă și ocuparea forței de muncă, CELEX: 32000L0078, publicată în Jurnalul Oficial al Uniunii Europene L 303 din 02 decembrie 2000”; </w:t>
            </w:r>
          </w:p>
          <w:p w14:paraId="0BFC78F7"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„Directiva 2002/14/CE a Parlamentului European și a Consiliului din 11 martie 2002 de stabilire a unui cadru general de informare și consultare a lucrătorilor din Comunitatea Europeană, CELEX: 32002L0014, publicată în Jurnalul Oficial al Uniunii Europene L 80 din 23 martie 2002, astfel cum a fost modificată ultima oară prin Directiva (UE) 2015/1794 a Parlamentului European și a Consiliului din 6 octombrie 2015”;</w:t>
            </w:r>
          </w:p>
          <w:p w14:paraId="6FB94610"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„Directiva 2014/67/UE 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 </w:t>
            </w:r>
            <w:r>
              <w:rPr>
                <w:rFonts w:ascii="Times New Roman" w:eastAsia="Times New Roman" w:hAnsi="Times New Roman" w:cs="Times New Roman"/>
                <w:highlight w:val="white"/>
              </w:rPr>
              <w:lastRenderedPageBreak/>
              <w:t>„Regulamentul IMI” ), CELEX: 32014L0067, publicată în Jurnalul Oficial al Uniunii Europene L 159 din 28 mai 2014”;</w:t>
            </w:r>
          </w:p>
          <w:p w14:paraId="31C1C5B4"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„Regulamentului (UE) 2019/1149 al Parlamentului European și al Consiliului din 20 iunie 2019 de instituire a unei Autorități Europene a Muncii, de modificare a Regulamentului (CE) nr. 883/2004, a Regulamentului (UE) nr. 492/2011 și a Regulamentului (UE) 2016/589 și de abrogare a Deciziei (UE) 2016/344, CELEX: 32019R1149, publicat în Jurnalul Oficial al Uniunii Europene L 186 din 11 iulie 2019” </w:t>
            </w:r>
          </w:p>
        </w:tc>
        <w:tc>
          <w:tcPr>
            <w:tcW w:w="5880" w:type="dxa"/>
            <w:tcBorders>
              <w:bottom w:val="single" w:sz="4" w:space="0" w:color="000000"/>
            </w:tcBorders>
          </w:tcPr>
          <w:p w14:paraId="71CA67D3" w14:textId="77777777" w:rsidR="0091081E" w:rsidRDefault="0091081E">
            <w:pPr>
              <w:spacing w:line="240" w:lineRule="auto"/>
              <w:jc w:val="both"/>
              <w:rPr>
                <w:rFonts w:ascii="Times New Roman" w:eastAsia="Times New Roman" w:hAnsi="Times New Roman" w:cs="Times New Roman"/>
                <w:b/>
                <w:bCs/>
                <w:highlight w:val="white"/>
              </w:rPr>
            </w:pPr>
          </w:p>
          <w:p w14:paraId="7CFDF6E5" w14:textId="77777777" w:rsidR="0091081E"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35F5A91A" w14:textId="77777777" w:rsidR="0091081E" w:rsidRDefault="0091081E">
            <w:pPr>
              <w:spacing w:line="240" w:lineRule="auto"/>
              <w:jc w:val="both"/>
              <w:rPr>
                <w:rFonts w:ascii="Times New Roman" w:eastAsia="Times New Roman" w:hAnsi="Times New Roman" w:cs="Times New Roman"/>
                <w:b/>
                <w:bCs/>
                <w:highlight w:val="white"/>
              </w:rPr>
            </w:pPr>
          </w:p>
          <w:p w14:paraId="2C65124E"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Tabelele de concordanță corespunzătoare au fost ajustate.</w:t>
            </w:r>
          </w:p>
          <w:p w14:paraId="3C7BF53B" w14:textId="77777777" w:rsidR="0091081E" w:rsidRDefault="0091081E">
            <w:pPr>
              <w:spacing w:line="240" w:lineRule="auto"/>
              <w:jc w:val="both"/>
              <w:rPr>
                <w:rFonts w:ascii="Times New Roman" w:eastAsia="Times New Roman" w:hAnsi="Times New Roman" w:cs="Times New Roman"/>
                <w:highlight w:val="white"/>
              </w:rPr>
            </w:pPr>
          </w:p>
          <w:p w14:paraId="7A7BA96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751FC85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5F5664B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10636F1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51AA9E2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tc>
      </w:tr>
      <w:tr w:rsidR="0091081E" w14:paraId="495A53D4" w14:textId="77777777">
        <w:trPr>
          <w:trHeight w:val="376"/>
        </w:trPr>
        <w:tc>
          <w:tcPr>
            <w:tcW w:w="555" w:type="dxa"/>
            <w:vMerge/>
          </w:tcPr>
          <w:p w14:paraId="50DA0F0F" w14:textId="77777777" w:rsidR="0091081E" w:rsidRDefault="0091081E">
            <w:pPr>
              <w:spacing w:line="240" w:lineRule="auto"/>
              <w:rPr>
                <w:rFonts w:ascii="Times New Roman" w:eastAsia="Times New Roman" w:hAnsi="Times New Roman" w:cs="Times New Roman"/>
                <w:b/>
                <w:bCs/>
              </w:rPr>
            </w:pPr>
          </w:p>
        </w:tc>
        <w:tc>
          <w:tcPr>
            <w:tcW w:w="2700" w:type="dxa"/>
            <w:vMerge/>
          </w:tcPr>
          <w:p w14:paraId="58808997"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562B4936"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Potrivit pct. 2 din Anexa nr. 2 la Regulament, la compartimentul 2 al tabelului de concordanță urmează a fi indicat corect titlul proiectului de act normativ național ce transpune dispozițiile actului juridic european, și anume „Lege pentru modificarea unor acte normative în domeniul raporturilor de muncă, securității și sănătății în muncă și egalității de tratament” (obiecție valabilă pentru toate tabelele de concordanță).</w:t>
            </w:r>
          </w:p>
        </w:tc>
        <w:tc>
          <w:tcPr>
            <w:tcW w:w="5880" w:type="dxa"/>
            <w:tcBorders>
              <w:bottom w:val="single" w:sz="4" w:space="0" w:color="000000"/>
            </w:tcBorders>
          </w:tcPr>
          <w:p w14:paraId="55A470E9"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p w14:paraId="208C81C0"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Tabelele de concordanță corespunzătoare au fost ajustate.</w:t>
            </w:r>
          </w:p>
        </w:tc>
      </w:tr>
      <w:tr w:rsidR="0091081E" w14:paraId="43FF88A0" w14:textId="77777777">
        <w:trPr>
          <w:trHeight w:val="376"/>
        </w:trPr>
        <w:tc>
          <w:tcPr>
            <w:tcW w:w="555" w:type="dxa"/>
            <w:vMerge/>
          </w:tcPr>
          <w:p w14:paraId="294EC4E2" w14:textId="77777777" w:rsidR="0091081E" w:rsidRDefault="0091081E">
            <w:pPr>
              <w:spacing w:line="240" w:lineRule="auto"/>
              <w:rPr>
                <w:rFonts w:ascii="Times New Roman" w:eastAsia="Times New Roman" w:hAnsi="Times New Roman" w:cs="Times New Roman"/>
                <w:b/>
                <w:bCs/>
              </w:rPr>
            </w:pPr>
          </w:p>
        </w:tc>
        <w:tc>
          <w:tcPr>
            <w:tcW w:w="2700" w:type="dxa"/>
            <w:vMerge/>
          </w:tcPr>
          <w:p w14:paraId="4DE3D5E9"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3892343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constată că prevederile indicate la compartimentul 7 al tabelului de concordanță nu corespund versiunii proiectului de lege pentru modificarea unor acte normative în domeniul raporturilor de muncă, securității și sănătății în muncă și egalității de tratament, transmis spre expertizare. Prin urmare, tabelul prezentat urmează a fi revizuit în vederea asigurării unei delimitări clare între normele UE deja transpuse și cele care fac obiectul transpunerii prin prezentul proiect.</w:t>
            </w:r>
          </w:p>
        </w:tc>
        <w:tc>
          <w:tcPr>
            <w:tcW w:w="5880" w:type="dxa"/>
            <w:tcBorders>
              <w:bottom w:val="single" w:sz="4" w:space="0" w:color="000000"/>
            </w:tcBorders>
          </w:tcPr>
          <w:p w14:paraId="5BEB1E3D"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p w14:paraId="65F403B1"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Tabelele de concordanță corespunzătoare au fost ajustate.</w:t>
            </w:r>
          </w:p>
          <w:p w14:paraId="5D3E8EF7"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tc>
      </w:tr>
      <w:tr w:rsidR="0091081E" w14:paraId="43563FDF" w14:textId="77777777">
        <w:trPr>
          <w:trHeight w:val="376"/>
        </w:trPr>
        <w:tc>
          <w:tcPr>
            <w:tcW w:w="555" w:type="dxa"/>
            <w:vMerge/>
          </w:tcPr>
          <w:p w14:paraId="3D29355F" w14:textId="77777777" w:rsidR="0091081E" w:rsidRDefault="0091081E">
            <w:pPr>
              <w:spacing w:line="240" w:lineRule="auto"/>
              <w:rPr>
                <w:rFonts w:ascii="Times New Roman" w:eastAsia="Times New Roman" w:hAnsi="Times New Roman" w:cs="Times New Roman"/>
                <w:b/>
                <w:bCs/>
              </w:rPr>
            </w:pPr>
          </w:p>
        </w:tc>
        <w:tc>
          <w:tcPr>
            <w:tcW w:w="2700" w:type="dxa"/>
            <w:vMerge/>
          </w:tcPr>
          <w:p w14:paraId="70F14FC8"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748E966D"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având în vedere că inițiativa vizează modificarea art. 8 alin. (2) din Codul muncii (Art. II, pct. 4), se impune actualizarea corespondentului național pentru art. 4 din Directiva 2000/43/CE. În acest sens, la compartimentul 9 al tabelului de concordanță, urmează a fi inserată noua redacție propusă prin proiect în locul versiunii actuale a Codului muncii, pentru a reflecta fidel stadiul de armonizare legislativă</w:t>
            </w:r>
          </w:p>
        </w:tc>
        <w:tc>
          <w:tcPr>
            <w:tcW w:w="5880" w:type="dxa"/>
            <w:tcBorders>
              <w:bottom w:val="single" w:sz="4" w:space="0" w:color="000000"/>
            </w:tcBorders>
          </w:tcPr>
          <w:p w14:paraId="1D2DCDA9" w14:textId="77777777" w:rsidR="0091081E"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w:t>
            </w:r>
          </w:p>
          <w:p w14:paraId="01377BD4"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Tabelul de concordanță a fost ajustat.</w:t>
            </w:r>
          </w:p>
          <w:p w14:paraId="489626AB" w14:textId="77777777" w:rsidR="0091081E" w:rsidRDefault="0091081E">
            <w:pPr>
              <w:spacing w:line="240" w:lineRule="auto"/>
              <w:jc w:val="both"/>
              <w:rPr>
                <w:rFonts w:ascii="Times New Roman" w:eastAsia="Times New Roman" w:hAnsi="Times New Roman" w:cs="Times New Roman"/>
                <w:b/>
                <w:bCs/>
                <w:highlight w:val="white"/>
              </w:rPr>
            </w:pPr>
          </w:p>
        </w:tc>
      </w:tr>
      <w:tr w:rsidR="0091081E" w14:paraId="1CE2DB47" w14:textId="77777777">
        <w:trPr>
          <w:trHeight w:val="376"/>
        </w:trPr>
        <w:tc>
          <w:tcPr>
            <w:tcW w:w="555" w:type="dxa"/>
            <w:vMerge/>
          </w:tcPr>
          <w:p w14:paraId="5EDD1378" w14:textId="77777777" w:rsidR="0091081E" w:rsidRDefault="0091081E">
            <w:pPr>
              <w:spacing w:line="240" w:lineRule="auto"/>
              <w:rPr>
                <w:rFonts w:ascii="Times New Roman" w:eastAsia="Times New Roman" w:hAnsi="Times New Roman" w:cs="Times New Roman"/>
                <w:b/>
                <w:bCs/>
              </w:rPr>
            </w:pPr>
          </w:p>
        </w:tc>
        <w:tc>
          <w:tcPr>
            <w:tcW w:w="2700" w:type="dxa"/>
            <w:vMerge/>
          </w:tcPr>
          <w:p w14:paraId="6240CB0B"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6ABA46C6"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Se recomandă examinarea cadrului normativ național pentru identificarea normelor ce reflectă exigențele art. 6 din Directiva 2000/78/CE. În măsura în care se atestă o corelare, tabelul de </w:t>
            </w:r>
            <w:r>
              <w:rPr>
                <w:rFonts w:ascii="Times New Roman" w:eastAsia="Times New Roman" w:hAnsi="Times New Roman" w:cs="Times New Roman"/>
                <w:highlight w:val="white"/>
              </w:rPr>
              <w:lastRenderedPageBreak/>
              <w:t>concordanță urmează a fi completat cu prevederile interne corespondente pentru a asigura oglindirea fidelă a gradului de armonizare.</w:t>
            </w:r>
          </w:p>
        </w:tc>
        <w:tc>
          <w:tcPr>
            <w:tcW w:w="5880" w:type="dxa"/>
            <w:tcBorders>
              <w:bottom w:val="single" w:sz="4" w:space="0" w:color="000000"/>
            </w:tcBorders>
          </w:tcPr>
          <w:p w14:paraId="073A1BB6" w14:textId="77777777" w:rsidR="0091081E"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 xml:space="preserve">Se acceptă. </w:t>
            </w:r>
          </w:p>
          <w:p w14:paraId="5B45B94E"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Tabelul de concordanță a fost ajustat.</w:t>
            </w:r>
          </w:p>
        </w:tc>
      </w:tr>
      <w:tr w:rsidR="0091081E" w14:paraId="744B5D76" w14:textId="77777777">
        <w:trPr>
          <w:trHeight w:val="376"/>
        </w:trPr>
        <w:tc>
          <w:tcPr>
            <w:tcW w:w="555" w:type="dxa"/>
            <w:vMerge/>
          </w:tcPr>
          <w:p w14:paraId="4602E286" w14:textId="77777777" w:rsidR="0091081E" w:rsidRDefault="0091081E">
            <w:pPr>
              <w:spacing w:line="240" w:lineRule="auto"/>
              <w:rPr>
                <w:rFonts w:ascii="Times New Roman" w:eastAsia="Times New Roman" w:hAnsi="Times New Roman" w:cs="Times New Roman"/>
                <w:b/>
                <w:bCs/>
              </w:rPr>
            </w:pPr>
          </w:p>
        </w:tc>
        <w:tc>
          <w:tcPr>
            <w:tcW w:w="2700" w:type="dxa"/>
            <w:vMerge/>
          </w:tcPr>
          <w:p w14:paraId="77B8FD34"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0ED69B85"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Potrivit pct. 8 din Anexa nr. 2 la Regulament, pentru Anexa din Directiva nr. 89/391/CEE, la compartimentul 8 al tabelului de concordanță urmează a fi indicat calificativul „Prevederi UE neaplicabile”.</w:t>
            </w:r>
          </w:p>
        </w:tc>
        <w:tc>
          <w:tcPr>
            <w:tcW w:w="5880" w:type="dxa"/>
            <w:tcBorders>
              <w:bottom w:val="single" w:sz="4" w:space="0" w:color="000000"/>
            </w:tcBorders>
          </w:tcPr>
          <w:p w14:paraId="5A18F8E2"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p w14:paraId="0B10DF74"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Tabelul de concordanță a fost ajustat.</w:t>
            </w:r>
          </w:p>
          <w:p w14:paraId="21592774"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tc>
      </w:tr>
      <w:tr w:rsidR="0091081E" w14:paraId="46988A83" w14:textId="77777777">
        <w:trPr>
          <w:trHeight w:val="376"/>
        </w:trPr>
        <w:tc>
          <w:tcPr>
            <w:tcW w:w="555" w:type="dxa"/>
            <w:vMerge/>
          </w:tcPr>
          <w:p w14:paraId="0A4D6D49" w14:textId="77777777" w:rsidR="0091081E" w:rsidRDefault="0091081E">
            <w:pPr>
              <w:spacing w:line="240" w:lineRule="auto"/>
              <w:rPr>
                <w:rFonts w:ascii="Times New Roman" w:eastAsia="Times New Roman" w:hAnsi="Times New Roman" w:cs="Times New Roman"/>
                <w:b/>
                <w:bCs/>
              </w:rPr>
            </w:pPr>
          </w:p>
        </w:tc>
        <w:tc>
          <w:tcPr>
            <w:tcW w:w="2700" w:type="dxa"/>
            <w:vMerge/>
          </w:tcPr>
          <w:p w14:paraId="57662EE8"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06226CA0"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Potrivit pct. 9 din Anexa nr. 2 la Regulament, compartimentul 9 al tabelului de concordanță trebuie să cuprindă strict justificările pentru transpunerea parțială, termenele de compatibilizare deplină și confirmarea lipsei </w:t>
            </w:r>
            <w:proofErr w:type="spellStart"/>
            <w:r>
              <w:rPr>
                <w:rFonts w:ascii="Times New Roman" w:eastAsia="Times New Roman" w:hAnsi="Times New Roman" w:cs="Times New Roman"/>
                <w:highlight w:val="white"/>
              </w:rPr>
              <w:t>suprareglementării</w:t>
            </w:r>
            <w:proofErr w:type="spellEnd"/>
            <w:r>
              <w:rPr>
                <w:rFonts w:ascii="Times New Roman" w:eastAsia="Times New Roman" w:hAnsi="Times New Roman" w:cs="Times New Roman"/>
                <w:highlight w:val="white"/>
              </w:rPr>
              <w:t>. Prin urmare, este necesară eliminarea tuturor comentariilor care nu vizează aceste aspecte specifice (de ex: tabelul Directivei 89/391/CEE).</w:t>
            </w:r>
          </w:p>
        </w:tc>
        <w:tc>
          <w:tcPr>
            <w:tcW w:w="5880" w:type="dxa"/>
            <w:tcBorders>
              <w:bottom w:val="single" w:sz="4" w:space="0" w:color="000000"/>
            </w:tcBorders>
          </w:tcPr>
          <w:p w14:paraId="71ADF0A4"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p w14:paraId="38F5BE76"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Tabelele de concordanță au fost ajustate.</w:t>
            </w:r>
          </w:p>
        </w:tc>
      </w:tr>
      <w:tr w:rsidR="0091081E" w14:paraId="248FE990" w14:textId="77777777">
        <w:trPr>
          <w:trHeight w:val="376"/>
        </w:trPr>
        <w:tc>
          <w:tcPr>
            <w:tcW w:w="555" w:type="dxa"/>
            <w:vMerge/>
          </w:tcPr>
          <w:p w14:paraId="65068EAB" w14:textId="77777777" w:rsidR="0091081E" w:rsidRDefault="0091081E">
            <w:pPr>
              <w:spacing w:line="240" w:lineRule="auto"/>
              <w:rPr>
                <w:rFonts w:ascii="Times New Roman" w:eastAsia="Times New Roman" w:hAnsi="Times New Roman" w:cs="Times New Roman"/>
                <w:b/>
                <w:bCs/>
              </w:rPr>
            </w:pPr>
          </w:p>
        </w:tc>
        <w:tc>
          <w:tcPr>
            <w:tcW w:w="2700" w:type="dxa"/>
            <w:vMerge/>
          </w:tcPr>
          <w:p w14:paraId="479C101C"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4922E1C8"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 Observații privind Nota de fundamentare</w:t>
            </w:r>
          </w:p>
          <w:p w14:paraId="5A3C86CD"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Compartimentul 5 din Nota de fundamentare urmează a fi completat potrivit cerințelor prevăzute la pct. 5 din Anexa 1 la Legea 100/2017.</w:t>
            </w:r>
          </w:p>
          <w:p w14:paraId="5F0C5BCF" w14:textId="77777777" w:rsidR="0091081E" w:rsidRDefault="0091081E">
            <w:pPr>
              <w:spacing w:line="240" w:lineRule="auto"/>
              <w:ind w:firstLine="284"/>
              <w:jc w:val="both"/>
              <w:rPr>
                <w:rFonts w:ascii="Times New Roman" w:eastAsia="Times New Roman" w:hAnsi="Times New Roman" w:cs="Times New Roman"/>
                <w:highlight w:val="white"/>
              </w:rPr>
            </w:pPr>
          </w:p>
        </w:tc>
        <w:tc>
          <w:tcPr>
            <w:tcW w:w="5880" w:type="dxa"/>
            <w:tcBorders>
              <w:bottom w:val="single" w:sz="4" w:space="0" w:color="000000"/>
            </w:tcBorders>
          </w:tcPr>
          <w:p w14:paraId="782AFF45"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tc>
      </w:tr>
      <w:tr w:rsidR="0091081E" w14:paraId="0400268B" w14:textId="77777777">
        <w:trPr>
          <w:trHeight w:val="376"/>
        </w:trPr>
        <w:tc>
          <w:tcPr>
            <w:tcW w:w="555" w:type="dxa"/>
            <w:vMerge/>
          </w:tcPr>
          <w:p w14:paraId="3FFFF794" w14:textId="77777777" w:rsidR="0091081E" w:rsidRDefault="0091081E">
            <w:pPr>
              <w:spacing w:line="240" w:lineRule="auto"/>
              <w:rPr>
                <w:rFonts w:ascii="Times New Roman" w:eastAsia="Times New Roman" w:hAnsi="Times New Roman" w:cs="Times New Roman"/>
                <w:b/>
                <w:bCs/>
              </w:rPr>
            </w:pPr>
          </w:p>
        </w:tc>
        <w:tc>
          <w:tcPr>
            <w:tcW w:w="2700" w:type="dxa"/>
            <w:vMerge/>
          </w:tcPr>
          <w:p w14:paraId="59C9C06E"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2BE829BC"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IV. Concluzii</w:t>
            </w:r>
          </w:p>
          <w:p w14:paraId="0495C8B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Ca urmare a expertizei de compatibilitate realizate, se va asigura revizuirea proiectului și documentelor anexate prin prisma obiecțiilor și propunerilor enunțate în prezenta Declarație de compatibilitate.</w:t>
            </w:r>
          </w:p>
        </w:tc>
        <w:tc>
          <w:tcPr>
            <w:tcW w:w="5880" w:type="dxa"/>
            <w:tcBorders>
              <w:bottom w:val="single" w:sz="4" w:space="0" w:color="000000"/>
            </w:tcBorders>
          </w:tcPr>
          <w:p w14:paraId="01430AC0"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tc>
      </w:tr>
      <w:tr w:rsidR="0091081E" w14:paraId="6E22F152" w14:textId="77777777">
        <w:trPr>
          <w:trHeight w:val="376"/>
        </w:trPr>
        <w:tc>
          <w:tcPr>
            <w:tcW w:w="555" w:type="dxa"/>
            <w:vMerge/>
          </w:tcPr>
          <w:p w14:paraId="14D35E38" w14:textId="77777777" w:rsidR="0091081E" w:rsidRDefault="0091081E">
            <w:pPr>
              <w:spacing w:line="240" w:lineRule="auto"/>
              <w:rPr>
                <w:rFonts w:ascii="Times New Roman" w:eastAsia="Times New Roman" w:hAnsi="Times New Roman" w:cs="Times New Roman"/>
                <w:b/>
                <w:bCs/>
              </w:rPr>
            </w:pPr>
          </w:p>
        </w:tc>
        <w:tc>
          <w:tcPr>
            <w:tcW w:w="2700" w:type="dxa"/>
            <w:vMerge/>
          </w:tcPr>
          <w:p w14:paraId="0BD24067"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1BFD7084"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Facem mențiunea că analiza Centrului de armonizare a legislației nu are în vedere elementele de oportunitate ale soluțiilor juridice incluse în proiectul de act normativ, ci se referă strict la conformitatea acestora cu Dreptul UE aplicabil, obligațiile juridice asumate în lumina Acordului de Asociere RM – UE și Cadrului de negociere cu Uniunea Europeană.</w:t>
            </w:r>
          </w:p>
        </w:tc>
        <w:tc>
          <w:tcPr>
            <w:tcW w:w="5880" w:type="dxa"/>
            <w:tcBorders>
              <w:bottom w:val="single" w:sz="4" w:space="0" w:color="000000"/>
            </w:tcBorders>
          </w:tcPr>
          <w:p w14:paraId="64D22D5B"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Am luat act.</w:t>
            </w:r>
          </w:p>
        </w:tc>
      </w:tr>
      <w:tr w:rsidR="0091081E" w14:paraId="4262835A" w14:textId="77777777">
        <w:trPr>
          <w:trHeight w:val="376"/>
        </w:trPr>
        <w:tc>
          <w:tcPr>
            <w:tcW w:w="555" w:type="dxa"/>
            <w:vMerge w:val="restart"/>
          </w:tcPr>
          <w:p w14:paraId="4D90BAE5" w14:textId="77777777" w:rsidR="0091081E" w:rsidRDefault="0091081E">
            <w:pPr>
              <w:numPr>
                <w:ilvl w:val="0"/>
                <w:numId w:val="4"/>
              </w:numPr>
              <w:spacing w:line="240" w:lineRule="auto"/>
              <w:ind w:hanging="338"/>
              <w:rPr>
                <w:rFonts w:ascii="Times New Roman" w:eastAsia="Times New Roman" w:hAnsi="Times New Roman" w:cs="Times New Roman"/>
                <w:b/>
                <w:bCs/>
              </w:rPr>
            </w:pPr>
          </w:p>
        </w:tc>
        <w:tc>
          <w:tcPr>
            <w:tcW w:w="2700" w:type="dxa"/>
            <w:vMerge w:val="restart"/>
          </w:tcPr>
          <w:p w14:paraId="445EB071"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Ministerul Justiției</w:t>
            </w:r>
          </w:p>
          <w:p w14:paraId="7FA3C34D"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04/2-2632 din 12.03.2026</w:t>
            </w:r>
          </w:p>
          <w:p w14:paraId="48886286"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33388AC5"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 etapa avizării proiectului, Ministerul Justiției, în limita competenților funcționale, se va expune doar asupra modificărilor propuse la Codul contravențional și Codul de executare. La etapa efectuării expertizei juridice în temeiul art. 37 din Legea nr. 100/2017 cu privire la actele normative, vor fi </w:t>
            </w:r>
            <w:r>
              <w:rPr>
                <w:rFonts w:ascii="Times New Roman" w:eastAsia="Times New Roman" w:hAnsi="Times New Roman" w:cs="Times New Roman"/>
                <w:highlight w:val="white"/>
              </w:rPr>
              <w:lastRenderedPageBreak/>
              <w:t xml:space="preserve">expuse </w:t>
            </w:r>
            <w:proofErr w:type="spellStart"/>
            <w:r>
              <w:rPr>
                <w:rFonts w:ascii="Times New Roman" w:eastAsia="Times New Roman" w:hAnsi="Times New Roman" w:cs="Times New Roman"/>
                <w:highlight w:val="white"/>
              </w:rPr>
              <w:t>obiecţiile</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propunerile privind respectarea standardelor în domeniul drepturilor omului, precum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a normelor de tehnică legislativă.</w:t>
            </w:r>
          </w:p>
        </w:tc>
        <w:tc>
          <w:tcPr>
            <w:tcW w:w="5880" w:type="dxa"/>
            <w:tcBorders>
              <w:bottom w:val="single" w:sz="4" w:space="0" w:color="000000"/>
            </w:tcBorders>
          </w:tcPr>
          <w:p w14:paraId="1B30641C"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 parțial.</w:t>
            </w:r>
          </w:p>
          <w:p w14:paraId="2A7D5705"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color w:val="333333"/>
                <w:highlight w:val="white"/>
              </w:rPr>
            </w:pPr>
            <w:r>
              <w:rPr>
                <w:rFonts w:ascii="Times New Roman" w:eastAsia="Times New Roman" w:hAnsi="Times New Roman" w:cs="Times New Roman"/>
                <w:highlight w:val="white"/>
              </w:rPr>
              <w:lastRenderedPageBreak/>
              <w:t xml:space="preserve">Este important inclusiv examinarea aspectelor conexe Legii </w:t>
            </w:r>
            <w:r>
              <w:rPr>
                <w:rFonts w:ascii="Times New Roman" w:eastAsia="Times New Roman" w:hAnsi="Times New Roman" w:cs="Times New Roman"/>
                <w:color w:val="333333"/>
                <w:highlight w:val="white"/>
              </w:rPr>
              <w:t xml:space="preserve">nr.121/2012 cu privire la asigurarea </w:t>
            </w:r>
            <w:proofErr w:type="spellStart"/>
            <w:r>
              <w:rPr>
                <w:rFonts w:ascii="Times New Roman" w:eastAsia="Times New Roman" w:hAnsi="Times New Roman" w:cs="Times New Roman"/>
                <w:color w:val="333333"/>
                <w:highlight w:val="white"/>
              </w:rPr>
              <w:t>egalităţii</w:t>
            </w:r>
            <w:proofErr w:type="spellEnd"/>
            <w:r>
              <w:rPr>
                <w:rFonts w:ascii="Times New Roman" w:eastAsia="Times New Roman" w:hAnsi="Times New Roman" w:cs="Times New Roman"/>
                <w:color w:val="333333"/>
                <w:highlight w:val="white"/>
              </w:rPr>
              <w:t>.</w:t>
            </w:r>
          </w:p>
          <w:p w14:paraId="2580344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tc>
      </w:tr>
      <w:tr w:rsidR="0091081E" w14:paraId="18C02487" w14:textId="77777777">
        <w:trPr>
          <w:trHeight w:val="4195"/>
        </w:trPr>
        <w:tc>
          <w:tcPr>
            <w:tcW w:w="555" w:type="dxa"/>
            <w:vMerge/>
          </w:tcPr>
          <w:p w14:paraId="5855DB53" w14:textId="77777777" w:rsidR="0091081E" w:rsidRDefault="0091081E">
            <w:pPr>
              <w:widowControl w:val="0"/>
              <w:rPr>
                <w:rFonts w:ascii="Times New Roman" w:eastAsia="Times New Roman" w:hAnsi="Times New Roman" w:cs="Times New Roman"/>
                <w:highlight w:val="white"/>
              </w:rPr>
            </w:pPr>
          </w:p>
        </w:tc>
        <w:tc>
          <w:tcPr>
            <w:tcW w:w="2700" w:type="dxa"/>
            <w:vMerge/>
          </w:tcPr>
          <w:p w14:paraId="70CBF1DD"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5B0AAF02"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 art. IV (Codul contravențional): </w:t>
            </w:r>
          </w:p>
          <w:p w14:paraId="43E8C627"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pct. 3, cu referire la propunerea de completare a Codului contravențional nr. 218/2008 cu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 „Încălcarea legislației muncii, în domeniul detașării transnaționale a salariaților”, se recomandă excluderea acesteia din cadrul proiectului și, respectiv, inserarea amendamentelor propuse în cadrul proiectului de promovare a Legii privind detașarea salariaților în cadrul prestării de servicii transnaționale. Or, anume Legea prenotată va stabili normele materiale, încălcarea cărora poate genera aplicarea răspunderii contravenționale. Respectiv, dispozițiile normelor contravenționale sancționatorii urmează a fi aduse în concordanță cu variantă finală a proiectului de lege prenotat.</w:t>
            </w:r>
          </w:p>
        </w:tc>
        <w:tc>
          <w:tcPr>
            <w:tcW w:w="5880" w:type="dxa"/>
            <w:tcBorders>
              <w:top w:val="single" w:sz="4" w:space="0" w:color="000000"/>
              <w:bottom w:val="single" w:sz="4" w:space="0" w:color="000000"/>
            </w:tcBorders>
          </w:tcPr>
          <w:p w14:paraId="5406AB9F" w14:textId="77777777" w:rsidR="0091081E"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Nu se acceptă. </w:t>
            </w:r>
          </w:p>
          <w:p w14:paraId="1EF2CA5B"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Proiectul de lege privind detașarea lucrătorilor în cadrul prestării de servicii (număr unic 184/MMPS/2026) a fost elaborat în scopul transpunerii Directivelor 96/71/CE și 2014/67/CE. Intrarea în vigoare a proiectului menționat este condiționată de aderarea Republicii Moldova la Uniunea Europeană.</w:t>
            </w:r>
          </w:p>
          <w:p w14:paraId="6349C57F"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vederea asigurării aplicabilității proiectului de lege privind detașarea lucrătorilor în cadrul prestării de servicii, s-a decis integrarea, în textul proiectului de lege supus avizării, a normelor care reglementează mecanismul de control și sancționare aferent detașării transnaționale.</w:t>
            </w:r>
          </w:p>
          <w:p w14:paraId="202A7B12"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etapa de inițiere a proiectului de lege au fost examinate mai multe opțiuni de reglementare, inclusiv versiunea în care proiectul de lege privind detașarea lucrătorilor în cadrul prestării de servicii îngloba, în conținutul său, prevederi privind modificarea Codului muncii, Codului contravențional, Codului de executare și Legii nr. 140/2001 privind Inspectoratul de Stat al Muncii (a se vedea actele anexate la proiectul de lege (număr unic 184/MMPS/2026), încărcate pe platforma e-legiferare la data de 25 și 26 februarie 2026), decizia finală privind promovarea versiunii în cauză fiind luată în mod coordonat cu factorii de decizie.</w:t>
            </w:r>
          </w:p>
        </w:tc>
      </w:tr>
      <w:tr w:rsidR="0091081E" w14:paraId="6DC0E20C" w14:textId="77777777">
        <w:trPr>
          <w:trHeight w:val="360"/>
        </w:trPr>
        <w:tc>
          <w:tcPr>
            <w:tcW w:w="555" w:type="dxa"/>
            <w:vMerge/>
          </w:tcPr>
          <w:p w14:paraId="1E46115B" w14:textId="77777777" w:rsidR="0091081E" w:rsidRDefault="0091081E">
            <w:pPr>
              <w:widowControl w:val="0"/>
              <w:rPr>
                <w:rFonts w:ascii="Times New Roman" w:eastAsia="Times New Roman" w:hAnsi="Times New Roman" w:cs="Times New Roman"/>
                <w:highlight w:val="white"/>
              </w:rPr>
            </w:pPr>
          </w:p>
        </w:tc>
        <w:tc>
          <w:tcPr>
            <w:tcW w:w="2700" w:type="dxa"/>
            <w:vMerge/>
          </w:tcPr>
          <w:p w14:paraId="0114A063"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0F599EA7"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Cu referire la dispozițiile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alin. (1) lit. b) și alin. (2), se consideră judicioasă excluderea acestora din cadrul articolului, or, analizând prima </w:t>
            </w:r>
            <w:proofErr w:type="spellStart"/>
            <w:r>
              <w:rPr>
                <w:rFonts w:ascii="Times New Roman" w:eastAsia="Times New Roman" w:hAnsi="Times New Roman" w:cs="Times New Roman"/>
                <w:highlight w:val="white"/>
              </w:rPr>
              <w:t>facie</w:t>
            </w:r>
            <w:proofErr w:type="spellEnd"/>
            <w:r>
              <w:rPr>
                <w:rFonts w:ascii="Times New Roman" w:eastAsia="Times New Roman" w:hAnsi="Times New Roman" w:cs="Times New Roman"/>
                <w:highlight w:val="white"/>
              </w:rPr>
              <w:t xml:space="preserve"> textul normelor, se constată că încălcările nominalizate s-ar încadra în prevederile art. 55 alin. (1) lit. k) din redacția proiectului – încălcarea legislației muncii, manifestată prin nerespectarea de către angajator a obligației de informare și consultare a salariaților.</w:t>
            </w:r>
          </w:p>
        </w:tc>
        <w:tc>
          <w:tcPr>
            <w:tcW w:w="5880" w:type="dxa"/>
            <w:tcBorders>
              <w:top w:val="single" w:sz="4" w:space="0" w:color="000000"/>
              <w:bottom w:val="single" w:sz="4" w:space="0" w:color="000000"/>
            </w:tcBorders>
          </w:tcPr>
          <w:p w14:paraId="7C283858"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Nu se acceptă. </w:t>
            </w:r>
          </w:p>
          <w:p w14:paraId="2E067ED8" w14:textId="77777777" w:rsidR="0091081E" w:rsidRDefault="00000000">
            <w:pPr>
              <w:spacing w:line="240" w:lineRule="auto"/>
              <w:jc w:val="both"/>
              <w:rPr>
                <w:rFonts w:ascii="Times New Roman" w:eastAsia="Times New Roman" w:hAnsi="Times New Roman" w:cs="Times New Roman"/>
                <w:sz w:val="26"/>
                <w:szCs w:val="26"/>
                <w:highlight w:val="white"/>
              </w:rPr>
            </w:pPr>
            <w:r>
              <w:rPr>
                <w:rFonts w:ascii="Times New Roman" w:eastAsia="Times New Roman" w:hAnsi="Times New Roman" w:cs="Times New Roman"/>
                <w:highlight w:val="white"/>
              </w:rPr>
              <w:t>Prevederile art. 55 alin. (1) lit. k) a fost precizat în textul proiectului că se referă la art.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din Codul muncii și anume: „k) nerespectarea de către angajator a obligației de informare și consultare a salariaților în condițiile art. 42 prim din Codul muncii.”</w:t>
            </w:r>
          </w:p>
          <w:p w14:paraId="4A3CF1DF"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Dispozițiile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alin. (1) lit. b) și alin. (2) reglementează încălcări specifice domeniului detașării transnaționale a </w:t>
            </w:r>
            <w:r>
              <w:rPr>
                <w:rFonts w:ascii="Times New Roman" w:eastAsia="Times New Roman" w:hAnsi="Times New Roman" w:cs="Times New Roman"/>
                <w:highlight w:val="white"/>
              </w:rPr>
              <w:lastRenderedPageBreak/>
              <w:t xml:space="preserve">salariaților și au un obiect juridic distinct față de contravenția prevăzută la art. 55 alin. (1) lit. k) din proiect. </w:t>
            </w:r>
          </w:p>
          <w:p w14:paraId="1F17C3D7"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Astfel, art. 55 alin. (1) lit. k) sancționează nerespectarea obligației generale de informare și consultare a salariaților (în condițiile art. 42</w:t>
            </w:r>
            <w:r>
              <w:rPr>
                <w:rFonts w:ascii="Times New Roman" w:eastAsia="Times New Roman" w:hAnsi="Times New Roman" w:cs="Times New Roman"/>
                <w:highlight w:val="white"/>
                <w:vertAlign w:val="superscript"/>
              </w:rPr>
              <w:t xml:space="preserve">1 </w:t>
            </w:r>
            <w:r>
              <w:rPr>
                <w:rFonts w:ascii="Times New Roman" w:eastAsia="Times New Roman" w:hAnsi="Times New Roman" w:cs="Times New Roman"/>
                <w:highlight w:val="white"/>
              </w:rPr>
              <w:t>din Codul muncii) în timp ce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alin. (1) lit. b) vizează obligația întreprinderii utilizatoare de a informa agentul de muncă temporară, iar alin. (2) vizează obligații speciale privind informarea salariatului detașat și respectarea drepturilor și condițiilor de muncă aplicabile în contextul detașării transnaționale. Prin urmare, normele nu se suprapun, ci au caracter special și complementar, iar menținerea acestora este necesară pentru asigurarea unui regim sancționator efectiv și adecvat obligațiilor instituite prin legea specială.</w:t>
            </w:r>
          </w:p>
        </w:tc>
      </w:tr>
      <w:tr w:rsidR="0091081E" w14:paraId="34D05839" w14:textId="77777777">
        <w:trPr>
          <w:trHeight w:val="336"/>
        </w:trPr>
        <w:tc>
          <w:tcPr>
            <w:tcW w:w="555" w:type="dxa"/>
            <w:vMerge/>
          </w:tcPr>
          <w:p w14:paraId="1BACE97D" w14:textId="77777777" w:rsidR="0091081E" w:rsidRDefault="0091081E">
            <w:pPr>
              <w:widowControl w:val="0"/>
              <w:rPr>
                <w:rFonts w:ascii="Times New Roman" w:eastAsia="Times New Roman" w:hAnsi="Times New Roman" w:cs="Times New Roman"/>
                <w:highlight w:val="white"/>
              </w:rPr>
            </w:pPr>
          </w:p>
        </w:tc>
        <w:tc>
          <w:tcPr>
            <w:tcW w:w="2700" w:type="dxa"/>
            <w:vMerge/>
          </w:tcPr>
          <w:p w14:paraId="53860F17"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58FDC56A"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raport cu prevederile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alin. (2) lit. b), se consideră necesară excluderea acestora. Or, Codul contravențional deja conține mai multe norme sancționatorii pentru încălcarea drepturilor salariaților și a condițiilor de muncă: art. 54</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 art. 55, art. 55</w:t>
            </w:r>
            <w:r>
              <w:rPr>
                <w:rFonts w:ascii="Times New Roman" w:eastAsia="Times New Roman" w:hAnsi="Times New Roman" w:cs="Times New Roman"/>
                <w:highlight w:val="white"/>
                <w:vertAlign w:val="superscript"/>
              </w:rPr>
              <w:t>3</w:t>
            </w:r>
            <w:r>
              <w:rPr>
                <w:rFonts w:ascii="Times New Roman" w:eastAsia="Times New Roman" w:hAnsi="Times New Roman" w:cs="Times New Roman"/>
                <w:highlight w:val="white"/>
              </w:rPr>
              <w:t>. Normele menționate asigura sancționarea pentru încălcarea drepturilor tuturor categoriilor de angajați, inclusiv celor detașați în Republica Moldova, de către întreprinderile stabilite pe teritoriul unui stat membru. Respectiv, nu este necesară instituirea unei norme speciale în raport cu persoanele detașate în Republica Moldova, de către întreprinderile stabilite pe teritoriul unui stat membru. Mai mult, o asemenea abordare ar fi contrară principiului egalității în fața legii.</w:t>
            </w:r>
          </w:p>
        </w:tc>
        <w:tc>
          <w:tcPr>
            <w:tcW w:w="5880" w:type="dxa"/>
            <w:tcBorders>
              <w:top w:val="single" w:sz="4" w:space="0" w:color="000000"/>
              <w:bottom w:val="single" w:sz="4" w:space="0" w:color="000000"/>
            </w:tcBorders>
          </w:tcPr>
          <w:p w14:paraId="1A8B481B"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6C59EA0E"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Articolul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alin. (2) lit. b) va avea următoarea redacție:</w:t>
            </w:r>
          </w:p>
          <w:p w14:paraId="50750868"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“b) nerespectarea, de către întreprinderile stabilite pe teritoriul unui stat membru, altul decât Republica Moldova, sau pe teritoriul Confederației Elvețiene, care, în cadrul prestării de servicii transnaționale, detașează pe teritoriul Republicii Moldova salariați, a obligațiilor speciale privind condițiile de muncă și de încadrare în muncă aplicabile salariaților detașați pe teritoriul Republicii Moldova, prevăzute de Legea privind detașarea salariaților în cadrul prestării de servicii transnaționale;”</w:t>
            </w:r>
          </w:p>
        </w:tc>
      </w:tr>
      <w:tr w:rsidR="0091081E" w14:paraId="191495A7" w14:textId="77777777">
        <w:trPr>
          <w:trHeight w:val="396"/>
        </w:trPr>
        <w:tc>
          <w:tcPr>
            <w:tcW w:w="555" w:type="dxa"/>
            <w:vMerge/>
          </w:tcPr>
          <w:p w14:paraId="37D53F66" w14:textId="77777777" w:rsidR="0091081E" w:rsidRDefault="0091081E">
            <w:pPr>
              <w:widowControl w:val="0"/>
              <w:rPr>
                <w:rFonts w:ascii="Times New Roman" w:eastAsia="Times New Roman" w:hAnsi="Times New Roman" w:cs="Times New Roman"/>
                <w:highlight w:val="white"/>
              </w:rPr>
            </w:pPr>
          </w:p>
        </w:tc>
        <w:tc>
          <w:tcPr>
            <w:tcW w:w="2700" w:type="dxa"/>
            <w:vMerge/>
          </w:tcPr>
          <w:p w14:paraId="0AEE0AD8"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6922AB53"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Aferent textului sancțiunilor propuse pentru comiterea faptelor prevăzute la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 se notează asupra necesității respectării limitelor stabilite la art. 34-39 din Codul contravențional. Sub acest aspect, se va reține că, potrivit art. 34 alin. (2), amenda se aplică persoanelor fizice de la una la 1500 de </w:t>
            </w:r>
            <w:proofErr w:type="spellStart"/>
            <w:r>
              <w:rPr>
                <w:rFonts w:ascii="Times New Roman" w:eastAsia="Times New Roman" w:hAnsi="Times New Roman" w:cs="Times New Roman"/>
                <w:highlight w:val="white"/>
              </w:rPr>
              <w:t>unităţi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convenţionale</w:t>
            </w:r>
            <w:proofErr w:type="spellEnd"/>
            <w:r>
              <w:rPr>
                <w:rFonts w:ascii="Times New Roman" w:eastAsia="Times New Roman" w:hAnsi="Times New Roman" w:cs="Times New Roman"/>
                <w:highlight w:val="white"/>
              </w:rPr>
              <w:t xml:space="preserve">, iar persoanelor cu </w:t>
            </w:r>
            <w:proofErr w:type="spellStart"/>
            <w:r>
              <w:rPr>
                <w:rFonts w:ascii="Times New Roman" w:eastAsia="Times New Roman" w:hAnsi="Times New Roman" w:cs="Times New Roman"/>
                <w:highlight w:val="white"/>
              </w:rPr>
              <w:t>funcţie</w:t>
            </w:r>
            <w:proofErr w:type="spellEnd"/>
            <w:r>
              <w:rPr>
                <w:rFonts w:ascii="Times New Roman" w:eastAsia="Times New Roman" w:hAnsi="Times New Roman" w:cs="Times New Roman"/>
                <w:highlight w:val="white"/>
              </w:rPr>
              <w:t xml:space="preserve"> de răspundere – de la 10 la 1500 de </w:t>
            </w:r>
            <w:proofErr w:type="spellStart"/>
            <w:r>
              <w:rPr>
                <w:rFonts w:ascii="Times New Roman" w:eastAsia="Times New Roman" w:hAnsi="Times New Roman" w:cs="Times New Roman"/>
                <w:highlight w:val="white"/>
              </w:rPr>
              <w:t>unităţi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convenţionale</w:t>
            </w:r>
            <w:proofErr w:type="spellEnd"/>
            <w:r>
              <w:rPr>
                <w:rFonts w:ascii="Times New Roman" w:eastAsia="Times New Roman" w:hAnsi="Times New Roman" w:cs="Times New Roman"/>
                <w:highlight w:val="white"/>
              </w:rPr>
              <w:t xml:space="preserve">. Totodată, conform alin. (2 1 ) din același articol, în cazul persoanelor juridice, amenda se aplică în limitele stabilite de articolul din partea specială a cărții întâi a acestui cod, după caz: a) amendă de la 10 </w:t>
            </w:r>
            <w:r>
              <w:rPr>
                <w:rFonts w:ascii="Times New Roman" w:eastAsia="Times New Roman" w:hAnsi="Times New Roman" w:cs="Times New Roman"/>
                <w:highlight w:val="white"/>
              </w:rPr>
              <w:lastRenderedPageBreak/>
              <w:t xml:space="preserve">la 1500 de </w:t>
            </w:r>
            <w:proofErr w:type="spellStart"/>
            <w:r>
              <w:rPr>
                <w:rFonts w:ascii="Times New Roman" w:eastAsia="Times New Roman" w:hAnsi="Times New Roman" w:cs="Times New Roman"/>
                <w:highlight w:val="white"/>
              </w:rPr>
              <w:t>unităţi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convenţionale</w:t>
            </w:r>
            <w:proofErr w:type="spellEnd"/>
            <w:r>
              <w:rPr>
                <w:rFonts w:ascii="Times New Roman" w:eastAsia="Times New Roman" w:hAnsi="Times New Roman" w:cs="Times New Roman"/>
                <w:highlight w:val="white"/>
              </w:rPr>
              <w:t xml:space="preserve">; b) amendă în mărimea valorii produsului, serviciului respectiv care constituie obiectul </w:t>
            </w:r>
            <w:proofErr w:type="spellStart"/>
            <w:r>
              <w:rPr>
                <w:rFonts w:ascii="Times New Roman" w:eastAsia="Times New Roman" w:hAnsi="Times New Roman" w:cs="Times New Roman"/>
                <w:highlight w:val="white"/>
              </w:rPr>
              <w:t>contravenţiei</w:t>
            </w:r>
            <w:proofErr w:type="spellEnd"/>
            <w:r>
              <w:rPr>
                <w:rFonts w:ascii="Times New Roman" w:eastAsia="Times New Roman" w:hAnsi="Times New Roman" w:cs="Times New Roman"/>
                <w:highlight w:val="white"/>
              </w:rPr>
              <w:t xml:space="preserve">, dar nu mai </w:t>
            </w:r>
            <w:proofErr w:type="spellStart"/>
            <w:r>
              <w:rPr>
                <w:rFonts w:ascii="Times New Roman" w:eastAsia="Times New Roman" w:hAnsi="Times New Roman" w:cs="Times New Roman"/>
                <w:highlight w:val="white"/>
              </w:rPr>
              <w:t>puţin</w:t>
            </w:r>
            <w:proofErr w:type="spellEnd"/>
            <w:r>
              <w:rPr>
                <w:rFonts w:ascii="Times New Roman" w:eastAsia="Times New Roman" w:hAnsi="Times New Roman" w:cs="Times New Roman"/>
                <w:highlight w:val="white"/>
              </w:rPr>
              <w:t xml:space="preserve"> de valoarea limitei maxime în </w:t>
            </w:r>
            <w:proofErr w:type="spellStart"/>
            <w:r>
              <w:rPr>
                <w:rFonts w:ascii="Times New Roman" w:eastAsia="Times New Roman" w:hAnsi="Times New Roman" w:cs="Times New Roman"/>
                <w:highlight w:val="white"/>
              </w:rPr>
              <w:t>unităţi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convenţionale</w:t>
            </w:r>
            <w:proofErr w:type="spellEnd"/>
            <w:r>
              <w:rPr>
                <w:rFonts w:ascii="Times New Roman" w:eastAsia="Times New Roman" w:hAnsi="Times New Roman" w:cs="Times New Roman"/>
                <w:highlight w:val="white"/>
              </w:rPr>
              <w:t>, în cazul în care acest fapt este prevăzut expres de norma materială din partea specială a cărții întâi.</w:t>
            </w:r>
          </w:p>
        </w:tc>
        <w:tc>
          <w:tcPr>
            <w:tcW w:w="5880" w:type="dxa"/>
            <w:tcBorders>
              <w:top w:val="single" w:sz="4" w:space="0" w:color="000000"/>
              <w:bottom w:val="single" w:sz="4" w:space="0" w:color="000000"/>
            </w:tcBorders>
          </w:tcPr>
          <w:p w14:paraId="72138B75"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 parțial.</w:t>
            </w:r>
          </w:p>
          <w:p w14:paraId="72D9EE7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urma reexaminării textului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s-a constatat că sancțiunile prevăzute la alin. (1) și alin. (2), în cuantum de la 1000 la 1500 unități convenționale, se încadrează în limitele generale prevăzute de Codul contravențional. </w:t>
            </w:r>
          </w:p>
          <w:p w14:paraId="2D9DC829"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Totodată, sancțiunea prevăzută la alin. (3), în cuantum de la 1500 la 2000 unități convenționale, urmează a fi revizuită, întrucât depășește plafonul general admis de art. 34 din Codul contravențional pentru categoriile de subiecți vizați. În </w:t>
            </w:r>
            <w:r>
              <w:rPr>
                <w:rFonts w:ascii="Times New Roman" w:eastAsia="Times New Roman" w:hAnsi="Times New Roman" w:cs="Times New Roman"/>
                <w:highlight w:val="white"/>
              </w:rPr>
              <w:lastRenderedPageBreak/>
              <w:t>consecință, textul va fi ajustat în vederea corelării cu prevederile părții generale a Codului contravențional.</w:t>
            </w:r>
          </w:p>
        </w:tc>
      </w:tr>
      <w:tr w:rsidR="0091081E" w14:paraId="3780ED64" w14:textId="77777777">
        <w:trPr>
          <w:trHeight w:val="2535"/>
        </w:trPr>
        <w:tc>
          <w:tcPr>
            <w:tcW w:w="555" w:type="dxa"/>
            <w:vMerge/>
          </w:tcPr>
          <w:p w14:paraId="45BDE974" w14:textId="77777777" w:rsidR="0091081E" w:rsidRDefault="0091081E">
            <w:pPr>
              <w:widowControl w:val="0"/>
              <w:rPr>
                <w:rFonts w:ascii="Times New Roman" w:eastAsia="Times New Roman" w:hAnsi="Times New Roman" w:cs="Times New Roman"/>
                <w:highlight w:val="white"/>
              </w:rPr>
            </w:pPr>
          </w:p>
        </w:tc>
        <w:tc>
          <w:tcPr>
            <w:tcW w:w="2700" w:type="dxa"/>
            <w:vMerge/>
          </w:tcPr>
          <w:p w14:paraId="21B1F36A"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tcBorders>
          </w:tcPr>
          <w:p w14:paraId="42D3EF0B"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Art. V, prin care se propune modificarea Codului de executare, se va exclude, or, „actul de aplicare a sancțiunii contravenționale în domeniul detașării transnaționale a salariaților” se încadrează la art. 11 lit. c) din Codul de executare – „deciziile (hotărârile) </w:t>
            </w:r>
            <w:proofErr w:type="spellStart"/>
            <w:r>
              <w:rPr>
                <w:rFonts w:ascii="Times New Roman" w:eastAsia="Times New Roman" w:hAnsi="Times New Roman" w:cs="Times New Roman"/>
                <w:highlight w:val="white"/>
              </w:rPr>
              <w:t>contravenţionale</w:t>
            </w:r>
            <w:proofErr w:type="spellEnd"/>
            <w:r>
              <w:rPr>
                <w:rFonts w:ascii="Times New Roman" w:eastAsia="Times New Roman" w:hAnsi="Times New Roman" w:cs="Times New Roman"/>
                <w:highlight w:val="white"/>
              </w:rPr>
              <w:t xml:space="preserve">, inclusiv cele emise de </w:t>
            </w:r>
            <w:proofErr w:type="spellStart"/>
            <w:r>
              <w:rPr>
                <w:rFonts w:ascii="Times New Roman" w:eastAsia="Times New Roman" w:hAnsi="Times New Roman" w:cs="Times New Roman"/>
                <w:highlight w:val="white"/>
              </w:rPr>
              <w:t>agenţii</w:t>
            </w:r>
            <w:proofErr w:type="spellEnd"/>
            <w:r>
              <w:rPr>
                <w:rFonts w:ascii="Times New Roman" w:eastAsia="Times New Roman" w:hAnsi="Times New Roman" w:cs="Times New Roman"/>
                <w:highlight w:val="white"/>
              </w:rPr>
              <w:t xml:space="preserve"> constatatori în limitele </w:t>
            </w:r>
            <w:proofErr w:type="spellStart"/>
            <w:r>
              <w:rPr>
                <w:rFonts w:ascii="Times New Roman" w:eastAsia="Times New Roman" w:hAnsi="Times New Roman" w:cs="Times New Roman"/>
                <w:highlight w:val="white"/>
              </w:rPr>
              <w:t>competenţei</w:t>
            </w:r>
            <w:proofErr w:type="spellEnd"/>
            <w:r>
              <w:rPr>
                <w:rFonts w:ascii="Times New Roman" w:eastAsia="Times New Roman" w:hAnsi="Times New Roman" w:cs="Times New Roman"/>
                <w:highlight w:val="white"/>
              </w:rPr>
              <w:t xml:space="preserve"> atribuite lor prin lege, titlurile executorii emise pe cauze penale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sentinţele</w:t>
            </w:r>
            <w:proofErr w:type="spellEnd"/>
            <w:r>
              <w:rPr>
                <w:rFonts w:ascii="Times New Roman" w:eastAsia="Times New Roman" w:hAnsi="Times New Roman" w:cs="Times New Roman"/>
                <w:highlight w:val="white"/>
              </w:rPr>
              <w:t xml:space="preserve"> pe cauzele penale, în partea încasării amenzii, precum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în partea </w:t>
            </w:r>
            <w:proofErr w:type="spellStart"/>
            <w:r>
              <w:rPr>
                <w:rFonts w:ascii="Times New Roman" w:eastAsia="Times New Roman" w:hAnsi="Times New Roman" w:cs="Times New Roman"/>
                <w:highlight w:val="white"/>
              </w:rPr>
              <w:t>acţiunii</w:t>
            </w:r>
            <w:proofErr w:type="spellEnd"/>
            <w:r>
              <w:rPr>
                <w:rFonts w:ascii="Times New Roman" w:eastAsia="Times New Roman" w:hAnsi="Times New Roman" w:cs="Times New Roman"/>
                <w:highlight w:val="white"/>
              </w:rPr>
              <w:t xml:space="preserve"> civile”</w:t>
            </w:r>
          </w:p>
        </w:tc>
        <w:tc>
          <w:tcPr>
            <w:tcW w:w="5880" w:type="dxa"/>
            <w:tcBorders>
              <w:top w:val="single" w:sz="4" w:space="0" w:color="000000"/>
            </w:tcBorders>
          </w:tcPr>
          <w:p w14:paraId="5786420D"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54A0CA62"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Excluderea Art. V nu este oportună, deoarece dispoziția propusă vizează un regim juridic distinct de executare, specific domeniului detașării transnaționale a salariaților, în care recuperarea sancțiunilor pecuniare poate avea la bază acte emise de autorități competente străine, în cadrul mecanismelor de asistență reciprocă și executare transfrontalieră. Or, art. 11 lit. c) din Codul de executare reglementează, cu caracter general, executarea deciziilor și hotărârilor contravenționale emise în cadrul ordinii juridice naționale, inclusiv a celor emise de agenții constatatori în limitele competenței atribuite prin lege, fără a reglementa expres particularitățile executării actelor provenite de la autorități străine. În acest context, menținerea normei este necesară pentru asigurarea clarității cadrului normativ și a efectivității mecanismului de executare în materia detașării transnaționale.</w:t>
            </w:r>
          </w:p>
        </w:tc>
      </w:tr>
      <w:tr w:rsidR="0091081E" w14:paraId="109B798D" w14:textId="77777777">
        <w:trPr>
          <w:trHeight w:val="2246"/>
        </w:trPr>
        <w:tc>
          <w:tcPr>
            <w:tcW w:w="555" w:type="dxa"/>
            <w:vMerge w:val="restart"/>
          </w:tcPr>
          <w:p w14:paraId="681FDC5C" w14:textId="77777777" w:rsidR="0091081E" w:rsidRDefault="0091081E">
            <w:pPr>
              <w:numPr>
                <w:ilvl w:val="0"/>
                <w:numId w:val="4"/>
              </w:numPr>
              <w:spacing w:line="240" w:lineRule="auto"/>
              <w:ind w:hanging="338"/>
              <w:rPr>
                <w:rFonts w:ascii="Times New Roman" w:eastAsia="Times New Roman" w:hAnsi="Times New Roman" w:cs="Times New Roman"/>
                <w:b/>
                <w:bCs/>
              </w:rPr>
            </w:pPr>
          </w:p>
        </w:tc>
        <w:tc>
          <w:tcPr>
            <w:tcW w:w="2700" w:type="dxa"/>
            <w:vMerge w:val="restart"/>
          </w:tcPr>
          <w:p w14:paraId="295596C1"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Ministerul Finanțelor</w:t>
            </w:r>
          </w:p>
          <w:p w14:paraId="53854214"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07/2-03/39/392</w:t>
            </w:r>
          </w:p>
          <w:p w14:paraId="3A44DC8C"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24.03.2026</w:t>
            </w:r>
          </w:p>
        </w:tc>
        <w:tc>
          <w:tcPr>
            <w:tcW w:w="5880" w:type="dxa"/>
          </w:tcPr>
          <w:p w14:paraId="7ECDB42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 I, care modifică Legea nr.140/2001 privind Inspectoratul de stat al muncii, pct. 3 urmează a fi precizat pentru a avea claritate, ce fel de rapoarte se solicită în baza art. 23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din Legea nr.186/2008, având în vedere că articolul menționat este abrogat.</w:t>
            </w:r>
          </w:p>
        </w:tc>
        <w:tc>
          <w:tcPr>
            <w:tcW w:w="5880" w:type="dxa"/>
          </w:tcPr>
          <w:p w14:paraId="34865A4C"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2142ECC1"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Prin Art. III din prezentul proiect se modifică Legea nr. 186/2008 securității și sănătății în muncă. Legea în cauză se completează cu articolul 23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Acest articol prevede raportarea aplicării  acestei legi și a actelor normative naționale care transpun directivele speciale adoptate în temeiul acesteia.</w:t>
            </w:r>
          </w:p>
          <w:p w14:paraId="1F81651B"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temeiul acestui articol ISM va raporta despre aplicarea Legii 186/2008 și actelor normative naționale care transpun directivele speciale.</w:t>
            </w:r>
          </w:p>
          <w:p w14:paraId="4210911A"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momentul actual în Legea nr. 186/2008 securității și sănătății în muncă nu se conține și nici nu a fost abrogat un careva alt articol 23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decît</w:t>
            </w:r>
            <w:proofErr w:type="spellEnd"/>
            <w:r>
              <w:rPr>
                <w:rFonts w:ascii="Times New Roman" w:eastAsia="Times New Roman" w:hAnsi="Times New Roman" w:cs="Times New Roman"/>
                <w:highlight w:val="white"/>
              </w:rPr>
              <w:t xml:space="preserve"> cel formulat prin proiectul în cauză.</w:t>
            </w:r>
          </w:p>
        </w:tc>
      </w:tr>
      <w:tr w:rsidR="0091081E" w14:paraId="1A41C6B7" w14:textId="77777777">
        <w:trPr>
          <w:trHeight w:val="600"/>
        </w:trPr>
        <w:tc>
          <w:tcPr>
            <w:tcW w:w="555" w:type="dxa"/>
            <w:vMerge/>
          </w:tcPr>
          <w:p w14:paraId="3792C74D" w14:textId="77777777" w:rsidR="0091081E" w:rsidRDefault="0091081E">
            <w:pPr>
              <w:spacing w:line="240" w:lineRule="auto"/>
              <w:rPr>
                <w:rFonts w:ascii="Times New Roman" w:eastAsia="Times New Roman" w:hAnsi="Times New Roman" w:cs="Times New Roman"/>
                <w:b/>
                <w:bCs/>
              </w:rPr>
            </w:pPr>
          </w:p>
        </w:tc>
        <w:tc>
          <w:tcPr>
            <w:tcW w:w="2700" w:type="dxa"/>
            <w:vMerge/>
          </w:tcPr>
          <w:p w14:paraId="14F4ADD7" w14:textId="77777777" w:rsidR="0091081E" w:rsidRDefault="0091081E">
            <w:pPr>
              <w:spacing w:line="240" w:lineRule="auto"/>
              <w:jc w:val="center"/>
              <w:rPr>
                <w:rFonts w:ascii="Times New Roman" w:eastAsia="Times New Roman" w:hAnsi="Times New Roman" w:cs="Times New Roman"/>
              </w:rPr>
            </w:pPr>
          </w:p>
        </w:tc>
        <w:tc>
          <w:tcPr>
            <w:tcW w:w="5880" w:type="dxa"/>
          </w:tcPr>
          <w:p w14:paraId="09BDD4EB"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Art. V, care modifică Codul de executare al Republicii Moldove, se propune de revizuit modificat în scopul respectării </w:t>
            </w:r>
            <w:r>
              <w:rPr>
                <w:rFonts w:ascii="Times New Roman" w:eastAsia="Times New Roman" w:hAnsi="Times New Roman" w:cs="Times New Roman"/>
                <w:highlight w:val="white"/>
              </w:rPr>
              <w:lastRenderedPageBreak/>
              <w:t xml:space="preserve">principiilor activității de legiferare reglementate prin Legea nr.100/2017 cu privire la actele normative. Menționăm că, potrivit art.11 lit. c) din Codul de executare nr.443/2004, deciziile (hotărârile) contravenționale, inclusiv cele emise de agenții constatatori în limitele </w:t>
            </w:r>
            <w:proofErr w:type="spellStart"/>
            <w:r>
              <w:rPr>
                <w:rFonts w:ascii="Times New Roman" w:eastAsia="Times New Roman" w:hAnsi="Times New Roman" w:cs="Times New Roman"/>
                <w:highlight w:val="white"/>
              </w:rPr>
              <w:t>competenţei</w:t>
            </w:r>
            <w:proofErr w:type="spellEnd"/>
            <w:r>
              <w:rPr>
                <w:rFonts w:ascii="Times New Roman" w:eastAsia="Times New Roman" w:hAnsi="Times New Roman" w:cs="Times New Roman"/>
                <w:highlight w:val="white"/>
              </w:rPr>
              <w:t xml:space="preserve"> atribuite lor prin lege, titlurile executorii emise pe cauze penale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sentinţele</w:t>
            </w:r>
            <w:proofErr w:type="spellEnd"/>
            <w:r>
              <w:rPr>
                <w:rFonts w:ascii="Times New Roman" w:eastAsia="Times New Roman" w:hAnsi="Times New Roman" w:cs="Times New Roman"/>
                <w:highlight w:val="white"/>
              </w:rPr>
              <w:t xml:space="preserve"> pe cauzele penale, în partea încasării amenzii, precum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în partea </w:t>
            </w:r>
            <w:proofErr w:type="spellStart"/>
            <w:r>
              <w:rPr>
                <w:rFonts w:ascii="Times New Roman" w:eastAsia="Times New Roman" w:hAnsi="Times New Roman" w:cs="Times New Roman"/>
                <w:highlight w:val="white"/>
              </w:rPr>
              <w:t>acţiunii</w:t>
            </w:r>
            <w:proofErr w:type="spellEnd"/>
            <w:r>
              <w:rPr>
                <w:rFonts w:ascii="Times New Roman" w:eastAsia="Times New Roman" w:hAnsi="Times New Roman" w:cs="Times New Roman"/>
                <w:highlight w:val="white"/>
              </w:rPr>
              <w:t xml:space="preserve"> civile, sânt documente executorii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se execută conform normelor stabilite de prezentul cod.</w:t>
            </w:r>
          </w:p>
        </w:tc>
        <w:tc>
          <w:tcPr>
            <w:tcW w:w="5880" w:type="dxa"/>
          </w:tcPr>
          <w:p w14:paraId="529DFD9B"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Nu se acceptă.</w:t>
            </w:r>
          </w:p>
          <w:p w14:paraId="12171308"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Revizuirea sau excluderea Art. V nu se justifică. Deși art. 11 lit. c) din Codul de executare reglementează, cu caracter general, executarea deciziilor contravenționale, inclusiv a celor emise de agenții constatatori în limitele competenței atribuite prin lege, norma propusă prin proiect vizează particularitățile executării sancțiunilor pecuniare în materia detașării transnaționale a salariaților, inclusiv în situațiile în care actele relevante provin de la autorități competente străine, în cadrul mecanismelor de cooperare și asistență reciprocă. În acest context, menținerea modificării este necesară pentru asigurarea clarității cadrului normativ și a efectivității executării transfrontaliere.</w:t>
            </w:r>
          </w:p>
        </w:tc>
      </w:tr>
      <w:tr w:rsidR="0091081E" w14:paraId="07B7224D" w14:textId="77777777">
        <w:trPr>
          <w:trHeight w:val="600"/>
        </w:trPr>
        <w:tc>
          <w:tcPr>
            <w:tcW w:w="555" w:type="dxa"/>
            <w:vMerge/>
          </w:tcPr>
          <w:p w14:paraId="687125C8" w14:textId="77777777" w:rsidR="0091081E" w:rsidRDefault="0091081E">
            <w:pPr>
              <w:spacing w:line="240" w:lineRule="auto"/>
              <w:rPr>
                <w:rFonts w:ascii="Times New Roman" w:eastAsia="Times New Roman" w:hAnsi="Times New Roman" w:cs="Times New Roman"/>
                <w:b/>
                <w:bCs/>
              </w:rPr>
            </w:pPr>
          </w:p>
        </w:tc>
        <w:tc>
          <w:tcPr>
            <w:tcW w:w="2700" w:type="dxa"/>
            <w:vMerge/>
          </w:tcPr>
          <w:p w14:paraId="57C3588D" w14:textId="77777777" w:rsidR="0091081E" w:rsidRDefault="0091081E">
            <w:pPr>
              <w:spacing w:line="240" w:lineRule="auto"/>
              <w:jc w:val="center"/>
              <w:rPr>
                <w:rFonts w:ascii="Times New Roman" w:eastAsia="Times New Roman" w:hAnsi="Times New Roman" w:cs="Times New Roman"/>
              </w:rPr>
            </w:pPr>
          </w:p>
        </w:tc>
        <w:tc>
          <w:tcPr>
            <w:tcW w:w="5880" w:type="dxa"/>
          </w:tcPr>
          <w:p w14:paraId="7C28EC77"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Nota de fundamentare</w:t>
            </w:r>
          </w:p>
          <w:p w14:paraId="490489DD"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Compartimentul 4.2 ,,Impactul financiar și argumentarea costurilor estimative”, cu toate că autorul menționează că impactul financiar are un caracter de armonizare și clarificare a cadrului normativ existent, fără a introduce mecanisme noi care să genereze cheltuieli bugetare suplimentare semnificative, totuși analiza proiectului denotă că unele propuneri pot avea impact financiar asupra bugetului de stat.</w:t>
            </w:r>
          </w:p>
          <w:p w14:paraId="4E29CE35"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acest sens, se atrage atenția asupra măsurilor ce vizează activitatea Inspectoratului de stat al muncii, inclusiv aspectele legate de formare profesională și de asigurare a suportului logistic, care pot implica cheltuieli suplimentare.</w:t>
            </w:r>
          </w:p>
          <w:p w14:paraId="34D8A8D0"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Astfel, se consideră necesar ca autorul proiectului să completeze Nota de fundamentare cu prevederi clare și detaliate privind costurile ce derivă din proiectul de lege (care au impactul financiar) și, respectiv, cu indicarea sursei de finanțare a acestora.</w:t>
            </w:r>
          </w:p>
          <w:p w14:paraId="76D0FA11"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Reieșind din cele relatate, proiectul urmează a fi revizuit prin prisma celor menționate.</w:t>
            </w:r>
          </w:p>
        </w:tc>
        <w:tc>
          <w:tcPr>
            <w:tcW w:w="5880" w:type="dxa"/>
          </w:tcPr>
          <w:p w14:paraId="4A165B75"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56BF65F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Nota de fundamentare, inclusiv la compartimentul 4.2, descrie costurile instituționale estimate și explicațiile aferente surselor de finanțare. </w:t>
            </w:r>
          </w:p>
        </w:tc>
      </w:tr>
      <w:tr w:rsidR="0091081E" w14:paraId="17827700" w14:textId="77777777">
        <w:trPr>
          <w:trHeight w:val="600"/>
        </w:trPr>
        <w:tc>
          <w:tcPr>
            <w:tcW w:w="555" w:type="dxa"/>
            <w:vMerge w:val="restart"/>
          </w:tcPr>
          <w:p w14:paraId="17ABA397" w14:textId="77777777" w:rsidR="0091081E" w:rsidRDefault="0091081E">
            <w:pPr>
              <w:numPr>
                <w:ilvl w:val="0"/>
                <w:numId w:val="4"/>
              </w:numPr>
              <w:spacing w:line="240" w:lineRule="auto"/>
              <w:ind w:hanging="338"/>
              <w:rPr>
                <w:rFonts w:ascii="Times New Roman" w:eastAsia="Times New Roman" w:hAnsi="Times New Roman" w:cs="Times New Roman"/>
                <w:b/>
                <w:bCs/>
              </w:rPr>
            </w:pPr>
          </w:p>
        </w:tc>
        <w:tc>
          <w:tcPr>
            <w:tcW w:w="2700" w:type="dxa"/>
          </w:tcPr>
          <w:p w14:paraId="2EAF9380"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Ministerul Dezvoltării Economice și Digitalizării </w:t>
            </w:r>
          </w:p>
          <w:p w14:paraId="20BA5F75"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Nr. 17/888 </w:t>
            </w:r>
          </w:p>
          <w:p w14:paraId="28ECC9B2"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17.03.2026</w:t>
            </w:r>
          </w:p>
          <w:p w14:paraId="1F02825D" w14:textId="77777777" w:rsidR="0091081E" w:rsidRDefault="0091081E">
            <w:pPr>
              <w:spacing w:line="240" w:lineRule="auto"/>
              <w:jc w:val="center"/>
              <w:rPr>
                <w:rFonts w:ascii="Times New Roman" w:eastAsia="Times New Roman" w:hAnsi="Times New Roman" w:cs="Times New Roman"/>
              </w:rPr>
            </w:pPr>
          </w:p>
        </w:tc>
        <w:tc>
          <w:tcPr>
            <w:tcW w:w="5880" w:type="dxa"/>
          </w:tcPr>
          <w:p w14:paraId="3E4FF550"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I. La proiectul de lege: Art. I. – Legea nr. 140/2001 privind Inspectoratul de Stat al Muncii: Cu referire la modificările propuse la art. 4 alin. (3) lit. a), b), c) și d) din Legea nr. 140/2001, se constată mai multe probleme de claritate și previzibilitate a normei. Utilizarea sintagmei „în special” în </w:t>
            </w:r>
            <w:r>
              <w:rPr>
                <w:rFonts w:ascii="Times New Roman" w:eastAsia="Times New Roman" w:hAnsi="Times New Roman" w:cs="Times New Roman"/>
                <w:highlight w:val="white"/>
              </w:rPr>
              <w:lastRenderedPageBreak/>
              <w:t>formularea „Inspectoratul de Stat al Muncii exercită, în special, următoarele atribuții” conferă caracter neexhaustiv listei atribuțiilor și permite extinderea interpretativă a competențelor instituției, ceea ce nu corespunde cerințelor de claritate și determinare a normelor juridice.</w:t>
            </w:r>
          </w:p>
        </w:tc>
        <w:tc>
          <w:tcPr>
            <w:tcW w:w="5880" w:type="dxa"/>
          </w:tcPr>
          <w:p w14:paraId="1C82DB80"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w:t>
            </w:r>
          </w:p>
          <w:p w14:paraId="632B8461"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exclude sintagma „în special”.</w:t>
            </w:r>
          </w:p>
        </w:tc>
      </w:tr>
      <w:tr w:rsidR="0091081E" w14:paraId="5FE91428" w14:textId="77777777">
        <w:trPr>
          <w:trHeight w:val="600"/>
        </w:trPr>
        <w:tc>
          <w:tcPr>
            <w:tcW w:w="555" w:type="dxa"/>
            <w:vMerge/>
          </w:tcPr>
          <w:p w14:paraId="031BF4D9" w14:textId="77777777" w:rsidR="0091081E" w:rsidRDefault="0091081E">
            <w:pPr>
              <w:spacing w:line="240" w:lineRule="auto"/>
              <w:rPr>
                <w:rFonts w:ascii="Times New Roman" w:eastAsia="Times New Roman" w:hAnsi="Times New Roman" w:cs="Times New Roman"/>
                <w:b/>
                <w:bCs/>
              </w:rPr>
            </w:pPr>
          </w:p>
        </w:tc>
        <w:tc>
          <w:tcPr>
            <w:tcW w:w="2700" w:type="dxa"/>
            <w:vMerge w:val="restart"/>
          </w:tcPr>
          <w:p w14:paraId="628CE4FF" w14:textId="77777777" w:rsidR="0091081E" w:rsidRDefault="0091081E">
            <w:pPr>
              <w:spacing w:line="240" w:lineRule="auto"/>
              <w:jc w:val="center"/>
              <w:rPr>
                <w:rFonts w:ascii="Times New Roman" w:eastAsia="Times New Roman" w:hAnsi="Times New Roman" w:cs="Times New Roman"/>
              </w:rPr>
            </w:pPr>
          </w:p>
        </w:tc>
        <w:tc>
          <w:tcPr>
            <w:tcW w:w="5880" w:type="dxa"/>
          </w:tcPr>
          <w:p w14:paraId="523A055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lit. a), termenul „gestionează notificările” este vag și lipsit de conținut juridic determinat, nefiind clar dacă acesta presupune verificare formală, validare, respingere sau evaluare de fond. O asemenea formulare poate conduce, în practică, la instituirea unui mecanism cu caracter permisiv. Se recomandă reformularea prevederii astfel: „primește și înregistrează notificările prevăzute de lege și asigură evidența acestora”.</w:t>
            </w:r>
          </w:p>
          <w:p w14:paraId="16ECEC39"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prevederea potrivit căreia Inspectoratul „verifică îndeplinirea cerințelor administrative stabilite de lege” nu precizează procedura și limitele verificării. În lipsa unor referințe clare la cadrul procedural stabilit de Legea nr. 140/2001, formularea creează incertitudine cu privire la modul de exercitare a acestei atribuții. Se recomandă completarea normei cu o trimitere expresă la prevederile relevante ale legii.</w:t>
            </w:r>
          </w:p>
        </w:tc>
        <w:tc>
          <w:tcPr>
            <w:tcW w:w="5880" w:type="dxa"/>
          </w:tcPr>
          <w:p w14:paraId="1A2F10F7"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1AAA876F" w14:textId="77777777" w:rsidR="0091081E"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Art. 4 alin. (3) lit. a) din Legea nr. 140/2001 va fi expus în următoarea redacție:</w:t>
            </w:r>
          </w:p>
          <w:p w14:paraId="1B1A6D8A"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primește și înregistrează notificările prevăzute la art. 40 din Legea privind detașarea salariaților în cadrul prestării de servicii transnaționale, asigură evidența acestora, inclusiv a actualizărilor, și verifică, în condițiile legii menționate, îndeplinirea cerințelor administrative și a măsurilor de control aferente;”</w:t>
            </w:r>
          </w:p>
        </w:tc>
      </w:tr>
      <w:tr w:rsidR="0091081E" w14:paraId="634436FB" w14:textId="77777777">
        <w:trPr>
          <w:trHeight w:val="600"/>
        </w:trPr>
        <w:tc>
          <w:tcPr>
            <w:tcW w:w="555" w:type="dxa"/>
            <w:vMerge/>
          </w:tcPr>
          <w:p w14:paraId="0BB7383F" w14:textId="77777777" w:rsidR="0091081E" w:rsidRDefault="0091081E">
            <w:pPr>
              <w:spacing w:line="240" w:lineRule="auto"/>
              <w:rPr>
                <w:rFonts w:ascii="Times New Roman" w:eastAsia="Times New Roman" w:hAnsi="Times New Roman" w:cs="Times New Roman"/>
                <w:b/>
                <w:bCs/>
              </w:rPr>
            </w:pPr>
          </w:p>
        </w:tc>
        <w:tc>
          <w:tcPr>
            <w:tcW w:w="2700" w:type="dxa"/>
            <w:vMerge/>
          </w:tcPr>
          <w:p w14:paraId="0EF58A14" w14:textId="77777777" w:rsidR="0091081E" w:rsidRDefault="0091081E">
            <w:pPr>
              <w:spacing w:line="240" w:lineRule="auto"/>
              <w:jc w:val="center"/>
              <w:rPr>
                <w:rFonts w:ascii="Times New Roman" w:eastAsia="Times New Roman" w:hAnsi="Times New Roman" w:cs="Times New Roman"/>
              </w:rPr>
            </w:pPr>
          </w:p>
        </w:tc>
        <w:tc>
          <w:tcPr>
            <w:tcW w:w="5880" w:type="dxa"/>
          </w:tcPr>
          <w:p w14:paraId="7CBED5C9"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 lit. b), sintagma „alte persoane vizate” este nedeterminată și poate conduce la interpretări excesiv de largi ale sferei subiecților obligați să furnizeze informații. Se recomandă excluderea acesteia. </w:t>
            </w:r>
          </w:p>
        </w:tc>
        <w:tc>
          <w:tcPr>
            <w:tcW w:w="5880" w:type="dxa"/>
          </w:tcPr>
          <w:p w14:paraId="401C8CE3"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2255A686"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„alte persoane vizate” pot fi persoane care indirect pot contribui la confirmarea respectării cadrului normativ privind detașarea.</w:t>
            </w:r>
          </w:p>
          <w:p w14:paraId="4AE23626"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Astfel de persoane pot fi prestatori de cazare, prestatori de servicii, martori, deținători de informații comunale, care confirmă efectuarea anumitor plăți pentru consum de energie electrică sau termică etc, efectuate de persoanele detașate. Categoriile acestor persoane pot fi diferite, iar numărul acestora poate fi vast. În acest sens pentru a confirma sau infirma respectarea cadrului normativ privind detașarea, utilizarea sintagmei „alte persoane vizate” devine justificată.</w:t>
            </w:r>
          </w:p>
        </w:tc>
      </w:tr>
      <w:tr w:rsidR="0091081E" w14:paraId="77C7BF40" w14:textId="77777777">
        <w:trPr>
          <w:trHeight w:val="600"/>
        </w:trPr>
        <w:tc>
          <w:tcPr>
            <w:tcW w:w="555" w:type="dxa"/>
            <w:vMerge/>
          </w:tcPr>
          <w:p w14:paraId="4AFE1998" w14:textId="77777777" w:rsidR="0091081E" w:rsidRDefault="0091081E">
            <w:pPr>
              <w:spacing w:line="240" w:lineRule="auto"/>
              <w:rPr>
                <w:rFonts w:ascii="Times New Roman" w:eastAsia="Times New Roman" w:hAnsi="Times New Roman" w:cs="Times New Roman"/>
                <w:b/>
                <w:bCs/>
              </w:rPr>
            </w:pPr>
          </w:p>
        </w:tc>
        <w:tc>
          <w:tcPr>
            <w:tcW w:w="2700" w:type="dxa"/>
            <w:vMerge/>
          </w:tcPr>
          <w:p w14:paraId="1128B0F7" w14:textId="77777777" w:rsidR="0091081E" w:rsidRDefault="0091081E">
            <w:pPr>
              <w:spacing w:line="240" w:lineRule="auto"/>
              <w:jc w:val="center"/>
              <w:rPr>
                <w:rFonts w:ascii="Times New Roman" w:eastAsia="Times New Roman" w:hAnsi="Times New Roman" w:cs="Times New Roman"/>
              </w:rPr>
            </w:pPr>
          </w:p>
        </w:tc>
        <w:tc>
          <w:tcPr>
            <w:tcW w:w="5880" w:type="dxa"/>
          </w:tcPr>
          <w:p w14:paraId="6119B7EA"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 lit. c), formularea „dispune, după caz, măsuri obligatorii de remediere” nu indică actul administrativ prin care sunt dispuse aceste măsuri și nici temeiul procedural aplicabil. În vederea asigurării clarității normei, se recomandă utilizarea unei </w:t>
            </w:r>
            <w:r>
              <w:rPr>
                <w:rFonts w:ascii="Times New Roman" w:eastAsia="Times New Roman" w:hAnsi="Times New Roman" w:cs="Times New Roman"/>
                <w:highlight w:val="white"/>
              </w:rPr>
              <w:lastRenderedPageBreak/>
              <w:t>formulări determinate, de tipul: „emite prescripții obligatorii de remediere, în condițiile legii”.</w:t>
            </w:r>
          </w:p>
        </w:tc>
        <w:tc>
          <w:tcPr>
            <w:tcW w:w="5880" w:type="dxa"/>
          </w:tcPr>
          <w:p w14:paraId="32B17116"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w:t>
            </w:r>
          </w:p>
          <w:p w14:paraId="5C4C341B"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 alin. (3) lit. c) din Legea nr. 140/2001 va fi expus în următoarea redacție:</w:t>
            </w:r>
          </w:p>
          <w:p w14:paraId="7277C4D9"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 efectuează controlul de stat asupra respectării condițiilor de muncă aplicabile salariaților detașați pe teritoriul Republicii </w:t>
            </w:r>
            <w:r>
              <w:rPr>
                <w:rFonts w:ascii="Times New Roman" w:eastAsia="Times New Roman" w:hAnsi="Times New Roman" w:cs="Times New Roman"/>
                <w:highlight w:val="white"/>
              </w:rPr>
              <w:lastRenderedPageBreak/>
              <w:t>Moldova și emite prescripții obligatorii de remediere, în condițiile legii;</w:t>
            </w:r>
          </w:p>
        </w:tc>
      </w:tr>
      <w:tr w:rsidR="0091081E" w14:paraId="5990F5FA" w14:textId="77777777">
        <w:trPr>
          <w:trHeight w:val="600"/>
        </w:trPr>
        <w:tc>
          <w:tcPr>
            <w:tcW w:w="555" w:type="dxa"/>
            <w:vMerge/>
          </w:tcPr>
          <w:p w14:paraId="4500F55B" w14:textId="77777777" w:rsidR="0091081E" w:rsidRDefault="0091081E">
            <w:pPr>
              <w:spacing w:line="240" w:lineRule="auto"/>
              <w:rPr>
                <w:rFonts w:ascii="Times New Roman" w:eastAsia="Times New Roman" w:hAnsi="Times New Roman" w:cs="Times New Roman"/>
                <w:b/>
                <w:bCs/>
              </w:rPr>
            </w:pPr>
          </w:p>
        </w:tc>
        <w:tc>
          <w:tcPr>
            <w:tcW w:w="2700" w:type="dxa"/>
            <w:vMerge/>
          </w:tcPr>
          <w:p w14:paraId="50D18EAE" w14:textId="77777777" w:rsidR="0091081E" w:rsidRDefault="0091081E">
            <w:pPr>
              <w:spacing w:line="240" w:lineRule="auto"/>
              <w:jc w:val="center"/>
              <w:rPr>
                <w:rFonts w:ascii="Times New Roman" w:eastAsia="Times New Roman" w:hAnsi="Times New Roman" w:cs="Times New Roman"/>
              </w:rPr>
            </w:pPr>
          </w:p>
        </w:tc>
        <w:tc>
          <w:tcPr>
            <w:tcW w:w="5880" w:type="dxa"/>
          </w:tcPr>
          <w:p w14:paraId="125B9543"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lit. d), trimiterea generică la „încălcarea prevederilor legii” este problematică, întrucât o lege poate conține norme de natură diferită, nu doar norme a căror încălcare constituie contravenție. O asemenea formulare este contrară principiilor dreptului contravențional și poate genera aplicări excesive ale răspunderii. Se recomandă indicarea expresă a normelor a căror încălcare atrage răspunderea contravențională.</w:t>
            </w:r>
          </w:p>
        </w:tc>
        <w:tc>
          <w:tcPr>
            <w:tcW w:w="5880" w:type="dxa"/>
          </w:tcPr>
          <w:p w14:paraId="5E79DBF7"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03F88E84"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 alin. (3) lit. d) din Legea nr. 140/2001 va fi expus în următoarea redacție:</w:t>
            </w:r>
          </w:p>
          <w:p w14:paraId="71801420"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 constată contravențiile și aplică sancțiunile contravenționale prevăzute la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din Codul contravențional pentru încălcarea obligațiilor stabilite de Legea privind detașarea salariaților în cadrul prestării de servicii transnaționale;”</w:t>
            </w:r>
          </w:p>
        </w:tc>
      </w:tr>
      <w:tr w:rsidR="0091081E" w14:paraId="2D447AFA" w14:textId="77777777">
        <w:trPr>
          <w:trHeight w:val="600"/>
        </w:trPr>
        <w:tc>
          <w:tcPr>
            <w:tcW w:w="555" w:type="dxa"/>
            <w:vMerge/>
          </w:tcPr>
          <w:p w14:paraId="29395675" w14:textId="77777777" w:rsidR="0091081E" w:rsidRDefault="0091081E">
            <w:pPr>
              <w:spacing w:line="240" w:lineRule="auto"/>
              <w:rPr>
                <w:rFonts w:ascii="Times New Roman" w:eastAsia="Times New Roman" w:hAnsi="Times New Roman" w:cs="Times New Roman"/>
                <w:b/>
                <w:bCs/>
              </w:rPr>
            </w:pPr>
          </w:p>
        </w:tc>
        <w:tc>
          <w:tcPr>
            <w:tcW w:w="2700" w:type="dxa"/>
            <w:vMerge/>
          </w:tcPr>
          <w:p w14:paraId="17B689CB" w14:textId="77777777" w:rsidR="0091081E" w:rsidRDefault="0091081E">
            <w:pPr>
              <w:spacing w:line="240" w:lineRule="auto"/>
              <w:jc w:val="center"/>
              <w:rPr>
                <w:rFonts w:ascii="Times New Roman" w:eastAsia="Times New Roman" w:hAnsi="Times New Roman" w:cs="Times New Roman"/>
              </w:rPr>
            </w:pPr>
          </w:p>
        </w:tc>
        <w:tc>
          <w:tcPr>
            <w:tcW w:w="5880" w:type="dxa"/>
          </w:tcPr>
          <w:p w14:paraId="50D0E891"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13</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alin. (1), trimiterea „În temeiul prevederilor art. 13</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din prezenta lege” este nejustificată, întrucât art. 13</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reglementează exclusiv principiile cooperării dintre Inspectoratul de Stat al Muncii și Autoritatea Europeană a Muncii și nu constituie un temei juridic pentru acțiunea prevăzută. În acest sens, se recomandă eliminarea trimiterii respective și reformularea dispoziției, după cum urmează: „Inspectoratul de Stat al Muncii poate solicita Autorității Europene a Muncii …”</w:t>
            </w:r>
          </w:p>
        </w:tc>
        <w:tc>
          <w:tcPr>
            <w:tcW w:w="5880" w:type="dxa"/>
          </w:tcPr>
          <w:p w14:paraId="7976E8E0"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61D0D049" w14:textId="77777777" w:rsidR="0091081E"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Art. 13</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din Legea nr. 140/2001 va fi expus în următoarea redacție:</w:t>
            </w:r>
          </w:p>
          <w:p w14:paraId="22D3648D"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13</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Procedura de soluționare a litigiilor transfrontaliere prin intermediul Autorității Europene a Muncii</w:t>
            </w:r>
          </w:p>
          <w:p w14:paraId="22C53B82"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Inspectoratul de Stat al Muncii poate solicita Autorității Europene a Muncii desfășurarea unei proceduri de mediere în cazurile de litigii transfrontaliere privind aplicarea legislației Uniunii Europene în domeniul muncii.</w:t>
            </w:r>
          </w:p>
          <w:p w14:paraId="0388AC3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tc>
      </w:tr>
      <w:tr w:rsidR="0091081E" w14:paraId="53C329CC" w14:textId="77777777">
        <w:trPr>
          <w:trHeight w:val="600"/>
        </w:trPr>
        <w:tc>
          <w:tcPr>
            <w:tcW w:w="555" w:type="dxa"/>
            <w:vMerge/>
          </w:tcPr>
          <w:p w14:paraId="372E81FE" w14:textId="77777777" w:rsidR="0091081E" w:rsidRDefault="0091081E">
            <w:pPr>
              <w:spacing w:line="240" w:lineRule="auto"/>
              <w:rPr>
                <w:rFonts w:ascii="Times New Roman" w:eastAsia="Times New Roman" w:hAnsi="Times New Roman" w:cs="Times New Roman"/>
                <w:b/>
                <w:bCs/>
              </w:rPr>
            </w:pPr>
          </w:p>
        </w:tc>
        <w:tc>
          <w:tcPr>
            <w:tcW w:w="2700" w:type="dxa"/>
            <w:vMerge/>
          </w:tcPr>
          <w:p w14:paraId="0E3DB775" w14:textId="77777777" w:rsidR="0091081E" w:rsidRDefault="0091081E">
            <w:pPr>
              <w:spacing w:line="240" w:lineRule="auto"/>
              <w:jc w:val="center"/>
              <w:rPr>
                <w:rFonts w:ascii="Times New Roman" w:eastAsia="Times New Roman" w:hAnsi="Times New Roman" w:cs="Times New Roman"/>
              </w:rPr>
            </w:pPr>
          </w:p>
        </w:tc>
        <w:tc>
          <w:tcPr>
            <w:tcW w:w="5880" w:type="dxa"/>
          </w:tcPr>
          <w:p w14:paraId="70B3B03C"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II. – Codul muncii nr. 154/2003:</w:t>
            </w:r>
          </w:p>
          <w:p w14:paraId="387CD87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Articolul 8.</w:t>
            </w:r>
          </w:p>
          <w:p w14:paraId="288A4CCA"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La alin. (1), lista criteriilor de discriminare este extinsă prin includerea formulării „și criteriile stabilite prin Legea nr. 121/2012 cu privire la asigurarea egalității, precum și pe alte criterii nelegate de calitățile sale profesionale”. Această formulare are caracter deschis și poate genera incertitudine juridică pentru angajatori, întrucât extinde în mod nedeterminat sfera criteriilor de discriminare, inclusiv prin trimitere la alte acte normative și la „alte criterii” nedefinite.</w:t>
            </w:r>
          </w:p>
        </w:tc>
        <w:tc>
          <w:tcPr>
            <w:tcW w:w="5880" w:type="dxa"/>
          </w:tcPr>
          <w:p w14:paraId="5CB0B441"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01FFF769" w14:textId="77777777" w:rsidR="0091081E"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Sintagma „alte criterii nelegate de calitățile sale profesionale” se conține în redacția actuală a art. 8 din CM, până nu au fost raportate situații care genera incertitudine juridică pentru angajator.</w:t>
            </w:r>
          </w:p>
        </w:tc>
      </w:tr>
      <w:tr w:rsidR="0091081E" w14:paraId="5631AFA0" w14:textId="77777777">
        <w:trPr>
          <w:trHeight w:val="600"/>
        </w:trPr>
        <w:tc>
          <w:tcPr>
            <w:tcW w:w="555" w:type="dxa"/>
            <w:vMerge/>
          </w:tcPr>
          <w:p w14:paraId="012748DD" w14:textId="77777777" w:rsidR="0091081E" w:rsidRDefault="0091081E">
            <w:pPr>
              <w:spacing w:line="240" w:lineRule="auto"/>
              <w:rPr>
                <w:rFonts w:ascii="Times New Roman" w:eastAsia="Times New Roman" w:hAnsi="Times New Roman" w:cs="Times New Roman"/>
                <w:b/>
                <w:bCs/>
              </w:rPr>
            </w:pPr>
          </w:p>
        </w:tc>
        <w:tc>
          <w:tcPr>
            <w:tcW w:w="2700" w:type="dxa"/>
            <w:vMerge/>
          </w:tcPr>
          <w:p w14:paraId="5B22F0EB" w14:textId="77777777" w:rsidR="0091081E" w:rsidRDefault="0091081E">
            <w:pPr>
              <w:spacing w:line="240" w:lineRule="auto"/>
              <w:jc w:val="center"/>
              <w:rPr>
                <w:rFonts w:ascii="Times New Roman" w:eastAsia="Times New Roman" w:hAnsi="Times New Roman" w:cs="Times New Roman"/>
              </w:rPr>
            </w:pPr>
          </w:p>
        </w:tc>
        <w:tc>
          <w:tcPr>
            <w:tcW w:w="5880" w:type="dxa"/>
          </w:tcPr>
          <w:p w14:paraId="66814EC5"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 alin. (1¹), prevederea potrivit căreia alin. (1) „se aplică tuturor persoanelor, atât în sectorul public, cât și în cel privat” este excesiv de largă și nu corespunde obiectului de reglementare al Codului muncii, care vizează în principal raporturile dintre angajatori și salariați sau persoanele care solicită angajarea. </w:t>
            </w:r>
            <w:r>
              <w:rPr>
                <w:rFonts w:ascii="Times New Roman" w:eastAsia="Times New Roman" w:hAnsi="Times New Roman" w:cs="Times New Roman"/>
                <w:highlight w:val="white"/>
              </w:rPr>
              <w:lastRenderedPageBreak/>
              <w:t>Utilizarea expresiei „toate persoanele” poate genera interpretări ce depășesc sfera raporturilor de muncă.</w:t>
            </w:r>
          </w:p>
        </w:tc>
        <w:tc>
          <w:tcPr>
            <w:tcW w:w="5880" w:type="dxa"/>
          </w:tcPr>
          <w:p w14:paraId="09B7DA59"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w:t>
            </w:r>
          </w:p>
          <w:p w14:paraId="6D4048B1"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Domeniul de aplicare a prevederilor care garantează implementarea Directivelor 2000.78 și 2000.43 urmează să fie stabilit în legea specială (nr. 121/2012 cu privire la  cu privire la asigurarea egalității) conform recomandărilor experților UE.</w:t>
            </w:r>
          </w:p>
        </w:tc>
      </w:tr>
      <w:tr w:rsidR="0091081E" w14:paraId="0671EF26" w14:textId="77777777">
        <w:trPr>
          <w:trHeight w:val="600"/>
        </w:trPr>
        <w:tc>
          <w:tcPr>
            <w:tcW w:w="555" w:type="dxa"/>
            <w:vMerge/>
          </w:tcPr>
          <w:p w14:paraId="4B2B7ABF" w14:textId="77777777" w:rsidR="0091081E" w:rsidRDefault="0091081E">
            <w:pPr>
              <w:spacing w:line="240" w:lineRule="auto"/>
              <w:rPr>
                <w:rFonts w:ascii="Times New Roman" w:eastAsia="Times New Roman" w:hAnsi="Times New Roman" w:cs="Times New Roman"/>
                <w:b/>
                <w:bCs/>
              </w:rPr>
            </w:pPr>
          </w:p>
        </w:tc>
        <w:tc>
          <w:tcPr>
            <w:tcW w:w="2700" w:type="dxa"/>
            <w:vMerge/>
          </w:tcPr>
          <w:p w14:paraId="5E10C142" w14:textId="77777777" w:rsidR="0091081E" w:rsidRDefault="0091081E">
            <w:pPr>
              <w:spacing w:line="240" w:lineRule="auto"/>
              <w:jc w:val="center"/>
              <w:rPr>
                <w:rFonts w:ascii="Times New Roman" w:eastAsia="Times New Roman" w:hAnsi="Times New Roman" w:cs="Times New Roman"/>
              </w:rPr>
            </w:pPr>
          </w:p>
        </w:tc>
        <w:tc>
          <w:tcPr>
            <w:tcW w:w="5880" w:type="dxa"/>
          </w:tcPr>
          <w:p w14:paraId="43D2F2F1"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8 alin. (2), cu titlu de recomandare se solicită modificarea sintagmei „cu condiția ca această dispoziție, acest criteriu sau această practică este obiectiv justificată” cu sintagma „cu condiția ca această dispoziție, criteriu sau practică să fie justificată în mod obiectiv de un scop legitim, iar mijloacele de realizare a acestui scop să fie adecvate și necesare”.</w:t>
            </w:r>
          </w:p>
        </w:tc>
        <w:tc>
          <w:tcPr>
            <w:tcW w:w="5880" w:type="dxa"/>
          </w:tcPr>
          <w:p w14:paraId="0EBEEBF5"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Se acceptă </w:t>
            </w:r>
            <w:r>
              <w:rPr>
                <w:rFonts w:ascii="Times New Roman" w:eastAsia="Times New Roman" w:hAnsi="Times New Roman" w:cs="Times New Roman"/>
                <w:highlight w:val="white"/>
              </w:rPr>
              <w:t>în redacția propusă de Consiliul de egalitate.</w:t>
            </w:r>
          </w:p>
          <w:p w14:paraId="4D6ED8C4" w14:textId="77777777" w:rsidR="0091081E"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Art. 8 alin. (2)</w:t>
            </w:r>
            <w:r>
              <w:rPr>
                <w:rFonts w:ascii="Times New Roman" w:eastAsia="Times New Roman" w:hAnsi="Times New Roman" w:cs="Times New Roman"/>
                <w:b/>
                <w:bCs/>
                <w:highlight w:val="white"/>
              </w:rPr>
              <w:t xml:space="preserve"> se propune în următoarea redacție:</w:t>
            </w:r>
          </w:p>
          <w:p w14:paraId="307EAAF9"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„Orice diferență de tratament bazată pe o caracteristică legată de unul din criteriile prevăzute la alin. (1) nu constituie o discriminare atunci când, având în vedere natura unei activități profesionale sau condițiile de exercitare a acesteia, caracteristică în cauză constituie o cerință profesională esențială și determinantă, astfel încât obiectivul să fie legitim, iar cerința să fie proporțională.”</w:t>
            </w:r>
          </w:p>
        </w:tc>
      </w:tr>
      <w:tr w:rsidR="0091081E" w14:paraId="13469CB1" w14:textId="77777777">
        <w:trPr>
          <w:trHeight w:val="600"/>
        </w:trPr>
        <w:tc>
          <w:tcPr>
            <w:tcW w:w="555" w:type="dxa"/>
            <w:vMerge/>
          </w:tcPr>
          <w:p w14:paraId="5BF02C5E" w14:textId="77777777" w:rsidR="0091081E" w:rsidRDefault="0091081E">
            <w:pPr>
              <w:spacing w:line="240" w:lineRule="auto"/>
              <w:rPr>
                <w:rFonts w:ascii="Times New Roman" w:eastAsia="Times New Roman" w:hAnsi="Times New Roman" w:cs="Times New Roman"/>
                <w:b/>
                <w:bCs/>
              </w:rPr>
            </w:pPr>
          </w:p>
        </w:tc>
        <w:tc>
          <w:tcPr>
            <w:tcW w:w="2700" w:type="dxa"/>
            <w:vMerge/>
          </w:tcPr>
          <w:p w14:paraId="27E2E865" w14:textId="77777777" w:rsidR="0091081E" w:rsidRDefault="0091081E">
            <w:pPr>
              <w:spacing w:line="240" w:lineRule="auto"/>
              <w:jc w:val="center"/>
              <w:rPr>
                <w:rFonts w:ascii="Times New Roman" w:eastAsia="Times New Roman" w:hAnsi="Times New Roman" w:cs="Times New Roman"/>
              </w:rPr>
            </w:pPr>
          </w:p>
        </w:tc>
        <w:tc>
          <w:tcPr>
            <w:tcW w:w="5880" w:type="dxa"/>
          </w:tcPr>
          <w:p w14:paraId="46FA20CA"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 </w:t>
            </w:r>
          </w:p>
          <w:p w14:paraId="04C8C4C5"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alin. (3) se introduce obligația de formulare a unui aviz înainte de adoptarea deciziei de către angajator. Această modificare creează o etapă procedurală suplimentară care nu rezultă din structura actuală a articolului și nu este clar definită. Textul nu precizează natura juridică a avizului și nici dacă acesta are caracter exclusiv consultativ, existând riscul interpretării acestuia ca o condiție pentru adoptarea deciziei angajatorului.</w:t>
            </w:r>
          </w:p>
        </w:tc>
        <w:tc>
          <w:tcPr>
            <w:tcW w:w="5880" w:type="dxa"/>
          </w:tcPr>
          <w:p w14:paraId="253175D0"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75816189"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completează cu un alin (3</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în temeiul căruia se stabilește termen „Reprezentanții salariaților </w:t>
            </w:r>
            <w:proofErr w:type="spellStart"/>
            <w:r>
              <w:rPr>
                <w:rFonts w:ascii="Times New Roman" w:eastAsia="Times New Roman" w:hAnsi="Times New Roman" w:cs="Times New Roman"/>
                <w:highlight w:val="white"/>
              </w:rPr>
              <w:t>îşi</w:t>
            </w:r>
            <w:proofErr w:type="spellEnd"/>
            <w:r>
              <w:rPr>
                <w:rFonts w:ascii="Times New Roman" w:eastAsia="Times New Roman" w:hAnsi="Times New Roman" w:cs="Times New Roman"/>
                <w:highlight w:val="white"/>
              </w:rPr>
              <w:t xml:space="preserve"> prezintă opinia în termen de 10 zile lucrătoare de la data </w:t>
            </w:r>
            <w:proofErr w:type="spellStart"/>
            <w:r>
              <w:rPr>
                <w:rFonts w:ascii="Times New Roman" w:eastAsia="Times New Roman" w:hAnsi="Times New Roman" w:cs="Times New Roman"/>
                <w:highlight w:val="white"/>
              </w:rPr>
              <w:t>recepţionării</w:t>
            </w:r>
            <w:proofErr w:type="spellEnd"/>
            <w:r>
              <w:rPr>
                <w:rFonts w:ascii="Times New Roman" w:eastAsia="Times New Roman" w:hAnsi="Times New Roman" w:cs="Times New Roman"/>
                <w:highlight w:val="white"/>
              </w:rPr>
              <w:t xml:space="preserve"> datelor.(3) Informarea se face prin transmiterea, în forma scrisă, către reprezentanții salariaților a datelor relevante, complete și veridice privind subiectele enumerate la alin. (2), în timp util, care le-ar permite reprezentanților salariaților să pregătească, în caz de necesitate, consultarea </w:t>
            </w:r>
            <w:r>
              <w:rPr>
                <w:rFonts w:ascii="Times New Roman" w:eastAsia="Times New Roman" w:hAnsi="Times New Roman" w:cs="Times New Roman"/>
                <w:b/>
                <w:bCs/>
                <w:highlight w:val="white"/>
              </w:rPr>
              <w:t>și formularea unui aviz înainte de adoptarea deciziei de către angajator;</w:t>
            </w:r>
          </w:p>
          <w:p w14:paraId="7F87AEB7"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(3) Informarea se face prin transmiterea, în forma scrisă, către reprezentanții salariaților a datelor relevante, complete și veridice privind subiectele enumerate la alin. (2), în timp util, care le-ar permite reprezentanților salariaților să pregătească, în caz de necesitate, consultarea </w:t>
            </w:r>
            <w:r>
              <w:rPr>
                <w:rFonts w:ascii="Times New Roman" w:eastAsia="Times New Roman" w:hAnsi="Times New Roman" w:cs="Times New Roman"/>
                <w:b/>
                <w:bCs/>
                <w:highlight w:val="white"/>
              </w:rPr>
              <w:t>și formularea unui aviz înainte de adoptarea deciziei de către angajator;</w:t>
            </w:r>
          </w:p>
        </w:tc>
      </w:tr>
      <w:tr w:rsidR="0091081E" w14:paraId="7DD9E3BD" w14:textId="77777777">
        <w:trPr>
          <w:trHeight w:val="600"/>
        </w:trPr>
        <w:tc>
          <w:tcPr>
            <w:tcW w:w="555" w:type="dxa"/>
            <w:vMerge/>
          </w:tcPr>
          <w:p w14:paraId="16F5EFAB" w14:textId="77777777" w:rsidR="0091081E" w:rsidRDefault="0091081E">
            <w:pPr>
              <w:spacing w:line="240" w:lineRule="auto"/>
              <w:rPr>
                <w:rFonts w:ascii="Times New Roman" w:eastAsia="Times New Roman" w:hAnsi="Times New Roman" w:cs="Times New Roman"/>
                <w:b/>
                <w:bCs/>
              </w:rPr>
            </w:pPr>
          </w:p>
        </w:tc>
        <w:tc>
          <w:tcPr>
            <w:tcW w:w="2700" w:type="dxa"/>
            <w:vMerge/>
          </w:tcPr>
          <w:p w14:paraId="73F843E4" w14:textId="77777777" w:rsidR="0091081E" w:rsidRDefault="0091081E">
            <w:pPr>
              <w:spacing w:line="240" w:lineRule="auto"/>
              <w:jc w:val="center"/>
              <w:rPr>
                <w:rFonts w:ascii="Times New Roman" w:eastAsia="Times New Roman" w:hAnsi="Times New Roman" w:cs="Times New Roman"/>
              </w:rPr>
            </w:pPr>
          </w:p>
        </w:tc>
        <w:tc>
          <w:tcPr>
            <w:tcW w:w="5880" w:type="dxa"/>
          </w:tcPr>
          <w:p w14:paraId="16517AB1"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III – Legea securității și sănătății în muncă nr. 186/2008: Art. 23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alin. (1) conține o referință greșită la „Legea nr. 140/2012”. Corect este „Legea nr. 140/2001”</w:t>
            </w:r>
          </w:p>
        </w:tc>
        <w:tc>
          <w:tcPr>
            <w:tcW w:w="5880" w:type="dxa"/>
          </w:tcPr>
          <w:p w14:paraId="4EDC8B5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91081E" w14:paraId="64212DF4" w14:textId="77777777">
        <w:trPr>
          <w:trHeight w:val="600"/>
        </w:trPr>
        <w:tc>
          <w:tcPr>
            <w:tcW w:w="555" w:type="dxa"/>
            <w:vMerge/>
          </w:tcPr>
          <w:p w14:paraId="2B02BBC7" w14:textId="77777777" w:rsidR="0091081E" w:rsidRDefault="0091081E">
            <w:pPr>
              <w:spacing w:line="240" w:lineRule="auto"/>
              <w:rPr>
                <w:rFonts w:ascii="Times New Roman" w:eastAsia="Times New Roman" w:hAnsi="Times New Roman" w:cs="Times New Roman"/>
                <w:b/>
                <w:bCs/>
              </w:rPr>
            </w:pPr>
          </w:p>
        </w:tc>
        <w:tc>
          <w:tcPr>
            <w:tcW w:w="2700" w:type="dxa"/>
            <w:vMerge/>
          </w:tcPr>
          <w:p w14:paraId="22EA8D59" w14:textId="77777777" w:rsidR="0091081E" w:rsidRDefault="0091081E">
            <w:pPr>
              <w:spacing w:line="240" w:lineRule="auto"/>
              <w:jc w:val="center"/>
              <w:rPr>
                <w:rFonts w:ascii="Times New Roman" w:eastAsia="Times New Roman" w:hAnsi="Times New Roman" w:cs="Times New Roman"/>
              </w:rPr>
            </w:pPr>
          </w:p>
        </w:tc>
        <w:tc>
          <w:tcPr>
            <w:tcW w:w="5880" w:type="dxa"/>
          </w:tcPr>
          <w:p w14:paraId="1B3D50D2"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IV - Codul contravențional nr. 218/2008: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alin. (2) lit. a) și lit. b), sintagma „de către întreprinderilor stabilite” este incorectă din punct de vedere gramatical. Se impune corectarea acesteia pentru asigurarea concordanței gramaticale, după cum urmează: „de către întreprinderile stabilite”.</w:t>
            </w:r>
          </w:p>
        </w:tc>
        <w:tc>
          <w:tcPr>
            <w:tcW w:w="5880" w:type="dxa"/>
          </w:tcPr>
          <w:p w14:paraId="1A5258B1"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91081E" w14:paraId="5EC0EFFE" w14:textId="77777777">
        <w:trPr>
          <w:trHeight w:val="600"/>
        </w:trPr>
        <w:tc>
          <w:tcPr>
            <w:tcW w:w="555" w:type="dxa"/>
            <w:vMerge/>
          </w:tcPr>
          <w:p w14:paraId="67ECD78F" w14:textId="77777777" w:rsidR="0091081E" w:rsidRDefault="0091081E">
            <w:pPr>
              <w:spacing w:line="240" w:lineRule="auto"/>
              <w:rPr>
                <w:rFonts w:ascii="Times New Roman" w:eastAsia="Times New Roman" w:hAnsi="Times New Roman" w:cs="Times New Roman"/>
                <w:b/>
                <w:bCs/>
              </w:rPr>
            </w:pPr>
          </w:p>
        </w:tc>
        <w:tc>
          <w:tcPr>
            <w:tcW w:w="2700" w:type="dxa"/>
            <w:vMerge/>
          </w:tcPr>
          <w:p w14:paraId="041674B3" w14:textId="77777777" w:rsidR="0091081E" w:rsidRDefault="0091081E">
            <w:pPr>
              <w:spacing w:line="240" w:lineRule="auto"/>
              <w:jc w:val="center"/>
              <w:rPr>
                <w:rFonts w:ascii="Times New Roman" w:eastAsia="Times New Roman" w:hAnsi="Times New Roman" w:cs="Times New Roman"/>
              </w:rPr>
            </w:pPr>
          </w:p>
        </w:tc>
        <w:tc>
          <w:tcPr>
            <w:tcW w:w="5880" w:type="dxa"/>
          </w:tcPr>
          <w:p w14:paraId="6C87B225"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II. La nota de fundamentare: </w:t>
            </w:r>
          </w:p>
          <w:p w14:paraId="2CCA1B58" w14:textId="77777777" w:rsidR="0091081E" w:rsidRDefault="00000000">
            <w:pPr>
              <w:spacing w:line="240" w:lineRule="auto"/>
              <w:ind w:firstLine="284"/>
              <w:jc w:val="both"/>
              <w:rPr>
                <w:rFonts w:ascii="Times New Roman" w:eastAsia="Times New Roman" w:hAnsi="Times New Roman" w:cs="Times New Roman"/>
                <w:highlight w:val="white"/>
              </w:rPr>
            </w:pPr>
            <w:proofErr w:type="spellStart"/>
            <w:r>
              <w:rPr>
                <w:rFonts w:ascii="Times New Roman" w:eastAsia="Times New Roman" w:hAnsi="Times New Roman" w:cs="Times New Roman"/>
                <w:highlight w:val="white"/>
              </w:rPr>
              <w:t>Subpct</w:t>
            </w:r>
            <w:proofErr w:type="spellEnd"/>
            <w:r>
              <w:rPr>
                <w:rFonts w:ascii="Times New Roman" w:eastAsia="Times New Roman" w:hAnsi="Times New Roman" w:cs="Times New Roman"/>
                <w:highlight w:val="white"/>
              </w:rPr>
              <w:t xml:space="preserve">. 4.3 prezintă, în mod general, principalele efecte ale proiectului de lege asupra angajatorilor din sectorul privat, indicând domeniile în care aceștia urmează să se conformeze noilor cerințe legislative rezultate din transpunerea acquis-ului Uniunii Europene. Totuși, nota informativă nu conține o analiză suficient de detaliată a consecințelor concrete ale intervenției legislative asupra mediului de afaceri. </w:t>
            </w:r>
          </w:p>
          <w:p w14:paraId="6087DA01"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particular, descrierea impactului se limitează la menționarea obligației angajatorilor de a respecta noile cerințe legale și la indicarea posibilității aplicării sancțiunilor în cazul neconformării, fără a examina modul în care noile reglementări ar putea influența costurile de conformare, sarcinile administrative sau organizarea internă a activității angajatorilor. </w:t>
            </w:r>
          </w:p>
          <w:p w14:paraId="56C34CCD"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De asemenea, nu sunt prezentate estimări privind eventualele costuri administrative suplimentare, necesitatea adaptării procedurilor interne sau impactul diferențiat asupra diferitelor categorii de întreprinderi, inclusiv asupra întreprinderilor mici și mijlocii. Totodată, mențiunea potrivit căreia costurile asociate detașărilor transnaționale ar fi proporționale cu creșterea veniturilor generate de prestarea serviciilor nu este însoțită de argumente sau explicații suplimentare care să fundamenteze această concluzie. </w:t>
            </w:r>
          </w:p>
          <w:p w14:paraId="1D6638A7"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acest context, se consideră oportună completarea notei informative cu o analiză mai detaliată a impactului asupra mediului de afaceri.</w:t>
            </w:r>
          </w:p>
        </w:tc>
        <w:tc>
          <w:tcPr>
            <w:tcW w:w="5880" w:type="dxa"/>
          </w:tcPr>
          <w:p w14:paraId="759832E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p w14:paraId="6AE50E9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p w14:paraId="706DDF37"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421946E1"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Nota de fundamentare a fost revăzută, după caz.</w:t>
            </w:r>
          </w:p>
        </w:tc>
      </w:tr>
      <w:tr w:rsidR="0091081E" w14:paraId="5809AA8E" w14:textId="77777777">
        <w:trPr>
          <w:trHeight w:val="600"/>
        </w:trPr>
        <w:tc>
          <w:tcPr>
            <w:tcW w:w="555" w:type="dxa"/>
          </w:tcPr>
          <w:p w14:paraId="2AC3BD57" w14:textId="77777777" w:rsidR="0091081E" w:rsidRDefault="0091081E">
            <w:pPr>
              <w:numPr>
                <w:ilvl w:val="0"/>
                <w:numId w:val="4"/>
              </w:numPr>
              <w:spacing w:line="240" w:lineRule="auto"/>
              <w:ind w:hanging="338"/>
              <w:rPr>
                <w:rFonts w:ascii="Times New Roman" w:eastAsia="Times New Roman" w:hAnsi="Times New Roman" w:cs="Times New Roman"/>
                <w:b/>
                <w:bCs/>
              </w:rPr>
            </w:pPr>
          </w:p>
        </w:tc>
        <w:tc>
          <w:tcPr>
            <w:tcW w:w="2700" w:type="dxa"/>
          </w:tcPr>
          <w:p w14:paraId="324372D2"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Ministerul Sănătății</w:t>
            </w:r>
          </w:p>
          <w:p w14:paraId="6098AF50"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Nr. 09/945 </w:t>
            </w:r>
          </w:p>
          <w:p w14:paraId="5C8A85C6"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17.03.2026</w:t>
            </w:r>
          </w:p>
        </w:tc>
        <w:tc>
          <w:tcPr>
            <w:tcW w:w="5880" w:type="dxa"/>
          </w:tcPr>
          <w:p w14:paraId="493AE47B" w14:textId="77777777" w:rsidR="0091081E" w:rsidRDefault="0091081E">
            <w:pPr>
              <w:spacing w:line="240" w:lineRule="auto"/>
              <w:ind w:firstLine="284"/>
              <w:jc w:val="both"/>
              <w:rPr>
                <w:rFonts w:ascii="Times New Roman" w:eastAsia="Times New Roman" w:hAnsi="Times New Roman" w:cs="Times New Roman"/>
                <w:highlight w:val="white"/>
              </w:rPr>
            </w:pPr>
          </w:p>
          <w:p w14:paraId="735C1D92"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Lipsă de propuneri și obiecții.</w:t>
            </w:r>
          </w:p>
        </w:tc>
        <w:tc>
          <w:tcPr>
            <w:tcW w:w="5880" w:type="dxa"/>
          </w:tcPr>
          <w:p w14:paraId="2FE7508B"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tc>
      </w:tr>
      <w:tr w:rsidR="0091081E" w14:paraId="7ADD0DE1" w14:textId="77777777">
        <w:trPr>
          <w:trHeight w:val="600"/>
        </w:trPr>
        <w:tc>
          <w:tcPr>
            <w:tcW w:w="555" w:type="dxa"/>
          </w:tcPr>
          <w:p w14:paraId="05E0DD0F" w14:textId="77777777" w:rsidR="0091081E" w:rsidRDefault="0091081E">
            <w:pPr>
              <w:numPr>
                <w:ilvl w:val="0"/>
                <w:numId w:val="4"/>
              </w:numPr>
              <w:spacing w:line="240" w:lineRule="auto"/>
              <w:ind w:hanging="338"/>
              <w:rPr>
                <w:rFonts w:ascii="Times New Roman" w:eastAsia="Times New Roman" w:hAnsi="Times New Roman" w:cs="Times New Roman"/>
                <w:b/>
                <w:bCs/>
              </w:rPr>
            </w:pPr>
          </w:p>
        </w:tc>
        <w:tc>
          <w:tcPr>
            <w:tcW w:w="2700" w:type="dxa"/>
          </w:tcPr>
          <w:p w14:paraId="1E8D4944"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Ministerul Infrastructurii și Dezvoltării Regionale</w:t>
            </w:r>
          </w:p>
          <w:p w14:paraId="2D406DC0"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21-1310</w:t>
            </w:r>
          </w:p>
          <w:p w14:paraId="1BBF337F"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din 16.03.2026</w:t>
            </w:r>
          </w:p>
        </w:tc>
        <w:tc>
          <w:tcPr>
            <w:tcW w:w="5880" w:type="dxa"/>
          </w:tcPr>
          <w:p w14:paraId="11275353" w14:textId="77777777" w:rsidR="0091081E" w:rsidRDefault="0091081E">
            <w:pPr>
              <w:spacing w:line="240" w:lineRule="auto"/>
              <w:ind w:firstLine="284"/>
              <w:jc w:val="both"/>
              <w:rPr>
                <w:rFonts w:ascii="Times New Roman" w:eastAsia="Times New Roman" w:hAnsi="Times New Roman" w:cs="Times New Roman"/>
                <w:highlight w:val="white"/>
              </w:rPr>
            </w:pPr>
          </w:p>
          <w:p w14:paraId="2CB455DE"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Lipsă de propuneri și obiecții.</w:t>
            </w:r>
          </w:p>
        </w:tc>
        <w:tc>
          <w:tcPr>
            <w:tcW w:w="5880" w:type="dxa"/>
          </w:tcPr>
          <w:p w14:paraId="1D4F00C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tc>
      </w:tr>
      <w:tr w:rsidR="0091081E" w14:paraId="2A446141" w14:textId="77777777">
        <w:trPr>
          <w:trHeight w:val="600"/>
        </w:trPr>
        <w:tc>
          <w:tcPr>
            <w:tcW w:w="555" w:type="dxa"/>
          </w:tcPr>
          <w:p w14:paraId="0D6A772A" w14:textId="77777777" w:rsidR="0091081E" w:rsidRDefault="0091081E">
            <w:pPr>
              <w:numPr>
                <w:ilvl w:val="0"/>
                <w:numId w:val="4"/>
              </w:numPr>
              <w:spacing w:line="240" w:lineRule="auto"/>
              <w:ind w:hanging="338"/>
              <w:rPr>
                <w:rFonts w:ascii="Times New Roman" w:eastAsia="Times New Roman" w:hAnsi="Times New Roman" w:cs="Times New Roman"/>
                <w:b/>
                <w:bCs/>
              </w:rPr>
            </w:pPr>
          </w:p>
        </w:tc>
        <w:tc>
          <w:tcPr>
            <w:tcW w:w="2700" w:type="dxa"/>
          </w:tcPr>
          <w:p w14:paraId="486A34A3"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Ministerul Agriculturii și Industriei Alimentare</w:t>
            </w:r>
          </w:p>
          <w:p w14:paraId="2D723BC4"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23-02/758</w:t>
            </w:r>
          </w:p>
          <w:p w14:paraId="126B8CEC"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16.03.2026</w:t>
            </w:r>
          </w:p>
          <w:p w14:paraId="4309EE7C" w14:textId="77777777" w:rsidR="0091081E" w:rsidRDefault="0091081E">
            <w:pPr>
              <w:spacing w:line="240" w:lineRule="auto"/>
              <w:jc w:val="center"/>
              <w:rPr>
                <w:rFonts w:ascii="Times New Roman" w:eastAsia="Times New Roman" w:hAnsi="Times New Roman" w:cs="Times New Roman"/>
              </w:rPr>
            </w:pPr>
          </w:p>
        </w:tc>
        <w:tc>
          <w:tcPr>
            <w:tcW w:w="5880" w:type="dxa"/>
          </w:tcPr>
          <w:p w14:paraId="6F0EE017"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Lipsa  de obiecții și propuneri.</w:t>
            </w:r>
          </w:p>
        </w:tc>
        <w:tc>
          <w:tcPr>
            <w:tcW w:w="5880" w:type="dxa"/>
          </w:tcPr>
          <w:p w14:paraId="28B7B26A"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tc>
      </w:tr>
      <w:tr w:rsidR="0091081E" w14:paraId="1CAE3026" w14:textId="77777777">
        <w:trPr>
          <w:trHeight w:val="600"/>
        </w:trPr>
        <w:tc>
          <w:tcPr>
            <w:tcW w:w="555" w:type="dxa"/>
          </w:tcPr>
          <w:p w14:paraId="1C53BECD" w14:textId="77777777" w:rsidR="0091081E" w:rsidRDefault="0091081E">
            <w:pPr>
              <w:numPr>
                <w:ilvl w:val="0"/>
                <w:numId w:val="4"/>
              </w:numPr>
              <w:spacing w:line="240" w:lineRule="auto"/>
              <w:ind w:hanging="338"/>
              <w:rPr>
                <w:rFonts w:ascii="Times New Roman" w:eastAsia="Times New Roman" w:hAnsi="Times New Roman" w:cs="Times New Roman"/>
                <w:b/>
                <w:bCs/>
              </w:rPr>
            </w:pPr>
          </w:p>
        </w:tc>
        <w:tc>
          <w:tcPr>
            <w:tcW w:w="2700" w:type="dxa"/>
          </w:tcPr>
          <w:p w14:paraId="53CB7D30"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Ministerul Mediului </w:t>
            </w:r>
          </w:p>
          <w:p w14:paraId="408E758D"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13-05/782</w:t>
            </w:r>
          </w:p>
          <w:p w14:paraId="34407744"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din 13.03.2026 </w:t>
            </w:r>
          </w:p>
          <w:p w14:paraId="282C4BC3" w14:textId="77777777" w:rsidR="0091081E" w:rsidRDefault="0091081E">
            <w:pPr>
              <w:spacing w:line="240" w:lineRule="auto"/>
              <w:jc w:val="center"/>
              <w:rPr>
                <w:rFonts w:ascii="Times New Roman" w:eastAsia="Times New Roman" w:hAnsi="Times New Roman" w:cs="Times New Roman"/>
              </w:rPr>
            </w:pPr>
          </w:p>
        </w:tc>
        <w:tc>
          <w:tcPr>
            <w:tcW w:w="5880" w:type="dxa"/>
          </w:tcPr>
          <w:p w14:paraId="46634C6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Lipsa  de obiecții și propuneri.</w:t>
            </w:r>
          </w:p>
        </w:tc>
        <w:tc>
          <w:tcPr>
            <w:tcW w:w="5880" w:type="dxa"/>
          </w:tcPr>
          <w:p w14:paraId="6A781AEF"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tc>
      </w:tr>
      <w:tr w:rsidR="0091081E" w14:paraId="2B307EA5" w14:textId="77777777">
        <w:trPr>
          <w:trHeight w:val="600"/>
        </w:trPr>
        <w:tc>
          <w:tcPr>
            <w:tcW w:w="555" w:type="dxa"/>
          </w:tcPr>
          <w:p w14:paraId="6179D5CE" w14:textId="77777777" w:rsidR="0091081E" w:rsidRDefault="0091081E">
            <w:pPr>
              <w:numPr>
                <w:ilvl w:val="0"/>
                <w:numId w:val="4"/>
              </w:numPr>
              <w:spacing w:line="240" w:lineRule="auto"/>
              <w:ind w:hanging="338"/>
              <w:rPr>
                <w:rFonts w:ascii="Times New Roman" w:eastAsia="Times New Roman" w:hAnsi="Times New Roman" w:cs="Times New Roman"/>
                <w:b/>
                <w:bCs/>
              </w:rPr>
            </w:pPr>
          </w:p>
        </w:tc>
        <w:tc>
          <w:tcPr>
            <w:tcW w:w="2700" w:type="dxa"/>
          </w:tcPr>
          <w:p w14:paraId="1A0C1BED"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Ministerul Educației și Cercetării</w:t>
            </w:r>
          </w:p>
          <w:p w14:paraId="5D980FA3"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13/171/26</w:t>
            </w:r>
          </w:p>
          <w:p w14:paraId="2D9CD76D"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din 12.03.2026 </w:t>
            </w:r>
          </w:p>
          <w:p w14:paraId="75014A0F" w14:textId="77777777" w:rsidR="0091081E" w:rsidRDefault="0091081E">
            <w:pPr>
              <w:spacing w:line="240" w:lineRule="auto"/>
              <w:jc w:val="center"/>
              <w:rPr>
                <w:rFonts w:ascii="Times New Roman" w:eastAsia="Times New Roman" w:hAnsi="Times New Roman" w:cs="Times New Roman"/>
              </w:rPr>
            </w:pPr>
          </w:p>
        </w:tc>
        <w:tc>
          <w:tcPr>
            <w:tcW w:w="5880" w:type="dxa"/>
          </w:tcPr>
          <w:p w14:paraId="4D831D01"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Lipsa de obiecții și propuneri.</w:t>
            </w:r>
          </w:p>
        </w:tc>
        <w:tc>
          <w:tcPr>
            <w:tcW w:w="5880" w:type="dxa"/>
          </w:tcPr>
          <w:p w14:paraId="39FC9D6F"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tc>
      </w:tr>
      <w:tr w:rsidR="0091081E" w14:paraId="32BE613E" w14:textId="77777777">
        <w:trPr>
          <w:trHeight w:val="290"/>
        </w:trPr>
        <w:tc>
          <w:tcPr>
            <w:tcW w:w="555" w:type="dxa"/>
            <w:vMerge w:val="restart"/>
          </w:tcPr>
          <w:p w14:paraId="7E77592D" w14:textId="77777777" w:rsidR="0091081E" w:rsidRDefault="0091081E">
            <w:pPr>
              <w:numPr>
                <w:ilvl w:val="0"/>
                <w:numId w:val="4"/>
              </w:numPr>
              <w:spacing w:line="240" w:lineRule="auto"/>
              <w:ind w:hanging="338"/>
              <w:rPr>
                <w:rFonts w:ascii="Times New Roman" w:eastAsia="Times New Roman" w:hAnsi="Times New Roman" w:cs="Times New Roman"/>
                <w:b/>
                <w:bCs/>
              </w:rPr>
            </w:pPr>
          </w:p>
        </w:tc>
        <w:tc>
          <w:tcPr>
            <w:tcW w:w="2700" w:type="dxa"/>
            <w:vMerge w:val="restart"/>
          </w:tcPr>
          <w:p w14:paraId="43A5205D"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Ministerul Afacerilor Externe </w:t>
            </w:r>
          </w:p>
          <w:p w14:paraId="30D763EE"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Nr. DI/3/041.1-2974 </w:t>
            </w:r>
          </w:p>
          <w:p w14:paraId="52217AA0"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13.03.2023</w:t>
            </w:r>
          </w:p>
          <w:p w14:paraId="696A2BCE"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291F7C51"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 art. 4, alin. (3), lit. e), introdusă prin art. I, pct. 2 din proiectul de Lege, termenul „acordurilor </w:t>
            </w:r>
            <w:proofErr w:type="spellStart"/>
            <w:r>
              <w:rPr>
                <w:rFonts w:ascii="Times New Roman" w:eastAsia="Times New Roman" w:hAnsi="Times New Roman" w:cs="Times New Roman"/>
                <w:highlight w:val="white"/>
              </w:rPr>
              <w:t>internaţionale</w:t>
            </w:r>
            <w:proofErr w:type="spellEnd"/>
            <w:r>
              <w:rPr>
                <w:rFonts w:ascii="Times New Roman" w:eastAsia="Times New Roman" w:hAnsi="Times New Roman" w:cs="Times New Roman"/>
                <w:highlight w:val="white"/>
              </w:rPr>
              <w:t xml:space="preserve">” va fi substituit cu termenul generic „tratatelor </w:t>
            </w:r>
            <w:proofErr w:type="spellStart"/>
            <w:r>
              <w:rPr>
                <w:rFonts w:ascii="Times New Roman" w:eastAsia="Times New Roman" w:hAnsi="Times New Roman" w:cs="Times New Roman"/>
                <w:highlight w:val="white"/>
              </w:rPr>
              <w:t>internaţionale</w:t>
            </w:r>
            <w:proofErr w:type="spellEnd"/>
            <w:r>
              <w:rPr>
                <w:rFonts w:ascii="Times New Roman" w:eastAsia="Times New Roman" w:hAnsi="Times New Roman" w:cs="Times New Roman"/>
                <w:highlight w:val="white"/>
              </w:rPr>
              <w:t>” prevăzut în Legea nr. 595/1999 privind tratatele internaționale ale Republicii Moldova.</w:t>
            </w:r>
          </w:p>
        </w:tc>
        <w:tc>
          <w:tcPr>
            <w:tcW w:w="5880" w:type="dxa"/>
            <w:tcBorders>
              <w:bottom w:val="single" w:sz="4" w:space="0" w:color="000000"/>
            </w:tcBorders>
          </w:tcPr>
          <w:p w14:paraId="37F0FA48"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91081E" w14:paraId="6BCFC0D3" w14:textId="77777777">
        <w:trPr>
          <w:trHeight w:val="315"/>
        </w:trPr>
        <w:tc>
          <w:tcPr>
            <w:tcW w:w="555" w:type="dxa"/>
            <w:vMerge/>
          </w:tcPr>
          <w:p w14:paraId="4CA54D22" w14:textId="77777777" w:rsidR="0091081E" w:rsidRDefault="0091081E">
            <w:pPr>
              <w:widowControl w:val="0"/>
              <w:rPr>
                <w:rFonts w:ascii="Times New Roman" w:eastAsia="Times New Roman" w:hAnsi="Times New Roman" w:cs="Times New Roman"/>
                <w:highlight w:val="white"/>
              </w:rPr>
            </w:pPr>
          </w:p>
        </w:tc>
        <w:tc>
          <w:tcPr>
            <w:tcW w:w="2700" w:type="dxa"/>
            <w:vMerge/>
          </w:tcPr>
          <w:p w14:paraId="7C8CE15F"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43AEF96A"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13, alin. (2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introdus prin art. I, pct. 3 din proiectul de Lege, urmează a fi revizuit, deoarece art. 23</w:t>
            </w:r>
            <w:r>
              <w:rPr>
                <w:rFonts w:ascii="Times New Roman" w:eastAsia="Times New Roman" w:hAnsi="Times New Roman" w:cs="Times New Roman"/>
                <w:highlight w:val="white"/>
                <w:vertAlign w:val="superscript"/>
              </w:rPr>
              <w:t xml:space="preserve">2 </w:t>
            </w:r>
            <w:r>
              <w:rPr>
                <w:rFonts w:ascii="Times New Roman" w:eastAsia="Times New Roman" w:hAnsi="Times New Roman" w:cs="Times New Roman"/>
                <w:highlight w:val="white"/>
              </w:rPr>
              <w:t>din Legea securității și sănătății în muncă nr. 186/2008, la care se face referire, nu există.</w:t>
            </w:r>
          </w:p>
        </w:tc>
        <w:tc>
          <w:tcPr>
            <w:tcW w:w="5880" w:type="dxa"/>
            <w:tcBorders>
              <w:top w:val="single" w:sz="4" w:space="0" w:color="000000"/>
              <w:bottom w:val="single" w:sz="4" w:space="0" w:color="000000"/>
            </w:tcBorders>
          </w:tcPr>
          <w:p w14:paraId="2AA333BF"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5204F0DD"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Prin Art. III din prezentul proiect se modifică Legea nr. 186/2008 securității și sănătății în muncă. Legea în cauză se completează cu articolul 23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Acest articol prevede raportarea aplicării  acestei legi și a actelor normative naționale care transpun directivele speciale adoptate în temeiul acesteia.</w:t>
            </w:r>
          </w:p>
          <w:p w14:paraId="22993D42"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În temeiul acestui articol ISM va raporta despre aplicarea Legii 186/2008 și actelor normative naționale care transpun directivele speciale.</w:t>
            </w:r>
          </w:p>
        </w:tc>
      </w:tr>
      <w:tr w:rsidR="0091081E" w14:paraId="15528CE6" w14:textId="77777777">
        <w:trPr>
          <w:trHeight w:val="330"/>
        </w:trPr>
        <w:tc>
          <w:tcPr>
            <w:tcW w:w="555" w:type="dxa"/>
            <w:vMerge/>
          </w:tcPr>
          <w:p w14:paraId="1C25532B" w14:textId="77777777" w:rsidR="0091081E" w:rsidRDefault="0091081E">
            <w:pPr>
              <w:widowControl w:val="0"/>
              <w:rPr>
                <w:rFonts w:ascii="Times New Roman" w:eastAsia="Times New Roman" w:hAnsi="Times New Roman" w:cs="Times New Roman"/>
                <w:highlight w:val="white"/>
              </w:rPr>
            </w:pPr>
          </w:p>
        </w:tc>
        <w:tc>
          <w:tcPr>
            <w:tcW w:w="2700" w:type="dxa"/>
            <w:vMerge/>
          </w:tcPr>
          <w:p w14:paraId="5EF45D7B"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5FB30EC0"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 13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 alin. (2)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(4)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art. 13</w:t>
            </w:r>
            <w:r>
              <w:rPr>
                <w:rFonts w:ascii="Times New Roman" w:eastAsia="Times New Roman" w:hAnsi="Times New Roman" w:cs="Times New Roman"/>
                <w:highlight w:val="white"/>
                <w:vertAlign w:val="superscript"/>
              </w:rPr>
              <w:t>3</w:t>
            </w:r>
            <w:r>
              <w:rPr>
                <w:rFonts w:ascii="Times New Roman" w:eastAsia="Times New Roman" w:hAnsi="Times New Roman" w:cs="Times New Roman"/>
                <w:highlight w:val="white"/>
              </w:rPr>
              <w:t xml:space="preserve"> , alin. (2), introduse prin art. I, pct. 4 din proiectul de Lege, se va specifica dacă termenul „acordurile de cooperare” se referă la tratate </w:t>
            </w:r>
            <w:proofErr w:type="spellStart"/>
            <w:r>
              <w:rPr>
                <w:rFonts w:ascii="Times New Roman" w:eastAsia="Times New Roman" w:hAnsi="Times New Roman" w:cs="Times New Roman"/>
                <w:highlight w:val="white"/>
              </w:rPr>
              <w:t>internaţionale</w:t>
            </w:r>
            <w:proofErr w:type="spellEnd"/>
            <w:r>
              <w:rPr>
                <w:rFonts w:ascii="Times New Roman" w:eastAsia="Times New Roman" w:hAnsi="Times New Roman" w:cs="Times New Roman"/>
                <w:highlight w:val="white"/>
              </w:rPr>
              <w:t xml:space="preserve"> sau la acorduri care nu sunt guvernate de normele dreptului internațional public.</w:t>
            </w:r>
          </w:p>
          <w:p w14:paraId="7349B822"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context, Inspectoratului de Stat al Muncii i se propune să îi revină competența de a încheia doar acorduri care nu sunt </w:t>
            </w:r>
            <w:r>
              <w:rPr>
                <w:rFonts w:ascii="Times New Roman" w:eastAsia="Times New Roman" w:hAnsi="Times New Roman" w:cs="Times New Roman"/>
                <w:highlight w:val="white"/>
              </w:rPr>
              <w:lastRenderedPageBreak/>
              <w:t xml:space="preserve">guvernate de normele dreptului internațional public în domeniul său de activitate, </w:t>
            </w:r>
            <w:proofErr w:type="spellStart"/>
            <w:r>
              <w:rPr>
                <w:rFonts w:ascii="Times New Roman" w:eastAsia="Times New Roman" w:hAnsi="Times New Roman" w:cs="Times New Roman"/>
                <w:highlight w:val="white"/>
              </w:rPr>
              <w:t>competenţa</w:t>
            </w:r>
            <w:proofErr w:type="spellEnd"/>
            <w:r>
              <w:rPr>
                <w:rFonts w:ascii="Times New Roman" w:eastAsia="Times New Roman" w:hAnsi="Times New Roman" w:cs="Times New Roman"/>
                <w:highlight w:val="white"/>
              </w:rPr>
              <w:t xml:space="preserve"> de a încheia tratate </w:t>
            </w:r>
            <w:proofErr w:type="spellStart"/>
            <w:r>
              <w:rPr>
                <w:rFonts w:ascii="Times New Roman" w:eastAsia="Times New Roman" w:hAnsi="Times New Roman" w:cs="Times New Roman"/>
                <w:highlight w:val="white"/>
              </w:rPr>
              <w:t>internaţionale</w:t>
            </w:r>
            <w:proofErr w:type="spellEnd"/>
            <w:r>
              <w:rPr>
                <w:rFonts w:ascii="Times New Roman" w:eastAsia="Times New Roman" w:hAnsi="Times New Roman" w:cs="Times New Roman"/>
                <w:highlight w:val="white"/>
              </w:rPr>
              <w:t xml:space="preserve"> în domeniu revenindu-i Ministerului Muncii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Protecţiei</w:t>
            </w:r>
            <w:proofErr w:type="spellEnd"/>
            <w:r>
              <w:rPr>
                <w:rFonts w:ascii="Times New Roman" w:eastAsia="Times New Roman" w:hAnsi="Times New Roman" w:cs="Times New Roman"/>
                <w:highlight w:val="white"/>
              </w:rPr>
              <w:t xml:space="preserve"> Sociale – organ central de specialitate al administrației publice care asigură realizarea politicii guvernamentale în domeniu.</w:t>
            </w:r>
          </w:p>
        </w:tc>
        <w:tc>
          <w:tcPr>
            <w:tcW w:w="5880" w:type="dxa"/>
            <w:tcBorders>
              <w:top w:val="single" w:sz="4" w:space="0" w:color="000000"/>
              <w:bottom w:val="single" w:sz="4" w:space="0" w:color="000000"/>
            </w:tcBorders>
          </w:tcPr>
          <w:p w14:paraId="6E29EF21"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w:t>
            </w:r>
          </w:p>
          <w:p w14:paraId="59C7ABB7"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13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 alin. (2)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(4)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art. 13</w:t>
            </w:r>
            <w:r>
              <w:rPr>
                <w:rFonts w:ascii="Times New Roman" w:eastAsia="Times New Roman" w:hAnsi="Times New Roman" w:cs="Times New Roman"/>
                <w:highlight w:val="white"/>
                <w:vertAlign w:val="superscript"/>
              </w:rPr>
              <w:t>3</w:t>
            </w:r>
            <w:r>
              <w:rPr>
                <w:rFonts w:ascii="Times New Roman" w:eastAsia="Times New Roman" w:hAnsi="Times New Roman" w:cs="Times New Roman"/>
                <w:highlight w:val="white"/>
              </w:rPr>
              <w:t xml:space="preserve"> , alin. (2), vor avea următoarea redacție:</w:t>
            </w:r>
          </w:p>
          <w:p w14:paraId="5C136684" w14:textId="77777777" w:rsidR="0091081E" w:rsidRDefault="0091081E">
            <w:pPr>
              <w:spacing w:line="240" w:lineRule="auto"/>
              <w:jc w:val="both"/>
              <w:rPr>
                <w:rFonts w:ascii="Times New Roman" w:eastAsia="Times New Roman" w:hAnsi="Times New Roman" w:cs="Times New Roman"/>
                <w:highlight w:val="white"/>
              </w:rPr>
            </w:pPr>
          </w:p>
          <w:p w14:paraId="6F50CA64"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13/2. Participarea la inspecții comune și concertate</w:t>
            </w:r>
          </w:p>
          <w:p w14:paraId="09714283"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(2) Inspecțiile comune și concertate se desfășoară cu respectarea legislației Republicii Moldova, precum și a procedurilor stabilite prin </w:t>
            </w:r>
            <w:r>
              <w:rPr>
                <w:rFonts w:ascii="Times New Roman" w:eastAsia="Times New Roman" w:hAnsi="Times New Roman" w:cs="Times New Roman"/>
                <w:b/>
                <w:bCs/>
                <w:highlight w:val="white"/>
              </w:rPr>
              <w:t>acordurile de cooperare interinstituțională care nu sunt guvernate de normele dreptului internațional public</w:t>
            </w:r>
            <w:r>
              <w:rPr>
                <w:rFonts w:ascii="Times New Roman" w:eastAsia="Times New Roman" w:hAnsi="Times New Roman" w:cs="Times New Roman"/>
                <w:highlight w:val="white"/>
              </w:rPr>
              <w:t xml:space="preserve">, încheiate cu Autoritatea Europeană a Muncii. </w:t>
            </w:r>
          </w:p>
          <w:p w14:paraId="59114985"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Noțiunile de la art. 13/2 alin. (4) vor fi incluse la art. 1/1 al Legii nr. 140/2001. Iar art. 13/2 alin. (4) va fi exclus. </w:t>
            </w:r>
          </w:p>
          <w:p w14:paraId="073E5A6C"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Articolul 1/1 se completează cu </w:t>
            </w:r>
            <w:proofErr w:type="spellStart"/>
            <w:r>
              <w:rPr>
                <w:rFonts w:ascii="Times New Roman" w:eastAsia="Times New Roman" w:hAnsi="Times New Roman" w:cs="Times New Roman"/>
                <w:highlight w:val="white"/>
              </w:rPr>
              <w:t>cu</w:t>
            </w:r>
            <w:proofErr w:type="spellEnd"/>
            <w:r>
              <w:rPr>
                <w:rFonts w:ascii="Times New Roman" w:eastAsia="Times New Roman" w:hAnsi="Times New Roman" w:cs="Times New Roman"/>
                <w:highlight w:val="white"/>
              </w:rPr>
              <w:t xml:space="preserve"> următorul text:</w:t>
            </w:r>
          </w:p>
          <w:p w14:paraId="7E1F924F"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sensul prezentei legi, următoarele </w:t>
            </w:r>
            <w:proofErr w:type="spellStart"/>
            <w:r>
              <w:rPr>
                <w:rFonts w:ascii="Times New Roman" w:eastAsia="Times New Roman" w:hAnsi="Times New Roman" w:cs="Times New Roman"/>
                <w:highlight w:val="white"/>
              </w:rPr>
              <w:t>noţiuni</w:t>
            </w:r>
            <w:proofErr w:type="spellEnd"/>
            <w:r>
              <w:rPr>
                <w:rFonts w:ascii="Times New Roman" w:eastAsia="Times New Roman" w:hAnsi="Times New Roman" w:cs="Times New Roman"/>
                <w:highlight w:val="white"/>
              </w:rPr>
              <w:t xml:space="preserve"> principale semnifică:</w:t>
            </w:r>
          </w:p>
          <w:p w14:paraId="1C3CDFEE"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 „inspecții concertate” – activități de control desfășurate simultan în Republica Moldova și în unul sau mai multe </w:t>
            </w:r>
            <w:r>
              <w:rPr>
                <w:rFonts w:ascii="Times New Roman" w:eastAsia="Times New Roman" w:hAnsi="Times New Roman" w:cs="Times New Roman"/>
                <w:b/>
                <w:bCs/>
                <w:highlight w:val="white"/>
              </w:rPr>
              <w:t>state membre ale Uniunii Europene</w:t>
            </w:r>
            <w:r>
              <w:rPr>
                <w:rFonts w:ascii="Times New Roman" w:eastAsia="Times New Roman" w:hAnsi="Times New Roman" w:cs="Times New Roman"/>
                <w:highlight w:val="white"/>
              </w:rPr>
              <w:t xml:space="preserve">, privind cazuri conexe, fiecare autoritate competentă operând în propria jurisdicție, cu asistența, după caz, a personalului Autorității Europene a Muncii, în condițiile </w:t>
            </w:r>
            <w:r>
              <w:rPr>
                <w:rFonts w:ascii="Times New Roman" w:eastAsia="Times New Roman" w:hAnsi="Times New Roman" w:cs="Times New Roman"/>
                <w:b/>
                <w:bCs/>
                <w:highlight w:val="white"/>
              </w:rPr>
              <w:t>acordurilor de cooperare interinstituțională încheiate de Inspectoratul de Stat al Muncii</w:t>
            </w:r>
            <w:r>
              <w:rPr>
                <w:rFonts w:ascii="Times New Roman" w:eastAsia="Times New Roman" w:hAnsi="Times New Roman" w:cs="Times New Roman"/>
                <w:highlight w:val="white"/>
              </w:rPr>
              <w:t>;</w:t>
            </w:r>
          </w:p>
          <w:p w14:paraId="6667716B"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 „inspecții comune” – activități de control desfășurate pe teritoriul Republicii Moldova ori, după caz, pe teritoriul unui </w:t>
            </w:r>
            <w:r>
              <w:rPr>
                <w:rFonts w:ascii="Times New Roman" w:eastAsia="Times New Roman" w:hAnsi="Times New Roman" w:cs="Times New Roman"/>
                <w:b/>
                <w:bCs/>
                <w:highlight w:val="white"/>
              </w:rPr>
              <w:t>stat membru al Uniunii Europene</w:t>
            </w:r>
            <w:r>
              <w:rPr>
                <w:rFonts w:ascii="Times New Roman" w:eastAsia="Times New Roman" w:hAnsi="Times New Roman" w:cs="Times New Roman"/>
                <w:highlight w:val="white"/>
              </w:rPr>
              <w:t xml:space="preserve">, cu participarea autorităților competente ale unuia sau mai multor </w:t>
            </w:r>
            <w:r>
              <w:rPr>
                <w:rFonts w:ascii="Times New Roman" w:eastAsia="Times New Roman" w:hAnsi="Times New Roman" w:cs="Times New Roman"/>
                <w:b/>
                <w:bCs/>
                <w:highlight w:val="white"/>
              </w:rPr>
              <w:t>state membre ale Uniunii Europene</w:t>
            </w:r>
            <w:r>
              <w:rPr>
                <w:rFonts w:ascii="Times New Roman" w:eastAsia="Times New Roman" w:hAnsi="Times New Roman" w:cs="Times New Roman"/>
                <w:highlight w:val="white"/>
              </w:rPr>
              <w:t xml:space="preserve">, fiecare autoritate operând în limitele propriei jurisdicții, cu asistența, după caz, a personalului Autorității Europene a Muncii, în condițiile </w:t>
            </w:r>
            <w:r>
              <w:rPr>
                <w:rFonts w:ascii="Times New Roman" w:eastAsia="Times New Roman" w:hAnsi="Times New Roman" w:cs="Times New Roman"/>
                <w:b/>
                <w:bCs/>
                <w:highlight w:val="white"/>
              </w:rPr>
              <w:t>acordurilor de cooperare interinstituțională încheiate de Inspectoratul de Stat al Muncii</w:t>
            </w:r>
            <w:r>
              <w:rPr>
                <w:rFonts w:ascii="Times New Roman" w:eastAsia="Times New Roman" w:hAnsi="Times New Roman" w:cs="Times New Roman"/>
                <w:highlight w:val="white"/>
              </w:rPr>
              <w:t>.</w:t>
            </w:r>
          </w:p>
          <w:p w14:paraId="29770C69"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13/3. Statutul inspectorilor străini</w:t>
            </w:r>
          </w:p>
          <w:p w14:paraId="5723D942"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(2) Inspectorii desemnați de Autoritatea Europeană a Muncii ori de autoritățile competente ale </w:t>
            </w:r>
            <w:r>
              <w:rPr>
                <w:rFonts w:ascii="Times New Roman" w:eastAsia="Times New Roman" w:hAnsi="Times New Roman" w:cs="Times New Roman"/>
                <w:b/>
                <w:bCs/>
                <w:highlight w:val="white"/>
              </w:rPr>
              <w:t>statelor membre ale Uniunii Europene</w:t>
            </w:r>
            <w:r>
              <w:rPr>
                <w:rFonts w:ascii="Times New Roman" w:eastAsia="Times New Roman" w:hAnsi="Times New Roman" w:cs="Times New Roman"/>
                <w:highlight w:val="white"/>
              </w:rPr>
              <w:t xml:space="preserve"> care participă la inspecțiile comune și concertate pe teritoriul Republicii Moldova au statut de observatori sau experți. Aceștia nu exercită atribuții de prerogativă publică, nu dispun măsuri obligatorii și nu aplică sancțiuni. Accesul acestora la locurile de muncă, documente și informații se asigură numai prin intermediul și sub coordonarea inspectorilor Inspectoratului de Stat al Muncii, în condițiile legii și ale </w:t>
            </w:r>
            <w:r>
              <w:rPr>
                <w:rFonts w:ascii="Times New Roman" w:eastAsia="Times New Roman" w:hAnsi="Times New Roman" w:cs="Times New Roman"/>
                <w:b/>
                <w:bCs/>
                <w:highlight w:val="white"/>
              </w:rPr>
              <w:t>acordurilor de cooperare interinstituțională încheiate de Inspectoratul de Stat al Muncii</w:t>
            </w:r>
            <w:r>
              <w:rPr>
                <w:rFonts w:ascii="Times New Roman" w:eastAsia="Times New Roman" w:hAnsi="Times New Roman" w:cs="Times New Roman"/>
                <w:highlight w:val="white"/>
              </w:rPr>
              <w:t>.</w:t>
            </w:r>
          </w:p>
        </w:tc>
      </w:tr>
      <w:tr w:rsidR="0091081E" w14:paraId="648174FE" w14:textId="77777777">
        <w:trPr>
          <w:trHeight w:val="546"/>
        </w:trPr>
        <w:tc>
          <w:tcPr>
            <w:tcW w:w="555" w:type="dxa"/>
            <w:vMerge/>
          </w:tcPr>
          <w:p w14:paraId="1AF417D1" w14:textId="77777777" w:rsidR="0091081E" w:rsidRDefault="0091081E">
            <w:pPr>
              <w:widowControl w:val="0"/>
              <w:rPr>
                <w:rFonts w:ascii="Times New Roman" w:eastAsia="Times New Roman" w:hAnsi="Times New Roman" w:cs="Times New Roman"/>
                <w:highlight w:val="white"/>
              </w:rPr>
            </w:pPr>
          </w:p>
        </w:tc>
        <w:tc>
          <w:tcPr>
            <w:tcW w:w="2700" w:type="dxa"/>
            <w:vMerge/>
          </w:tcPr>
          <w:p w14:paraId="2142729C"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0D33A1AB"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întregul text al proiectului de Lege va fi specificat la care „mai multe state”/„alt stat”/„stat membru”/etc. se face referire.</w:t>
            </w:r>
          </w:p>
        </w:tc>
        <w:tc>
          <w:tcPr>
            <w:tcW w:w="5880" w:type="dxa"/>
            <w:tcBorders>
              <w:top w:val="single" w:sz="4" w:space="0" w:color="000000"/>
              <w:bottom w:val="single" w:sz="4" w:space="0" w:color="000000"/>
            </w:tcBorders>
          </w:tcPr>
          <w:p w14:paraId="10CDCC2E"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p w14:paraId="421EB6E2"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Noțiunile de la art. 13/2 alin. (4) vor fi incluse la art. 1/1 al Legii nr. 140/2001. Iar art. 13/2 alin. (4) va fi exclus. </w:t>
            </w:r>
          </w:p>
          <w:p w14:paraId="2F5AE27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Articolul 1/1 se completează cu </w:t>
            </w:r>
            <w:proofErr w:type="spellStart"/>
            <w:r>
              <w:rPr>
                <w:rFonts w:ascii="Times New Roman" w:eastAsia="Times New Roman" w:hAnsi="Times New Roman" w:cs="Times New Roman"/>
                <w:highlight w:val="white"/>
              </w:rPr>
              <w:t>cu</w:t>
            </w:r>
            <w:proofErr w:type="spellEnd"/>
            <w:r>
              <w:rPr>
                <w:rFonts w:ascii="Times New Roman" w:eastAsia="Times New Roman" w:hAnsi="Times New Roman" w:cs="Times New Roman"/>
                <w:highlight w:val="white"/>
              </w:rPr>
              <w:t xml:space="preserve"> următorul text:</w:t>
            </w:r>
          </w:p>
          <w:p w14:paraId="4CAE5AA0"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sensul prezentei legi, următoarele </w:t>
            </w:r>
            <w:proofErr w:type="spellStart"/>
            <w:r>
              <w:rPr>
                <w:rFonts w:ascii="Times New Roman" w:eastAsia="Times New Roman" w:hAnsi="Times New Roman" w:cs="Times New Roman"/>
                <w:highlight w:val="white"/>
              </w:rPr>
              <w:t>noţiuni</w:t>
            </w:r>
            <w:proofErr w:type="spellEnd"/>
            <w:r>
              <w:rPr>
                <w:rFonts w:ascii="Times New Roman" w:eastAsia="Times New Roman" w:hAnsi="Times New Roman" w:cs="Times New Roman"/>
                <w:highlight w:val="white"/>
              </w:rPr>
              <w:t xml:space="preserve"> principale semnifică:</w:t>
            </w:r>
          </w:p>
          <w:p w14:paraId="57D787D6"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„inspecții concertate” – activități de control desfășurate simultan în Republica Moldova și în unul sau mai multe state membre ale Uniunii Europene, privind cazuri conexe, fiecare autoritate competentă operând în propria jurisdicție, cu asistența, după caz, a personalului Autorității Europene a Muncii, în condițiile acordurilor de cooperare interinstituțională încheiate de Inspectoratul de Stat al Muncii;</w:t>
            </w:r>
          </w:p>
          <w:p w14:paraId="0283032C"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 „inspecții comune” – activități de control desfășurate pe teritoriul Republicii Moldova ori, după caz, pe teritoriul unui stat membru al Uniunii Europene, cu participarea autorităților competente ale unuia sau mai multor state membre ale Uniunii Europene, fiecare autoritate operând în limitele propriei </w:t>
            </w:r>
            <w:r>
              <w:rPr>
                <w:rFonts w:ascii="Times New Roman" w:eastAsia="Times New Roman" w:hAnsi="Times New Roman" w:cs="Times New Roman"/>
                <w:highlight w:val="white"/>
              </w:rPr>
              <w:lastRenderedPageBreak/>
              <w:t>jurisdicții, cu asistența, după caz, a personalului Autorității Europene a Muncii, în condițiile acordurilor de cooperare interinstituțională încheiate de Inspectoratul de Stat al Muncii.</w:t>
            </w:r>
          </w:p>
          <w:p w14:paraId="771D6E12"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 „inspecții concertate” – activități de control desfășurate simultan în Republica Moldova și în unul sau mai multe </w:t>
            </w:r>
            <w:r>
              <w:rPr>
                <w:rFonts w:ascii="Times New Roman" w:eastAsia="Times New Roman" w:hAnsi="Times New Roman" w:cs="Times New Roman"/>
                <w:b/>
                <w:bCs/>
                <w:highlight w:val="white"/>
              </w:rPr>
              <w:t>state membre ale Uniunii Europene</w:t>
            </w:r>
            <w:r>
              <w:rPr>
                <w:rFonts w:ascii="Times New Roman" w:eastAsia="Times New Roman" w:hAnsi="Times New Roman" w:cs="Times New Roman"/>
                <w:highlight w:val="white"/>
              </w:rPr>
              <w:t xml:space="preserve">, privind cazuri conexe, fiecare autoritate competentă operând în propria jurisdicție, cu asistența, după caz, a personalului Autorității Europene a Muncii, în condițiile </w:t>
            </w:r>
            <w:r>
              <w:rPr>
                <w:rFonts w:ascii="Times New Roman" w:eastAsia="Times New Roman" w:hAnsi="Times New Roman" w:cs="Times New Roman"/>
                <w:b/>
                <w:bCs/>
                <w:highlight w:val="white"/>
              </w:rPr>
              <w:t>acordurilor de cooperare interinstituțională încheiate de Inspectoratul de Stat al Muncii</w:t>
            </w:r>
            <w:r>
              <w:rPr>
                <w:rFonts w:ascii="Times New Roman" w:eastAsia="Times New Roman" w:hAnsi="Times New Roman" w:cs="Times New Roman"/>
                <w:highlight w:val="white"/>
              </w:rPr>
              <w:t>;</w:t>
            </w:r>
          </w:p>
          <w:p w14:paraId="3F14A67F"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 „inspecții comune” – activități de control desfășurate pe teritoriul Republicii Moldova ori, după caz, pe teritoriul unui </w:t>
            </w:r>
            <w:r>
              <w:rPr>
                <w:rFonts w:ascii="Times New Roman" w:eastAsia="Times New Roman" w:hAnsi="Times New Roman" w:cs="Times New Roman"/>
                <w:b/>
                <w:bCs/>
                <w:highlight w:val="white"/>
              </w:rPr>
              <w:t>stat membru al Uniunii Europene</w:t>
            </w:r>
            <w:r>
              <w:rPr>
                <w:rFonts w:ascii="Times New Roman" w:eastAsia="Times New Roman" w:hAnsi="Times New Roman" w:cs="Times New Roman"/>
                <w:highlight w:val="white"/>
              </w:rPr>
              <w:t xml:space="preserve">, cu participarea autorităților competente ale unuia sau mai multor </w:t>
            </w:r>
            <w:r>
              <w:rPr>
                <w:rFonts w:ascii="Times New Roman" w:eastAsia="Times New Roman" w:hAnsi="Times New Roman" w:cs="Times New Roman"/>
                <w:b/>
                <w:bCs/>
                <w:highlight w:val="white"/>
              </w:rPr>
              <w:t>state membre ale Uniunii Europene</w:t>
            </w:r>
            <w:r>
              <w:rPr>
                <w:rFonts w:ascii="Times New Roman" w:eastAsia="Times New Roman" w:hAnsi="Times New Roman" w:cs="Times New Roman"/>
                <w:highlight w:val="white"/>
              </w:rPr>
              <w:t xml:space="preserve">, fiecare autoritate operând în limitele propriei jurisdicții, cu asistența, după caz, a personalului Autorității Europene a Muncii, în condițiile </w:t>
            </w:r>
            <w:r>
              <w:rPr>
                <w:rFonts w:ascii="Times New Roman" w:eastAsia="Times New Roman" w:hAnsi="Times New Roman" w:cs="Times New Roman"/>
                <w:b/>
                <w:bCs/>
                <w:highlight w:val="white"/>
              </w:rPr>
              <w:t>acordurilor de cooperare interinstituțională încheiate de Inspectoratul de Stat al Muncii</w:t>
            </w:r>
            <w:r>
              <w:rPr>
                <w:rFonts w:ascii="Times New Roman" w:eastAsia="Times New Roman" w:hAnsi="Times New Roman" w:cs="Times New Roman"/>
                <w:highlight w:val="white"/>
              </w:rPr>
              <w:t>.</w:t>
            </w:r>
          </w:p>
          <w:p w14:paraId="16442D95"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13/3 alin. (2) vor avea următoarea redacție:</w:t>
            </w:r>
          </w:p>
          <w:p w14:paraId="50955FA1"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13/3 alin. (2):</w:t>
            </w:r>
          </w:p>
          <w:p w14:paraId="0D828DAA"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Inspectorii desemnați de Autoritatea Europeană a Muncii ori de autoritățile competente ale </w:t>
            </w:r>
            <w:r>
              <w:rPr>
                <w:rFonts w:ascii="Times New Roman" w:eastAsia="Times New Roman" w:hAnsi="Times New Roman" w:cs="Times New Roman"/>
                <w:b/>
                <w:bCs/>
                <w:highlight w:val="white"/>
              </w:rPr>
              <w:t>statelor membre ale Uniunii Europene</w:t>
            </w:r>
            <w:r>
              <w:rPr>
                <w:rFonts w:ascii="Times New Roman" w:eastAsia="Times New Roman" w:hAnsi="Times New Roman" w:cs="Times New Roman"/>
                <w:highlight w:val="white"/>
              </w:rPr>
              <w:t xml:space="preserve"> care participă la inspecțiile comune și concertate pe teritoriul Republicii Moldova au statut de observatori sau experți. Aceștia nu exercită atribuții de prerogativă publică, nu dispun măsuri obligatorii și nu aplică sancțiuni. Accesul acestora la locurile de muncă, documente și informații se asigură numai prin intermediul și sub coordonarea inspectorilor Inspectoratului de Stat al Muncii, în condițiile legii și ale </w:t>
            </w:r>
            <w:r>
              <w:rPr>
                <w:rFonts w:ascii="Times New Roman" w:eastAsia="Times New Roman" w:hAnsi="Times New Roman" w:cs="Times New Roman"/>
                <w:b/>
                <w:bCs/>
                <w:highlight w:val="white"/>
              </w:rPr>
              <w:t xml:space="preserve">acordurilor de </w:t>
            </w:r>
            <w:r>
              <w:rPr>
                <w:rFonts w:ascii="Times New Roman" w:eastAsia="Times New Roman" w:hAnsi="Times New Roman" w:cs="Times New Roman"/>
                <w:b/>
                <w:bCs/>
                <w:highlight w:val="white"/>
              </w:rPr>
              <w:lastRenderedPageBreak/>
              <w:t>cooperare interinstituțională încheiate de Inspectoratul de Stat al Muncii</w:t>
            </w:r>
            <w:r>
              <w:rPr>
                <w:rFonts w:ascii="Times New Roman" w:eastAsia="Times New Roman" w:hAnsi="Times New Roman" w:cs="Times New Roman"/>
                <w:highlight w:val="white"/>
              </w:rPr>
              <w:t>.</w:t>
            </w:r>
          </w:p>
        </w:tc>
      </w:tr>
      <w:tr w:rsidR="0091081E" w14:paraId="43AAB989" w14:textId="77777777">
        <w:trPr>
          <w:trHeight w:val="375"/>
        </w:trPr>
        <w:tc>
          <w:tcPr>
            <w:tcW w:w="555" w:type="dxa"/>
            <w:vMerge/>
          </w:tcPr>
          <w:p w14:paraId="557223FE" w14:textId="77777777" w:rsidR="0091081E" w:rsidRDefault="0091081E">
            <w:pPr>
              <w:widowControl w:val="0"/>
              <w:rPr>
                <w:rFonts w:ascii="Times New Roman" w:eastAsia="Times New Roman" w:hAnsi="Times New Roman" w:cs="Times New Roman"/>
                <w:highlight w:val="white"/>
              </w:rPr>
            </w:pPr>
          </w:p>
        </w:tc>
        <w:tc>
          <w:tcPr>
            <w:tcW w:w="2700" w:type="dxa"/>
            <w:vMerge/>
          </w:tcPr>
          <w:p w14:paraId="16DB9A72"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tcBorders>
          </w:tcPr>
          <w:p w14:paraId="01C0D2B9"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 23</w:t>
            </w:r>
            <w:r>
              <w:rPr>
                <w:rFonts w:ascii="Times New Roman" w:eastAsia="Times New Roman" w:hAnsi="Times New Roman" w:cs="Times New Roman"/>
                <w:highlight w:val="white"/>
                <w:vertAlign w:val="superscript"/>
              </w:rPr>
              <w:t>3</w:t>
            </w:r>
            <w:r>
              <w:rPr>
                <w:rFonts w:ascii="Times New Roman" w:eastAsia="Times New Roman" w:hAnsi="Times New Roman" w:cs="Times New Roman"/>
                <w:highlight w:val="white"/>
              </w:rPr>
              <w:t xml:space="preserve"> , alin. (2), introdus prin art. III, pct. 9 din proiectul de Lege, se recomandă ca denumirea „Comitetul consultativ pentru securitate și sănătate la locul de muncă” să fie redată corect conform art. 16 din Legea </w:t>
            </w:r>
            <w:proofErr w:type="spellStart"/>
            <w:r>
              <w:rPr>
                <w:rFonts w:ascii="Times New Roman" w:eastAsia="Times New Roman" w:hAnsi="Times New Roman" w:cs="Times New Roman"/>
                <w:highlight w:val="white"/>
              </w:rPr>
              <w:t>securităţii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sănătăţii</w:t>
            </w:r>
            <w:proofErr w:type="spellEnd"/>
            <w:r>
              <w:rPr>
                <w:rFonts w:ascii="Times New Roman" w:eastAsia="Times New Roman" w:hAnsi="Times New Roman" w:cs="Times New Roman"/>
                <w:highlight w:val="white"/>
              </w:rPr>
              <w:t xml:space="preserve"> în muncă nr. 186/2008.</w:t>
            </w:r>
          </w:p>
        </w:tc>
        <w:tc>
          <w:tcPr>
            <w:tcW w:w="5880" w:type="dxa"/>
            <w:tcBorders>
              <w:top w:val="single" w:sz="4" w:space="0" w:color="000000"/>
            </w:tcBorders>
          </w:tcPr>
          <w:p w14:paraId="5D60A55F"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5FB5271F"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proiect la articolul 23</w:t>
            </w:r>
            <w:r>
              <w:rPr>
                <w:rFonts w:ascii="Times New Roman" w:eastAsia="Times New Roman" w:hAnsi="Times New Roman" w:cs="Times New Roman"/>
                <w:highlight w:val="white"/>
                <w:vertAlign w:val="superscript"/>
              </w:rPr>
              <w:t>3</w:t>
            </w:r>
            <w:r>
              <w:rPr>
                <w:rFonts w:ascii="Times New Roman" w:eastAsia="Times New Roman" w:hAnsi="Times New Roman" w:cs="Times New Roman"/>
                <w:highlight w:val="white"/>
              </w:rPr>
              <w:t xml:space="preserve"> , alin. (2) este specificat Comitetului consultativ pentru securitate și sănătate la locul de muncă, creat prin  Decizia Consiliului din 22 iulie 2003 (2003/C 218/01).</w:t>
            </w:r>
          </w:p>
        </w:tc>
      </w:tr>
      <w:tr w:rsidR="0091081E" w14:paraId="6F3FF1D8" w14:textId="77777777">
        <w:trPr>
          <w:trHeight w:val="350"/>
        </w:trPr>
        <w:tc>
          <w:tcPr>
            <w:tcW w:w="555" w:type="dxa"/>
            <w:vMerge w:val="restart"/>
          </w:tcPr>
          <w:p w14:paraId="079C9E7B" w14:textId="77777777" w:rsidR="0091081E" w:rsidRDefault="0091081E">
            <w:pPr>
              <w:numPr>
                <w:ilvl w:val="0"/>
                <w:numId w:val="4"/>
              </w:numPr>
              <w:spacing w:line="240" w:lineRule="auto"/>
              <w:ind w:hanging="338"/>
              <w:rPr>
                <w:rFonts w:ascii="Times New Roman" w:eastAsia="Times New Roman" w:hAnsi="Times New Roman" w:cs="Times New Roman"/>
                <w:b/>
                <w:bCs/>
              </w:rPr>
            </w:pPr>
          </w:p>
        </w:tc>
        <w:tc>
          <w:tcPr>
            <w:tcW w:w="2700" w:type="dxa"/>
            <w:vMerge w:val="restart"/>
          </w:tcPr>
          <w:p w14:paraId="1E7882C4"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Ministerul Afacerilor Interne </w:t>
            </w:r>
          </w:p>
          <w:p w14:paraId="103D67E2"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Nr. 42/1019 </w:t>
            </w:r>
          </w:p>
          <w:p w14:paraId="1EC6F1F1"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16.03.2026</w:t>
            </w:r>
          </w:p>
          <w:p w14:paraId="513C5DCD"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13E7649B"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Pe parcursul întregului proiect autorul face trimitere la legea privind detașarea salariaților în cadrul prestării de servicii transnaționale. </w:t>
            </w:r>
          </w:p>
          <w:p w14:paraId="2F0B4DB3"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acest context, se menționează că actul normativ respectiv se află, în prezent, la nivel de proiect și este în procedură de consultare publică, motiv pentru care trimiterea la un act normativ care nu este încă adoptat și nu a intrat în vigoare nu poate fi considerată oportună. Prin urmare, acest aspect este necesar de a fi luat în considerare la promovarea proiectului.</w:t>
            </w:r>
          </w:p>
        </w:tc>
        <w:tc>
          <w:tcPr>
            <w:tcW w:w="5880" w:type="dxa"/>
            <w:tcBorders>
              <w:bottom w:val="single" w:sz="4" w:space="0" w:color="000000"/>
            </w:tcBorders>
          </w:tcPr>
          <w:p w14:paraId="5FB09920"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14EF5D4F"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Potrivit art. 3 alin. (4) lit. a) din Legea nr. 100/2017, actul normativ trebuie să se integreze organic în cadrul normativ în vigoare, scop în care proiectul actului normativ trebuie corelat cu prevederile actelor normative de nivel superior sau de </w:t>
            </w:r>
            <w:proofErr w:type="spellStart"/>
            <w:r>
              <w:rPr>
                <w:rFonts w:ascii="Times New Roman" w:eastAsia="Times New Roman" w:hAnsi="Times New Roman" w:cs="Times New Roman"/>
                <w:highlight w:val="white"/>
              </w:rPr>
              <w:t>acelaşi</w:t>
            </w:r>
            <w:proofErr w:type="spellEnd"/>
            <w:r>
              <w:rPr>
                <w:rFonts w:ascii="Times New Roman" w:eastAsia="Times New Roman" w:hAnsi="Times New Roman" w:cs="Times New Roman"/>
                <w:highlight w:val="white"/>
              </w:rPr>
              <w:t xml:space="preserve"> nivel cu care se află în conexiune.</w:t>
            </w:r>
          </w:p>
          <w:p w14:paraId="3DDB5CC4"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2382A678"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acest sens, comunicăm că se va monitoriza parcursul legislativ al proiectului vizat pentru a asigura o integrare armonioasă în cadrul normativ.</w:t>
            </w:r>
          </w:p>
          <w:p w14:paraId="66390635"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34B01D6F"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Intrarea în vigoare a articolelor din proiect ce vizează prevederi referitoare la detașarea lucrătorilor în cadrul prestării de servicii transnaționale urmează fi sincronizată cu data intrării în vigoare a Legii privind detașarea lucrătorilor în cadrul prestării de servicii.</w:t>
            </w:r>
          </w:p>
          <w:p w14:paraId="636600A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5B3475B0"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Astfel, potrivit art. 61 alin. (1) din proiectul de Lege privind detașarea lucrătorilor în cadrul prestării de servicii (NU184/MMPS/2026), </w:t>
            </w:r>
            <w:r>
              <w:rPr>
                <w:rFonts w:ascii="Times New Roman" w:eastAsia="Times New Roman" w:hAnsi="Times New Roman" w:cs="Times New Roman"/>
              </w:rPr>
              <w:t>prezenta lege intră în vigoare la data aderării Republicii Moldova la Uniunea Europeană.</w:t>
            </w:r>
            <w:r>
              <w:rPr>
                <w:rFonts w:ascii="Times New Roman" w:eastAsia="Times New Roman" w:hAnsi="Times New Roman" w:cs="Times New Roman"/>
                <w:highlight w:val="white"/>
              </w:rPr>
              <w:t xml:space="preserve"> </w:t>
            </w:r>
          </w:p>
          <w:p w14:paraId="0693CB6A"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Aceeași situație se regăsește și în cazul prevederilor din proiectul supus avizării, referitoare la detașarea lucrătorilor în cadrul prestării de servicii, care vor intra, de asemenea, în vigoare la data aderării Republicii Moldova la Uniunea Europeană.  </w:t>
            </w:r>
          </w:p>
          <w:p w14:paraId="6EEF594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tc>
      </w:tr>
      <w:tr w:rsidR="0091081E" w14:paraId="1498DA6B" w14:textId="77777777">
        <w:trPr>
          <w:trHeight w:val="405"/>
        </w:trPr>
        <w:tc>
          <w:tcPr>
            <w:tcW w:w="555" w:type="dxa"/>
            <w:vMerge/>
          </w:tcPr>
          <w:p w14:paraId="032DE694" w14:textId="77777777" w:rsidR="0091081E" w:rsidRDefault="0091081E">
            <w:pPr>
              <w:widowControl w:val="0"/>
              <w:rPr>
                <w:rFonts w:ascii="Times New Roman" w:eastAsia="Times New Roman" w:hAnsi="Times New Roman" w:cs="Times New Roman"/>
                <w:highlight w:val="white"/>
              </w:rPr>
            </w:pPr>
          </w:p>
        </w:tc>
        <w:tc>
          <w:tcPr>
            <w:tcW w:w="2700" w:type="dxa"/>
            <w:vMerge/>
          </w:tcPr>
          <w:p w14:paraId="12F38007"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2283523B"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La art. I: 1.1. La pct. 3, autorul completează art. 13 cu alin. (2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 ce va reglementa că rapoartele vor conține și capitole prevăzute la articolul 23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din Legea nr. 186/2008 securității și sănătății în muncă. </w:t>
            </w:r>
          </w:p>
          <w:p w14:paraId="22F66911"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aceste condiții, se optează pentru trimiterea expresă la alineatul și litera din articol care prevăd acele capitole ce urmează să le conțină raportul anual privind activitatea Inspectoratului de Stat al Muncii.</w:t>
            </w:r>
          </w:p>
        </w:tc>
        <w:tc>
          <w:tcPr>
            <w:tcW w:w="5880" w:type="dxa"/>
            <w:tcBorders>
              <w:top w:val="single" w:sz="4" w:space="0" w:color="000000"/>
              <w:bottom w:val="single" w:sz="4" w:space="0" w:color="000000"/>
            </w:tcBorders>
          </w:tcPr>
          <w:p w14:paraId="62297D87"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6CC18167"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Prin Art. III din prezentul proiect se modifică Legea nr. 186/2008 securității și sănătății în muncă. Legea în cauză se completează cu articolul 23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Acest articol prevede raportarea aplicării  acestei legi și a </w:t>
            </w:r>
            <w:r>
              <w:rPr>
                <w:rFonts w:ascii="Times New Roman" w:eastAsia="Times New Roman" w:hAnsi="Times New Roman" w:cs="Times New Roman"/>
                <w:b/>
                <w:bCs/>
                <w:highlight w:val="white"/>
              </w:rPr>
              <w:t>actelor normative naționale care transpun directivele speciale adoptate în temeiul acesteia</w:t>
            </w:r>
            <w:r>
              <w:rPr>
                <w:rFonts w:ascii="Times New Roman" w:eastAsia="Times New Roman" w:hAnsi="Times New Roman" w:cs="Times New Roman"/>
                <w:highlight w:val="white"/>
              </w:rPr>
              <w:t>.</w:t>
            </w:r>
          </w:p>
          <w:p w14:paraId="568E32B2"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temeiul acestui articol ISM va raporta despre aplicarea Legii 186/2008 și actelor normative naționale care transpun directivele speciale.</w:t>
            </w:r>
          </w:p>
          <w:p w14:paraId="283BAE42"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Mai menționăm că art.  23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alin. (1) specifică cu suficientă claritate că se va transmite Comisiei Europene un raport unic privind punerea în aplicare a legii în cauză </w:t>
            </w:r>
            <w:r>
              <w:rPr>
                <w:rFonts w:ascii="Times New Roman" w:eastAsia="Times New Roman" w:hAnsi="Times New Roman" w:cs="Times New Roman"/>
                <w:b/>
                <w:bCs/>
                <w:highlight w:val="white"/>
              </w:rPr>
              <w:t>și a actelor normative naționale care transpun directivele speciale adoptate în temeiul acesteia</w:t>
            </w:r>
            <w:r>
              <w:rPr>
                <w:rFonts w:ascii="Times New Roman" w:eastAsia="Times New Roman" w:hAnsi="Times New Roman" w:cs="Times New Roman"/>
                <w:highlight w:val="white"/>
              </w:rPr>
              <w:t xml:space="preserve">.  </w:t>
            </w:r>
          </w:p>
        </w:tc>
      </w:tr>
      <w:tr w:rsidR="0091081E" w14:paraId="40E7D17A" w14:textId="77777777">
        <w:trPr>
          <w:trHeight w:val="285"/>
        </w:trPr>
        <w:tc>
          <w:tcPr>
            <w:tcW w:w="555" w:type="dxa"/>
            <w:vMerge/>
          </w:tcPr>
          <w:p w14:paraId="46FFF670" w14:textId="77777777" w:rsidR="0091081E" w:rsidRDefault="0091081E">
            <w:pPr>
              <w:widowControl w:val="0"/>
              <w:rPr>
                <w:rFonts w:ascii="Times New Roman" w:eastAsia="Times New Roman" w:hAnsi="Times New Roman" w:cs="Times New Roman"/>
                <w:highlight w:val="white"/>
              </w:rPr>
            </w:pPr>
          </w:p>
        </w:tc>
        <w:tc>
          <w:tcPr>
            <w:tcW w:w="2700" w:type="dxa"/>
            <w:vMerge/>
          </w:tcPr>
          <w:p w14:paraId="649E1009"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1EDA11F2"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1.2. Cu privire la pct. 4, la art. 13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alin. (4) autorul stabilește două definiții care urmează a fi utilizate în cadrul actului normativ. La acest subiect este de menționat că în cadrul Legii nr. 140/2001 privind Inspectoratul de Stat al Muncii este reglementat art. 11 intitulat „Noțiuni”, motiv pentru care este oportună reglementarea noțiunilor propuse în proiect la prezentul articol, astfel fiind respectată o coerență a normelor în cadrul actului.</w:t>
            </w:r>
          </w:p>
        </w:tc>
        <w:tc>
          <w:tcPr>
            <w:tcW w:w="5880" w:type="dxa"/>
            <w:tcBorders>
              <w:top w:val="single" w:sz="4" w:space="0" w:color="000000"/>
              <w:bottom w:val="single" w:sz="4" w:space="0" w:color="000000"/>
            </w:tcBorders>
          </w:tcPr>
          <w:p w14:paraId="2EEF413D"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2BA69036"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Noțiunile de la art. 13/2 alin. (4) vor fi incluse la art. 1/1 al Legii nr. 140/2001. Iar art. 13/2 alin. (4) va fi exclus. </w:t>
            </w:r>
          </w:p>
          <w:p w14:paraId="2FF7334C"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Articolul 1/1 se completează cu </w:t>
            </w:r>
            <w:proofErr w:type="spellStart"/>
            <w:r>
              <w:rPr>
                <w:rFonts w:ascii="Times New Roman" w:eastAsia="Times New Roman" w:hAnsi="Times New Roman" w:cs="Times New Roman"/>
                <w:highlight w:val="white"/>
              </w:rPr>
              <w:t>cu</w:t>
            </w:r>
            <w:proofErr w:type="spellEnd"/>
            <w:r>
              <w:rPr>
                <w:rFonts w:ascii="Times New Roman" w:eastAsia="Times New Roman" w:hAnsi="Times New Roman" w:cs="Times New Roman"/>
                <w:highlight w:val="white"/>
              </w:rPr>
              <w:t xml:space="preserve"> următorul text:</w:t>
            </w:r>
          </w:p>
          <w:p w14:paraId="3977AF9E"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sensul prezentei legi, următoarele </w:t>
            </w:r>
            <w:proofErr w:type="spellStart"/>
            <w:r>
              <w:rPr>
                <w:rFonts w:ascii="Times New Roman" w:eastAsia="Times New Roman" w:hAnsi="Times New Roman" w:cs="Times New Roman"/>
                <w:highlight w:val="white"/>
              </w:rPr>
              <w:t>noţiuni</w:t>
            </w:r>
            <w:proofErr w:type="spellEnd"/>
            <w:r>
              <w:rPr>
                <w:rFonts w:ascii="Times New Roman" w:eastAsia="Times New Roman" w:hAnsi="Times New Roman" w:cs="Times New Roman"/>
                <w:highlight w:val="white"/>
              </w:rPr>
              <w:t xml:space="preserve"> principale semnifică:</w:t>
            </w:r>
          </w:p>
          <w:p w14:paraId="3F992567"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„inspecții concertate” – activități de control desfășurate simultan în Republica Moldova și în unul sau mai multe state membre ale Uniunii Europene, privind cazuri conexe, fiecare autoritate competentă operând în propria jurisdicție, cu asistența, după caz, a personalului Autorității Europene a Muncii, în condițiile acordurilor de cooperare interinstituțională încheiate de Inspectoratul de Stat al Muncii;</w:t>
            </w:r>
          </w:p>
          <w:p w14:paraId="713CB48F"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 „inspecții comune” – activități de control desfășurate pe teritoriul Republicii Moldova ori, după caz, pe teritoriul unui stat membru al Uniunii Europene, cu participarea autorităților </w:t>
            </w:r>
            <w:r>
              <w:rPr>
                <w:rFonts w:ascii="Times New Roman" w:eastAsia="Times New Roman" w:hAnsi="Times New Roman" w:cs="Times New Roman"/>
                <w:highlight w:val="white"/>
              </w:rPr>
              <w:lastRenderedPageBreak/>
              <w:t>competente ale unuia sau mai multor state membre ale Uniunii Europene, fiecare autoritate operând în limitele propriei jurisdicții, cu asistența, după caz, a personalului Autorității Europene a Muncii, în condițiile acordurilor de cooperare interinstituțională încheiate de Inspectoratul de Stat al Muncii.</w:t>
            </w:r>
          </w:p>
        </w:tc>
      </w:tr>
      <w:tr w:rsidR="0091081E" w14:paraId="5FEB3319" w14:textId="77777777">
        <w:trPr>
          <w:trHeight w:val="3330"/>
        </w:trPr>
        <w:tc>
          <w:tcPr>
            <w:tcW w:w="555" w:type="dxa"/>
            <w:vMerge/>
          </w:tcPr>
          <w:p w14:paraId="185C1528" w14:textId="77777777" w:rsidR="0091081E" w:rsidRDefault="0091081E">
            <w:pPr>
              <w:widowControl w:val="0"/>
              <w:rPr>
                <w:rFonts w:ascii="Times New Roman" w:eastAsia="Times New Roman" w:hAnsi="Times New Roman" w:cs="Times New Roman"/>
                <w:highlight w:val="white"/>
              </w:rPr>
            </w:pPr>
          </w:p>
        </w:tc>
        <w:tc>
          <w:tcPr>
            <w:tcW w:w="2700" w:type="dxa"/>
            <w:vMerge/>
          </w:tcPr>
          <w:p w14:paraId="1FA45F39"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7FE5D051"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La art. II, în vederea uniformizării cadrului normativ se consideră oportun a revedea noțiune de ,,dispensă” prin prisma noțiunii de ,,femeie gravidă” prevăzută de art. 1 din Codul muncii, or, cadrul normativ actual utilizează noțiunea de femeie gravidă. </w:t>
            </w:r>
          </w:p>
          <w:p w14:paraId="2E759FA0"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context, potrivit noțiunii propuse spre completare, salariatele gravide urmează a fi scutite temporar de la </w:t>
            </w:r>
            <w:proofErr w:type="spellStart"/>
            <w:r>
              <w:rPr>
                <w:rFonts w:ascii="Times New Roman" w:eastAsia="Times New Roman" w:hAnsi="Times New Roman" w:cs="Times New Roman"/>
                <w:highlight w:val="white"/>
              </w:rPr>
              <w:t>indeplinirea</w:t>
            </w:r>
            <w:proofErr w:type="spellEnd"/>
            <w:r>
              <w:rPr>
                <w:rFonts w:ascii="Times New Roman" w:eastAsia="Times New Roman" w:hAnsi="Times New Roman" w:cs="Times New Roman"/>
                <w:highlight w:val="white"/>
              </w:rPr>
              <w:t xml:space="preserve"> obligațiilor de muncă, fără afectarea drepturilor salariale.</w:t>
            </w:r>
          </w:p>
          <w:p w14:paraId="71797BB0" w14:textId="77777777" w:rsidR="0091081E" w:rsidRDefault="0091081E">
            <w:pPr>
              <w:spacing w:line="240" w:lineRule="auto"/>
              <w:jc w:val="both"/>
              <w:rPr>
                <w:rFonts w:ascii="Times New Roman" w:eastAsia="Times New Roman" w:hAnsi="Times New Roman" w:cs="Times New Roman"/>
                <w:highlight w:val="white"/>
              </w:rPr>
            </w:pPr>
          </w:p>
          <w:p w14:paraId="5C8B027A"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propunerile pentru art. 247</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stabilesc în alin. (2) că pe durata dispenselor, salariatelor gravide li se menține salariul mediu de la locul de muncă. Astfel, se propune a revedea suplimentar prevederile alin. (2) al art. 247</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din proiect, astfel încât să fie exclusă orice interpretare.</w:t>
            </w:r>
          </w:p>
        </w:tc>
        <w:tc>
          <w:tcPr>
            <w:tcW w:w="5880" w:type="dxa"/>
            <w:tcBorders>
              <w:top w:val="single" w:sz="4" w:space="0" w:color="000000"/>
              <w:bottom w:val="single" w:sz="4" w:space="0" w:color="000000"/>
            </w:tcBorders>
          </w:tcPr>
          <w:p w14:paraId="5BEADFC1"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5C96DC5B"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1 va avea următoarea redacție:</w:t>
            </w:r>
          </w:p>
          <w:p w14:paraId="229088D2"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w:t>
            </w:r>
            <w:r>
              <w:rPr>
                <w:rFonts w:ascii="Times New Roman" w:eastAsia="Times New Roman" w:hAnsi="Times New Roman" w:cs="Times New Roman"/>
                <w:i/>
                <w:iCs/>
                <w:highlight w:val="white"/>
              </w:rPr>
              <w:t>dispensă</w:t>
            </w:r>
            <w:r>
              <w:rPr>
                <w:rFonts w:ascii="Times New Roman" w:eastAsia="Times New Roman" w:hAnsi="Times New Roman" w:cs="Times New Roman"/>
                <w:highlight w:val="white"/>
              </w:rPr>
              <w:t xml:space="preserve"> - scutirea temporară de la îndeplinirea obligațiilor de muncă a </w:t>
            </w:r>
            <w:r>
              <w:rPr>
                <w:rFonts w:ascii="Times New Roman" w:eastAsia="Times New Roman" w:hAnsi="Times New Roman" w:cs="Times New Roman"/>
                <w:b/>
                <w:bCs/>
                <w:highlight w:val="white"/>
              </w:rPr>
              <w:t>femeilor gravide</w:t>
            </w:r>
            <w:r>
              <w:rPr>
                <w:rFonts w:ascii="Times New Roman" w:eastAsia="Times New Roman" w:hAnsi="Times New Roman" w:cs="Times New Roman"/>
                <w:highlight w:val="white"/>
              </w:rPr>
              <w:t xml:space="preserve"> pentru timpul necesar efectuării consultației prenatale, fără afectarea drepturilor salariale.”</w:t>
            </w:r>
          </w:p>
          <w:p w14:paraId="1DDD9A2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596EECE2"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Norma a fost ajustată în sensul includerii noțiunii de ,,femeie gravidă”.</w:t>
            </w:r>
          </w:p>
          <w:p w14:paraId="0F826E79"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De asemenea, nu există un risc real de interpretare contradictorie între definirea dispensei ca scutire temporară de la îndeplinirea obligațiilor de muncă fără afectarea drepturilor salariale și prevederea de la art. 247</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alin. (2), care precizează expres că pe durata dispenselor se menține salariul mediu de la locul de muncă.</w:t>
            </w:r>
          </w:p>
          <w:p w14:paraId="19D4DFAB"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16955015" w14:textId="77777777" w:rsidR="0091081E" w:rsidRDefault="0091081E">
            <w:pPr>
              <w:spacing w:line="240" w:lineRule="auto"/>
              <w:jc w:val="both"/>
              <w:rPr>
                <w:rFonts w:ascii="Times New Roman" w:eastAsia="Times New Roman" w:hAnsi="Times New Roman" w:cs="Times New Roman"/>
                <w:b/>
                <w:bCs/>
                <w:sz w:val="18"/>
                <w:szCs w:val="18"/>
                <w:highlight w:val="yellow"/>
              </w:rPr>
            </w:pPr>
          </w:p>
          <w:p w14:paraId="792DE881" w14:textId="77777777" w:rsidR="0091081E" w:rsidRDefault="0091081E">
            <w:pPr>
              <w:spacing w:line="240" w:lineRule="auto"/>
              <w:ind w:firstLine="705"/>
              <w:jc w:val="both"/>
              <w:rPr>
                <w:rFonts w:ascii="Times New Roman" w:eastAsia="Times New Roman" w:hAnsi="Times New Roman" w:cs="Times New Roman"/>
                <w:highlight w:val="white"/>
              </w:rPr>
            </w:pPr>
          </w:p>
          <w:p w14:paraId="713D8383" w14:textId="77777777" w:rsidR="0091081E" w:rsidRDefault="0091081E">
            <w:pPr>
              <w:spacing w:line="240" w:lineRule="auto"/>
              <w:ind w:firstLine="705"/>
              <w:jc w:val="both"/>
              <w:rPr>
                <w:rFonts w:ascii="Times New Roman" w:eastAsia="Times New Roman" w:hAnsi="Times New Roman" w:cs="Times New Roman"/>
                <w:b/>
                <w:bCs/>
                <w:highlight w:val="white"/>
              </w:rPr>
            </w:pPr>
          </w:p>
        </w:tc>
      </w:tr>
      <w:tr w:rsidR="0091081E" w14:paraId="207516F9" w14:textId="77777777">
        <w:trPr>
          <w:trHeight w:val="360"/>
        </w:trPr>
        <w:tc>
          <w:tcPr>
            <w:tcW w:w="555" w:type="dxa"/>
            <w:vMerge/>
          </w:tcPr>
          <w:p w14:paraId="5D141F52" w14:textId="77777777" w:rsidR="0091081E" w:rsidRDefault="0091081E">
            <w:pPr>
              <w:widowControl w:val="0"/>
              <w:rPr>
                <w:rFonts w:ascii="Times New Roman" w:eastAsia="Times New Roman" w:hAnsi="Times New Roman" w:cs="Times New Roman"/>
                <w:highlight w:val="white"/>
              </w:rPr>
            </w:pPr>
          </w:p>
        </w:tc>
        <w:tc>
          <w:tcPr>
            <w:tcW w:w="2700" w:type="dxa"/>
            <w:vMerge/>
          </w:tcPr>
          <w:p w14:paraId="68027370"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41138A0C"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3. La art. III, din cadrul mai multor articole din Legea securității și sănătății în muncă nr. 186/2008, se propune excluderea cuvântului „profesionale”, acesta </w:t>
            </w:r>
            <w:proofErr w:type="spellStart"/>
            <w:r>
              <w:rPr>
                <w:rFonts w:ascii="Times New Roman" w:eastAsia="Times New Roman" w:hAnsi="Times New Roman" w:cs="Times New Roman"/>
                <w:highlight w:val="white"/>
              </w:rPr>
              <w:t>referindu-se</w:t>
            </w:r>
            <w:proofErr w:type="spellEnd"/>
            <w:r>
              <w:rPr>
                <w:rFonts w:ascii="Times New Roman" w:eastAsia="Times New Roman" w:hAnsi="Times New Roman" w:cs="Times New Roman"/>
                <w:highlight w:val="white"/>
              </w:rPr>
              <w:t xml:space="preserve"> la sintagma „riscurile profesionale”. </w:t>
            </w:r>
          </w:p>
          <w:p w14:paraId="25A3B997"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acest context, se atrage atenție la faptul că în nota de fundamentare, autorul menționează că reglementarea națională nu reflectă în mod expres aplicarea principiilor generale de prevenire asupra tuturor riscurilor pentru securitatea și sănătatea lucrătorilor la locul de muncă, fiind utilizată o terminologie susceptibilă de a restrânge domeniul de aplicare la riscuri de natură profesională. </w:t>
            </w:r>
          </w:p>
          <w:p w14:paraId="1513976C" w14:textId="77777777" w:rsidR="0091081E" w:rsidRDefault="0091081E">
            <w:pPr>
              <w:spacing w:line="240" w:lineRule="auto"/>
              <w:jc w:val="both"/>
              <w:rPr>
                <w:rFonts w:ascii="Times New Roman" w:eastAsia="Times New Roman" w:hAnsi="Times New Roman" w:cs="Times New Roman"/>
                <w:highlight w:val="white"/>
              </w:rPr>
            </w:pPr>
          </w:p>
          <w:p w14:paraId="2BA4BB3D"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Analizând acest aspect, se conchide că eliminarea acestui atribut lasă loc unei interpretări majore care ar putea include riscuri din afara competențelor de control ale angajatorului (ex: riscuri sociale sau de mediu general), generând incertitudine în evaluarea riscurilor la locul de muncă. </w:t>
            </w:r>
          </w:p>
          <w:p w14:paraId="69AFE50E"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Drept urmare, se consideră necesară examinarea oportunității excluderii sau neexcluderii acestui cuvânt din textul legii și anticipării eventualelor efecte/urmări ale acestei modificări. </w:t>
            </w:r>
          </w:p>
          <w:p w14:paraId="1BF33862" w14:textId="77777777" w:rsidR="0091081E" w:rsidRDefault="0091081E">
            <w:pPr>
              <w:spacing w:line="240" w:lineRule="auto"/>
              <w:jc w:val="both"/>
              <w:rPr>
                <w:rFonts w:ascii="Times New Roman" w:eastAsia="Times New Roman" w:hAnsi="Times New Roman" w:cs="Times New Roman"/>
                <w:highlight w:val="white"/>
              </w:rPr>
            </w:pPr>
          </w:p>
          <w:p w14:paraId="5CC6C976"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 pct. 9, se recomandă ca denumirea „Comitetul consultativ pentru securitate și sănătate la locul de muncă” să fie redată în conformitate cu art. 16 din Legea </w:t>
            </w:r>
            <w:proofErr w:type="spellStart"/>
            <w:r>
              <w:rPr>
                <w:rFonts w:ascii="Times New Roman" w:eastAsia="Times New Roman" w:hAnsi="Times New Roman" w:cs="Times New Roman"/>
                <w:highlight w:val="white"/>
              </w:rPr>
              <w:t>securităţii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sănătăţii</w:t>
            </w:r>
            <w:proofErr w:type="spellEnd"/>
            <w:r>
              <w:rPr>
                <w:rFonts w:ascii="Times New Roman" w:eastAsia="Times New Roman" w:hAnsi="Times New Roman" w:cs="Times New Roman"/>
                <w:highlight w:val="white"/>
              </w:rPr>
              <w:t xml:space="preserve"> în muncă nr. 186/2008. </w:t>
            </w:r>
          </w:p>
          <w:p w14:paraId="512BA71B" w14:textId="77777777" w:rsidR="0091081E" w:rsidRDefault="0091081E">
            <w:pPr>
              <w:spacing w:line="240" w:lineRule="auto"/>
              <w:jc w:val="both"/>
              <w:rPr>
                <w:rFonts w:ascii="Times New Roman" w:eastAsia="Times New Roman" w:hAnsi="Times New Roman" w:cs="Times New Roman"/>
                <w:highlight w:val="white"/>
              </w:rPr>
            </w:pPr>
          </w:p>
          <w:p w14:paraId="12B69E96" w14:textId="77777777" w:rsidR="0091081E" w:rsidRDefault="00000000">
            <w:pPr>
              <w:spacing w:line="240" w:lineRule="auto"/>
              <w:jc w:val="both"/>
              <w:rPr>
                <w:rFonts w:ascii="Times New Roman" w:eastAsia="Times New Roman" w:hAnsi="Times New Roman" w:cs="Times New Roman"/>
                <w:highlight w:val="white"/>
              </w:rPr>
            </w:pPr>
            <w:proofErr w:type="spellStart"/>
            <w:r>
              <w:rPr>
                <w:rFonts w:ascii="Times New Roman" w:eastAsia="Times New Roman" w:hAnsi="Times New Roman" w:cs="Times New Roman"/>
                <w:highlight w:val="white"/>
              </w:rPr>
              <w:t>Avînd</w:t>
            </w:r>
            <w:proofErr w:type="spellEnd"/>
            <w:r>
              <w:rPr>
                <w:rFonts w:ascii="Times New Roman" w:eastAsia="Times New Roman" w:hAnsi="Times New Roman" w:cs="Times New Roman"/>
                <w:highlight w:val="white"/>
              </w:rPr>
              <w:t xml:space="preserve"> în vedere specificul activității angajaților cu statut special din cadrul autoritățile cu atribuții în domeniul ordinii și securității publice, se propune spre examinare posibilitatea reglementării unui mecanism de monitorizare medicală </w:t>
            </w:r>
            <w:proofErr w:type="spellStart"/>
            <w:r>
              <w:rPr>
                <w:rFonts w:ascii="Times New Roman" w:eastAsia="Times New Roman" w:hAnsi="Times New Roman" w:cs="Times New Roman"/>
                <w:highlight w:val="white"/>
              </w:rPr>
              <w:t>postexpunere</w:t>
            </w:r>
            <w:proofErr w:type="spellEnd"/>
            <w:r>
              <w:rPr>
                <w:rFonts w:ascii="Times New Roman" w:eastAsia="Times New Roman" w:hAnsi="Times New Roman" w:cs="Times New Roman"/>
                <w:highlight w:val="white"/>
              </w:rPr>
              <w:t xml:space="preserve"> la riscurile biologice și chimice, precum și acordarea asistenței psihologice post-incident a personalului.</w:t>
            </w:r>
          </w:p>
        </w:tc>
        <w:tc>
          <w:tcPr>
            <w:tcW w:w="5880" w:type="dxa"/>
            <w:tcBorders>
              <w:top w:val="single" w:sz="4" w:space="0" w:color="000000"/>
              <w:bottom w:val="single" w:sz="4" w:space="0" w:color="000000"/>
            </w:tcBorders>
          </w:tcPr>
          <w:p w14:paraId="02EEA9ED"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Nu se acceptă.</w:t>
            </w:r>
          </w:p>
          <w:p w14:paraId="18F99CE0"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Articolul 2 din Legea nr 186/2008 securității și sănătății în muncă </w:t>
            </w:r>
            <w:proofErr w:type="spellStart"/>
            <w:r>
              <w:rPr>
                <w:rFonts w:ascii="Times New Roman" w:eastAsia="Times New Roman" w:hAnsi="Times New Roman" w:cs="Times New Roman"/>
                <w:highlight w:val="white"/>
              </w:rPr>
              <w:t>stabileşte</w:t>
            </w:r>
            <w:proofErr w:type="spellEnd"/>
            <w:r>
              <w:rPr>
                <w:rFonts w:ascii="Times New Roman" w:eastAsia="Times New Roman" w:hAnsi="Times New Roman" w:cs="Times New Roman"/>
                <w:highlight w:val="white"/>
              </w:rPr>
              <w:t xml:space="preserve"> principiile generale privind prevenirea </w:t>
            </w:r>
            <w:r>
              <w:rPr>
                <w:rFonts w:ascii="Times New Roman" w:eastAsia="Times New Roman" w:hAnsi="Times New Roman" w:cs="Times New Roman"/>
                <w:b/>
                <w:bCs/>
                <w:highlight w:val="white"/>
              </w:rPr>
              <w:t>riscurilor profesionale,</w:t>
            </w:r>
            <w:r>
              <w:rPr>
                <w:rFonts w:ascii="Times New Roman" w:eastAsia="Times New Roman" w:hAnsi="Times New Roman" w:cs="Times New Roman"/>
                <w:highlight w:val="white"/>
              </w:rPr>
              <w:t xml:space="preserve"> protecția lucrătorilor și a lucrătorilor independenți la locul de muncă, </w:t>
            </w:r>
            <w:r>
              <w:rPr>
                <w:rFonts w:ascii="Times New Roman" w:eastAsia="Times New Roman" w:hAnsi="Times New Roman" w:cs="Times New Roman"/>
                <w:b/>
                <w:bCs/>
                <w:highlight w:val="white"/>
              </w:rPr>
              <w:t>eli­minarea factorilor de risc</w:t>
            </w:r>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de accidentare, informarea, consultarea, participarea echilibrată, instruirea lucrătorilor, a lucrătorilor independenți și </w:t>
            </w:r>
            <w:r>
              <w:rPr>
                <w:rFonts w:ascii="Times New Roman" w:eastAsia="Times New Roman" w:hAnsi="Times New Roman" w:cs="Times New Roman"/>
                <w:highlight w:val="white"/>
              </w:rPr>
              <w:lastRenderedPageBreak/>
              <w:t xml:space="preserve">a reprezentanților acestora, precum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liniile directoare generale privind aplicarea principiilor </w:t>
            </w:r>
            <w:proofErr w:type="spellStart"/>
            <w:r>
              <w:rPr>
                <w:rFonts w:ascii="Times New Roman" w:eastAsia="Times New Roman" w:hAnsi="Times New Roman" w:cs="Times New Roman"/>
                <w:highlight w:val="white"/>
              </w:rPr>
              <w:t>menţionate</w:t>
            </w:r>
            <w:proofErr w:type="spellEnd"/>
            <w:r>
              <w:rPr>
                <w:rFonts w:ascii="Times New Roman" w:eastAsia="Times New Roman" w:hAnsi="Times New Roman" w:cs="Times New Roman"/>
                <w:highlight w:val="white"/>
              </w:rPr>
              <w:t>.</w:t>
            </w:r>
          </w:p>
          <w:p w14:paraId="3B04048F"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acest context excluderea cuvântului „profesionale” nu va conduce la abordarea altor riscuri </w:t>
            </w:r>
            <w:proofErr w:type="spellStart"/>
            <w:r>
              <w:rPr>
                <w:rFonts w:ascii="Times New Roman" w:eastAsia="Times New Roman" w:hAnsi="Times New Roman" w:cs="Times New Roman"/>
                <w:highlight w:val="white"/>
              </w:rPr>
              <w:t>riscuri</w:t>
            </w:r>
            <w:proofErr w:type="spellEnd"/>
            <w:r>
              <w:rPr>
                <w:rFonts w:ascii="Times New Roman" w:eastAsia="Times New Roman" w:hAnsi="Times New Roman" w:cs="Times New Roman"/>
                <w:highlight w:val="white"/>
              </w:rPr>
              <w:t xml:space="preserve"> decât a celor generate de sistemul de lucru (om - sarcină de muncă - mediu de lucru - echipament de muncă), la care salariatul poate fi expus în afara exercitării profesiei sale.  Spre exemplu un lucrător poate fi expus riscului comportamental generat de alt lucrător, sau poate fi expus unor riscuri generate de echipamente care nu sunt utilizate nemijlocit de un lucrător concret. În această situație, pentru a lua în considerare și interferența riscurilor care pentru unii salariați nu sunt generate de propria lor profesie, excluderea cuvântului „profesionale” din anumite articole este justificată.</w:t>
            </w:r>
          </w:p>
          <w:p w14:paraId="242FC1DC"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r>
              <w:rPr>
                <w:rFonts w:ascii="Times New Roman" w:eastAsia="Times New Roman" w:hAnsi="Times New Roman" w:cs="Times New Roman"/>
                <w:highlight w:val="white"/>
              </w:rPr>
              <w:t xml:space="preserve"> propunerea cu referire la recomandarea de a redenumi Comitetul Consultativ pentru securitatea și sănătate la locul de muncă</w:t>
            </w:r>
            <w:r>
              <w:rPr>
                <w:rFonts w:ascii="Times New Roman" w:eastAsia="Times New Roman" w:hAnsi="Times New Roman" w:cs="Times New Roman"/>
                <w:b/>
                <w:bCs/>
                <w:highlight w:val="white"/>
              </w:rPr>
              <w:t>.</w:t>
            </w:r>
          </w:p>
          <w:p w14:paraId="572CDB9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Punctul 9. din Art. III din proiect completează Legea 186/2008 cu articolul 23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 Acest articol reglementează raportarea către Comisia Europeană despre aplicarea legii nr. 186/2008 și a actelor normative naționale care transpun Directive UE speciale în domeniul securității și sănătății în muncă. În alin. (2) din acest articol este specificat Comitetului consultativ pentru securitate și sănătate la locul de muncă, creat prin  Decizia Consiliului din 22 iulie 2003 (2003/C 218/01).</w:t>
            </w:r>
          </w:p>
          <w:p w14:paraId="6EF0A19E"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highlight w:val="white"/>
              </w:rPr>
              <w:t>Nu se acceptă</w:t>
            </w:r>
            <w:r>
              <w:rPr>
                <w:rFonts w:ascii="Times New Roman" w:eastAsia="Times New Roman" w:hAnsi="Times New Roman" w:cs="Times New Roman"/>
                <w:highlight w:val="white"/>
              </w:rPr>
              <w:t xml:space="preserve"> propunerea Cu referire la monitorizarea medicală post expunere a angajaților cu statut special din autoritățile cu atribuții în domeniul ordinii publice …. acesta fiind un subiect de reglementare prin legi speciale, aplicabile acestor categorii de angajați.</w:t>
            </w:r>
          </w:p>
        </w:tc>
      </w:tr>
      <w:tr w:rsidR="0091081E" w14:paraId="4BBBF857" w14:textId="77777777">
        <w:trPr>
          <w:trHeight w:val="420"/>
        </w:trPr>
        <w:tc>
          <w:tcPr>
            <w:tcW w:w="555" w:type="dxa"/>
            <w:vMerge/>
          </w:tcPr>
          <w:p w14:paraId="46FF0993" w14:textId="77777777" w:rsidR="0091081E" w:rsidRDefault="0091081E">
            <w:pPr>
              <w:widowControl w:val="0"/>
              <w:rPr>
                <w:rFonts w:ascii="Times New Roman" w:eastAsia="Times New Roman" w:hAnsi="Times New Roman" w:cs="Times New Roman"/>
                <w:highlight w:val="white"/>
              </w:rPr>
            </w:pPr>
          </w:p>
        </w:tc>
        <w:tc>
          <w:tcPr>
            <w:tcW w:w="2700" w:type="dxa"/>
            <w:vMerge/>
          </w:tcPr>
          <w:p w14:paraId="411F324E"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64D9B55F"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4. Cu referire la art. IV se atrage atenție la faptul că în cadrul procesului de reglementare a unor fapte contravenționale noi, este important ca la stabilirea sancțiunilor să fie respectat principiul proporționalități.</w:t>
            </w:r>
          </w:p>
        </w:tc>
        <w:tc>
          <w:tcPr>
            <w:tcW w:w="5880" w:type="dxa"/>
            <w:tcBorders>
              <w:top w:val="single" w:sz="4" w:space="0" w:color="000000"/>
              <w:bottom w:val="single" w:sz="4" w:space="0" w:color="000000"/>
            </w:tcBorders>
          </w:tcPr>
          <w:p w14:paraId="0F0FF1F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w:t>
            </w:r>
          </w:p>
          <w:p w14:paraId="71C1DB7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urma reexaminării textului art. 55/6, s-a constatat că sancțiunile prevăzute la alin. (1) și alin. (2), în cuantum de la 1000 la 1500 unități convenționale, se încadrează în limitele generale prevăzute de Codul contravențional. </w:t>
            </w:r>
          </w:p>
          <w:p w14:paraId="350CEBB9"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sancțiunea prevăzută la alin. (3), în cuantum de la 1500 la 2000 unități convenționale, urmează a fi revizuită, întrucât depășește plafonul general admis de art. 34 din Codul contravențional pentru categoriile de subiecți vizați. În consecință, textul va fi ajustat în vederea corelării cu prevederile părții generale a Codului contravențional.</w:t>
            </w:r>
          </w:p>
        </w:tc>
      </w:tr>
      <w:tr w:rsidR="0091081E" w14:paraId="203DBC79" w14:textId="77777777">
        <w:trPr>
          <w:trHeight w:val="315"/>
        </w:trPr>
        <w:tc>
          <w:tcPr>
            <w:tcW w:w="555" w:type="dxa"/>
            <w:vMerge/>
          </w:tcPr>
          <w:p w14:paraId="0532FD2C" w14:textId="77777777" w:rsidR="0091081E" w:rsidRDefault="0091081E">
            <w:pPr>
              <w:widowControl w:val="0"/>
              <w:rPr>
                <w:rFonts w:ascii="Times New Roman" w:eastAsia="Times New Roman" w:hAnsi="Times New Roman" w:cs="Times New Roman"/>
                <w:highlight w:val="white"/>
              </w:rPr>
            </w:pPr>
          </w:p>
        </w:tc>
        <w:tc>
          <w:tcPr>
            <w:tcW w:w="2700" w:type="dxa"/>
            <w:vMerge/>
          </w:tcPr>
          <w:p w14:paraId="1027331D"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tcBorders>
          </w:tcPr>
          <w:p w14:paraId="4AE0A6DE"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5. Într-o altă ordine de idei, se menționează că în nota de fundamentare lipsește justificarea termenului de intrare în vigoare a actului amendat or, potrivit art. 56 din Legea nr. 100/2017 cu privire la actele normative, actele normative intră în vigoare peste o lună de la data publicării în Monitorul Oficial al Republicii Moldova sau la data indicată în textul actului normativ, care nu poate fi anterioară datei publicării. </w:t>
            </w:r>
          </w:p>
          <w:p w14:paraId="276E697E"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Intrarea în vigoare a actelor normative poate fi stabilită pentru o altă dată doar în cazul în care se </w:t>
            </w:r>
            <w:proofErr w:type="spellStart"/>
            <w:r>
              <w:rPr>
                <w:rFonts w:ascii="Times New Roman" w:eastAsia="Times New Roman" w:hAnsi="Times New Roman" w:cs="Times New Roman"/>
                <w:highlight w:val="white"/>
              </w:rPr>
              <w:t>urmăreşte</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protecţia</w:t>
            </w:r>
            <w:proofErr w:type="spellEnd"/>
            <w:r>
              <w:rPr>
                <w:rFonts w:ascii="Times New Roman" w:eastAsia="Times New Roman" w:hAnsi="Times New Roman" w:cs="Times New Roman"/>
                <w:highlight w:val="white"/>
              </w:rPr>
              <w:t xml:space="preserve"> drepturilor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libertăţilor</w:t>
            </w:r>
            <w:proofErr w:type="spellEnd"/>
            <w:r>
              <w:rPr>
                <w:rFonts w:ascii="Times New Roman" w:eastAsia="Times New Roman" w:hAnsi="Times New Roman" w:cs="Times New Roman"/>
                <w:highlight w:val="white"/>
              </w:rPr>
              <w:t xml:space="preserve"> fundamentale ale omului, realizarea angajamentelor </w:t>
            </w:r>
            <w:proofErr w:type="spellStart"/>
            <w:r>
              <w:rPr>
                <w:rFonts w:ascii="Times New Roman" w:eastAsia="Times New Roman" w:hAnsi="Times New Roman" w:cs="Times New Roman"/>
                <w:highlight w:val="white"/>
              </w:rPr>
              <w:t>internaţionale</w:t>
            </w:r>
            <w:proofErr w:type="spellEnd"/>
            <w:r>
              <w:rPr>
                <w:rFonts w:ascii="Times New Roman" w:eastAsia="Times New Roman" w:hAnsi="Times New Roman" w:cs="Times New Roman"/>
                <w:highlight w:val="white"/>
              </w:rPr>
              <w:t xml:space="preserve"> ale Republicii Moldova, conformarea cadrului normativ </w:t>
            </w:r>
            <w:proofErr w:type="spellStart"/>
            <w:r>
              <w:rPr>
                <w:rFonts w:ascii="Times New Roman" w:eastAsia="Times New Roman" w:hAnsi="Times New Roman" w:cs="Times New Roman"/>
                <w:highlight w:val="white"/>
              </w:rPr>
              <w:t>hotărîrilor</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Curţii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Constituţionale</w:t>
            </w:r>
            <w:proofErr w:type="spellEnd"/>
            <w:r>
              <w:rPr>
                <w:rFonts w:ascii="Times New Roman" w:eastAsia="Times New Roman" w:hAnsi="Times New Roman" w:cs="Times New Roman"/>
                <w:highlight w:val="white"/>
              </w:rPr>
              <w:t xml:space="preserve">, eliminarea unor lacune din legislație sau </w:t>
            </w:r>
            <w:proofErr w:type="spellStart"/>
            <w:r>
              <w:rPr>
                <w:rFonts w:ascii="Times New Roman" w:eastAsia="Times New Roman" w:hAnsi="Times New Roman" w:cs="Times New Roman"/>
                <w:highlight w:val="white"/>
              </w:rPr>
              <w:t>contradicţii</w:t>
            </w:r>
            <w:proofErr w:type="spellEnd"/>
            <w:r>
              <w:rPr>
                <w:rFonts w:ascii="Times New Roman" w:eastAsia="Times New Roman" w:hAnsi="Times New Roman" w:cs="Times New Roman"/>
                <w:highlight w:val="white"/>
              </w:rPr>
              <w:t xml:space="preserve"> între actele normative, ori dacă există alte </w:t>
            </w:r>
            <w:proofErr w:type="spellStart"/>
            <w:r>
              <w:rPr>
                <w:rFonts w:ascii="Times New Roman" w:eastAsia="Times New Roman" w:hAnsi="Times New Roman" w:cs="Times New Roman"/>
                <w:highlight w:val="white"/>
              </w:rPr>
              <w:t>circumstanţe</w:t>
            </w:r>
            <w:proofErr w:type="spellEnd"/>
            <w:r>
              <w:rPr>
                <w:rFonts w:ascii="Times New Roman" w:eastAsia="Times New Roman" w:hAnsi="Times New Roman" w:cs="Times New Roman"/>
                <w:highlight w:val="white"/>
              </w:rPr>
              <w:t xml:space="preserve"> obiective.</w:t>
            </w:r>
          </w:p>
        </w:tc>
        <w:tc>
          <w:tcPr>
            <w:tcW w:w="5880" w:type="dxa"/>
            <w:tcBorders>
              <w:top w:val="single" w:sz="4" w:space="0" w:color="000000"/>
            </w:tcBorders>
          </w:tcPr>
          <w:p w14:paraId="51D1CE41"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78E2786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Proiectul de lege conține la Art. VI.  – Dispoziții finale și tranzitorii, următoarea reglementare.</w:t>
            </w:r>
          </w:p>
          <w:p w14:paraId="233179EF"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Prezenta lege intră în vigoare la data publicării în Monitorul Oficial al Republicii Moldova, cu excepția Art. I pct. 2, Art. II pct. 7, Art. IV pct. 3 și Art. V, care intră în vigoare la data aderării Republicii Moldova la Uniunea Europeană.</w:t>
            </w:r>
          </w:p>
          <w:p w14:paraId="3C1F84FD"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Astfel, este menționat expres data intrării în vigoare a proiectului de legea și a normelor specifice. </w:t>
            </w:r>
          </w:p>
        </w:tc>
      </w:tr>
      <w:tr w:rsidR="0091081E" w14:paraId="5984EC07" w14:textId="77777777">
        <w:trPr>
          <w:trHeight w:val="352"/>
        </w:trPr>
        <w:tc>
          <w:tcPr>
            <w:tcW w:w="555" w:type="dxa"/>
            <w:vMerge w:val="restart"/>
          </w:tcPr>
          <w:p w14:paraId="7B742A45" w14:textId="77777777" w:rsidR="0091081E" w:rsidRDefault="0091081E">
            <w:pPr>
              <w:numPr>
                <w:ilvl w:val="0"/>
                <w:numId w:val="4"/>
              </w:numPr>
              <w:spacing w:line="240" w:lineRule="auto"/>
              <w:ind w:hanging="338"/>
              <w:rPr>
                <w:rFonts w:ascii="Times New Roman" w:eastAsia="Times New Roman" w:hAnsi="Times New Roman" w:cs="Times New Roman"/>
                <w:b/>
                <w:bCs/>
              </w:rPr>
            </w:pPr>
          </w:p>
        </w:tc>
        <w:tc>
          <w:tcPr>
            <w:tcW w:w="2700" w:type="dxa"/>
            <w:vMerge w:val="restart"/>
          </w:tcPr>
          <w:p w14:paraId="3286A1BD"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Ministerul Energiei</w:t>
            </w:r>
          </w:p>
          <w:p w14:paraId="71F78F1F"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Nr. 10-642 </w:t>
            </w:r>
          </w:p>
          <w:p w14:paraId="413A92B2" w14:textId="77777777" w:rsidR="0091081E"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 xml:space="preserve">            din 17.03.2026 </w:t>
            </w:r>
          </w:p>
          <w:p w14:paraId="7F1A8902" w14:textId="77777777" w:rsidR="0091081E" w:rsidRDefault="0091081E">
            <w:pPr>
              <w:spacing w:line="240" w:lineRule="auto"/>
              <w:jc w:val="center"/>
              <w:rPr>
                <w:rFonts w:ascii="Times New Roman" w:eastAsia="Times New Roman" w:hAnsi="Times New Roman" w:cs="Times New Roman"/>
              </w:rPr>
            </w:pPr>
          </w:p>
        </w:tc>
        <w:tc>
          <w:tcPr>
            <w:tcW w:w="5880" w:type="dxa"/>
            <w:tcBorders>
              <w:bottom w:val="single" w:sz="4" w:space="0" w:color="000000"/>
            </w:tcBorders>
          </w:tcPr>
          <w:p w14:paraId="38070378"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1. La art. II, pct. 2, propunem redefinirea noțiunii de „dispensă” ca: „scutirea temporară de la îndeplinirea obligațiilor de muncă, acordată cu titlu de excepție sau autorizație, fără afectarea drepturilor salariale”. Menționăm că, în proiectul de act normativ, noțiunea de „dispensă” este definită ca „scutirea temporară de la îndeplinirea obligațiilor de muncă a salariatelor gravide pentru timpul necesar </w:t>
            </w:r>
            <w:r>
              <w:rPr>
                <w:rFonts w:ascii="Times New Roman" w:eastAsia="Times New Roman" w:hAnsi="Times New Roman" w:cs="Times New Roman"/>
                <w:b/>
                <w:bCs/>
                <w:highlight w:val="white"/>
              </w:rPr>
              <w:lastRenderedPageBreak/>
              <w:t xml:space="preserve">efectuării consultației prenatale, fără afectarea drepturilor salariale”. </w:t>
            </w:r>
          </w:p>
          <w:p w14:paraId="001CE23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Considerăm că noțiunea propusă limitează dispensa exclusiv la situația salariatelor gravide și la efectuarea consultațiilor prenatale. Totuși, din perspectiva legislației muncii, dispensa reprezintă, în esență, o scutire temporară de la îndeplinirea obligațiilor de muncă, acordată cu titlu de excepție sau autorizație, aplicabilă și în alte situații justificate. Limitarea definiției la un caz particular poate reduce flexibilitatea normei și poate genera interpretări restrictive. </w:t>
            </w:r>
          </w:p>
          <w:p w14:paraId="6F204195"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Formularea propusă prezintă următoarele avantaje: </w:t>
            </w:r>
          </w:p>
          <w:p w14:paraId="4380E1E6"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menține caracterul general și flexibil al noțiunii de dispensă; </w:t>
            </w:r>
          </w:p>
          <w:p w14:paraId="426704A7"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permite aplicarea acesteia și în alte situații justificate (de exemplu: motive medicale, formare profesională, proceduri legale etc.); </w:t>
            </w:r>
          </w:p>
          <w:p w14:paraId="052A5B2E"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evită limitările și eventualele confuzii generate de definirea noțiunii doar prin raportare la salariatele gravide; </w:t>
            </w:r>
          </w:p>
          <w:p w14:paraId="44F8A563"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asigură coerența cu terminologia utilizată în legislația muncii și cu bunele practici de tehnică legislativă.</w:t>
            </w:r>
          </w:p>
        </w:tc>
        <w:tc>
          <w:tcPr>
            <w:tcW w:w="5880" w:type="dxa"/>
            <w:tcBorders>
              <w:bottom w:val="single" w:sz="4" w:space="0" w:color="000000"/>
            </w:tcBorders>
          </w:tcPr>
          <w:p w14:paraId="11EDB137"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Nu se acceptă.</w:t>
            </w:r>
          </w:p>
          <w:p w14:paraId="66B4542F"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Noțiunea de „dispensă” este introdusă în proiect în scopul de reglementarea scutirii temporare de la îndeplinirea obligațiilor de muncă acordate salariatei gravide pentru timpul necesar efectuării consultațiilor prenatale. </w:t>
            </w:r>
          </w:p>
          <w:p w14:paraId="2F0E7AAC"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Extinderea definiției la o formulare generală, aplicabilă unor ipoteze nereglementate de proiect, ar depăși obiectul intervenției legislative și ar putea genera interpretări excesiv de largi cu privire la sfera de aplicare a instituției. </w:t>
            </w:r>
          </w:p>
        </w:tc>
      </w:tr>
      <w:tr w:rsidR="0091081E" w14:paraId="19B1A5F7" w14:textId="77777777">
        <w:trPr>
          <w:trHeight w:val="283"/>
        </w:trPr>
        <w:tc>
          <w:tcPr>
            <w:tcW w:w="555" w:type="dxa"/>
            <w:vMerge/>
          </w:tcPr>
          <w:p w14:paraId="5B5FB6B0" w14:textId="77777777" w:rsidR="0091081E" w:rsidRDefault="0091081E">
            <w:pPr>
              <w:widowControl w:val="0"/>
              <w:rPr>
                <w:rFonts w:ascii="Times New Roman" w:eastAsia="Times New Roman" w:hAnsi="Times New Roman" w:cs="Times New Roman"/>
                <w:highlight w:val="white"/>
              </w:rPr>
            </w:pPr>
          </w:p>
        </w:tc>
        <w:tc>
          <w:tcPr>
            <w:tcW w:w="2700" w:type="dxa"/>
            <w:vMerge/>
          </w:tcPr>
          <w:p w14:paraId="01F0583B"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7C757E2F"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2. Completarea art. 103 din Codul muncii cu prevederi de derogare corespunzătoare, care să asigure flexibilitatea operațională a sectorului energetic și, totodată, să mențină conformitatea cu legislația națională și europeană în domeniul organizării timpului de muncă. Reținem că, în cadrul ședinței din 10.03.2026, desfășurate pe platforma Ministerului Muncii și Protecției Sociale, a fost analizată problematica aplicării prevederilor art. 103 din Codul muncii, referitoare la munca de noapte, în special în cazul angajaților din sectorul energetic, unde activitatea are caracter continuu. Aplicarea actuală a alin. (1¹), (1²) și (2) ale art. 103 din Codul muncii generează dificultăți practice pentru angajatorii din sectorul energetic, întrucât activitatea desfășurată în regim continuu nu poate fi întreruptă. </w:t>
            </w:r>
          </w:p>
          <w:p w14:paraId="4276DE77"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Respectarea strictă a prevederilor în forma actuală poate crea riscuri operaționale și organizatorice. În aceste condiții, o soluție viabilă pentru eliminarea dificultăților menționate și pentru asigurarea conformității cu legislația europeană ar fi completarea art. 103 din Codul muncii cu o prevedere expresă privind posibilitatea derogării de la alin. (1¹), (1²) și (2) pentru activitățile din sectorul energetic. </w:t>
            </w:r>
          </w:p>
          <w:p w14:paraId="654162B4"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O asemenea soluție este susținută și de art. 17 din Directiva 2003/88/CE a Parlamentului European și a Consiliului din 4 noiembrie 2003 privind anumite aspecte ale organizării timpului de lucru, care prevede posibilitatea instituirii unor derogări pentru activitățile cu caracter continuu.</w:t>
            </w:r>
          </w:p>
        </w:tc>
        <w:tc>
          <w:tcPr>
            <w:tcW w:w="5880" w:type="dxa"/>
            <w:tcBorders>
              <w:top w:val="single" w:sz="4" w:space="0" w:color="000000"/>
              <w:bottom w:val="single" w:sz="4" w:space="0" w:color="000000"/>
            </w:tcBorders>
          </w:tcPr>
          <w:p w14:paraId="18748DAD"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 xml:space="preserve">Se acceptă. </w:t>
            </w:r>
          </w:p>
          <w:p w14:paraId="4A6BEA1B"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articolul 103 din Codul muncii al Republicii Moldova                      nr. 154/2003 (Monitorul Oficial al Republicii Moldova, 2003, nr. 159-162, art. 648), cu modificările ulterioare, alineatul (3) va avea următorul cuprins:</w:t>
            </w:r>
          </w:p>
          <w:p w14:paraId="2900F9DB" w14:textId="77777777" w:rsidR="0091081E" w:rsidRDefault="00000000">
            <w:pPr>
              <w:spacing w:line="240" w:lineRule="auto"/>
              <w:jc w:val="both"/>
              <w:rPr>
                <w:rFonts w:ascii="Times New Roman" w:eastAsia="Times New Roman" w:hAnsi="Times New Roman" w:cs="Times New Roman"/>
                <w:sz w:val="18"/>
                <w:szCs w:val="18"/>
                <w:highlight w:val="white"/>
              </w:rPr>
            </w:pPr>
            <w:r>
              <w:rPr>
                <w:rFonts w:ascii="Times New Roman" w:eastAsia="Times New Roman" w:hAnsi="Times New Roman" w:cs="Times New Roman"/>
              </w:rPr>
              <w:t>”(3) Prevederile alineatelor (1</w:t>
            </w:r>
            <w:r>
              <w:rPr>
                <w:rFonts w:ascii="Times New Roman" w:eastAsia="Times New Roman" w:hAnsi="Times New Roman" w:cs="Times New Roman"/>
                <w:vertAlign w:val="superscript"/>
              </w:rPr>
              <w:t>1</w:t>
            </w:r>
            <w:r>
              <w:rPr>
                <w:rFonts w:ascii="Times New Roman" w:eastAsia="Times New Roman" w:hAnsi="Times New Roman" w:cs="Times New Roman"/>
              </w:rPr>
              <w:t>), (1</w:t>
            </w:r>
            <w:r>
              <w:rPr>
                <w:rFonts w:ascii="Times New Roman" w:eastAsia="Times New Roman" w:hAnsi="Times New Roman" w:cs="Times New Roman"/>
                <w:vertAlign w:val="superscript"/>
              </w:rPr>
              <w:t>2</w:t>
            </w:r>
            <w:r>
              <w:rPr>
                <w:rFonts w:ascii="Times New Roman" w:eastAsia="Times New Roman" w:hAnsi="Times New Roman" w:cs="Times New Roman"/>
              </w:rPr>
              <w:t>) și (2),</w:t>
            </w:r>
            <w:r>
              <w:t xml:space="preserve"> </w:t>
            </w:r>
            <w:r>
              <w:rPr>
                <w:rFonts w:ascii="Times New Roman" w:eastAsia="Times New Roman" w:hAnsi="Times New Roman" w:cs="Times New Roman"/>
              </w:rPr>
              <w:t xml:space="preserve">nu se aplică salariaților cărora le este stabilită durata redusă a timpului de muncă, salariaților angajați special pentru munca de noapte, precum și în cazurile în care reducerea timpului de muncă nu este posibilă din cauza specificului activității sau al muncii, care impune prezența permanentă a salariaților la locul de muncă ori din cauza condițiilor tehnice și de producție, în special la unitățile </w:t>
            </w:r>
            <w:r>
              <w:rPr>
                <w:rFonts w:ascii="Times New Roman" w:eastAsia="Times New Roman" w:hAnsi="Times New Roman" w:cs="Times New Roman"/>
              </w:rPr>
              <w:lastRenderedPageBreak/>
              <w:t>cu flux continuu și în cazul muncii în schimburi, dacă contractul colectiv de muncă nu prevede altfel.”</w:t>
            </w:r>
          </w:p>
          <w:p w14:paraId="257E1D8D" w14:textId="77777777" w:rsidR="0091081E" w:rsidRDefault="0091081E">
            <w:pPr>
              <w:spacing w:line="240" w:lineRule="auto"/>
              <w:ind w:firstLine="705"/>
              <w:jc w:val="both"/>
              <w:rPr>
                <w:rFonts w:ascii="Times New Roman" w:eastAsia="Times New Roman" w:hAnsi="Times New Roman" w:cs="Times New Roman"/>
                <w:sz w:val="26"/>
                <w:szCs w:val="26"/>
                <w:highlight w:val="white"/>
              </w:rPr>
            </w:pPr>
          </w:p>
          <w:p w14:paraId="72407FA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p w14:paraId="2F6D931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tc>
      </w:tr>
      <w:tr w:rsidR="0091081E" w14:paraId="300BCFAE" w14:textId="77777777">
        <w:trPr>
          <w:trHeight w:val="330"/>
        </w:trPr>
        <w:tc>
          <w:tcPr>
            <w:tcW w:w="555" w:type="dxa"/>
            <w:vMerge/>
          </w:tcPr>
          <w:p w14:paraId="4F38B3D2" w14:textId="77777777" w:rsidR="0091081E" w:rsidRDefault="0091081E">
            <w:pPr>
              <w:widowControl w:val="0"/>
              <w:rPr>
                <w:rFonts w:ascii="Times New Roman" w:eastAsia="Times New Roman" w:hAnsi="Times New Roman" w:cs="Times New Roman"/>
                <w:highlight w:val="white"/>
              </w:rPr>
            </w:pPr>
          </w:p>
        </w:tc>
        <w:tc>
          <w:tcPr>
            <w:tcW w:w="2700" w:type="dxa"/>
            <w:vMerge/>
          </w:tcPr>
          <w:p w14:paraId="4D5756E1"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2AACDC8B"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Modificarea art. 86 alin. (1) lit. y</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Codul muncii prin substituirea sintagmei „deținerea statutului de pensionar pentru limită de vârstă” cu sintagma „atingerea vârstei de pensionare stabilite de legislație”. Articolul 86 alin. (1) lit. y</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din Codul muncii al Republicii Moldova prevede posibilitatea încetării contractului individual de muncă în legătură cu deținerea de către salariat a statutului de pensionar pentru limită de vârstă. </w:t>
            </w:r>
          </w:p>
          <w:p w14:paraId="44957C10"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practică, aplicarea acestei prevederi generează dificultăți, deoarece statutul de pensionar pentru limită de vârstă se dobândește doar în urma depunerii unei cereri la autoritatea competentă și a stabilirii pensiei, confirmată prin eliberarea legitimației de pensionar. </w:t>
            </w:r>
          </w:p>
          <w:p w14:paraId="35C55B2A"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Astfel, există situații în care persoane care au atins vârsta de pensionare stabilită de legislație nu solicită stabilirea pensiei și, respectiv, nu dobândesc oficial statutul de pensionar. </w:t>
            </w:r>
          </w:p>
          <w:p w14:paraId="6F471C91"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asemenea cazuri, angajatorul nu poate aplica prevederile art. 86 alin. (1) lit. y</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deși persoana a atins vârsta legală de pensionare. Această situație creează incertitudine juridică și dificultăți în aplicarea uniformă a normei, deoarece încetarea raporturilor de muncă depinde de o acțiune voluntară a salariatului (depunerea cererii de stabilire a pensiei). </w:t>
            </w:r>
          </w:p>
          <w:p w14:paraId="161FDD5D"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O asemenea modificare ar permite: </w:t>
            </w:r>
          </w:p>
          <w:p w14:paraId="5F7C07D5"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 eliminarea dependenței aplicării normei de voința salariatului de a solicita sau nu stabilirea pensiei; </w:t>
            </w:r>
          </w:p>
          <w:p w14:paraId="3445686C"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asigurarea unei aplicări clare și uniforme a cadrului normativ; </w:t>
            </w:r>
          </w:p>
          <w:p w14:paraId="65C3BC3E"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evitarea situațiilor în care raporturile de muncă nu pot fi încetate din cauza lipsei formale a statutului de pensionar, deși persoana a atins vârsta legală de pensionare. </w:t>
            </w:r>
          </w:p>
          <w:p w14:paraId="21197B87"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Propunerea de a substitui „deținerea statutului” cu „atingerea vârstei” este în deplin acord cu raționamentele expuse de Curtea Constituțională în Hotărârea nr. 27 din 22 noiembrie 2018 și confirmată prin decizii ulterioare ( DCC nr. 61/2018). Curtea a statuat că dreptul la muncă nu este un drept absolut, iar încetarea contractului de muncă la atingerea vârstei de pensionare nu constituie o încălcare a art. 43 din Constituție, deoarece persoana nu este privată de dreptul de a munci în general, ci doar de dreptul de a menține un anumit raport juridic de muncă specific (care poate fi renegociat ulterior prin contract pe durată determinată conform art. 55 lit. f)).</w:t>
            </w:r>
          </w:p>
          <w:p w14:paraId="69A4BE2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această soluție este conformă cadrului juridic european, în special art. 6 din Directiva 2000/78/CE a Consiliului din 27 noiembrie 2000 de creare a unui cadru general în favoarea egalității de tratament în ceea ce privește încadrarea în muncă și ocuparea forței de muncă care prevede că diferențele de tratament pe criteriu de vârstă pot fi admise dacă sunt justificate de obiective legitime ale politicii de ocupare a forței de muncă. Prin urmare, în baza acestei directive, statele membre pot prevedea în legislația lor încetarea raporturilor de muncă la atingerea vârstei de pensionare.</w:t>
            </w:r>
          </w:p>
        </w:tc>
        <w:tc>
          <w:tcPr>
            <w:tcW w:w="5880" w:type="dxa"/>
            <w:tcBorders>
              <w:top w:val="single" w:sz="4" w:space="0" w:color="000000"/>
              <w:bottom w:val="single" w:sz="4" w:space="0" w:color="000000"/>
            </w:tcBorders>
          </w:tcPr>
          <w:p w14:paraId="70211099"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Nu se acceptă.</w:t>
            </w:r>
          </w:p>
          <w:p w14:paraId="3F86C3A1"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Substituirea sintagmei „deținerea statutului de pensionar pentru limită de vârstă” cu sintagma „atingerea vârstei de pensionare stabilite de legislație” ar modifica substanțial conținutul actual al temeiului de încetare a contractului individual de muncă și ar extinde sfera de aplicare a normei dincolo de situația juridică a persoanei care a dobândit efectiv statutul de pensionar pentru limită de vârstă. </w:t>
            </w:r>
          </w:p>
        </w:tc>
      </w:tr>
      <w:tr w:rsidR="0091081E" w14:paraId="78508AB2" w14:textId="77777777">
        <w:trPr>
          <w:trHeight w:val="358"/>
        </w:trPr>
        <w:tc>
          <w:tcPr>
            <w:tcW w:w="555" w:type="dxa"/>
            <w:vMerge/>
          </w:tcPr>
          <w:p w14:paraId="502B1808" w14:textId="77777777" w:rsidR="0091081E" w:rsidRDefault="0091081E">
            <w:pPr>
              <w:widowControl w:val="0"/>
              <w:rPr>
                <w:rFonts w:ascii="Times New Roman" w:eastAsia="Times New Roman" w:hAnsi="Times New Roman" w:cs="Times New Roman"/>
                <w:highlight w:val="white"/>
              </w:rPr>
            </w:pPr>
          </w:p>
        </w:tc>
        <w:tc>
          <w:tcPr>
            <w:tcW w:w="2700" w:type="dxa"/>
            <w:vMerge/>
          </w:tcPr>
          <w:p w14:paraId="2045D23C" w14:textId="77777777" w:rsidR="0091081E" w:rsidRDefault="0091081E">
            <w:pPr>
              <w:widowControl w:val="0"/>
              <w:rPr>
                <w:rFonts w:ascii="Times New Roman" w:eastAsia="Times New Roman" w:hAnsi="Times New Roman" w:cs="Times New Roman"/>
                <w:highlight w:val="white"/>
              </w:rPr>
            </w:pPr>
          </w:p>
        </w:tc>
        <w:tc>
          <w:tcPr>
            <w:tcW w:w="5880" w:type="dxa"/>
            <w:vMerge w:val="restart"/>
            <w:tcBorders>
              <w:top w:val="single" w:sz="4" w:space="0" w:color="000000"/>
            </w:tcBorders>
          </w:tcPr>
          <w:p w14:paraId="319F0DC8"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4. </w:t>
            </w:r>
            <w:r>
              <w:rPr>
                <w:rFonts w:ascii="Times New Roman" w:eastAsia="Times New Roman" w:hAnsi="Times New Roman" w:cs="Times New Roman"/>
                <w:highlight w:val="white"/>
              </w:rPr>
              <w:t xml:space="preserve">La art. II, pct. 5 din proiect se propune expunerea alin. (71) al art. 421 din Codul Muncii al Republicii Moldova în următoarea redacție: „(71) Decizia angajatorului privind măsurile care fac obiectul informării și consultării prevăzute de prezentul articol adoptată fără informarea și consultarea reprezentanților salariaților sau până la finalizarea procedurii de informare și consultare a reprezentanților salariaților este nulă, </w:t>
            </w:r>
            <w:r>
              <w:rPr>
                <w:rFonts w:ascii="Times New Roman" w:eastAsia="Times New Roman" w:hAnsi="Times New Roman" w:cs="Times New Roman"/>
                <w:highlight w:val="white"/>
              </w:rPr>
              <w:lastRenderedPageBreak/>
              <w:t>cu excepția situațiilor în care: a) angajatorul, în condițiile alin. (10), nu este obligat să comunice informații sau să inițieze consultări; b) salariaților; decizia angajatorului nu afectează direct sau indirect drepturile sau interesele c) decizia angajatorului are ca efect îmbunătățirea condițiilor de muncă, a drepturilor sau a garanțiilor salariaților.” Nulitatea deciziei angajatorului trebuie analizată prin prisma caracterului său excepțional.</w:t>
            </w:r>
          </w:p>
          <w:p w14:paraId="3DE07E29"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Introducerea acestor excepții este necesară pentru a asigura aplicarea proporțională și rezonabilă a sancțiunii nulității, deoarece aplicarea automată a acesteia în orice situație ar putea genera consecințe excesive.</w:t>
            </w:r>
          </w:p>
          <w:p w14:paraId="6854AFD4"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Excepțiile prevăzute sunt justificate prin necesitatea asigurării coerenței și aplicării corecte a normei, astfel încât, prima excepție, reglementată deja la alin. (10), este necesară întrucât angajatorul nu poate realiza informarea sau consultarea în situațiile în care există riscul divulgării unui secret de stat sau comercial; a doua excepție are rolul de a delimita clar cazurile în care consultarea este obligatorie, evitând extinderea nejustificată a acestei obligații asupra unor măsuri care nu produc un impact real asupra raporturilor de muncă; iar a treia excepție urmărește să prevină sancționarea angajatorului pentru adoptarea unor măsuri favorabile salariaților, având în vedere că procedura de consultare este instituită pentru a preveni înrăutățirea situației acestora, și nu pentru a împiedica îmbunătățirea drepturilor lor.</w:t>
            </w:r>
          </w:p>
          <w:p w14:paraId="13EA360E"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concluzie, excepțiile propuse permit aplicarea echilibrată a sancțiunii nulității, protejând drepturile salariaților fără a afecta exercitarea prerogativelor angajatorului.</w:t>
            </w:r>
          </w:p>
        </w:tc>
        <w:tc>
          <w:tcPr>
            <w:tcW w:w="5880" w:type="dxa"/>
            <w:tcBorders>
              <w:top w:val="single" w:sz="4" w:space="0" w:color="000000"/>
              <w:bottom w:val="single" w:sz="4" w:space="0" w:color="000000"/>
            </w:tcBorders>
          </w:tcPr>
          <w:p w14:paraId="1B2868FE"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w:t>
            </w:r>
          </w:p>
        </w:tc>
      </w:tr>
      <w:tr w:rsidR="0091081E" w14:paraId="2D76AD11" w14:textId="77777777">
        <w:trPr>
          <w:trHeight w:val="360"/>
        </w:trPr>
        <w:tc>
          <w:tcPr>
            <w:tcW w:w="555" w:type="dxa"/>
            <w:vMerge/>
          </w:tcPr>
          <w:p w14:paraId="44E5D83C" w14:textId="77777777" w:rsidR="0091081E" w:rsidRDefault="0091081E">
            <w:pPr>
              <w:widowControl w:val="0"/>
              <w:rPr>
                <w:rFonts w:ascii="Times New Roman" w:eastAsia="Times New Roman" w:hAnsi="Times New Roman" w:cs="Times New Roman"/>
                <w:highlight w:val="white"/>
              </w:rPr>
            </w:pPr>
          </w:p>
        </w:tc>
        <w:tc>
          <w:tcPr>
            <w:tcW w:w="2700" w:type="dxa"/>
            <w:vMerge/>
          </w:tcPr>
          <w:p w14:paraId="40A53C28" w14:textId="77777777" w:rsidR="0091081E" w:rsidRDefault="0091081E">
            <w:pPr>
              <w:widowControl w:val="0"/>
              <w:rPr>
                <w:rFonts w:ascii="Times New Roman" w:eastAsia="Times New Roman" w:hAnsi="Times New Roman" w:cs="Times New Roman"/>
                <w:highlight w:val="white"/>
              </w:rPr>
            </w:pPr>
          </w:p>
        </w:tc>
        <w:tc>
          <w:tcPr>
            <w:tcW w:w="5880" w:type="dxa"/>
            <w:vMerge/>
            <w:tcBorders>
              <w:top w:val="single" w:sz="4" w:space="0" w:color="000000"/>
            </w:tcBorders>
          </w:tcPr>
          <w:p w14:paraId="1E019384"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tcBorders>
          </w:tcPr>
          <w:p w14:paraId="3D84DF48"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Se exclude prevederea propusă.</w:t>
            </w:r>
          </w:p>
        </w:tc>
      </w:tr>
      <w:tr w:rsidR="0091081E" w14:paraId="479CA87F" w14:textId="77777777">
        <w:trPr>
          <w:trHeight w:val="600"/>
        </w:trPr>
        <w:tc>
          <w:tcPr>
            <w:tcW w:w="555" w:type="dxa"/>
          </w:tcPr>
          <w:p w14:paraId="3CDA2BD5" w14:textId="77777777" w:rsidR="0091081E" w:rsidRDefault="0091081E">
            <w:pPr>
              <w:numPr>
                <w:ilvl w:val="0"/>
                <w:numId w:val="4"/>
              </w:numPr>
              <w:spacing w:line="240" w:lineRule="auto"/>
              <w:ind w:hanging="338"/>
              <w:rPr>
                <w:rFonts w:ascii="Times New Roman" w:eastAsia="Times New Roman" w:hAnsi="Times New Roman" w:cs="Times New Roman"/>
                <w:b/>
                <w:bCs/>
              </w:rPr>
            </w:pPr>
          </w:p>
        </w:tc>
        <w:tc>
          <w:tcPr>
            <w:tcW w:w="2700" w:type="dxa"/>
          </w:tcPr>
          <w:p w14:paraId="18D06F3C"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Casa Națională de Asigurări Sociale</w:t>
            </w:r>
          </w:p>
          <w:p w14:paraId="0F481702"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4153</w:t>
            </w:r>
          </w:p>
          <w:p w14:paraId="5BA762C5"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din 13.03.2026 </w:t>
            </w:r>
          </w:p>
          <w:p w14:paraId="3F84FE80"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5880" w:type="dxa"/>
          </w:tcPr>
          <w:p w14:paraId="6C2453A8"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Lipsa de obiecții și propuneri.</w:t>
            </w:r>
          </w:p>
        </w:tc>
        <w:tc>
          <w:tcPr>
            <w:tcW w:w="5880" w:type="dxa"/>
          </w:tcPr>
          <w:p w14:paraId="48AA4818"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ia act.</w:t>
            </w:r>
          </w:p>
        </w:tc>
      </w:tr>
      <w:tr w:rsidR="0091081E" w14:paraId="455E9FD5" w14:textId="77777777">
        <w:trPr>
          <w:trHeight w:val="600"/>
        </w:trPr>
        <w:tc>
          <w:tcPr>
            <w:tcW w:w="555" w:type="dxa"/>
          </w:tcPr>
          <w:p w14:paraId="5FF8D991" w14:textId="77777777" w:rsidR="0091081E" w:rsidRDefault="0091081E">
            <w:pPr>
              <w:numPr>
                <w:ilvl w:val="0"/>
                <w:numId w:val="4"/>
              </w:numPr>
              <w:spacing w:line="240" w:lineRule="auto"/>
              <w:ind w:hanging="338"/>
              <w:rPr>
                <w:rFonts w:ascii="Times New Roman" w:eastAsia="Times New Roman" w:hAnsi="Times New Roman" w:cs="Times New Roman"/>
                <w:b/>
                <w:bCs/>
              </w:rPr>
            </w:pPr>
          </w:p>
        </w:tc>
        <w:tc>
          <w:tcPr>
            <w:tcW w:w="2700" w:type="dxa"/>
          </w:tcPr>
          <w:p w14:paraId="68BF69D0"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Centrul Național pentru Protecția Datelor cu Caracter Personal</w:t>
            </w:r>
          </w:p>
          <w:p w14:paraId="124B3E1C"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Nr. 04-01/991 </w:t>
            </w:r>
          </w:p>
          <w:p w14:paraId="6B9A8113"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din 18.03.2026 </w:t>
            </w:r>
          </w:p>
        </w:tc>
        <w:tc>
          <w:tcPr>
            <w:tcW w:w="5880" w:type="dxa"/>
          </w:tcPr>
          <w:p w14:paraId="2156ABFE"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Lipsa de obiecții și propuneri.</w:t>
            </w:r>
          </w:p>
        </w:tc>
        <w:tc>
          <w:tcPr>
            <w:tcW w:w="5880" w:type="dxa"/>
          </w:tcPr>
          <w:p w14:paraId="1510ECF1"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ia act.</w:t>
            </w:r>
          </w:p>
        </w:tc>
      </w:tr>
      <w:tr w:rsidR="0091081E" w14:paraId="4A9FE4B3" w14:textId="77777777">
        <w:trPr>
          <w:trHeight w:val="600"/>
        </w:trPr>
        <w:tc>
          <w:tcPr>
            <w:tcW w:w="555" w:type="dxa"/>
          </w:tcPr>
          <w:p w14:paraId="5A2696C1" w14:textId="77777777" w:rsidR="0091081E" w:rsidRDefault="0091081E">
            <w:pPr>
              <w:numPr>
                <w:ilvl w:val="0"/>
                <w:numId w:val="4"/>
              </w:numPr>
              <w:spacing w:line="240" w:lineRule="auto"/>
              <w:ind w:hanging="338"/>
              <w:rPr>
                <w:rFonts w:ascii="Times New Roman" w:eastAsia="Times New Roman" w:hAnsi="Times New Roman" w:cs="Times New Roman"/>
                <w:b/>
                <w:bCs/>
              </w:rPr>
            </w:pPr>
          </w:p>
        </w:tc>
        <w:tc>
          <w:tcPr>
            <w:tcW w:w="2700" w:type="dxa"/>
          </w:tcPr>
          <w:p w14:paraId="157244EE"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Biroul Național de Statistică </w:t>
            </w:r>
          </w:p>
          <w:p w14:paraId="5BCB17A1"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19-06/12 din 10.03.2026</w:t>
            </w:r>
          </w:p>
        </w:tc>
        <w:tc>
          <w:tcPr>
            <w:tcW w:w="5880" w:type="dxa"/>
          </w:tcPr>
          <w:p w14:paraId="19566C09"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Articolul III, pct.9, Articolul 23</w:t>
            </w:r>
            <w:r>
              <w:rPr>
                <w:rFonts w:ascii="Times New Roman" w:eastAsia="Times New Roman" w:hAnsi="Times New Roman" w:cs="Times New Roman"/>
                <w:highlight w:val="white"/>
                <w:vertAlign w:val="superscript"/>
              </w:rPr>
              <w:t>2</w:t>
            </w:r>
            <w:r>
              <w:rPr>
                <w:rFonts w:ascii="Times New Roman" w:eastAsia="Times New Roman" w:hAnsi="Times New Roman" w:cs="Times New Roman"/>
                <w:highlight w:val="white"/>
              </w:rPr>
              <w:t xml:space="preserve"> , alineatul (1), sintagma ,,informații detaliate pe genuri” se propune a fi expusă în redacție nouă cu următorul cuprins: ”informații detaliate dezagregate pe sexe”, întrucât poate crea confuzie, nefiind clar dacă se referă la date dezagregate pe sexe sau pe genuri de activitate.</w:t>
            </w:r>
          </w:p>
        </w:tc>
        <w:tc>
          <w:tcPr>
            <w:tcW w:w="5880" w:type="dxa"/>
          </w:tcPr>
          <w:p w14:paraId="237B4201"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w:t>
            </w:r>
          </w:p>
        </w:tc>
      </w:tr>
      <w:tr w:rsidR="0091081E" w14:paraId="1912E7E3" w14:textId="77777777">
        <w:trPr>
          <w:trHeight w:val="816"/>
        </w:trPr>
        <w:tc>
          <w:tcPr>
            <w:tcW w:w="555" w:type="dxa"/>
            <w:vMerge w:val="restart"/>
          </w:tcPr>
          <w:p w14:paraId="731573AD" w14:textId="77777777" w:rsidR="0091081E" w:rsidRDefault="0091081E">
            <w:pPr>
              <w:numPr>
                <w:ilvl w:val="0"/>
                <w:numId w:val="4"/>
              </w:numPr>
              <w:spacing w:line="240" w:lineRule="auto"/>
              <w:ind w:hanging="338"/>
              <w:rPr>
                <w:rFonts w:ascii="Times New Roman" w:eastAsia="Times New Roman" w:hAnsi="Times New Roman" w:cs="Times New Roman"/>
                <w:b/>
                <w:bCs/>
              </w:rPr>
            </w:pPr>
          </w:p>
        </w:tc>
        <w:tc>
          <w:tcPr>
            <w:tcW w:w="2700" w:type="dxa"/>
            <w:vMerge w:val="restart"/>
          </w:tcPr>
          <w:p w14:paraId="1903AD16"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Oficiul Avocatului Poporului</w:t>
            </w:r>
          </w:p>
          <w:p w14:paraId="3D13D492"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04-3/13-551</w:t>
            </w:r>
          </w:p>
          <w:p w14:paraId="3CCECBFE"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12.03.2026</w:t>
            </w:r>
          </w:p>
        </w:tc>
        <w:tc>
          <w:tcPr>
            <w:tcW w:w="5880" w:type="dxa"/>
            <w:tcBorders>
              <w:bottom w:val="single" w:sz="4" w:space="0" w:color="000000"/>
            </w:tcBorders>
          </w:tcPr>
          <w:p w14:paraId="647498C7"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urma examinării conținutului proiectului de lege Avocatul Poporului vine cu următoarele observații și recomandări:</w:t>
            </w:r>
          </w:p>
          <w:p w14:paraId="6815EB66"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Proiectul de lege face trimitere la Legea privind detașarea salariaților în cadrul prestării de servicii, însă acest proiect de act normativ se află în prezent în proces de consultări publice. În acest context, se recomandă corelarea prevederilor proiectului analizat cu evoluția și forma finală a proiectului de lege menționat, pentru a evita eventuale incoerențe sau dificultăți de aplicare.</w:t>
            </w:r>
          </w:p>
          <w:p w14:paraId="2BF4917B" w14:textId="77777777" w:rsidR="0091081E" w:rsidRDefault="0091081E">
            <w:pPr>
              <w:spacing w:line="240" w:lineRule="auto"/>
              <w:ind w:firstLine="284"/>
              <w:jc w:val="both"/>
              <w:rPr>
                <w:rFonts w:ascii="Times New Roman" w:eastAsia="Times New Roman" w:hAnsi="Times New Roman" w:cs="Times New Roman"/>
                <w:highlight w:val="white"/>
              </w:rPr>
            </w:pPr>
          </w:p>
        </w:tc>
        <w:tc>
          <w:tcPr>
            <w:tcW w:w="5880" w:type="dxa"/>
            <w:tcBorders>
              <w:bottom w:val="single" w:sz="4" w:space="0" w:color="000000"/>
            </w:tcBorders>
          </w:tcPr>
          <w:p w14:paraId="607DE4F6"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58C5A3EE"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Potrivit art. 3 alin. (4) lit. a) din Legea nr. 100/2017, actul normativ trebuie să se integreze organic în cadrul normativ în vigoare, scop în care proiectul actului normativ trebuie corelat cu prevederile actelor normative de nivel superior sau de </w:t>
            </w:r>
            <w:proofErr w:type="spellStart"/>
            <w:r>
              <w:rPr>
                <w:rFonts w:ascii="Times New Roman" w:eastAsia="Times New Roman" w:hAnsi="Times New Roman" w:cs="Times New Roman"/>
                <w:highlight w:val="white"/>
              </w:rPr>
              <w:t>acelaşi</w:t>
            </w:r>
            <w:proofErr w:type="spellEnd"/>
            <w:r>
              <w:rPr>
                <w:rFonts w:ascii="Times New Roman" w:eastAsia="Times New Roman" w:hAnsi="Times New Roman" w:cs="Times New Roman"/>
                <w:highlight w:val="white"/>
              </w:rPr>
              <w:t xml:space="preserve"> nivel cu care se află în conexiune.</w:t>
            </w:r>
          </w:p>
          <w:p w14:paraId="312ED74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6D047A67"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acest sens, comunicăm că se va monitoriza parcursul legislativ și corelarea terminologiei al proiectului vizat pentru a asigura o integrare armonioasă în cadrul normativ.</w:t>
            </w:r>
          </w:p>
          <w:p w14:paraId="5FD8BE8C"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w:t>
            </w:r>
          </w:p>
        </w:tc>
      </w:tr>
      <w:tr w:rsidR="0091081E" w14:paraId="4B63E054" w14:textId="77777777">
        <w:trPr>
          <w:trHeight w:val="756"/>
        </w:trPr>
        <w:tc>
          <w:tcPr>
            <w:tcW w:w="555" w:type="dxa"/>
            <w:vMerge/>
          </w:tcPr>
          <w:p w14:paraId="0556BFF1" w14:textId="77777777" w:rsidR="0091081E" w:rsidRDefault="0091081E">
            <w:pPr>
              <w:widowControl w:val="0"/>
              <w:rPr>
                <w:rFonts w:ascii="Times New Roman" w:eastAsia="Times New Roman" w:hAnsi="Times New Roman" w:cs="Times New Roman"/>
                <w:highlight w:val="white"/>
              </w:rPr>
            </w:pPr>
          </w:p>
        </w:tc>
        <w:tc>
          <w:tcPr>
            <w:tcW w:w="2700" w:type="dxa"/>
            <w:vMerge/>
          </w:tcPr>
          <w:p w14:paraId="6C0E372C"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78677CC8"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Art. II. – Codul muncii al Republicii Moldova 2) Se recomandă clarificarea și uniformizarea terminologiei utilizate în ceea ce privește categoria „salariatelor gravide” utilizată de Directivele UE. În legislația muncii, în special în Codul muncii, este utilizat termenul de „femeie gravidă”. În vederea asigurării coerenței terminologice și a aplicării unitare a normelor juridice, se propune alinierea terminologiei din proiectul de lege la cea utilizată în Codul muncii sau armonizarea la terminologia Directivelor UE.</w:t>
            </w:r>
          </w:p>
        </w:tc>
        <w:tc>
          <w:tcPr>
            <w:tcW w:w="5880" w:type="dxa"/>
            <w:tcBorders>
              <w:top w:val="single" w:sz="4" w:space="0" w:color="000000"/>
              <w:bottom w:val="single" w:sz="4" w:space="0" w:color="000000"/>
            </w:tcBorders>
          </w:tcPr>
          <w:p w14:paraId="352AF0C7"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91081E" w14:paraId="419FBBE7" w14:textId="77777777">
        <w:trPr>
          <w:trHeight w:val="756"/>
        </w:trPr>
        <w:tc>
          <w:tcPr>
            <w:tcW w:w="555" w:type="dxa"/>
            <w:vMerge/>
          </w:tcPr>
          <w:p w14:paraId="51A1CEC8" w14:textId="77777777" w:rsidR="0091081E" w:rsidRDefault="0091081E">
            <w:pPr>
              <w:widowControl w:val="0"/>
              <w:rPr>
                <w:rFonts w:ascii="Times New Roman" w:eastAsia="Times New Roman" w:hAnsi="Times New Roman" w:cs="Times New Roman"/>
                <w:highlight w:val="white"/>
              </w:rPr>
            </w:pPr>
          </w:p>
        </w:tc>
        <w:tc>
          <w:tcPr>
            <w:tcW w:w="2700" w:type="dxa"/>
            <w:vMerge/>
          </w:tcPr>
          <w:p w14:paraId="4786A772"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13D2A39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3) Modificarea propusă la articolul 5 lit. b¹), e) și g) din Codul Muncii ridică probleme de tehnică legislativă și de coerență normativă. În primul rând, utilizarea formulării „după cum este descris la art. 8 din prezentul Cod” nu este specifică limbajului juridic utilizat în actele normative. În legislația națională, </w:t>
            </w:r>
            <w:r>
              <w:rPr>
                <w:rFonts w:ascii="Times New Roman" w:eastAsia="Times New Roman" w:hAnsi="Times New Roman" w:cs="Times New Roman"/>
                <w:highlight w:val="white"/>
              </w:rPr>
              <w:lastRenderedPageBreak/>
              <w:t>trimiterea la alte norme se realizează, de regulă, prin formule consacrate precum „în condițiile art. …”, „în conformitate cu art. …” sau „potrivit art. …”, iar utilizarea termenului „descris” este improprie și poate afecta claritatea normei. În al doilea rând, includerea repetată a trimiterii la art. 8 în mai multe litere ale aceluiași articol creează o redundanță normativă, întrucât articolul 5 consacră principii generale ale raporturilor de muncă, iar detalierea criteriilor de discriminare este deja reglementată în mod expres la art. 8. Reiterarea acestei trimiteri în fiecare principiu nu este necesară și poate afecta coerența textului normativ. În aceste condiții, se impune revizuirea formulării propuse, fie prin utilizarea unei formule juridice adecvate de trimitere la art. 8, fie prin eliminarea repetării acestei trimiteri, pentru a asigura claritatea, concizia și coerența reglementării.</w:t>
            </w:r>
          </w:p>
        </w:tc>
        <w:tc>
          <w:tcPr>
            <w:tcW w:w="5880" w:type="dxa"/>
            <w:tcBorders>
              <w:top w:val="single" w:sz="4" w:space="0" w:color="000000"/>
              <w:bottom w:val="single" w:sz="4" w:space="0" w:color="000000"/>
            </w:tcBorders>
          </w:tcPr>
          <w:p w14:paraId="12DBD11F" w14:textId="77777777" w:rsidR="0091081E"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 parțial.</w:t>
            </w:r>
          </w:p>
          <w:p w14:paraId="15F25B3F" w14:textId="77777777" w:rsidR="0091081E"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5 b</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se propune în următoarea redacție „interzicerea discriminării în temeiul criteriilor protejate, a violenței și a </w:t>
            </w:r>
            <w:r>
              <w:rPr>
                <w:rFonts w:ascii="Times New Roman" w:eastAsia="Times New Roman" w:hAnsi="Times New Roman" w:cs="Times New Roman"/>
                <w:highlight w:val="white"/>
              </w:rPr>
              <w:lastRenderedPageBreak/>
              <w:t>hărțuirii de orice natură în cadrul  raporturilor de muncă și a altor raporturi legate nemijlocit de acestea;</w:t>
            </w:r>
          </w:p>
          <w:p w14:paraId="0DA33038" w14:textId="77777777" w:rsidR="0091081E"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e) egalitatea în drepturi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în </w:t>
            </w:r>
            <w:proofErr w:type="spellStart"/>
            <w:r>
              <w:rPr>
                <w:rFonts w:ascii="Times New Roman" w:eastAsia="Times New Roman" w:hAnsi="Times New Roman" w:cs="Times New Roman"/>
                <w:highlight w:val="white"/>
              </w:rPr>
              <w:t>posibilităţi</w:t>
            </w:r>
            <w:proofErr w:type="spellEnd"/>
            <w:r>
              <w:rPr>
                <w:rFonts w:ascii="Times New Roman" w:eastAsia="Times New Roman" w:hAnsi="Times New Roman" w:cs="Times New Roman"/>
                <w:highlight w:val="white"/>
              </w:rPr>
              <w:t xml:space="preserve"> a </w:t>
            </w:r>
            <w:proofErr w:type="spellStart"/>
            <w:r>
              <w:rPr>
                <w:rFonts w:ascii="Times New Roman" w:eastAsia="Times New Roman" w:hAnsi="Times New Roman" w:cs="Times New Roman"/>
                <w:highlight w:val="white"/>
              </w:rPr>
              <w:t>salariaţilor</w:t>
            </w:r>
            <w:proofErr w:type="spellEnd"/>
            <w:r>
              <w:rPr>
                <w:rFonts w:ascii="Times New Roman" w:eastAsia="Times New Roman" w:hAnsi="Times New Roman" w:cs="Times New Roman"/>
                <w:highlight w:val="white"/>
              </w:rPr>
              <w:t xml:space="preserve"> în cadrul raporturilor de muncă și a altor raporturi legate nemijlocit de acestea;</w:t>
            </w:r>
          </w:p>
          <w:p w14:paraId="487D8DE3" w14:textId="77777777" w:rsidR="0091081E"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se renunță la modificarea art. 5 lit. g </w:t>
            </w:r>
          </w:p>
          <w:p w14:paraId="13B92A7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tc>
      </w:tr>
      <w:tr w:rsidR="0091081E" w14:paraId="709C56D5" w14:textId="77777777">
        <w:trPr>
          <w:trHeight w:val="1774"/>
        </w:trPr>
        <w:tc>
          <w:tcPr>
            <w:tcW w:w="555" w:type="dxa"/>
            <w:vMerge/>
          </w:tcPr>
          <w:p w14:paraId="27F85321" w14:textId="77777777" w:rsidR="0091081E" w:rsidRDefault="0091081E">
            <w:pPr>
              <w:widowControl w:val="0"/>
              <w:rPr>
                <w:rFonts w:ascii="Times New Roman" w:eastAsia="Times New Roman" w:hAnsi="Times New Roman" w:cs="Times New Roman"/>
                <w:highlight w:val="white"/>
              </w:rPr>
            </w:pPr>
          </w:p>
        </w:tc>
        <w:tc>
          <w:tcPr>
            <w:tcW w:w="2700" w:type="dxa"/>
            <w:vMerge/>
          </w:tcPr>
          <w:p w14:paraId="7C99D407"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bottom w:val="single" w:sz="4" w:space="0" w:color="000000"/>
            </w:tcBorders>
          </w:tcPr>
          <w:p w14:paraId="346815D7"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4) Art. 247¹ alin. (3): „Pentru a beneficia de dispensa prevăzută la alin. (1), salariatele gravide informează angajatorul și prezintă un document justificativ eliberat de instituția medico-sanitară competentă.” </w:t>
            </w:r>
          </w:p>
          <w:p w14:paraId="181AB858"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Pentru ca aceste articole să fie aplicate în spiritul respectării dreptului la viață privată și a evita o interpretare abuzivă, ar fi util de concretizat, fie prin o prevedere suplimentară la acest articol, fie prin Regulamentele de punere în aplicare, ce se înțelege prin „document justificativ” (ex. certificat medical standardizat), care să </w:t>
            </w:r>
            <w:proofErr w:type="spellStart"/>
            <w:r>
              <w:rPr>
                <w:rFonts w:ascii="Times New Roman" w:eastAsia="Times New Roman" w:hAnsi="Times New Roman" w:cs="Times New Roman"/>
                <w:highlight w:val="white"/>
              </w:rPr>
              <w:t>conțnă</w:t>
            </w:r>
            <w:proofErr w:type="spellEnd"/>
            <w:r>
              <w:rPr>
                <w:rFonts w:ascii="Times New Roman" w:eastAsia="Times New Roman" w:hAnsi="Times New Roman" w:cs="Times New Roman"/>
                <w:highlight w:val="white"/>
              </w:rPr>
              <w:t xml:space="preserve"> o informație limitată. Această concretizare o considerăm importantă pentru a preveni situații în care angajatorul solicită documente care să conțină detalii clinice, diagnostice specifice medicale și pentru a proteja confidențialitatea datelor medicale ale angajatei. </w:t>
            </w:r>
          </w:p>
          <w:p w14:paraId="541EB646"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Clarificarea modului în care se face „informarea angajatorului”. Pentru a evita hărțuirea sau blocajele administrative, se recomandă ca informarea să poată fi făcută prin orice mijloc de comunicare (inclusiv electronic), urmând ca documentul justificativ să fie prezentat ulterior.</w:t>
            </w:r>
          </w:p>
        </w:tc>
        <w:tc>
          <w:tcPr>
            <w:tcW w:w="5880" w:type="dxa"/>
            <w:tcBorders>
              <w:top w:val="single" w:sz="4" w:space="0" w:color="000000"/>
              <w:bottom w:val="single" w:sz="4" w:space="0" w:color="000000"/>
            </w:tcBorders>
          </w:tcPr>
          <w:p w14:paraId="39437F03"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6D6C58E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91081E" w14:paraId="081DD8D2" w14:textId="77777777">
        <w:trPr>
          <w:trHeight w:val="4770"/>
        </w:trPr>
        <w:tc>
          <w:tcPr>
            <w:tcW w:w="555" w:type="dxa"/>
            <w:vMerge/>
          </w:tcPr>
          <w:p w14:paraId="38BC2862" w14:textId="77777777" w:rsidR="0091081E" w:rsidRDefault="0091081E">
            <w:pPr>
              <w:widowControl w:val="0"/>
              <w:rPr>
                <w:rFonts w:ascii="Times New Roman" w:eastAsia="Times New Roman" w:hAnsi="Times New Roman" w:cs="Times New Roman"/>
                <w:highlight w:val="white"/>
              </w:rPr>
            </w:pPr>
          </w:p>
        </w:tc>
        <w:tc>
          <w:tcPr>
            <w:tcW w:w="2700" w:type="dxa"/>
            <w:vMerge/>
          </w:tcPr>
          <w:p w14:paraId="25660CF2" w14:textId="77777777" w:rsidR="0091081E" w:rsidRDefault="0091081E">
            <w:pPr>
              <w:widowControl w:val="0"/>
              <w:rPr>
                <w:rFonts w:ascii="Times New Roman" w:eastAsia="Times New Roman" w:hAnsi="Times New Roman" w:cs="Times New Roman"/>
                <w:highlight w:val="white"/>
              </w:rPr>
            </w:pPr>
          </w:p>
        </w:tc>
        <w:tc>
          <w:tcPr>
            <w:tcW w:w="5880" w:type="dxa"/>
            <w:tcBorders>
              <w:top w:val="single" w:sz="4" w:space="0" w:color="000000"/>
            </w:tcBorders>
          </w:tcPr>
          <w:p w14:paraId="570B757B"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IV. – Codul contravențional al Republicii Moldova 5). Proiectul propune introducerea unei contravenții noi prin articolul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din Codului contravențional, însă nu se reglementează autoritatea competentă care să constate contravenția și să aplice sancțiunea contravențională.</w:t>
            </w:r>
          </w:p>
          <w:p w14:paraId="6DA6DA27"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Or, în materie contravențională este esențial ca norma juridică să stabilească în mod clar nu doar fapta contravențională și sancțiunea, ci și organul competent să constate și să sancționeze contravenția, pentru a asigura previzibilitatea și aplicarea efectivă a legii. </w:t>
            </w:r>
          </w:p>
          <w:p w14:paraId="350C0EA4"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Lipsa unei asemenea precizări poate genera incertitudine în practică cu privire la competența autorităților, precum și riscul contestării </w:t>
            </w:r>
            <w:proofErr w:type="spellStart"/>
            <w:r>
              <w:rPr>
                <w:rFonts w:ascii="Times New Roman" w:eastAsia="Times New Roman" w:hAnsi="Times New Roman" w:cs="Times New Roman"/>
                <w:highlight w:val="white"/>
              </w:rPr>
              <w:t>proceselorverbale</w:t>
            </w:r>
            <w:proofErr w:type="spellEnd"/>
            <w:r>
              <w:rPr>
                <w:rFonts w:ascii="Times New Roman" w:eastAsia="Times New Roman" w:hAnsi="Times New Roman" w:cs="Times New Roman"/>
                <w:highlight w:val="white"/>
              </w:rPr>
              <w:t xml:space="preserve"> de contravenție pentru lipsa competenței agentului constatator. </w:t>
            </w:r>
          </w:p>
          <w:p w14:paraId="2A9A88D0"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aceste condiții, se impune clarificarea expresă a autorității competente, astfel încât aplicarea normei contravenționale să fie clară și conformă principiilor securității juridice.</w:t>
            </w:r>
          </w:p>
        </w:tc>
        <w:tc>
          <w:tcPr>
            <w:tcW w:w="5880" w:type="dxa"/>
            <w:tcBorders>
              <w:top w:val="single" w:sz="4" w:space="0" w:color="000000"/>
            </w:tcBorders>
          </w:tcPr>
          <w:p w14:paraId="057F683C"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03CE830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Proiectul de lege, la Art. I pct. 2, prevede următoarele:</w:t>
            </w:r>
          </w:p>
          <w:p w14:paraId="2484F34B"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4 se completează cu alin. (3) cu următorul cuprins:</w:t>
            </w:r>
          </w:p>
          <w:p w14:paraId="1B7638A0"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În vederea aplicării Legii privind detașarea salariaților în cadrul prestării de servicii, Inspectoratul de Stat al Muncii exercită, în special, următoarele atribuții:</w:t>
            </w:r>
          </w:p>
          <w:p w14:paraId="2167045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 constată contravențiile pentru încălcarea prevederilor Legii privind detașarea salariaților în cadrul prestării de servicii transnaționale;</w:t>
            </w:r>
          </w:p>
        </w:tc>
      </w:tr>
      <w:tr w:rsidR="0091081E" w14:paraId="64958B5F" w14:textId="77777777">
        <w:trPr>
          <w:trHeight w:val="600"/>
        </w:trPr>
        <w:tc>
          <w:tcPr>
            <w:tcW w:w="555" w:type="dxa"/>
            <w:vMerge w:val="restart"/>
          </w:tcPr>
          <w:p w14:paraId="7C139CA5" w14:textId="77777777" w:rsidR="0091081E" w:rsidRDefault="0091081E">
            <w:pPr>
              <w:numPr>
                <w:ilvl w:val="0"/>
                <w:numId w:val="4"/>
              </w:numPr>
              <w:spacing w:line="240" w:lineRule="auto"/>
              <w:ind w:hanging="338"/>
              <w:rPr>
                <w:rFonts w:ascii="Times New Roman" w:eastAsia="Times New Roman" w:hAnsi="Times New Roman" w:cs="Times New Roman"/>
                <w:b/>
                <w:bCs/>
              </w:rPr>
            </w:pPr>
          </w:p>
        </w:tc>
        <w:tc>
          <w:tcPr>
            <w:tcW w:w="2700" w:type="dxa"/>
            <w:vMerge w:val="restart"/>
          </w:tcPr>
          <w:p w14:paraId="176D542A"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Consiliul pentru egalitate </w:t>
            </w:r>
          </w:p>
          <w:p w14:paraId="58428A3A"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Nr. 04/439 </w:t>
            </w:r>
          </w:p>
          <w:p w14:paraId="0BBDAB0A"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19.03.2026</w:t>
            </w:r>
          </w:p>
        </w:tc>
        <w:tc>
          <w:tcPr>
            <w:tcW w:w="5880" w:type="dxa"/>
          </w:tcPr>
          <w:p w14:paraId="06575B8E" w14:textId="77777777" w:rsidR="0091081E" w:rsidRDefault="00000000">
            <w:pPr>
              <w:spacing w:line="240" w:lineRule="auto"/>
              <w:jc w:val="both"/>
              <w:rPr>
                <w:rFonts w:ascii="Times New Roman" w:eastAsia="Times New Roman" w:hAnsi="Times New Roman" w:cs="Times New Roman"/>
                <w:highlight w:val="white"/>
                <w:u w:val="single"/>
              </w:rPr>
            </w:pPr>
            <w:r>
              <w:rPr>
                <w:rFonts w:ascii="Times New Roman" w:eastAsia="Times New Roman" w:hAnsi="Times New Roman" w:cs="Times New Roman"/>
                <w:b/>
                <w:bCs/>
                <w:highlight w:val="white"/>
              </w:rPr>
              <w:t>1)</w:t>
            </w:r>
            <w:r>
              <w:rPr>
                <w:rFonts w:ascii="Times New Roman" w:eastAsia="Times New Roman" w:hAnsi="Times New Roman" w:cs="Times New Roman"/>
                <w:highlight w:val="white"/>
              </w:rPr>
              <w:t xml:space="preserve"> Consiliul reține că la Art. II pct. 3 al proiectului, se propune modificarea literelor b1 ), e) și g) din cadrul art. 5 al Codului muncii. În această privință, Consiliul atrage atenția asupra faptului că textul literelor e) și g), așa cum este expus în proiect, se dublează reciproc, or textul lit. e) prevede </w:t>
            </w:r>
            <w:r>
              <w:rPr>
                <w:rFonts w:ascii="Times New Roman" w:eastAsia="Times New Roman" w:hAnsi="Times New Roman" w:cs="Times New Roman"/>
                <w:highlight w:val="white"/>
                <w:u w:val="single"/>
              </w:rPr>
              <w:t xml:space="preserve">egalitatea în drepturi </w:t>
            </w:r>
            <w:proofErr w:type="spellStart"/>
            <w:r>
              <w:rPr>
                <w:rFonts w:ascii="Times New Roman" w:eastAsia="Times New Roman" w:hAnsi="Times New Roman" w:cs="Times New Roman"/>
                <w:highlight w:val="white"/>
                <w:u w:val="single"/>
              </w:rPr>
              <w:t>şi</w:t>
            </w:r>
            <w:proofErr w:type="spellEnd"/>
            <w:r>
              <w:rPr>
                <w:rFonts w:ascii="Times New Roman" w:eastAsia="Times New Roman" w:hAnsi="Times New Roman" w:cs="Times New Roman"/>
                <w:highlight w:val="white"/>
                <w:u w:val="single"/>
              </w:rPr>
              <w:t xml:space="preserve"> în posibilități a salariaților în cadrul raporturilor de muncă și a altor raporturi legate nemijlocit de acestea după cum este descris la art. 8 din prezentul Cod</w:t>
            </w:r>
            <w:r>
              <w:rPr>
                <w:rFonts w:ascii="Times New Roman" w:eastAsia="Times New Roman" w:hAnsi="Times New Roman" w:cs="Times New Roman"/>
                <w:highlight w:val="white"/>
              </w:rPr>
              <w:t xml:space="preserve">; în timp ce textul lit. g) reiterează drept principiu </w:t>
            </w:r>
            <w:r>
              <w:rPr>
                <w:rFonts w:ascii="Times New Roman" w:eastAsia="Times New Roman" w:hAnsi="Times New Roman" w:cs="Times New Roman"/>
                <w:highlight w:val="white"/>
                <w:u w:val="single"/>
              </w:rPr>
              <w:t>asigurarea egalității de tratament după cum este descris la art. 8 din prezentul Cod.</w:t>
            </w:r>
          </w:p>
          <w:p w14:paraId="605FFD8C" w14:textId="77777777" w:rsidR="0091081E"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În context, Consiliul notează că potrivit art. 2 alin. (1) al Directivei 2000/78/CE a Consiliului din 27 noiembrie 2000 de creare a unui cadru general în favoarea egalității de tratament în ceea ce privește încadrarea în muncă și ocuparea forței de muncă, </w:t>
            </w:r>
            <w:r>
              <w:rPr>
                <w:rFonts w:ascii="Times New Roman" w:eastAsia="Times New Roman" w:hAnsi="Times New Roman" w:cs="Times New Roman"/>
                <w:highlight w:val="white"/>
                <w:u w:val="single"/>
              </w:rPr>
              <w:t xml:space="preserve">prin principiul egalității de tratament se înțelege absența oricărei discriminări directe sau indirecte, bazate pe unul din motivele </w:t>
            </w:r>
            <w:r>
              <w:rPr>
                <w:rFonts w:ascii="Times New Roman" w:eastAsia="Times New Roman" w:hAnsi="Times New Roman" w:cs="Times New Roman"/>
                <w:highlight w:val="white"/>
                <w:u w:val="single"/>
              </w:rPr>
              <w:lastRenderedPageBreak/>
              <w:t>menționate la articolul 1</w:t>
            </w:r>
            <w:r>
              <w:rPr>
                <w:rFonts w:ascii="Times New Roman" w:eastAsia="Times New Roman" w:hAnsi="Times New Roman" w:cs="Times New Roman"/>
                <w:highlight w:val="white"/>
              </w:rPr>
              <w:t xml:space="preserve"> (al Directivei). Pornind de la aceste prevederi de referință, notăm că interzicerea discriminării, în temeiul criteriilor și circumstanțelor descrise la art. 8 din prezentul Cod, este prevăzută la lit. b</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a art. 5 în redacția proiectului, fapt din care rezultă consacrarea principiului egalității de tratament, fără a fi necesară o mențiune repetată în acest sens. Din aceste considerente, precum și având în vedere că principiile prevăzute la lit. b</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și e) ale art. 5 din Codul muncii, în redacția proiectului, prevăd atât interzicerea oricărei discriminări bazate pe criteriile prevăzute la art. 8, cât și egalitatea în drepturi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în </w:t>
            </w:r>
            <w:proofErr w:type="spellStart"/>
            <w:r>
              <w:rPr>
                <w:rFonts w:ascii="Times New Roman" w:eastAsia="Times New Roman" w:hAnsi="Times New Roman" w:cs="Times New Roman"/>
                <w:highlight w:val="white"/>
              </w:rPr>
              <w:t>posibilităţi</w:t>
            </w:r>
            <w:proofErr w:type="spellEnd"/>
            <w:r>
              <w:rPr>
                <w:rFonts w:ascii="Times New Roman" w:eastAsia="Times New Roman" w:hAnsi="Times New Roman" w:cs="Times New Roman"/>
                <w:highlight w:val="white"/>
              </w:rPr>
              <w:t xml:space="preserve"> a </w:t>
            </w:r>
            <w:proofErr w:type="spellStart"/>
            <w:r>
              <w:rPr>
                <w:rFonts w:ascii="Times New Roman" w:eastAsia="Times New Roman" w:hAnsi="Times New Roman" w:cs="Times New Roman"/>
                <w:highlight w:val="white"/>
              </w:rPr>
              <w:t>salariaţilor</w:t>
            </w:r>
            <w:proofErr w:type="spellEnd"/>
            <w:r>
              <w:rPr>
                <w:rFonts w:ascii="Times New Roman" w:eastAsia="Times New Roman" w:hAnsi="Times New Roman" w:cs="Times New Roman"/>
                <w:highlight w:val="white"/>
              </w:rPr>
              <w:t xml:space="preserve"> în cadrul raporturilor de muncă și a altor raporturi legate nemijlocit de acestea, </w:t>
            </w:r>
            <w:r>
              <w:rPr>
                <w:rFonts w:ascii="Times New Roman" w:eastAsia="Times New Roman" w:hAnsi="Times New Roman" w:cs="Times New Roman"/>
                <w:b/>
                <w:bCs/>
                <w:highlight w:val="white"/>
              </w:rPr>
              <w:t>Consiliul propune abrogarea lit. g) din cadrul art. 5 al Codului muncii nr. 154/2003.</w:t>
            </w:r>
          </w:p>
        </w:tc>
        <w:tc>
          <w:tcPr>
            <w:tcW w:w="5880" w:type="dxa"/>
          </w:tcPr>
          <w:p w14:paraId="5D8ECF15" w14:textId="77777777" w:rsidR="0091081E" w:rsidRDefault="00000000">
            <w:pPr>
              <w:shd w:val="clear" w:color="auto" w:fill="FFFFFF"/>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respinge</w:t>
            </w:r>
          </w:p>
          <w:p w14:paraId="4AAB2FB2" w14:textId="77777777" w:rsidR="0091081E" w:rsidRDefault="0091081E">
            <w:pPr>
              <w:shd w:val="clear" w:color="auto" w:fill="FFFFFF"/>
              <w:jc w:val="both"/>
              <w:rPr>
                <w:rFonts w:ascii="Times New Roman" w:eastAsia="Times New Roman" w:hAnsi="Times New Roman" w:cs="Times New Roman"/>
                <w:highlight w:val="white"/>
              </w:rPr>
            </w:pPr>
          </w:p>
          <w:p w14:paraId="24519C0D" w14:textId="77777777" w:rsidR="0091081E"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ia act de observațiile formulate de Consiliu cu privire la posibila suprapunere între dispozițiile art. 5 lit. e) și lit. g) din Codul muncii al Republicii Moldova. În acest context, se precizează că, în cadrul definitivării proiectului, s-a renunțat la modificarea lit. g), aceasta urmând să rămână în redactarea actuală.</w:t>
            </w:r>
          </w:p>
          <w:p w14:paraId="69DC7723" w14:textId="77777777" w:rsidR="0091081E"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aceste condiții, intervenția legislativă nu mai generează riscul unei eventuale dublări normative, întrucât textul lit. g) nu este afectat de modificările propuse, iar coerența internă a art. 5 se menține în forma existentă. Totodată, menținerea acestei </w:t>
            </w:r>
            <w:r>
              <w:rPr>
                <w:rFonts w:ascii="Times New Roman" w:eastAsia="Times New Roman" w:hAnsi="Times New Roman" w:cs="Times New Roman"/>
                <w:highlight w:val="white"/>
              </w:rPr>
              <w:lastRenderedPageBreak/>
              <w:t>dispoziții permite păstrarea unei formulări distincte a principiului egalității de tratament, în linie cu sensul consacrat de Directiva 2000/78/CE.</w:t>
            </w:r>
          </w:p>
          <w:p w14:paraId="49D36071" w14:textId="77777777" w:rsidR="0091081E"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Prin urmare, având în vedere ajustările operate asupra proiectului, se apreciază că obiecția formulată nu mai subzistă.</w:t>
            </w:r>
          </w:p>
          <w:p w14:paraId="4D27AA03" w14:textId="77777777" w:rsidR="0091081E" w:rsidRDefault="0091081E">
            <w:pPr>
              <w:shd w:val="clear" w:color="auto" w:fill="FFFFFF"/>
              <w:jc w:val="both"/>
              <w:rPr>
                <w:rFonts w:ascii="Times New Roman" w:eastAsia="Times New Roman" w:hAnsi="Times New Roman" w:cs="Times New Roman"/>
                <w:highlight w:val="white"/>
              </w:rPr>
            </w:pPr>
          </w:p>
          <w:p w14:paraId="05B2229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1DE4B04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sz w:val="28"/>
                <w:szCs w:val="28"/>
                <w:highlight w:val="white"/>
              </w:rPr>
            </w:pPr>
          </w:p>
          <w:p w14:paraId="694A5B1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sz w:val="28"/>
                <w:szCs w:val="28"/>
                <w:highlight w:val="white"/>
              </w:rPr>
            </w:pPr>
          </w:p>
        </w:tc>
      </w:tr>
      <w:tr w:rsidR="0091081E" w14:paraId="3D1EB74B" w14:textId="77777777">
        <w:trPr>
          <w:trHeight w:val="600"/>
        </w:trPr>
        <w:tc>
          <w:tcPr>
            <w:tcW w:w="555" w:type="dxa"/>
            <w:vMerge/>
          </w:tcPr>
          <w:p w14:paraId="5810ABAE" w14:textId="77777777" w:rsidR="0091081E" w:rsidRDefault="0091081E">
            <w:pPr>
              <w:spacing w:line="240" w:lineRule="auto"/>
              <w:ind w:left="360" w:hanging="338"/>
              <w:rPr>
                <w:rFonts w:ascii="Times New Roman" w:eastAsia="Times New Roman" w:hAnsi="Times New Roman" w:cs="Times New Roman"/>
                <w:b/>
                <w:bCs/>
              </w:rPr>
            </w:pPr>
          </w:p>
        </w:tc>
        <w:tc>
          <w:tcPr>
            <w:tcW w:w="2700" w:type="dxa"/>
            <w:vMerge/>
          </w:tcPr>
          <w:p w14:paraId="129708D5" w14:textId="77777777" w:rsidR="0091081E" w:rsidRDefault="0091081E">
            <w:pPr>
              <w:spacing w:line="240" w:lineRule="auto"/>
              <w:jc w:val="center"/>
              <w:rPr>
                <w:rFonts w:ascii="Times New Roman" w:eastAsia="Times New Roman" w:hAnsi="Times New Roman" w:cs="Times New Roman"/>
              </w:rPr>
            </w:pPr>
          </w:p>
        </w:tc>
        <w:tc>
          <w:tcPr>
            <w:tcW w:w="5880" w:type="dxa"/>
          </w:tcPr>
          <w:p w14:paraId="473A85F5"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2.</w:t>
            </w:r>
            <w:r>
              <w:rPr>
                <w:rFonts w:ascii="Times New Roman" w:eastAsia="Times New Roman" w:hAnsi="Times New Roman" w:cs="Times New Roman"/>
                <w:highlight w:val="white"/>
              </w:rPr>
              <w:t xml:space="preserve"> În continuare, la Art. II pct. 4 al proiectului, se propune modificarea art. 8 din Codul Muncii nr. 154/2003. Potrivit alin. (1) al art. 8 în redacția proiectului, „În cadrul raporturilor de muncă și a altor raporturi legate nemijlocit de acestea se aplică principiul egalității de tratament. Orice discriminare, directă sau indirectă, a salariatului pe criterii de sex, vârstă sau orientare sexuală, rasă, culoare a pielii, etnie, apartenență religioasă sau convingeri, </w:t>
            </w:r>
            <w:proofErr w:type="spellStart"/>
            <w:r>
              <w:rPr>
                <w:rFonts w:ascii="Times New Roman" w:eastAsia="Times New Roman" w:hAnsi="Times New Roman" w:cs="Times New Roman"/>
                <w:highlight w:val="white"/>
              </w:rPr>
              <w:t>opţiune</w:t>
            </w:r>
            <w:proofErr w:type="spellEnd"/>
            <w:r>
              <w:rPr>
                <w:rFonts w:ascii="Times New Roman" w:eastAsia="Times New Roman" w:hAnsi="Times New Roman" w:cs="Times New Roman"/>
                <w:highlight w:val="white"/>
              </w:rPr>
              <w:t xml:space="preserve"> politică, origine socială, domiciliu, dizabilitate, infectare cu HIV/SIDA, </w:t>
            </w:r>
            <w:proofErr w:type="spellStart"/>
            <w:r>
              <w:rPr>
                <w:rFonts w:ascii="Times New Roman" w:eastAsia="Times New Roman" w:hAnsi="Times New Roman" w:cs="Times New Roman"/>
                <w:highlight w:val="white"/>
              </w:rPr>
              <w:t>apartenenţă</w:t>
            </w:r>
            <w:proofErr w:type="spellEnd"/>
            <w:r>
              <w:rPr>
                <w:rFonts w:ascii="Times New Roman" w:eastAsia="Times New Roman" w:hAnsi="Times New Roman" w:cs="Times New Roman"/>
                <w:highlight w:val="white"/>
              </w:rPr>
              <w:t xml:space="preserve"> sau activitate sindicală și criteriile stabilite prin Legea nr. 121/2012 cu privire la asigurarea egalității, precum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pe alte criterii nelegate de calitățile sale profesionale, este interzisă.</w:t>
            </w:r>
          </w:p>
          <w:p w14:paraId="2B31D2C9"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această privință, Consiliul atrage atenția asupra faptului că modificarea propusă interzice doar discriminarea directă și indirectă a salariatului, în timp ce potrivit art. 2 alin. (3) și (4) al Directivei 2000/78/CE de creare a unui cadru general în favoarea egalității de tratament în ceea ce privește încadrarea în muncă și ocuparea forței de muncă, hărțuirea și ordinul de a discrimina </w:t>
            </w:r>
            <w:r>
              <w:rPr>
                <w:rFonts w:ascii="Times New Roman" w:eastAsia="Times New Roman" w:hAnsi="Times New Roman" w:cs="Times New Roman"/>
                <w:highlight w:val="white"/>
              </w:rPr>
              <w:lastRenderedPageBreak/>
              <w:t xml:space="preserve">(instigarea la discriminare) sunt considerate în egală măsură forme ale discriminării și urmează a fi interzise. </w:t>
            </w:r>
          </w:p>
          <w:p w14:paraId="31702723"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Astfel, în vederea asigurării protecției salariaților împotriva tuturor formelor discriminării, nu doar discriminării directe sau indirecte, Consiliul propune excluderea textului “,directă sau indirectă,” din conținutul art. 8 alin. (1) în redacția proiectului.</w:t>
            </w:r>
          </w:p>
          <w:p w14:paraId="369A3372" w14:textId="77777777" w:rsidR="0091081E"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De asemenea, Consiliul reține că majoritatea criteriilor protejate enumerate în conținutul art. 8 alin. (1) în redacția proiectului se regăsesc deja în conținutul art. 1 al Legii nr. 121/2012, motiv pentru care nu este clară indicarea expresă selectivă a criteriilor protejate în baza cărora este interzisă discriminarea. Având în vedere considerentele expuse mai sus, Consiliul propune expunerea art. 8 alin. (1) după cum urmează: </w:t>
            </w:r>
            <w:r>
              <w:rPr>
                <w:rFonts w:ascii="Times New Roman" w:eastAsia="Times New Roman" w:hAnsi="Times New Roman" w:cs="Times New Roman"/>
                <w:b/>
                <w:bCs/>
                <w:highlight w:val="white"/>
              </w:rPr>
              <w:t xml:space="preserve">„În cadrul raporturilor de muncă și a altor raporturi legate nemijlocit de acestea se aplică principiul egalității de tratament. Orice discriminare a salariatului pe criteriile stabilite prin Legea nr. 121/2012 cu privire la asigurarea egalității, precum </w:t>
            </w:r>
            <w:proofErr w:type="spellStart"/>
            <w:r>
              <w:rPr>
                <w:rFonts w:ascii="Times New Roman" w:eastAsia="Times New Roman" w:hAnsi="Times New Roman" w:cs="Times New Roman"/>
                <w:b/>
                <w:bCs/>
                <w:highlight w:val="white"/>
              </w:rPr>
              <w:t>şi</w:t>
            </w:r>
            <w:proofErr w:type="spellEnd"/>
            <w:r>
              <w:rPr>
                <w:rFonts w:ascii="Times New Roman" w:eastAsia="Times New Roman" w:hAnsi="Times New Roman" w:cs="Times New Roman"/>
                <w:b/>
                <w:bCs/>
                <w:highlight w:val="white"/>
              </w:rPr>
              <w:t xml:space="preserve"> pe criterii de domiciliu, opțiune politică, apartenență sau activitate sindicală sau alte criterii nelegate de calitățile sale profesionale este interzisă. </w:t>
            </w:r>
          </w:p>
        </w:tc>
        <w:tc>
          <w:tcPr>
            <w:tcW w:w="5880" w:type="dxa"/>
          </w:tcPr>
          <w:p w14:paraId="54B46C10"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lastRenderedPageBreak/>
              <w:t xml:space="preserve">se acceptă </w:t>
            </w:r>
            <w:r>
              <w:rPr>
                <w:rFonts w:ascii="Times New Roman" w:eastAsia="Times New Roman" w:hAnsi="Times New Roman" w:cs="Times New Roman"/>
                <w:highlight w:val="white"/>
              </w:rPr>
              <w:t>expunerea art. 8 alin. (1) după cum urmează</w:t>
            </w:r>
          </w:p>
          <w:p w14:paraId="28A27EE0" w14:textId="77777777" w:rsidR="0091081E" w:rsidRDefault="00000000">
            <w:pPr>
              <w:spacing w:line="240" w:lineRule="auto"/>
              <w:ind w:firstLine="705"/>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cadrul raporturilor de muncă </w:t>
            </w:r>
            <w:r>
              <w:rPr>
                <w:rFonts w:ascii="Times New Roman" w:eastAsia="Times New Roman" w:hAnsi="Times New Roman" w:cs="Times New Roman"/>
                <w:b/>
                <w:bCs/>
                <w:highlight w:val="white"/>
              </w:rPr>
              <w:t xml:space="preserve">și a altor raporturi legate nemijlocit de acestea se aplică principiul egalității de tratament. Orice discriminare a salariatului pe criteriile protejate, stabilite prin Legea nr. 121/2012 cu privire la asigurarea egalității, precum </w:t>
            </w:r>
            <w:proofErr w:type="spellStart"/>
            <w:r>
              <w:rPr>
                <w:rFonts w:ascii="Times New Roman" w:eastAsia="Times New Roman" w:hAnsi="Times New Roman" w:cs="Times New Roman"/>
                <w:b/>
                <w:bCs/>
                <w:highlight w:val="white"/>
              </w:rPr>
              <w:t>şi</w:t>
            </w:r>
            <w:proofErr w:type="spellEnd"/>
            <w:r>
              <w:rPr>
                <w:rFonts w:ascii="Times New Roman" w:eastAsia="Times New Roman" w:hAnsi="Times New Roman" w:cs="Times New Roman"/>
                <w:b/>
                <w:bCs/>
                <w:highlight w:val="white"/>
              </w:rPr>
              <w:t xml:space="preserve"> pe criterii de domiciliu, opțiune politică, </w:t>
            </w:r>
            <w:r>
              <w:rPr>
                <w:rFonts w:ascii="Times New Roman" w:eastAsia="Times New Roman" w:hAnsi="Times New Roman" w:cs="Times New Roman"/>
                <w:highlight w:val="white"/>
              </w:rPr>
              <w:t>apartenență sau activitate sindicală sau alte criterii nelegate de calitățile sale profesionale, este interzisă.”</w:t>
            </w:r>
          </w:p>
          <w:p w14:paraId="7CEA21C7" w14:textId="77777777" w:rsidR="0091081E" w:rsidRDefault="0091081E">
            <w:pPr>
              <w:spacing w:line="240" w:lineRule="auto"/>
              <w:jc w:val="both"/>
              <w:rPr>
                <w:rFonts w:ascii="Times New Roman" w:eastAsia="Times New Roman" w:hAnsi="Times New Roman" w:cs="Times New Roman"/>
                <w:highlight w:val="white"/>
              </w:rPr>
            </w:pPr>
          </w:p>
        </w:tc>
      </w:tr>
      <w:tr w:rsidR="0091081E" w14:paraId="3D383D39" w14:textId="77777777">
        <w:trPr>
          <w:trHeight w:val="600"/>
        </w:trPr>
        <w:tc>
          <w:tcPr>
            <w:tcW w:w="555" w:type="dxa"/>
            <w:vMerge/>
          </w:tcPr>
          <w:p w14:paraId="5E6A9694" w14:textId="77777777" w:rsidR="0091081E" w:rsidRDefault="0091081E">
            <w:pPr>
              <w:spacing w:line="240" w:lineRule="auto"/>
              <w:ind w:left="360" w:hanging="338"/>
              <w:rPr>
                <w:rFonts w:ascii="Times New Roman" w:eastAsia="Times New Roman" w:hAnsi="Times New Roman" w:cs="Times New Roman"/>
                <w:b/>
                <w:bCs/>
              </w:rPr>
            </w:pPr>
          </w:p>
        </w:tc>
        <w:tc>
          <w:tcPr>
            <w:tcW w:w="2700" w:type="dxa"/>
            <w:vMerge/>
          </w:tcPr>
          <w:p w14:paraId="3A1F9FE8" w14:textId="77777777" w:rsidR="0091081E" w:rsidRDefault="0091081E">
            <w:pPr>
              <w:spacing w:line="240" w:lineRule="auto"/>
              <w:jc w:val="center"/>
              <w:rPr>
                <w:rFonts w:ascii="Times New Roman" w:eastAsia="Times New Roman" w:hAnsi="Times New Roman" w:cs="Times New Roman"/>
              </w:rPr>
            </w:pPr>
          </w:p>
        </w:tc>
        <w:tc>
          <w:tcPr>
            <w:tcW w:w="5880" w:type="dxa"/>
          </w:tcPr>
          <w:p w14:paraId="6A464F96"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3.</w:t>
            </w:r>
            <w:r>
              <w:rPr>
                <w:rFonts w:ascii="Times New Roman" w:eastAsia="Times New Roman" w:hAnsi="Times New Roman" w:cs="Times New Roman"/>
                <w:highlight w:val="white"/>
              </w:rPr>
              <w:t xml:space="preserve"> În continuare, potrivit prevederilor alin. (1</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în redacția propusă de proiect, prevederile alineatului (1) se aplică tuturor persoanelor, atât în sectorul public, cât și în cel privat. În privința extinderii domeniului de aplicare a principiului egalității de tratament asupra salariaților din sectorul public, urmează a se lua în considerare faptul că modificările propuse sunt în contradicție cu prevederile art. 3 ale Codului muncii nr. 154/2003, care stabilesc domeniul de aplicare a Codului muncii. De menționat că salariații din sectorul public, care sunt angajați printr-un act administrativ de numire, nu se regăsesc printre categoriile de salariați enumerați la art. 3. </w:t>
            </w:r>
          </w:p>
          <w:p w14:paraId="26681233"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De altfel, Consiliul consideră inoportună stabilirea prin alin. (1</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în redacția proiectului, a unei liste exhaustive a aspectelor în legătură cu care se aplică principiul egalității de tratament și interdicția oricărei discriminări. Or, prin această abordare, există riscul neacoperirii unor aspecte reglementate de Codul muncii prin omiterea includerii acestora în lista prevăzută la art. 8 alin. (1</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De altfel, dispozițiile art. 8 alin. (1) în redacția proiectului stabilește aplicarea principiului egalității și interdicția oricărei discriminări în cadrul raporturilor de muncă și a altor raporturi legate nemijlocit de acestea. De asemenea, urmează a fi luat în considerare faptul că Curtea de Justiție a Uniunii Europene poate extinde domeniul material de aplicare al directivelor europene. În ceea ce privește art. 3 din Directiva 2000/78/CE, un exemplu relevant este cauza C-81/12 Asociația Accept împotriva Consiliului Național pentru Combaterea Discriminării, în care Curtea a clarificat faptul că noțiunea de „condiții de acces la încadrare în muncă” de la articolul 3 alineatul (1) litera (a) poate include declarațiile publice ale unui angajator, chiar și în absența unei proceduri de recrutare, cu condiția ca acestea să se refere, de fapt, la politica de recrutare a unei întreprinderi.</w:t>
            </w:r>
          </w:p>
        </w:tc>
        <w:tc>
          <w:tcPr>
            <w:tcW w:w="5880" w:type="dxa"/>
          </w:tcPr>
          <w:p w14:paraId="018EE6CD"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623909C2"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Domeniul de aplicare a prevederilor care garantează implementarea Directivelor 2000.78 și 2000.43 urmează să fie stabilit în legea specială (nr. 121/2012 cu privire la  cu privire la asigurarea egalității) conform recomandărilor experților UE.</w:t>
            </w:r>
          </w:p>
          <w:p w14:paraId="413835A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46F861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576DC57"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1BEFEF37"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Alin. (1</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are rolul de a prelua și transpune în mod fidel art. 3 alin. (1) din Directiva 2000/78/CE, care utilizează o enumerare a principalelor domenii de aplicare ale principiului egalității de tratament în materie de muncă și ocupare a forței de muncă.</w:t>
            </w:r>
          </w:p>
          <w:p w14:paraId="5EB8E34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5F2F905"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05482EC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91081E" w14:paraId="0154A2DB" w14:textId="77777777">
        <w:trPr>
          <w:trHeight w:val="600"/>
        </w:trPr>
        <w:tc>
          <w:tcPr>
            <w:tcW w:w="555" w:type="dxa"/>
            <w:vMerge/>
          </w:tcPr>
          <w:p w14:paraId="319189E0" w14:textId="77777777" w:rsidR="0091081E" w:rsidRDefault="0091081E">
            <w:pPr>
              <w:spacing w:line="240" w:lineRule="auto"/>
              <w:rPr>
                <w:rFonts w:ascii="Times New Roman" w:eastAsia="Times New Roman" w:hAnsi="Times New Roman" w:cs="Times New Roman"/>
                <w:b/>
                <w:bCs/>
              </w:rPr>
            </w:pPr>
          </w:p>
        </w:tc>
        <w:tc>
          <w:tcPr>
            <w:tcW w:w="2700" w:type="dxa"/>
            <w:vMerge/>
          </w:tcPr>
          <w:p w14:paraId="37632BDE" w14:textId="77777777" w:rsidR="0091081E" w:rsidRDefault="0091081E">
            <w:pPr>
              <w:spacing w:line="240" w:lineRule="auto"/>
              <w:jc w:val="center"/>
              <w:rPr>
                <w:rFonts w:ascii="Times New Roman" w:eastAsia="Times New Roman" w:hAnsi="Times New Roman" w:cs="Times New Roman"/>
              </w:rPr>
            </w:pPr>
          </w:p>
        </w:tc>
        <w:tc>
          <w:tcPr>
            <w:tcW w:w="5880" w:type="dxa"/>
          </w:tcPr>
          <w:p w14:paraId="7296C727"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4.</w:t>
            </w:r>
            <w:r>
              <w:rPr>
                <w:rFonts w:ascii="Times New Roman" w:eastAsia="Times New Roman" w:hAnsi="Times New Roman" w:cs="Times New Roman"/>
                <w:highlight w:val="white"/>
              </w:rPr>
              <w:t xml:space="preserve"> În continuare, Consiliul reține că potrivit art. 8 alin. (2) în redacția proiectului „Nu constituie discriminare stabilirea unor </w:t>
            </w:r>
            <w:proofErr w:type="spellStart"/>
            <w:r>
              <w:rPr>
                <w:rFonts w:ascii="Times New Roman" w:eastAsia="Times New Roman" w:hAnsi="Times New Roman" w:cs="Times New Roman"/>
                <w:highlight w:val="white"/>
              </w:rPr>
              <w:t>diferenţieri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excepţii</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preferinţe</w:t>
            </w:r>
            <w:proofErr w:type="spellEnd"/>
            <w:r>
              <w:rPr>
                <w:rFonts w:ascii="Times New Roman" w:eastAsia="Times New Roman" w:hAnsi="Times New Roman" w:cs="Times New Roman"/>
                <w:highlight w:val="white"/>
              </w:rPr>
              <w:t xml:space="preserve"> determinate de o cerință profesională esențială și determinantă, cu condiția ca această dispoziție, acest criteriu sau această practică este obiectiv justificată de un obiectiv legitim, iar mijloacele de realizare a acestui obiectiv nu sunt adecvate și necesare.”</w:t>
            </w:r>
          </w:p>
          <w:p w14:paraId="1D630567"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această privință, art. 4 alin. (1) al Directivei 2000/78/CE stabilește că statele membre pot să prevadă că un tratament diferențiat bazat pe o caracteristică legată de unul dintre motivele prevăzute la articolul 1 nu constituie o discriminare atunci când, având în vedere natura unei activități profesionale sau condițiile de exercitare a acesteia, caracteristica în cauză constituie o cerință profesională esențială și determinantă, astfel încât obiectivul să fie legitim, iar cerința să fie proporțională. </w:t>
            </w:r>
          </w:p>
          <w:p w14:paraId="7AD2F8FC"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Astfel, pentru o mai bună aliniere cu prevederile Directivei, Consiliul propune expunerea art. 8 alin. (2) după cum urmează: “(2) Orice diferență de tratament bazată pe o caracteristică legată de unul din criteriile prevăzute la alin. (1) nu constituie o discriminare atunci când, având în vedere natura unei activități profesionale sau condițiile de exercitare a acesteia, caracteristica în cauză constituie o cerință profesională esențială și determinantă, astfel încât obiectivul să fie legitim, iar cerința să fie proporțională.” </w:t>
            </w:r>
          </w:p>
        </w:tc>
        <w:tc>
          <w:tcPr>
            <w:tcW w:w="5880" w:type="dxa"/>
            <w:tcMar>
              <w:top w:w="0" w:type="dxa"/>
              <w:left w:w="180" w:type="dxa"/>
              <w:bottom w:w="0" w:type="dxa"/>
              <w:right w:w="180" w:type="dxa"/>
            </w:tcMar>
          </w:tcPr>
          <w:p w14:paraId="0AA6E113"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w:t>
            </w:r>
          </w:p>
          <w:p w14:paraId="3F153D6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Propunerea asigură transpunerea fidelă a art. 4 alin. (1) din Directiva 2000/78/CE, prin preluarea structurii și a terminologiei acesteia, în special referirea la tratamentul diferențiat bazat pe o caracteristică și corelarea cu cerința profesională esențială și determinantă.</w:t>
            </w:r>
          </w:p>
          <w:p w14:paraId="2CE0F49B"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r>
              <w:rPr>
                <w:rFonts w:ascii="Times New Roman" w:eastAsia="Times New Roman" w:hAnsi="Times New Roman" w:cs="Times New Roman"/>
                <w:highlight w:val="white"/>
              </w:rPr>
              <w:t xml:space="preserve"> expunerea art. 8 alin. (2) după cum urmează: </w:t>
            </w:r>
          </w:p>
          <w:p w14:paraId="4D149887"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„Orice diferență de tratament bazată pe o caracteristică legată de unul din criteriile prevăzute la alin. (1) nu constituie o discriminare atunci când, având în vedere natura unei activități profesionale sau condițiile de exercitare a acesteia, caracteristică în cauză constituie o cerință profesională esențială și determinantă, astfel încât obiectivul să fie legitim, iar cerința să fie proporțională.”</w:t>
            </w:r>
          </w:p>
          <w:p w14:paraId="2A2C520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jc w:val="both"/>
              <w:rPr>
                <w:rFonts w:ascii="Times New Roman" w:eastAsia="Times New Roman" w:hAnsi="Times New Roman" w:cs="Times New Roman"/>
                <w:highlight w:val="white"/>
              </w:rPr>
            </w:pPr>
          </w:p>
        </w:tc>
      </w:tr>
      <w:tr w:rsidR="0091081E" w14:paraId="2EF616B2" w14:textId="77777777">
        <w:trPr>
          <w:trHeight w:val="600"/>
        </w:trPr>
        <w:tc>
          <w:tcPr>
            <w:tcW w:w="555" w:type="dxa"/>
            <w:vMerge w:val="restart"/>
          </w:tcPr>
          <w:p w14:paraId="26F84EC7" w14:textId="77777777" w:rsidR="0091081E" w:rsidRDefault="0091081E">
            <w:pPr>
              <w:spacing w:line="240" w:lineRule="auto"/>
              <w:rPr>
                <w:rFonts w:ascii="Times New Roman" w:eastAsia="Times New Roman" w:hAnsi="Times New Roman" w:cs="Times New Roman"/>
                <w:b/>
                <w:bCs/>
              </w:rPr>
            </w:pPr>
          </w:p>
        </w:tc>
        <w:tc>
          <w:tcPr>
            <w:tcW w:w="2700" w:type="dxa"/>
            <w:vMerge/>
          </w:tcPr>
          <w:p w14:paraId="1EF2EA02" w14:textId="77777777" w:rsidR="0091081E" w:rsidRDefault="0091081E">
            <w:pPr>
              <w:spacing w:line="240" w:lineRule="auto"/>
              <w:jc w:val="center"/>
              <w:rPr>
                <w:rFonts w:ascii="Times New Roman" w:eastAsia="Times New Roman" w:hAnsi="Times New Roman" w:cs="Times New Roman"/>
              </w:rPr>
            </w:pPr>
          </w:p>
        </w:tc>
        <w:tc>
          <w:tcPr>
            <w:tcW w:w="5880" w:type="dxa"/>
          </w:tcPr>
          <w:p w14:paraId="6808192A"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5. </w:t>
            </w:r>
            <w:r>
              <w:rPr>
                <w:rFonts w:ascii="Times New Roman" w:eastAsia="Times New Roman" w:hAnsi="Times New Roman" w:cs="Times New Roman"/>
                <w:highlight w:val="white"/>
              </w:rPr>
              <w:t xml:space="preserve">Totodată, Consiliul consideră oportună completarea art. 8 în redacția proiectului cu un nou alineat, care ar servi drept temei general pentru menținerea sau instituirea reglementărilor privind protecția sănătății și a securității la locul de muncă față de anumite grupuri de persoane care necesită o protecție socială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juridică sporită în conformitate cu art. 7 alin. (2) Directivei 2000/78/CE. Având în vedere că legislația actuală a muncii prevede asemenea măsuri specifice (de exemplu durata redusă a timpului de muncă în conformitate cu art. 96 al Codului muncii, adoptate în temeiul dispozițiilor art. 8 alin. (2) din Codul muncii în redacția în vigoare, considerăm oportună completarea art. 8 în redacția proiectului cu un nou alineat după cum urmează: „(3) Nu constituie discriminare stabilirea unor facilități sau drepturi ale salariaților, care au drept scop protecția sănătății și a securității la locul de muncă sau încurajarea integrării în câmpul muncii a persoanelor care necesită o protecție socială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juridică sporită.” </w:t>
            </w:r>
          </w:p>
        </w:tc>
        <w:tc>
          <w:tcPr>
            <w:tcW w:w="5880" w:type="dxa"/>
          </w:tcPr>
          <w:p w14:paraId="19BA5EED"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1DD8733B"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Art. 8 alin se completează cu alin. (3) Nu constituie discriminare stabilirea unor facilități sau drepturi ale salariaților, care au drept scop protecția sănătății și a securității la locul de muncă sau încurajarea integrării în câmpul muncii a persoanelor care necesită o protecție socială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juridică sporită.</w:t>
            </w:r>
          </w:p>
          <w:p w14:paraId="13C95CB4"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tc>
      </w:tr>
      <w:tr w:rsidR="0091081E" w14:paraId="3E47A830" w14:textId="77777777">
        <w:trPr>
          <w:trHeight w:val="600"/>
        </w:trPr>
        <w:tc>
          <w:tcPr>
            <w:tcW w:w="555" w:type="dxa"/>
            <w:vMerge/>
          </w:tcPr>
          <w:p w14:paraId="31D17212" w14:textId="77777777" w:rsidR="0091081E" w:rsidRDefault="0091081E">
            <w:pPr>
              <w:spacing w:line="240" w:lineRule="auto"/>
              <w:rPr>
                <w:rFonts w:ascii="Times New Roman" w:eastAsia="Times New Roman" w:hAnsi="Times New Roman" w:cs="Times New Roman"/>
                <w:b/>
                <w:bCs/>
              </w:rPr>
            </w:pPr>
          </w:p>
        </w:tc>
        <w:tc>
          <w:tcPr>
            <w:tcW w:w="2700" w:type="dxa"/>
            <w:vMerge/>
          </w:tcPr>
          <w:p w14:paraId="4B11FA59" w14:textId="77777777" w:rsidR="0091081E" w:rsidRDefault="0091081E">
            <w:pPr>
              <w:spacing w:line="240" w:lineRule="auto"/>
              <w:jc w:val="center"/>
              <w:rPr>
                <w:rFonts w:ascii="Times New Roman" w:eastAsia="Times New Roman" w:hAnsi="Times New Roman" w:cs="Times New Roman"/>
              </w:rPr>
            </w:pPr>
          </w:p>
        </w:tc>
        <w:tc>
          <w:tcPr>
            <w:tcW w:w="5880" w:type="dxa"/>
          </w:tcPr>
          <w:p w14:paraId="0BBE120F"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6.</w:t>
            </w:r>
            <w:r>
              <w:rPr>
                <w:rFonts w:ascii="Times New Roman" w:eastAsia="Times New Roman" w:hAnsi="Times New Roman" w:cs="Times New Roman"/>
                <w:highlight w:val="white"/>
              </w:rPr>
              <w:t xml:space="preserve"> În altă ordine de idei, Consiliul atrage atenția asupra necesității uniformizării prevederilor Codului muncii în ceea ce privește interzicerea discriminării. Dat fiind faptul că, Codul muncii conține la art. 47 alin.(2) și art. 128 alin.(2) conțin o listă de criterii protejate, care nu corespund art. 8, drept urmare Consiliul propune revizuirea art. 47 alin. (2), potrivit căruia se interzice orice limitare, directă sau indirectă, în drepturi ori stabilirea unor avantaje, directe sau indirecte, la încheierea contractului individual de muncă în </w:t>
            </w:r>
            <w:proofErr w:type="spellStart"/>
            <w:r>
              <w:rPr>
                <w:rFonts w:ascii="Times New Roman" w:eastAsia="Times New Roman" w:hAnsi="Times New Roman" w:cs="Times New Roman"/>
                <w:highlight w:val="white"/>
              </w:rPr>
              <w:t>dependenţă</w:t>
            </w:r>
            <w:proofErr w:type="spellEnd"/>
            <w:r>
              <w:rPr>
                <w:rFonts w:ascii="Times New Roman" w:eastAsia="Times New Roman" w:hAnsi="Times New Roman" w:cs="Times New Roman"/>
                <w:highlight w:val="white"/>
              </w:rPr>
              <w:t xml:space="preserve"> de sex, rasă, etnie, religie, domiciliu, opțiune politică sau origine socială, în vederea asigurării concordanței dintre acestea și noile prevederi ale art. 8. Astfel, Consiliul propune expunerea art. 47 alin. (2) după cum urmează: “(2) Se interzice orice limitare, directă sau indirectă, în drepturi ori stabilirea unor avantaje, directe sau indirecte, la încheierea contractului individual de muncă în baza criteriilor prevăzute la art. 8 alin. (1) din prezentul Cod.” </w:t>
            </w:r>
          </w:p>
          <w:p w14:paraId="15C7883E"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Aceeași recomandare este valabilă și în privința prevederilor art. 128 alin. (2). Astfel, Consiliul propune expunerea art. 128 alin. (2) după cum urmează: „(2) La stabilirea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achitarea salariului nu se admite nici o discriminare pe criteriile prevăzute la art. 8 alin. (1) din prezentul Cod.”</w:t>
            </w:r>
          </w:p>
        </w:tc>
        <w:tc>
          <w:tcPr>
            <w:tcW w:w="5880" w:type="dxa"/>
          </w:tcPr>
          <w:p w14:paraId="22C26E3E"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180C117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20622D9"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propune în redacție nouă Articolul 7</w:t>
            </w:r>
            <w:r>
              <w:rPr>
                <w:rFonts w:ascii="Times New Roman" w:eastAsia="Times New Roman" w:hAnsi="Times New Roman" w:cs="Times New Roman"/>
                <w:b/>
                <w:bCs/>
                <w:highlight w:val="white"/>
              </w:rPr>
              <w:t xml:space="preserve"> </w:t>
            </w:r>
            <w:r>
              <w:rPr>
                <w:rFonts w:ascii="Times New Roman" w:eastAsia="Times New Roman" w:hAnsi="Times New Roman" w:cs="Times New Roman"/>
                <w:highlight w:val="white"/>
              </w:rPr>
              <w:t xml:space="preserve">lit. e) Interzicerea muncii </w:t>
            </w:r>
            <w:proofErr w:type="spellStart"/>
            <w:r>
              <w:rPr>
                <w:rFonts w:ascii="Times New Roman" w:eastAsia="Times New Roman" w:hAnsi="Times New Roman" w:cs="Times New Roman"/>
                <w:highlight w:val="white"/>
              </w:rPr>
              <w:t>forţate</w:t>
            </w:r>
            <w:proofErr w:type="spellEnd"/>
            <w:r>
              <w:rPr>
                <w:rFonts w:ascii="Times New Roman" w:eastAsia="Times New Roman" w:hAnsi="Times New Roman" w:cs="Times New Roman"/>
                <w:highlight w:val="white"/>
              </w:rPr>
              <w:t xml:space="preserve"> (obligatorii)</w:t>
            </w:r>
          </w:p>
          <w:p w14:paraId="6073AFE7" w14:textId="77777777" w:rsidR="0091081E" w:rsidRDefault="00000000">
            <w:pPr>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„ca mijloc de discriminare pe </w:t>
            </w:r>
            <w:proofErr w:type="spellStart"/>
            <w:r>
              <w:rPr>
                <w:rFonts w:ascii="Times New Roman" w:eastAsia="Times New Roman" w:hAnsi="Times New Roman" w:cs="Times New Roman"/>
                <w:b/>
                <w:bCs/>
                <w:highlight w:val="white"/>
              </w:rPr>
              <w:t>pe</w:t>
            </w:r>
            <w:proofErr w:type="spellEnd"/>
            <w:r>
              <w:rPr>
                <w:rFonts w:ascii="Times New Roman" w:eastAsia="Times New Roman" w:hAnsi="Times New Roman" w:cs="Times New Roman"/>
                <w:b/>
                <w:bCs/>
                <w:highlight w:val="white"/>
              </w:rPr>
              <w:t xml:space="preserve"> criteriile protejate, stabilite prin Legea nr. 121/2012 cu privire la asigurarea egalității, precum </w:t>
            </w:r>
            <w:proofErr w:type="spellStart"/>
            <w:r>
              <w:rPr>
                <w:rFonts w:ascii="Times New Roman" w:eastAsia="Times New Roman" w:hAnsi="Times New Roman" w:cs="Times New Roman"/>
                <w:b/>
                <w:bCs/>
                <w:highlight w:val="white"/>
              </w:rPr>
              <w:t>şi</w:t>
            </w:r>
            <w:proofErr w:type="spellEnd"/>
            <w:r>
              <w:rPr>
                <w:rFonts w:ascii="Times New Roman" w:eastAsia="Times New Roman" w:hAnsi="Times New Roman" w:cs="Times New Roman"/>
                <w:b/>
                <w:bCs/>
                <w:highlight w:val="white"/>
              </w:rPr>
              <w:t xml:space="preserve"> pe criterii de domiciliu, opțiune politică, apartenență sau activitate sindicală.”</w:t>
            </w:r>
          </w:p>
          <w:p w14:paraId="51301F49"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se propune în redacție nouă Articolul 47 alin. (2) Interzicerea muncii </w:t>
            </w:r>
            <w:proofErr w:type="spellStart"/>
            <w:r>
              <w:rPr>
                <w:rFonts w:ascii="Times New Roman" w:eastAsia="Times New Roman" w:hAnsi="Times New Roman" w:cs="Times New Roman"/>
                <w:highlight w:val="white"/>
              </w:rPr>
              <w:t>forţate</w:t>
            </w:r>
            <w:proofErr w:type="spellEnd"/>
            <w:r>
              <w:rPr>
                <w:rFonts w:ascii="Times New Roman" w:eastAsia="Times New Roman" w:hAnsi="Times New Roman" w:cs="Times New Roman"/>
                <w:highlight w:val="white"/>
              </w:rPr>
              <w:t xml:space="preserve"> (obligatorii):</w:t>
            </w:r>
          </w:p>
          <w:p w14:paraId="3E2D22B7" w14:textId="77777777" w:rsidR="0091081E" w:rsidRDefault="00000000">
            <w:pPr>
              <w:shd w:val="clear" w:color="auto" w:fill="FFFFFF"/>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„(2) Se interzice orice</w:t>
            </w:r>
            <w:r>
              <w:rPr>
                <w:rFonts w:ascii="Times New Roman" w:eastAsia="Times New Roman" w:hAnsi="Times New Roman" w:cs="Times New Roman"/>
                <w:b/>
                <w:bCs/>
                <w:highlight w:val="white"/>
              </w:rPr>
              <w:t xml:space="preserve"> discriminare, </w:t>
            </w:r>
            <w:r>
              <w:rPr>
                <w:rFonts w:ascii="Times New Roman" w:eastAsia="Times New Roman" w:hAnsi="Times New Roman" w:cs="Times New Roman"/>
                <w:highlight w:val="white"/>
              </w:rPr>
              <w:t>la încheierea contractului individual de muncă</w:t>
            </w:r>
            <w:r>
              <w:rPr>
                <w:rFonts w:ascii="Times New Roman" w:eastAsia="Times New Roman" w:hAnsi="Times New Roman" w:cs="Times New Roman"/>
                <w:b/>
                <w:bCs/>
                <w:highlight w:val="white"/>
              </w:rPr>
              <w:t xml:space="preserve"> pe criteriile protejate, stabilite prin Legea nr. 121/2012 cu privire la asigurarea egalității, precum </w:t>
            </w:r>
            <w:proofErr w:type="spellStart"/>
            <w:r>
              <w:rPr>
                <w:rFonts w:ascii="Times New Roman" w:eastAsia="Times New Roman" w:hAnsi="Times New Roman" w:cs="Times New Roman"/>
                <w:b/>
                <w:bCs/>
                <w:highlight w:val="white"/>
              </w:rPr>
              <w:t>şi</w:t>
            </w:r>
            <w:proofErr w:type="spellEnd"/>
            <w:r>
              <w:rPr>
                <w:rFonts w:ascii="Times New Roman" w:eastAsia="Times New Roman" w:hAnsi="Times New Roman" w:cs="Times New Roman"/>
                <w:b/>
                <w:bCs/>
                <w:highlight w:val="white"/>
              </w:rPr>
              <w:t xml:space="preserve"> pe criterii de domiciliu, opțiune politică, apartenență sau activitate sindicală.”</w:t>
            </w:r>
          </w:p>
          <w:p w14:paraId="64998F3C"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se propune în redacție nouă articolul 128 Salarizarea alin. 2 </w:t>
            </w:r>
          </w:p>
          <w:p w14:paraId="7218D8F2" w14:textId="77777777" w:rsidR="0091081E" w:rsidRDefault="00000000">
            <w:pPr>
              <w:shd w:val="clear" w:color="auto" w:fill="FFFFFF"/>
              <w:ind w:firstLine="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La stabilirea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achitarea salariului nu se admite nici o discriminare pe </w:t>
            </w:r>
            <w:r>
              <w:rPr>
                <w:rFonts w:ascii="Times New Roman" w:eastAsia="Times New Roman" w:hAnsi="Times New Roman" w:cs="Times New Roman"/>
                <w:b/>
                <w:bCs/>
                <w:highlight w:val="white"/>
              </w:rPr>
              <w:t xml:space="preserve">criteriile protejate, stabilite prin Legea nr. 121/2012 cu privire la asigurarea egalității, precum </w:t>
            </w:r>
            <w:proofErr w:type="spellStart"/>
            <w:r>
              <w:rPr>
                <w:rFonts w:ascii="Times New Roman" w:eastAsia="Times New Roman" w:hAnsi="Times New Roman" w:cs="Times New Roman"/>
                <w:b/>
                <w:bCs/>
                <w:highlight w:val="white"/>
              </w:rPr>
              <w:t>şi</w:t>
            </w:r>
            <w:proofErr w:type="spellEnd"/>
            <w:r>
              <w:rPr>
                <w:rFonts w:ascii="Times New Roman" w:eastAsia="Times New Roman" w:hAnsi="Times New Roman" w:cs="Times New Roman"/>
                <w:b/>
                <w:bCs/>
                <w:highlight w:val="white"/>
              </w:rPr>
              <w:t xml:space="preserve"> pe criterii de domiciliu, opțiune politică, apartenență sau activitate sindicală.”</w:t>
            </w:r>
          </w:p>
        </w:tc>
      </w:tr>
      <w:tr w:rsidR="0091081E" w14:paraId="12196100" w14:textId="77777777">
        <w:trPr>
          <w:trHeight w:val="600"/>
        </w:trPr>
        <w:tc>
          <w:tcPr>
            <w:tcW w:w="555" w:type="dxa"/>
            <w:vMerge/>
          </w:tcPr>
          <w:p w14:paraId="5E0BFF0B" w14:textId="77777777" w:rsidR="0091081E" w:rsidRDefault="0091081E">
            <w:pPr>
              <w:spacing w:line="240" w:lineRule="auto"/>
              <w:rPr>
                <w:rFonts w:ascii="Times New Roman" w:eastAsia="Times New Roman" w:hAnsi="Times New Roman" w:cs="Times New Roman"/>
                <w:b/>
                <w:bCs/>
              </w:rPr>
            </w:pPr>
          </w:p>
        </w:tc>
        <w:tc>
          <w:tcPr>
            <w:tcW w:w="2700" w:type="dxa"/>
            <w:vMerge/>
          </w:tcPr>
          <w:p w14:paraId="0D443F63" w14:textId="77777777" w:rsidR="0091081E" w:rsidRDefault="0091081E">
            <w:pPr>
              <w:spacing w:line="240" w:lineRule="auto"/>
              <w:jc w:val="center"/>
              <w:rPr>
                <w:rFonts w:ascii="Times New Roman" w:eastAsia="Times New Roman" w:hAnsi="Times New Roman" w:cs="Times New Roman"/>
              </w:rPr>
            </w:pPr>
          </w:p>
        </w:tc>
        <w:tc>
          <w:tcPr>
            <w:tcW w:w="5880" w:type="dxa"/>
          </w:tcPr>
          <w:p w14:paraId="0E406C25"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7.</w:t>
            </w:r>
            <w:r>
              <w:rPr>
                <w:rFonts w:ascii="Times New Roman" w:eastAsia="Times New Roman" w:hAnsi="Times New Roman" w:cs="Times New Roman"/>
                <w:highlight w:val="white"/>
              </w:rPr>
              <w:t xml:space="preserve"> În cadrul analizei Tabelului de concordanță al Directivei 2000/78/CE la art. 3, experții Comisiei Europene au avut întrebări privind indicarea în mod expres a criteriului de orientare sexuală în art. 7 alin.(1) din Legea 121/2012, deși se regăsește în art. 1 alin.(1) din Legea nr. 121/2012, pentru a elimina aceasta neînțelegere, Consiliul vine cu propunerea de a exclude din art. 7 alin.(1) din Legea 121/2012 ultima propoziție.</w:t>
            </w:r>
          </w:p>
        </w:tc>
        <w:tc>
          <w:tcPr>
            <w:tcW w:w="5880" w:type="dxa"/>
          </w:tcPr>
          <w:p w14:paraId="58817D3D"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ia act.</w:t>
            </w:r>
          </w:p>
          <w:p w14:paraId="7AAE7708"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i/>
                <w:iCs/>
                <w:highlight w:val="white"/>
              </w:rPr>
              <w:t>propunere nu ține de obiectul de reglementare a proiectului în cauză (se recomandă Consiliului să remită propunerea în adresa MJ)</w:t>
            </w:r>
          </w:p>
        </w:tc>
      </w:tr>
      <w:tr w:rsidR="0091081E" w14:paraId="01BACE5C" w14:textId="77777777">
        <w:trPr>
          <w:trHeight w:val="600"/>
        </w:trPr>
        <w:tc>
          <w:tcPr>
            <w:tcW w:w="555" w:type="dxa"/>
            <w:vMerge/>
          </w:tcPr>
          <w:p w14:paraId="72AAF079" w14:textId="77777777" w:rsidR="0091081E" w:rsidRDefault="0091081E">
            <w:pPr>
              <w:spacing w:line="240" w:lineRule="auto"/>
              <w:rPr>
                <w:rFonts w:ascii="Times New Roman" w:eastAsia="Times New Roman" w:hAnsi="Times New Roman" w:cs="Times New Roman"/>
                <w:b/>
                <w:bCs/>
              </w:rPr>
            </w:pPr>
          </w:p>
        </w:tc>
        <w:tc>
          <w:tcPr>
            <w:tcW w:w="2700" w:type="dxa"/>
            <w:vMerge/>
          </w:tcPr>
          <w:p w14:paraId="22D849FF" w14:textId="77777777" w:rsidR="0091081E" w:rsidRDefault="0091081E">
            <w:pPr>
              <w:spacing w:line="240" w:lineRule="auto"/>
              <w:jc w:val="center"/>
              <w:rPr>
                <w:rFonts w:ascii="Times New Roman" w:eastAsia="Times New Roman" w:hAnsi="Times New Roman" w:cs="Times New Roman"/>
              </w:rPr>
            </w:pPr>
          </w:p>
        </w:tc>
        <w:tc>
          <w:tcPr>
            <w:tcW w:w="5880" w:type="dxa"/>
          </w:tcPr>
          <w:p w14:paraId="5E9B6ED0"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8.</w:t>
            </w:r>
            <w:r>
              <w:rPr>
                <w:rFonts w:ascii="Times New Roman" w:eastAsia="Times New Roman" w:hAnsi="Times New Roman" w:cs="Times New Roman"/>
                <w:highlight w:val="white"/>
              </w:rPr>
              <w:t xml:space="preserve"> O altă problemă invocată în Tabelul de concordanță al Directivei 2000/78/CE de către Comisia Europeană constituie necorespunderea alin.(1 1 ) art. 7 din Legea 121/2012 cu prevederile art. 3 alin.(1) lit. d) din Directivă, drept urmare, Consiliul propune expunerea alin.(1 1 ) art. 7 din Legea 121/2012 în următoarea redacție: „Se interzice orice deosebire, excludere, restricție sau preferință pe baza criteriilor protejate, care au drept scop sau efect limitarea ori subminarea egalității la afilierea la și angajarea într-o organizație a lucrătorilor sau patronatului, sau orice organizație ai cărei membri exercită o anumită profesie, inclusiv beneficiile oferite de asemenea organizații.”. </w:t>
            </w:r>
          </w:p>
        </w:tc>
        <w:tc>
          <w:tcPr>
            <w:tcW w:w="5880" w:type="dxa"/>
          </w:tcPr>
          <w:p w14:paraId="0BF6FDBA"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ia act.</w:t>
            </w:r>
          </w:p>
          <w:p w14:paraId="1D708C15"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i/>
                <w:iCs/>
                <w:highlight w:val="white"/>
              </w:rPr>
              <w:t>propunere nu ține de obiectul de reglementare a proiectului în cauză (se recomandă Consiliului să remită propunerea în adresa MJ)</w:t>
            </w:r>
          </w:p>
        </w:tc>
      </w:tr>
      <w:tr w:rsidR="0091081E" w14:paraId="235D1A63" w14:textId="77777777">
        <w:trPr>
          <w:trHeight w:val="600"/>
        </w:trPr>
        <w:tc>
          <w:tcPr>
            <w:tcW w:w="555" w:type="dxa"/>
          </w:tcPr>
          <w:p w14:paraId="768B52E5" w14:textId="77777777" w:rsidR="0091081E" w:rsidRDefault="0091081E">
            <w:pPr>
              <w:spacing w:line="240" w:lineRule="auto"/>
              <w:rPr>
                <w:rFonts w:ascii="Times New Roman" w:eastAsia="Times New Roman" w:hAnsi="Times New Roman" w:cs="Times New Roman"/>
                <w:b/>
                <w:bCs/>
              </w:rPr>
            </w:pPr>
          </w:p>
        </w:tc>
        <w:tc>
          <w:tcPr>
            <w:tcW w:w="2700" w:type="dxa"/>
            <w:vMerge/>
          </w:tcPr>
          <w:p w14:paraId="59F8133A" w14:textId="77777777" w:rsidR="0091081E" w:rsidRDefault="0091081E">
            <w:pPr>
              <w:spacing w:line="240" w:lineRule="auto"/>
              <w:jc w:val="center"/>
              <w:rPr>
                <w:rFonts w:ascii="Times New Roman" w:eastAsia="Times New Roman" w:hAnsi="Times New Roman" w:cs="Times New Roman"/>
              </w:rPr>
            </w:pPr>
          </w:p>
        </w:tc>
        <w:tc>
          <w:tcPr>
            <w:tcW w:w="5880" w:type="dxa"/>
          </w:tcPr>
          <w:p w14:paraId="1D06888A"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9.</w:t>
            </w:r>
            <w:r>
              <w:rPr>
                <w:rFonts w:ascii="Times New Roman" w:eastAsia="Times New Roman" w:hAnsi="Times New Roman" w:cs="Times New Roman"/>
                <w:highlight w:val="white"/>
              </w:rPr>
              <w:t xml:space="preserve"> În contextul transpunerii art. 17 din Directiva 2000/78/CE, Consiliul vine cu propunerea de a modifica art. 542 Cod contravențional. Consiliul atrage atenția asupra faptului că enumerarea acțiunilor prin care se poate manifesta o faptă de discriminare în câmpul muncii, la lit. a)-e) din textul articolului 542 alin. (1) al Codului Contravențional, conferă normei un caracter limitativ care contravine prevederilor Directivei 2000/78/CE a Consiliului din 27 noiembrie 2000 de creare a unui cadru general în favoarea egalității de tratament în ceea ce privește încadrarea în muncă și ocuparea forței de muncă. Or, în cadrul analizei Tabelului de concordanță al directivei menționate, experții Comisiei Europene au subliniat, cu referire la acțiunile enumerate în cadrul art. 7 alin. (2) al Legii nr. 121/2012 cu privire la asigurarea egalității, că o asemenea enumerare poate fi făcută cu titlu ilustrativ, dar nu exhaustiv, deoarece Directiva 2000/78/CE se referă la interdicția oricărei discriminări în ceea ce privește încadrarea în muncă și ocuparea forței de muncă, dar nu la interzicerea unei liste exhaustive de acțiuni care sunt considerate ca fiind discriminatorii. Din această perspectivă, </w:t>
            </w:r>
            <w:r>
              <w:rPr>
                <w:rFonts w:ascii="Times New Roman" w:eastAsia="Times New Roman" w:hAnsi="Times New Roman" w:cs="Times New Roman"/>
                <w:b/>
                <w:bCs/>
                <w:highlight w:val="white"/>
              </w:rPr>
              <w:t>Consiliul consideră necesară înlocuirea sintagmei „</w:t>
            </w:r>
            <w:proofErr w:type="spellStart"/>
            <w:r>
              <w:rPr>
                <w:rFonts w:ascii="Times New Roman" w:eastAsia="Times New Roman" w:hAnsi="Times New Roman" w:cs="Times New Roman"/>
                <w:b/>
                <w:bCs/>
                <w:highlight w:val="white"/>
              </w:rPr>
              <w:t>săvârşită</w:t>
            </w:r>
            <w:proofErr w:type="spellEnd"/>
            <w:r>
              <w:rPr>
                <w:rFonts w:ascii="Times New Roman" w:eastAsia="Times New Roman" w:hAnsi="Times New Roman" w:cs="Times New Roman"/>
                <w:b/>
                <w:bCs/>
                <w:highlight w:val="white"/>
              </w:rPr>
              <w:t xml:space="preserve"> prin:”, din textul alin. (1) al art. 54</w:t>
            </w:r>
            <w:r>
              <w:rPr>
                <w:b/>
                <w:bCs/>
                <w:sz w:val="24"/>
                <w:szCs w:val="24"/>
                <w:highlight w:val="white"/>
                <w:vertAlign w:val="superscript"/>
              </w:rPr>
              <w:t>2</w:t>
            </w:r>
            <w:r>
              <w:rPr>
                <w:rFonts w:ascii="Times New Roman" w:eastAsia="Times New Roman" w:hAnsi="Times New Roman" w:cs="Times New Roman"/>
                <w:b/>
                <w:bCs/>
                <w:highlight w:val="white"/>
              </w:rPr>
              <w:t xml:space="preserve"> din Codul Contravențional, cu cuvântul „precum”. Această modificare va permite sancționare faptelor de discriminare care iau alte forme decât cele enumerate la lit. a)-e) din textul articolului 54</w:t>
            </w:r>
            <w:r>
              <w:rPr>
                <w:b/>
                <w:bCs/>
                <w:sz w:val="24"/>
                <w:szCs w:val="24"/>
                <w:highlight w:val="white"/>
                <w:vertAlign w:val="superscript"/>
              </w:rPr>
              <w:t>2</w:t>
            </w:r>
            <w:r>
              <w:rPr>
                <w:rFonts w:ascii="Times New Roman" w:eastAsia="Times New Roman" w:hAnsi="Times New Roman" w:cs="Times New Roman"/>
                <w:b/>
                <w:bCs/>
                <w:highlight w:val="white"/>
              </w:rPr>
              <w:t xml:space="preserve"> alin. (1) al Codului Contravențional.</w:t>
            </w:r>
          </w:p>
        </w:tc>
        <w:tc>
          <w:tcPr>
            <w:tcW w:w="5880" w:type="dxa"/>
          </w:tcPr>
          <w:p w14:paraId="1EB0E243"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ia act.</w:t>
            </w:r>
          </w:p>
          <w:p w14:paraId="02E4ECCD"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i/>
                <w:iCs/>
                <w:highlight w:val="white"/>
              </w:rPr>
              <w:t>propunere nu ține de obiectul de reglementare a proiectului în cauză (se recomandă Consiliului să remită propunerea în adresa MJ)</w:t>
            </w:r>
          </w:p>
        </w:tc>
      </w:tr>
      <w:tr w:rsidR="0091081E" w14:paraId="7F639D14" w14:textId="77777777">
        <w:trPr>
          <w:trHeight w:val="600"/>
        </w:trPr>
        <w:tc>
          <w:tcPr>
            <w:tcW w:w="555" w:type="dxa"/>
          </w:tcPr>
          <w:p w14:paraId="45CA1E5C" w14:textId="77777777" w:rsidR="0091081E" w:rsidRDefault="0091081E">
            <w:pPr>
              <w:spacing w:line="240" w:lineRule="auto"/>
              <w:ind w:left="360" w:hanging="338"/>
              <w:rPr>
                <w:rFonts w:ascii="Times New Roman" w:eastAsia="Times New Roman" w:hAnsi="Times New Roman" w:cs="Times New Roman"/>
                <w:b/>
                <w:bCs/>
              </w:rPr>
            </w:pPr>
          </w:p>
        </w:tc>
        <w:tc>
          <w:tcPr>
            <w:tcW w:w="2700" w:type="dxa"/>
            <w:vMerge/>
          </w:tcPr>
          <w:p w14:paraId="75FB8A75" w14:textId="77777777" w:rsidR="0091081E" w:rsidRDefault="0091081E">
            <w:pPr>
              <w:spacing w:line="240" w:lineRule="auto"/>
              <w:jc w:val="center"/>
              <w:rPr>
                <w:rFonts w:ascii="Times New Roman" w:eastAsia="Times New Roman" w:hAnsi="Times New Roman" w:cs="Times New Roman"/>
              </w:rPr>
            </w:pPr>
          </w:p>
        </w:tc>
        <w:tc>
          <w:tcPr>
            <w:tcW w:w="5880" w:type="dxa"/>
          </w:tcPr>
          <w:p w14:paraId="4DFB9EF1" w14:textId="77777777" w:rsidR="0091081E"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10.</w:t>
            </w:r>
            <w:r>
              <w:rPr>
                <w:rFonts w:ascii="Times New Roman" w:eastAsia="Times New Roman" w:hAnsi="Times New Roman" w:cs="Times New Roman"/>
                <w:highlight w:val="white"/>
              </w:rPr>
              <w:t xml:space="preserve">  Dat fiind faptul că la domeniul de aplicare prevăzut de art. 3 alin.(1) lit. d) din Directiva 2000/78/CE este indicată și afilierea la și angajarea într-o organizație a lucrătorilor sau patronatului sau în orice organizație ai cărei membri aparțin unei anumite profesii, inclusiv beneficiile oferite de asemenea organizații, Consiliul propune completarea art. </w:t>
            </w:r>
            <w:r>
              <w:rPr>
                <w:rFonts w:ascii="Times New Roman" w:eastAsia="Times New Roman" w:hAnsi="Times New Roman" w:cs="Times New Roman"/>
                <w:b/>
                <w:bCs/>
                <w:highlight w:val="white"/>
              </w:rPr>
              <w:t>54</w:t>
            </w:r>
            <w:r>
              <w:rPr>
                <w:b/>
                <w:bCs/>
                <w:sz w:val="24"/>
                <w:szCs w:val="24"/>
                <w:highlight w:val="white"/>
                <w:vertAlign w:val="superscript"/>
              </w:rPr>
              <w:t>2</w:t>
            </w:r>
            <w:r>
              <w:rPr>
                <w:rFonts w:ascii="Times New Roman" w:eastAsia="Times New Roman" w:hAnsi="Times New Roman" w:cs="Times New Roman"/>
                <w:highlight w:val="white"/>
              </w:rPr>
              <w:t xml:space="preserve">al Codului Contravențional cu norme care să sancționeze discriminarea și în exercitarea unei profesii sau afilierea la și angajarea într-o organizație a lucrătorilor sau patronatului. Din această perspectivă Consiliul propune completarea art. </w:t>
            </w:r>
            <w:r>
              <w:rPr>
                <w:rFonts w:ascii="Times New Roman" w:eastAsia="Times New Roman" w:hAnsi="Times New Roman" w:cs="Times New Roman"/>
                <w:b/>
                <w:bCs/>
                <w:highlight w:val="white"/>
              </w:rPr>
              <w:t>54</w:t>
            </w:r>
            <w:r>
              <w:rPr>
                <w:b/>
                <w:bCs/>
                <w:sz w:val="24"/>
                <w:szCs w:val="24"/>
                <w:highlight w:val="white"/>
                <w:vertAlign w:val="superscript"/>
              </w:rPr>
              <w:t>2</w:t>
            </w:r>
            <w:r>
              <w:rPr>
                <w:rFonts w:ascii="Times New Roman" w:eastAsia="Times New Roman" w:hAnsi="Times New Roman" w:cs="Times New Roman"/>
                <w:highlight w:val="white"/>
              </w:rPr>
              <w:t xml:space="preserve"> Cod contravențional cu următorul alineat: „(2) Se interzice orice deosebire, excludere, restricție sau preferință pe baza criteriilor protejate, care au drept scop sau efect limitarea ori subminarea egalității la afilierea la și angajarea într-o organizație a lucrătorilor sau patronatului, sau orice organizație ai cărei membri exercită o anumită profesie, inclusiv beneficiile oferite de asemenea organizații.”. </w:t>
            </w:r>
          </w:p>
        </w:tc>
        <w:tc>
          <w:tcPr>
            <w:tcW w:w="5880" w:type="dxa"/>
          </w:tcPr>
          <w:p w14:paraId="490D67E1"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ia act.</w:t>
            </w:r>
          </w:p>
          <w:p w14:paraId="225704E5"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i/>
                <w:iCs/>
                <w:highlight w:val="white"/>
              </w:rPr>
              <w:t>propunere nu ține de obiectul de reglementare a proiectului în cauză (se recomandă Consiliului să remită propunerea în adresa MJ)</w:t>
            </w:r>
          </w:p>
        </w:tc>
      </w:tr>
      <w:tr w:rsidR="0091081E" w14:paraId="10430450" w14:textId="77777777">
        <w:trPr>
          <w:trHeight w:val="600"/>
        </w:trPr>
        <w:tc>
          <w:tcPr>
            <w:tcW w:w="555" w:type="dxa"/>
          </w:tcPr>
          <w:p w14:paraId="2B8E0AF1" w14:textId="77777777" w:rsidR="0091081E" w:rsidRDefault="0091081E">
            <w:pPr>
              <w:spacing w:line="240" w:lineRule="auto"/>
              <w:ind w:left="360" w:hanging="338"/>
              <w:rPr>
                <w:rFonts w:ascii="Times New Roman" w:eastAsia="Times New Roman" w:hAnsi="Times New Roman" w:cs="Times New Roman"/>
                <w:b/>
                <w:bCs/>
              </w:rPr>
            </w:pPr>
          </w:p>
        </w:tc>
        <w:tc>
          <w:tcPr>
            <w:tcW w:w="2700" w:type="dxa"/>
            <w:vMerge/>
          </w:tcPr>
          <w:p w14:paraId="03469100" w14:textId="77777777" w:rsidR="0091081E" w:rsidRDefault="0091081E">
            <w:pPr>
              <w:spacing w:line="240" w:lineRule="auto"/>
              <w:jc w:val="center"/>
              <w:rPr>
                <w:rFonts w:ascii="Times New Roman" w:eastAsia="Times New Roman" w:hAnsi="Times New Roman" w:cs="Times New Roman"/>
              </w:rPr>
            </w:pPr>
          </w:p>
        </w:tc>
        <w:tc>
          <w:tcPr>
            <w:tcW w:w="5880" w:type="dxa"/>
          </w:tcPr>
          <w:p w14:paraId="4535717C"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11.</w:t>
            </w:r>
            <w:r>
              <w:rPr>
                <w:rFonts w:ascii="Times New Roman" w:eastAsia="Times New Roman" w:hAnsi="Times New Roman" w:cs="Times New Roman"/>
                <w:highlight w:val="white"/>
              </w:rPr>
              <w:t xml:space="preserve"> De asemenea, având în vedere modificările propuse la Legea nr. 121/2012 prin proiectul de lege pentru modificarea unor acte normative (aplicarea principiului egalității de tratament între bărbații și femeile care desfășoară o activitate independentă) (Nr. unic 821/MMPS/2025)2 , potrivit cărora art. 7 al Legii nr. 121/2012 se completează cu alineatul (1</w:t>
            </w:r>
            <w:r>
              <w:rPr>
                <w:b/>
                <w:bCs/>
                <w:sz w:val="24"/>
                <w:szCs w:val="24"/>
                <w:highlight w:val="white"/>
                <w:vertAlign w:val="superscript"/>
              </w:rPr>
              <w:t>2</w:t>
            </w:r>
            <w:r>
              <w:rPr>
                <w:rFonts w:ascii="Times New Roman" w:eastAsia="Times New Roman" w:hAnsi="Times New Roman" w:cs="Times New Roman"/>
                <w:highlight w:val="white"/>
              </w:rPr>
              <w:t>) cu următorul cuprins: “(1</w:t>
            </w:r>
            <w:r>
              <w:rPr>
                <w:b/>
                <w:bCs/>
                <w:sz w:val="24"/>
                <w:szCs w:val="24"/>
                <w:highlight w:val="white"/>
                <w:vertAlign w:val="superscript"/>
              </w:rPr>
              <w:t>2</w:t>
            </w:r>
            <w:r>
              <w:rPr>
                <w:rFonts w:ascii="Times New Roman" w:eastAsia="Times New Roman" w:hAnsi="Times New Roman" w:cs="Times New Roman"/>
                <w:highlight w:val="white"/>
              </w:rPr>
              <w:t xml:space="preserve">) Se interzice orice deosebire, excludere, </w:t>
            </w:r>
            <w:proofErr w:type="spellStart"/>
            <w:r>
              <w:rPr>
                <w:rFonts w:ascii="Times New Roman" w:eastAsia="Times New Roman" w:hAnsi="Times New Roman" w:cs="Times New Roman"/>
                <w:highlight w:val="white"/>
              </w:rPr>
              <w:t>restricţie</w:t>
            </w:r>
            <w:proofErr w:type="spellEnd"/>
            <w:r>
              <w:rPr>
                <w:rFonts w:ascii="Times New Roman" w:eastAsia="Times New Roman" w:hAnsi="Times New Roman" w:cs="Times New Roman"/>
                <w:highlight w:val="white"/>
              </w:rPr>
              <w:t xml:space="preserve"> sau </w:t>
            </w:r>
            <w:proofErr w:type="spellStart"/>
            <w:r>
              <w:rPr>
                <w:rFonts w:ascii="Times New Roman" w:eastAsia="Times New Roman" w:hAnsi="Times New Roman" w:cs="Times New Roman"/>
                <w:highlight w:val="white"/>
              </w:rPr>
              <w:t>preferinţă</w:t>
            </w:r>
            <w:proofErr w:type="spellEnd"/>
            <w:r>
              <w:rPr>
                <w:rFonts w:ascii="Times New Roman" w:eastAsia="Times New Roman" w:hAnsi="Times New Roman" w:cs="Times New Roman"/>
                <w:highlight w:val="white"/>
              </w:rPr>
              <w:t xml:space="preserve"> pe baza criteriilor protejate, care au drept scop sau efect limitarea sau subminarea </w:t>
            </w:r>
            <w:proofErr w:type="spellStart"/>
            <w:r>
              <w:rPr>
                <w:rFonts w:ascii="Times New Roman" w:eastAsia="Times New Roman" w:hAnsi="Times New Roman" w:cs="Times New Roman"/>
                <w:highlight w:val="white"/>
              </w:rPr>
              <w:t>egalităţii</w:t>
            </w:r>
            <w:proofErr w:type="spellEnd"/>
            <w:r>
              <w:rPr>
                <w:rFonts w:ascii="Times New Roman" w:eastAsia="Times New Roman" w:hAnsi="Times New Roman" w:cs="Times New Roman"/>
                <w:highlight w:val="white"/>
              </w:rPr>
              <w:t xml:space="preserve">, în mod direct sau indirect, la constituirea, echiparea sau extinderea unei întreprinderi sau începerea sau extinderea oricărei alte forme de activitate independentă.”, </w:t>
            </w:r>
            <w:r>
              <w:rPr>
                <w:rFonts w:ascii="Times New Roman" w:eastAsia="Times New Roman" w:hAnsi="Times New Roman" w:cs="Times New Roman"/>
                <w:b/>
                <w:bCs/>
                <w:highlight w:val="white"/>
              </w:rPr>
              <w:t>se impune completarea art. 54</w:t>
            </w:r>
            <w:r>
              <w:rPr>
                <w:b/>
                <w:bCs/>
                <w:sz w:val="24"/>
                <w:szCs w:val="24"/>
                <w:highlight w:val="white"/>
                <w:vertAlign w:val="superscript"/>
              </w:rPr>
              <w:t>2</w:t>
            </w:r>
            <w:r>
              <w:rPr>
                <w:rFonts w:ascii="Times New Roman" w:eastAsia="Times New Roman" w:hAnsi="Times New Roman" w:cs="Times New Roman"/>
                <w:b/>
                <w:bCs/>
                <w:highlight w:val="white"/>
              </w:rPr>
              <w:t xml:space="preserve"> al Codului Contravențional cu norme care să sancționeze discriminarea la constituirea, echiparea sau extinderea unei întreprinderi sau începerea sau extinderea oricărei alte forme de activitate independentă.</w:t>
            </w:r>
          </w:p>
        </w:tc>
        <w:tc>
          <w:tcPr>
            <w:tcW w:w="5880" w:type="dxa"/>
          </w:tcPr>
          <w:p w14:paraId="2E4F7CA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ia act.</w:t>
            </w:r>
          </w:p>
          <w:p w14:paraId="3A6D5AD9"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propunere nu ține de obiectul de reglementare a proiectului în cauză (se recomandă Consiliului să remită propunerea în adresa MJ)</w:t>
            </w:r>
          </w:p>
        </w:tc>
      </w:tr>
      <w:tr w:rsidR="0091081E" w14:paraId="5BEF4683" w14:textId="77777777">
        <w:trPr>
          <w:trHeight w:val="600"/>
        </w:trPr>
        <w:tc>
          <w:tcPr>
            <w:tcW w:w="555" w:type="dxa"/>
            <w:vMerge w:val="restart"/>
          </w:tcPr>
          <w:p w14:paraId="76091D7E" w14:textId="77777777" w:rsidR="0091081E" w:rsidRDefault="00000000">
            <w:pPr>
              <w:spacing w:line="240" w:lineRule="auto"/>
              <w:ind w:left="360" w:hanging="338"/>
              <w:rPr>
                <w:rFonts w:ascii="Times New Roman" w:eastAsia="Times New Roman" w:hAnsi="Times New Roman" w:cs="Times New Roman"/>
                <w:b/>
                <w:bCs/>
              </w:rPr>
            </w:pPr>
            <w:r>
              <w:rPr>
                <w:rFonts w:ascii="Times New Roman" w:eastAsia="Times New Roman" w:hAnsi="Times New Roman" w:cs="Times New Roman"/>
                <w:b/>
                <w:bCs/>
              </w:rPr>
              <w:t>1</w:t>
            </w:r>
          </w:p>
        </w:tc>
        <w:tc>
          <w:tcPr>
            <w:tcW w:w="2700" w:type="dxa"/>
            <w:vMerge w:val="restart"/>
          </w:tcPr>
          <w:p w14:paraId="56BD5FF6"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Confederația Națională a Sindicatelor din Moldova</w:t>
            </w:r>
          </w:p>
          <w:p w14:paraId="3A173D81"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04-17/148</w:t>
            </w:r>
          </w:p>
          <w:p w14:paraId="289F4F3D"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16.03.2026</w:t>
            </w:r>
          </w:p>
        </w:tc>
        <w:tc>
          <w:tcPr>
            <w:tcW w:w="5880" w:type="dxa"/>
          </w:tcPr>
          <w:p w14:paraId="02AF94AE" w14:textId="77777777" w:rsidR="0091081E" w:rsidRDefault="00000000">
            <w:pPr>
              <w:spacing w:line="240" w:lineRule="auto"/>
              <w:ind w:firstLine="284"/>
              <w:jc w:val="both"/>
              <w:rPr>
                <w:rFonts w:ascii="Times New Roman" w:eastAsia="Times New Roman" w:hAnsi="Times New Roman" w:cs="Times New Roman"/>
                <w:highlight w:val="white"/>
                <w:u w:val="single"/>
              </w:rPr>
            </w:pPr>
            <w:r>
              <w:rPr>
                <w:rFonts w:ascii="Times New Roman" w:eastAsia="Times New Roman" w:hAnsi="Times New Roman" w:cs="Times New Roman"/>
                <w:highlight w:val="white"/>
                <w:u w:val="single"/>
              </w:rPr>
              <w:t>Referitor la modificările propuse la Legea nr. 140/2001 privind Inspectoratul de Stat al Muncii</w:t>
            </w:r>
          </w:p>
          <w:p w14:paraId="24E78F8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Constatăm că definițiile noțiunilor de „inspecții concertate” și „inspecții comune”, prevăzute la alin. (4) al art. 13², sunt aproape identice din punct de vedere al conținutului. Or, ambele definiții vizează activități de control desfășurate în Republica Moldova și, după caz, în unul sau mai multe state și prevăd că fiecare autoritate competentă acționează în limitele propriei jurisdicții și permit implicarea personalului Autorității Europene a Muncii în condițiile acordurilor de cooperare aplicabile. Din această perspectivă, similitudinea aproape totală a acestor două definiții poate genera confuzii conceptuale și dificultăți în aplicarea practică a normei. În lipsa unor elemente clare de diferențiere, există riscul unor interpretări divergente cu privire la natura și modul de desfășurare a acestor tipuri de inspecții. Prin urmare, propunem clarificarea și delimitarea mai exactă a noțiunilor respective, astfel încât cadrul normativ să fie mai coerent și mai ușor de aplicat în practică.</w:t>
            </w:r>
          </w:p>
        </w:tc>
        <w:tc>
          <w:tcPr>
            <w:tcW w:w="5880" w:type="dxa"/>
          </w:tcPr>
          <w:p w14:paraId="627B2B3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Nu se acceptă. </w:t>
            </w:r>
          </w:p>
          <w:p w14:paraId="2A355AF6"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Noțiunile nu sunt identice și sunt deja delimitate prin conținutul lor normativ. „Inspecțiile concertate” presupun desfășurarea simultană a activităților de control în jurisdicții diferite, iar „inspecțiile comune” presupun desfășurarea activităților de control pe teritoriul unui anumit stat, cu participarea autorităților competente din alte state. Prin urmare, proiectul reglementează două forme distincte de cooperare administrativă.</w:t>
            </w:r>
          </w:p>
        </w:tc>
      </w:tr>
      <w:tr w:rsidR="0091081E" w14:paraId="1C316A5C" w14:textId="77777777">
        <w:trPr>
          <w:trHeight w:val="600"/>
        </w:trPr>
        <w:tc>
          <w:tcPr>
            <w:tcW w:w="555" w:type="dxa"/>
            <w:vMerge/>
          </w:tcPr>
          <w:p w14:paraId="057103CF" w14:textId="77777777" w:rsidR="0091081E" w:rsidRDefault="0091081E">
            <w:pPr>
              <w:spacing w:line="240" w:lineRule="auto"/>
              <w:rPr>
                <w:rFonts w:ascii="Times New Roman" w:eastAsia="Times New Roman" w:hAnsi="Times New Roman" w:cs="Times New Roman"/>
                <w:b/>
                <w:bCs/>
              </w:rPr>
            </w:pPr>
          </w:p>
        </w:tc>
        <w:tc>
          <w:tcPr>
            <w:tcW w:w="2700" w:type="dxa"/>
            <w:vMerge/>
          </w:tcPr>
          <w:p w14:paraId="5BABC51C" w14:textId="77777777" w:rsidR="0091081E" w:rsidRDefault="0091081E">
            <w:pPr>
              <w:spacing w:line="240" w:lineRule="auto"/>
              <w:jc w:val="center"/>
              <w:rPr>
                <w:rFonts w:ascii="Times New Roman" w:eastAsia="Times New Roman" w:hAnsi="Times New Roman" w:cs="Times New Roman"/>
              </w:rPr>
            </w:pPr>
          </w:p>
        </w:tc>
        <w:tc>
          <w:tcPr>
            <w:tcW w:w="5880" w:type="dxa"/>
          </w:tcPr>
          <w:p w14:paraId="67B5A3C1" w14:textId="77777777" w:rsidR="0091081E" w:rsidRDefault="00000000">
            <w:pPr>
              <w:spacing w:line="240" w:lineRule="auto"/>
              <w:ind w:firstLine="284"/>
              <w:jc w:val="both"/>
              <w:rPr>
                <w:rFonts w:ascii="Times New Roman" w:eastAsia="Times New Roman" w:hAnsi="Times New Roman" w:cs="Times New Roman"/>
                <w:highlight w:val="white"/>
                <w:u w:val="single"/>
              </w:rPr>
            </w:pPr>
            <w:r>
              <w:rPr>
                <w:rFonts w:ascii="Times New Roman" w:eastAsia="Times New Roman" w:hAnsi="Times New Roman" w:cs="Times New Roman"/>
                <w:highlight w:val="white"/>
                <w:u w:val="single"/>
              </w:rPr>
              <w:t>2. Referitor la modificările propuse la Codul muncii nr. 154/2003</w:t>
            </w:r>
          </w:p>
          <w:p w14:paraId="3E58021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Autorul proiectului propune completarea art. 1 cu noțiunea de „dispensă”, definită ca scutirea temporară de la îndeplinirea obligațiilor de muncă a salariatelor gravide pentru timpul necesar efectuării consultației prenatale, fără afectarea drepturilor salariale. Or, din punct de vedere terminologic, termenul „dispensă” are un caracter excesiv de formal și poate fi mai puțin accesibil publicului larg. De asemenea, acest termen nu este utilizat în mod curent în alte acte normative din domeniul legislației muncii. În aceste condiții, pentru a asigura o mai bună claritate și accesibilitatea normei, considerăm necesar și propunem înlocuirea termenului „dispensă” cu sintagma „permisiune pentru consultație medicală prenatală”, care reflectă mai clar scopul reglementării și este mai ușor de înțeles pentru destinatarii legii. În același timp, considerăm mai potrivită formularea „fără diminuarea drepturilor salariale” decât „fără afectarea drepturilor salariale”, deoarece aceasta este deja utilizată în alte dispoziții ale Codului muncii și asigură o mai bună coerență terminologică a actului normativ.</w:t>
            </w:r>
          </w:p>
        </w:tc>
        <w:tc>
          <w:tcPr>
            <w:tcW w:w="5880" w:type="dxa"/>
          </w:tcPr>
          <w:p w14:paraId="51564563"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Nu se acceptă.</w:t>
            </w:r>
            <w:r>
              <w:rPr>
                <w:rFonts w:ascii="Times New Roman" w:eastAsia="Times New Roman" w:hAnsi="Times New Roman" w:cs="Times New Roman"/>
                <w:highlight w:val="white"/>
              </w:rPr>
              <w:t xml:space="preserve"> </w:t>
            </w:r>
          </w:p>
          <w:p w14:paraId="75B0D6E8"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Termenul „dispensă” exprimă corect natura juridică a instituției, respectiv scutirea temporară de la executarea obligațiilor de muncă în temeiul legii, și nu o simplă permisiune acordată de angajator. Totodată, formularea „fără afectarea drepturilor salariale” este adecvată și oferă o protecție mai largă decât sintagma propusă în aviz.</w:t>
            </w:r>
          </w:p>
        </w:tc>
      </w:tr>
      <w:tr w:rsidR="0091081E" w14:paraId="3DBF326D" w14:textId="77777777">
        <w:trPr>
          <w:trHeight w:val="600"/>
        </w:trPr>
        <w:tc>
          <w:tcPr>
            <w:tcW w:w="555" w:type="dxa"/>
            <w:vMerge/>
          </w:tcPr>
          <w:p w14:paraId="2ECA0A70" w14:textId="77777777" w:rsidR="0091081E" w:rsidRDefault="0091081E">
            <w:pPr>
              <w:spacing w:line="240" w:lineRule="auto"/>
              <w:rPr>
                <w:rFonts w:ascii="Times New Roman" w:eastAsia="Times New Roman" w:hAnsi="Times New Roman" w:cs="Times New Roman"/>
                <w:b/>
                <w:bCs/>
              </w:rPr>
            </w:pPr>
          </w:p>
        </w:tc>
        <w:tc>
          <w:tcPr>
            <w:tcW w:w="2700" w:type="dxa"/>
            <w:vMerge/>
          </w:tcPr>
          <w:p w14:paraId="17FF3B50" w14:textId="77777777" w:rsidR="0091081E" w:rsidRDefault="0091081E">
            <w:pPr>
              <w:spacing w:line="240" w:lineRule="auto"/>
              <w:jc w:val="center"/>
              <w:rPr>
                <w:rFonts w:ascii="Times New Roman" w:eastAsia="Times New Roman" w:hAnsi="Times New Roman" w:cs="Times New Roman"/>
              </w:rPr>
            </w:pPr>
          </w:p>
        </w:tc>
        <w:tc>
          <w:tcPr>
            <w:tcW w:w="5880" w:type="dxa"/>
          </w:tcPr>
          <w:p w14:paraId="3593309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2) În privința modificării propuse la lit. b¹) din art. 5 al Codului muncii, aceasta face referire la interzicerea discriminării în temeiul „criteriilor și circumstanțelor” descrise la art. 8 din Cod. Cu toate acestea, art. 8 operează exclusiv cu noțiunea de „criterii de discriminare”, fără a utiliza termenul „circumstanțe”. O astfel de inconsecvență terminologică poate genera incertitudine juridică și interpretări divergente în aplicarea normei.</w:t>
            </w:r>
          </w:p>
          <w:p w14:paraId="6ABD2551"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Din acest considerent, pentru menținerea coerenței terminologice a Codului muncii, propunem excluderea din textul propus a cuvintelor „și circumstanțelor”.</w:t>
            </w:r>
          </w:p>
          <w:p w14:paraId="754D814B" w14:textId="77777777" w:rsidR="0091081E" w:rsidRDefault="0091081E">
            <w:pPr>
              <w:spacing w:line="240" w:lineRule="auto"/>
              <w:ind w:firstLine="284"/>
              <w:jc w:val="both"/>
              <w:rPr>
                <w:rFonts w:ascii="Times New Roman" w:eastAsia="Times New Roman" w:hAnsi="Times New Roman" w:cs="Times New Roman"/>
                <w:highlight w:val="white"/>
              </w:rPr>
            </w:pPr>
          </w:p>
          <w:p w14:paraId="39661787" w14:textId="77777777" w:rsidR="0091081E" w:rsidRDefault="0091081E">
            <w:pPr>
              <w:spacing w:line="240" w:lineRule="auto"/>
              <w:ind w:firstLine="284"/>
              <w:jc w:val="both"/>
              <w:rPr>
                <w:rFonts w:ascii="Times New Roman" w:eastAsia="Times New Roman" w:hAnsi="Times New Roman" w:cs="Times New Roman"/>
                <w:highlight w:val="white"/>
              </w:rPr>
            </w:pPr>
          </w:p>
          <w:p w14:paraId="1CA1647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același context, trebuie menționat că alin. (2) al art. 8 din Codul muncii, în redacția actuală, prevede că nu constituie discriminare stabilirea unor diferențieri, excepții sau preferințe determinate de cerințele specifice unei munci sau de grija deosebită a statului față de persoanele care necesită o protecție socială și juridică sporită. Această normă este clar formulată, este ușor de înțeles și nu a generat, de-a lungul timpului, dificultăți în aplicarea sa practică. Mai mult, nu există indicii că aceasta ar contraveni standardelor europene în domeniu. În schimb, noua redacție propusă introduce o serie de noțiuni precum „cerință profesională esențială și determinantă”, „obiectiv legitim” sau „mijloace adecvate și necesare”, care nu sunt definite în legislația muncii și nu sunt utilizate în mod constant în cadrul acesteia. Introducerea unor asemenea concepte, fără clarificări suplimentare, riscă să complice interpretarea normei și să genereze incertitudine juridică. Din această perspectivă, considerăm că modificarea propusă nu contribuie la îmbunătățirea cadrului normativ existent și, prin urmare, este susținută.</w:t>
            </w:r>
          </w:p>
          <w:p w14:paraId="7699166E" w14:textId="77777777" w:rsidR="0091081E" w:rsidRDefault="0091081E">
            <w:pPr>
              <w:spacing w:line="240" w:lineRule="auto"/>
              <w:jc w:val="both"/>
              <w:rPr>
                <w:rFonts w:ascii="Times New Roman" w:eastAsia="Times New Roman" w:hAnsi="Times New Roman" w:cs="Times New Roman"/>
                <w:highlight w:val="white"/>
              </w:rPr>
            </w:pPr>
          </w:p>
        </w:tc>
        <w:tc>
          <w:tcPr>
            <w:tcW w:w="5880" w:type="dxa"/>
          </w:tcPr>
          <w:p w14:paraId="69FE5FF0"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i/>
                <w:iCs/>
                <w:highlight w:val="white"/>
              </w:rPr>
            </w:pPr>
            <w:r>
              <w:rPr>
                <w:rFonts w:ascii="Times New Roman" w:eastAsia="Times New Roman" w:hAnsi="Times New Roman" w:cs="Times New Roman"/>
                <w:b/>
                <w:bCs/>
                <w:highlight w:val="white"/>
              </w:rPr>
              <w:t>Se acceptă parțial</w:t>
            </w:r>
          </w:p>
          <w:p w14:paraId="5EB35C4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în redacția propusă de Consiliul pentru egalitate</w:t>
            </w:r>
          </w:p>
          <w:p w14:paraId="21E793FE"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Articolul 5 literele b</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și e) vor avea următorul cuprins:</w:t>
            </w:r>
          </w:p>
          <w:p w14:paraId="4C253158" w14:textId="77777777" w:rsidR="0091081E"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b</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interzicerea discriminării în temeiul criteriilor protejate, a violenței și a hărțuirii de orice natură în cadrul  raporturilor de muncă și a altor raporturi legate nemijlocit de acestea;</w:t>
            </w:r>
          </w:p>
          <w:p w14:paraId="49E2CE0A" w14:textId="77777777" w:rsidR="0091081E" w:rsidRDefault="0091081E">
            <w:pPr>
              <w:shd w:val="clear" w:color="auto" w:fill="FFFFFF"/>
              <w:jc w:val="both"/>
              <w:rPr>
                <w:rFonts w:ascii="Times New Roman" w:eastAsia="Times New Roman" w:hAnsi="Times New Roman" w:cs="Times New Roman"/>
                <w:sz w:val="24"/>
                <w:szCs w:val="24"/>
                <w:highlight w:val="white"/>
              </w:rPr>
            </w:pPr>
          </w:p>
          <w:p w14:paraId="1D074401" w14:textId="77777777" w:rsidR="0091081E" w:rsidRDefault="0091081E">
            <w:pPr>
              <w:shd w:val="clear" w:color="auto" w:fill="FFFFFF"/>
              <w:jc w:val="both"/>
              <w:rPr>
                <w:rFonts w:ascii="Times New Roman" w:eastAsia="Times New Roman" w:hAnsi="Times New Roman" w:cs="Times New Roman"/>
                <w:sz w:val="24"/>
                <w:szCs w:val="24"/>
                <w:highlight w:val="white"/>
              </w:rPr>
            </w:pPr>
          </w:p>
          <w:p w14:paraId="3AC8A332" w14:textId="77777777" w:rsidR="0091081E" w:rsidRDefault="0091081E">
            <w:pPr>
              <w:shd w:val="clear" w:color="auto" w:fill="FFFFFF"/>
              <w:jc w:val="both"/>
              <w:rPr>
                <w:rFonts w:ascii="Times New Roman" w:eastAsia="Times New Roman" w:hAnsi="Times New Roman" w:cs="Times New Roman"/>
                <w:sz w:val="24"/>
                <w:szCs w:val="24"/>
                <w:highlight w:val="white"/>
              </w:rPr>
            </w:pPr>
          </w:p>
          <w:p w14:paraId="3E297DEB" w14:textId="77777777" w:rsidR="0091081E" w:rsidRDefault="0091081E">
            <w:pPr>
              <w:shd w:val="clear" w:color="auto" w:fill="FFFFFF"/>
              <w:jc w:val="both"/>
              <w:rPr>
                <w:rFonts w:ascii="Times New Roman" w:eastAsia="Times New Roman" w:hAnsi="Times New Roman" w:cs="Times New Roman"/>
                <w:sz w:val="24"/>
                <w:szCs w:val="24"/>
                <w:highlight w:val="white"/>
              </w:rPr>
            </w:pPr>
          </w:p>
          <w:p w14:paraId="58D08885" w14:textId="77777777" w:rsidR="0091081E" w:rsidRDefault="0091081E">
            <w:pPr>
              <w:shd w:val="clear" w:color="auto" w:fill="FFFFFF"/>
              <w:jc w:val="both"/>
              <w:rPr>
                <w:rFonts w:ascii="Times New Roman" w:eastAsia="Times New Roman" w:hAnsi="Times New Roman" w:cs="Times New Roman"/>
                <w:sz w:val="24"/>
                <w:szCs w:val="24"/>
                <w:highlight w:val="white"/>
              </w:rPr>
            </w:pPr>
          </w:p>
          <w:p w14:paraId="53124296"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7E916063"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în redacția propusă de Consiliul pentru egalitate</w:t>
            </w:r>
          </w:p>
          <w:p w14:paraId="2A2BA563"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Astfel  art. 8 alin. (2) se propune în redacția următoare: </w:t>
            </w:r>
          </w:p>
          <w:p w14:paraId="67747E56"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„Orice diferență de tratament bazată pe o caracteristică legată de unul din criteriile prevăzute la alin. (1) nu constituie o discriminare atunci când, având în vedere natura unei activități profesionale sau condițiile de exercitare a acesteia, caracteristică în cauză constituie o cerință profesională esențială și determinantă, astfel încât obiectivul să fie legitim, iar cerința să fie proporțională.”</w:t>
            </w:r>
          </w:p>
          <w:p w14:paraId="7B1F8BFF"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jc w:val="both"/>
              <w:rPr>
                <w:rFonts w:ascii="Times New Roman" w:eastAsia="Times New Roman" w:hAnsi="Times New Roman" w:cs="Times New Roman"/>
                <w:highlight w:val="white"/>
              </w:rPr>
            </w:pPr>
          </w:p>
          <w:p w14:paraId="044A9EE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91081E" w14:paraId="6252CEEE" w14:textId="77777777">
        <w:trPr>
          <w:trHeight w:val="600"/>
        </w:trPr>
        <w:tc>
          <w:tcPr>
            <w:tcW w:w="555" w:type="dxa"/>
            <w:vMerge/>
          </w:tcPr>
          <w:p w14:paraId="6AFE5B02" w14:textId="77777777" w:rsidR="0091081E" w:rsidRDefault="0091081E">
            <w:pPr>
              <w:spacing w:line="240" w:lineRule="auto"/>
              <w:rPr>
                <w:rFonts w:ascii="Times New Roman" w:eastAsia="Times New Roman" w:hAnsi="Times New Roman" w:cs="Times New Roman"/>
                <w:b/>
                <w:bCs/>
              </w:rPr>
            </w:pPr>
          </w:p>
        </w:tc>
        <w:tc>
          <w:tcPr>
            <w:tcW w:w="2700" w:type="dxa"/>
            <w:vMerge/>
          </w:tcPr>
          <w:p w14:paraId="3AF64CA5" w14:textId="77777777" w:rsidR="0091081E" w:rsidRDefault="0091081E">
            <w:pPr>
              <w:spacing w:line="240" w:lineRule="auto"/>
              <w:jc w:val="center"/>
              <w:rPr>
                <w:rFonts w:ascii="Times New Roman" w:eastAsia="Times New Roman" w:hAnsi="Times New Roman" w:cs="Times New Roman"/>
              </w:rPr>
            </w:pPr>
          </w:p>
        </w:tc>
        <w:tc>
          <w:tcPr>
            <w:tcW w:w="5880" w:type="dxa"/>
          </w:tcPr>
          <w:p w14:paraId="15E72598"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Cu referire la propunere autorului privind completarea art. 49 din Codul muncii, care reglementează conținutul contractului individual de muncă, cu o clauză referitoare la interzicerea discriminării în temeiul criteriilor și circumstanțelor descrise la art. 8 din Cod, menționăm că această completare nu este necesară. Sau, interdicția discriminării este deja stabilită în mod expres prin art. 8 din Codul muncii și se aplică direct tuturor raporturilor de muncă. Această obligație are caracter imperativ și nu depinde de includerea sa în contractul individual de muncă. În consecință, repetarea acestei norme legale în contractele individuale de muncă nu produce efecte juridice suplimentare și nu aduce o valoare normativă reală. Mai mult decât atât, și în acest caz apare aceeași inconsecvență terminologică, prin utilizarea noțiunilor de „criterii și circumstanțe”, în timp ce art. 8 face referire doar la „</w:t>
            </w:r>
            <w:r>
              <w:rPr>
                <w:rFonts w:ascii="Times New Roman" w:eastAsia="Times New Roman" w:hAnsi="Times New Roman" w:cs="Times New Roman"/>
                <w:i/>
                <w:iCs/>
                <w:highlight w:val="white"/>
              </w:rPr>
              <w:t>criterii de discriminare</w:t>
            </w:r>
            <w:r>
              <w:rPr>
                <w:rFonts w:ascii="Times New Roman" w:eastAsia="Times New Roman" w:hAnsi="Times New Roman" w:cs="Times New Roman"/>
                <w:highlight w:val="white"/>
              </w:rPr>
              <w:t>”. Având în vedere considerentele expuse, completarea propusă nu este susținută.</w:t>
            </w:r>
          </w:p>
        </w:tc>
        <w:tc>
          <w:tcPr>
            <w:tcW w:w="5880" w:type="dxa"/>
          </w:tcPr>
          <w:p w14:paraId="5F99EEEA"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2F6F77C7"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91081E" w14:paraId="02B803F7" w14:textId="77777777">
        <w:trPr>
          <w:trHeight w:val="600"/>
        </w:trPr>
        <w:tc>
          <w:tcPr>
            <w:tcW w:w="555" w:type="dxa"/>
            <w:vMerge/>
          </w:tcPr>
          <w:p w14:paraId="1DD95ECC" w14:textId="77777777" w:rsidR="0091081E" w:rsidRDefault="0091081E">
            <w:pPr>
              <w:spacing w:line="240" w:lineRule="auto"/>
              <w:rPr>
                <w:rFonts w:ascii="Times New Roman" w:eastAsia="Times New Roman" w:hAnsi="Times New Roman" w:cs="Times New Roman"/>
                <w:b/>
                <w:bCs/>
              </w:rPr>
            </w:pPr>
          </w:p>
        </w:tc>
        <w:tc>
          <w:tcPr>
            <w:tcW w:w="2700" w:type="dxa"/>
            <w:vMerge/>
          </w:tcPr>
          <w:p w14:paraId="371685E3" w14:textId="77777777" w:rsidR="0091081E" w:rsidRDefault="0091081E">
            <w:pPr>
              <w:spacing w:line="240" w:lineRule="auto"/>
              <w:jc w:val="center"/>
              <w:rPr>
                <w:rFonts w:ascii="Times New Roman" w:eastAsia="Times New Roman" w:hAnsi="Times New Roman" w:cs="Times New Roman"/>
              </w:rPr>
            </w:pPr>
          </w:p>
        </w:tc>
        <w:tc>
          <w:tcPr>
            <w:tcW w:w="5880" w:type="dxa"/>
          </w:tcPr>
          <w:p w14:paraId="761B1DC5" w14:textId="77777777" w:rsidR="0091081E" w:rsidRDefault="00000000">
            <w:pPr>
              <w:spacing w:line="240" w:lineRule="auto"/>
              <w:ind w:firstLine="284"/>
              <w:jc w:val="both"/>
              <w:rPr>
                <w:rFonts w:ascii="Times New Roman" w:eastAsia="Times New Roman" w:hAnsi="Times New Roman" w:cs="Times New Roman"/>
              </w:rPr>
            </w:pPr>
            <w:r>
              <w:rPr>
                <w:rFonts w:ascii="Times New Roman" w:eastAsia="Times New Roman" w:hAnsi="Times New Roman" w:cs="Times New Roman"/>
              </w:rPr>
              <w:t>4) Privitor la propunerea de a completa Codul muncii cu art. 2471, considerăm oportună reformularea acestuia pentru a asigura o mai bună claritate și coerență cu alte prevederi ale Codului muncii. Astfel, ținând cont de propunerile înaintate la pct. 2 din Art. II al proiectului de lege avizat, de definiția noțiunii de „femeie gravidă” prevăzută la art. 1 din Codul muncii, precum și de necesitatea simplificării și concretizării conținutului normativ al acestei reglementări, propunem expunerea articolului în următoarea redacție:</w:t>
            </w:r>
          </w:p>
          <w:p w14:paraId="0951F346" w14:textId="77777777" w:rsidR="0091081E" w:rsidRDefault="00000000">
            <w:pPr>
              <w:spacing w:line="240" w:lineRule="auto"/>
              <w:ind w:firstLine="284"/>
              <w:jc w:val="both"/>
              <w:rPr>
                <w:rFonts w:ascii="Times New Roman" w:eastAsia="Times New Roman" w:hAnsi="Times New Roman" w:cs="Times New Roman"/>
              </w:rPr>
            </w:pPr>
            <w:r>
              <w:rPr>
                <w:rFonts w:ascii="Times New Roman" w:eastAsia="Times New Roman" w:hAnsi="Times New Roman" w:cs="Times New Roman"/>
              </w:rPr>
              <w:t>„Articolul 247</w:t>
            </w:r>
            <w:r>
              <w:rPr>
                <w:rFonts w:ascii="Times New Roman" w:eastAsia="Times New Roman" w:hAnsi="Times New Roman" w:cs="Times New Roman"/>
                <w:vertAlign w:val="superscript"/>
              </w:rPr>
              <w:t>1</w:t>
            </w:r>
            <w:r>
              <w:rPr>
                <w:rFonts w:ascii="Times New Roman" w:eastAsia="Times New Roman" w:hAnsi="Times New Roman" w:cs="Times New Roman"/>
              </w:rPr>
              <w:t>. Permisiuni pentru consultații medicale prenatale</w:t>
            </w:r>
          </w:p>
          <w:p w14:paraId="27EE7CB4" w14:textId="77777777" w:rsidR="0091081E" w:rsidRDefault="00000000">
            <w:pPr>
              <w:spacing w:line="240" w:lineRule="auto"/>
              <w:ind w:firstLine="284"/>
              <w:jc w:val="both"/>
              <w:rPr>
                <w:rFonts w:ascii="Times New Roman" w:eastAsia="Times New Roman" w:hAnsi="Times New Roman" w:cs="Times New Roman"/>
              </w:rPr>
            </w:pPr>
            <w:r>
              <w:rPr>
                <w:rFonts w:ascii="Times New Roman" w:eastAsia="Times New Roman" w:hAnsi="Times New Roman" w:cs="Times New Roman"/>
              </w:rPr>
              <w:t>(1) Salariatele gravide beneficiază de permisiuni pentru efectuarea consultațiilor medicale prenatale, dacă acestea au loc în timpul programului de muncă.</w:t>
            </w:r>
          </w:p>
          <w:p w14:paraId="0332C8AE" w14:textId="77777777" w:rsidR="0091081E" w:rsidRDefault="00000000">
            <w:pPr>
              <w:spacing w:line="240" w:lineRule="auto"/>
              <w:ind w:firstLine="284"/>
              <w:jc w:val="both"/>
              <w:rPr>
                <w:rFonts w:ascii="Times New Roman" w:eastAsia="Times New Roman" w:hAnsi="Times New Roman" w:cs="Times New Roman"/>
              </w:rPr>
            </w:pPr>
            <w:r>
              <w:rPr>
                <w:rFonts w:ascii="Times New Roman" w:eastAsia="Times New Roman" w:hAnsi="Times New Roman" w:cs="Times New Roman"/>
              </w:rPr>
              <w:t>(2) Pentru a beneficia de permisiune pentru efectuarea consultației medicale prenatale, salariatele gravide anunță în scris angajatorul, iar ulterior prezintă un document medical justificativ (certificat/adeverință/act etc.), eliberat de instituția medico-sanitară competentă, de medicul de familie sau de medicul specialist.</w:t>
            </w:r>
          </w:p>
          <w:p w14:paraId="4E497308" w14:textId="77777777" w:rsidR="0091081E" w:rsidRDefault="00000000">
            <w:pPr>
              <w:spacing w:line="240" w:lineRule="auto"/>
              <w:ind w:firstLine="284"/>
              <w:jc w:val="both"/>
              <w:rPr>
                <w:rFonts w:ascii="Times New Roman" w:eastAsia="Times New Roman" w:hAnsi="Times New Roman" w:cs="Times New Roman"/>
              </w:rPr>
            </w:pPr>
            <w:r>
              <w:rPr>
                <w:rFonts w:ascii="Times New Roman" w:eastAsia="Times New Roman" w:hAnsi="Times New Roman" w:cs="Times New Roman"/>
              </w:rPr>
              <w:t>(3) Permisiunile pentru efectuarea consultațiilor medicale prenatale se acordă salariatelor gravide fără diminuarea drepturilor salariale și a altor drepturi prevăzute de legislația în vigoare.”.</w:t>
            </w:r>
          </w:p>
        </w:tc>
        <w:tc>
          <w:tcPr>
            <w:tcW w:w="5880" w:type="dxa"/>
          </w:tcPr>
          <w:p w14:paraId="72CEE01C"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057879BA"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În vederea asigurării unei mai bune clarități și coerențe normative, art. 247¹ va fi reformulat, ținând cont de necesitatea simplificării conținutului său, de definiția noțiunii de „femeie gravidă” prevăzută la art. 1 din Codul muncii și de corelarea cu celelalte dispoziții ale proiectului. Vor fi preluate soluțiile ce vizează consacrarea expresă a dreptului la permisiuni pentru consultații medicale prenatale, notificarea angajatorului și prezentarea confirmărilor, cu ajustările redacționale necesare.</w:t>
            </w:r>
          </w:p>
          <w:p w14:paraId="79E2893E" w14:textId="77777777" w:rsidR="0091081E" w:rsidRDefault="0091081E">
            <w:pPr>
              <w:spacing w:line="240" w:lineRule="auto"/>
              <w:jc w:val="both"/>
              <w:rPr>
                <w:rFonts w:ascii="Times New Roman" w:eastAsia="Times New Roman" w:hAnsi="Times New Roman" w:cs="Times New Roman"/>
                <w:highlight w:val="white"/>
              </w:rPr>
            </w:pPr>
          </w:p>
        </w:tc>
      </w:tr>
      <w:tr w:rsidR="0091081E" w14:paraId="66844043" w14:textId="77777777">
        <w:trPr>
          <w:trHeight w:val="600"/>
        </w:trPr>
        <w:tc>
          <w:tcPr>
            <w:tcW w:w="555" w:type="dxa"/>
            <w:vMerge/>
          </w:tcPr>
          <w:p w14:paraId="687CD8B2" w14:textId="77777777" w:rsidR="0091081E" w:rsidRDefault="0091081E">
            <w:pPr>
              <w:spacing w:line="240" w:lineRule="auto"/>
              <w:rPr>
                <w:rFonts w:ascii="Times New Roman" w:eastAsia="Times New Roman" w:hAnsi="Times New Roman" w:cs="Times New Roman"/>
                <w:b/>
                <w:bCs/>
              </w:rPr>
            </w:pPr>
          </w:p>
        </w:tc>
        <w:tc>
          <w:tcPr>
            <w:tcW w:w="2700" w:type="dxa"/>
            <w:vMerge/>
          </w:tcPr>
          <w:p w14:paraId="189206D3" w14:textId="77777777" w:rsidR="0091081E" w:rsidRDefault="0091081E">
            <w:pPr>
              <w:spacing w:line="240" w:lineRule="auto"/>
              <w:jc w:val="center"/>
              <w:rPr>
                <w:rFonts w:ascii="Times New Roman" w:eastAsia="Times New Roman" w:hAnsi="Times New Roman" w:cs="Times New Roman"/>
              </w:rPr>
            </w:pPr>
          </w:p>
        </w:tc>
        <w:tc>
          <w:tcPr>
            <w:tcW w:w="5880" w:type="dxa"/>
          </w:tcPr>
          <w:p w14:paraId="351C952F"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Suplimentar, considerăm că durata acestor permisiuni trebuie să fie inclusă în timpul de muncă, în vederea corelării cu prevederile Convenției colective la nivel național nr. 2 din 9 iulie 2004, care stabilește obligația angajatorului de a acorda femeilor însărcinate timp liber pentru efectuarea examenelor medicale prenatale, acest timp fiind inclus în timpul de muncă. O asemenea soluție va asigura claritate atât pentru angajatori, cât și pentru salariați, garantând menținerea aceluiași nivel de salarizare pe durata efectuării consultațiilor medicale. În același timp, această formulare va elimina necesitatea unor calcule suplimentare pentru determinarea salariului mediu conform Hotărârii Guvernului nr. 426/2004 privind aprobarea Modului de calculare a salariului mediu, având în vedere că aceste permisiuni pot avea o durată redusă și o frecvență variabilă.</w:t>
            </w:r>
          </w:p>
        </w:tc>
        <w:tc>
          <w:tcPr>
            <w:tcW w:w="5880" w:type="dxa"/>
          </w:tcPr>
          <w:p w14:paraId="2493FF52"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p w14:paraId="5CB6BF0F" w14:textId="77777777" w:rsidR="0091081E" w:rsidRDefault="00000000">
            <w:pPr>
              <w:spacing w:line="240" w:lineRule="auto"/>
              <w:ind w:firstLine="705"/>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„Articolul 247¹. Dispense pentru consultații prenatale</w:t>
            </w:r>
          </w:p>
          <w:p w14:paraId="69CC8D38" w14:textId="77777777" w:rsidR="0091081E" w:rsidRDefault="00000000">
            <w:pPr>
              <w:spacing w:line="240" w:lineRule="auto"/>
              <w:ind w:firstLine="705"/>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(2) Pe durata dispenselor prevăzute la alin. (1), </w:t>
            </w:r>
            <w:r>
              <w:rPr>
                <w:rFonts w:ascii="Times New Roman" w:eastAsia="Times New Roman" w:hAnsi="Times New Roman" w:cs="Times New Roman"/>
                <w:b/>
                <w:bCs/>
                <w:highlight w:val="white"/>
              </w:rPr>
              <w:t>femeilor gravide li se menține salariul mediu de la locul de muncă. Timpul acordat pentru dispense se include în timpul de muncă și nu constituie absență de la serviciu.</w:t>
            </w:r>
          </w:p>
          <w:p w14:paraId="6752975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91081E" w14:paraId="286AC766" w14:textId="77777777">
        <w:trPr>
          <w:trHeight w:val="600"/>
        </w:trPr>
        <w:tc>
          <w:tcPr>
            <w:tcW w:w="555" w:type="dxa"/>
            <w:vMerge w:val="restart"/>
          </w:tcPr>
          <w:p w14:paraId="7AA246DE" w14:textId="77777777" w:rsidR="0091081E" w:rsidRDefault="0091081E">
            <w:pPr>
              <w:numPr>
                <w:ilvl w:val="0"/>
                <w:numId w:val="4"/>
              </w:numPr>
              <w:spacing w:line="240" w:lineRule="auto"/>
              <w:ind w:hanging="338"/>
              <w:rPr>
                <w:rFonts w:ascii="Times New Roman" w:eastAsia="Times New Roman" w:hAnsi="Times New Roman" w:cs="Times New Roman"/>
                <w:b/>
                <w:bCs/>
              </w:rPr>
            </w:pPr>
          </w:p>
        </w:tc>
        <w:tc>
          <w:tcPr>
            <w:tcW w:w="2700" w:type="dxa"/>
            <w:vMerge w:val="restart"/>
          </w:tcPr>
          <w:p w14:paraId="3E85AE81"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Confederația Națională a Patronatului din Republica Moldova</w:t>
            </w:r>
          </w:p>
          <w:p w14:paraId="29846E72"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nr. 05/1-22 </w:t>
            </w:r>
          </w:p>
          <w:p w14:paraId="588DCE40"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17.03.206</w:t>
            </w:r>
          </w:p>
        </w:tc>
        <w:tc>
          <w:tcPr>
            <w:tcW w:w="5880" w:type="dxa"/>
          </w:tcPr>
          <w:p w14:paraId="532E47FD"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articolul II, pct. 5 din proiect,</w:t>
            </w:r>
          </w:p>
          <w:p w14:paraId="318C8D7A"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din Codul muncii, alin. (3) se completează în final cu textul „și formularea unui aviz înainte de adoptarea deciziei de către angajator”. Această propunere creează o etapă procedurală suplimentară care nu rezultă din structura actuală a articolului. Norma actuală prevede doar procedura de informare și nu obligă reprezentanții salariaților să emită un document formal și nici nu condiționează adoptarea deciziei angajatorului de existența unui aviz. Nu este clară natura juridică a acestui aviz și nici dacă acesta are caracter strict consultativ. În lipsa acestor clarificări, există riscul ca avizul să fie interpretat ca o condiție pentru adoptarea deciziei angajatorului. Și ce se întâmplă în cazul în care reprezentanții salariaților nu formulează acest aviz? Este el obligatoriu?</w:t>
            </w:r>
          </w:p>
          <w:p w14:paraId="781C4F9E" w14:textId="77777777" w:rsidR="0091081E" w:rsidRDefault="0091081E">
            <w:pPr>
              <w:spacing w:line="240" w:lineRule="auto"/>
              <w:ind w:firstLine="284"/>
              <w:jc w:val="both"/>
              <w:rPr>
                <w:rFonts w:ascii="Times New Roman" w:eastAsia="Times New Roman" w:hAnsi="Times New Roman" w:cs="Times New Roman"/>
                <w:highlight w:val="white"/>
              </w:rPr>
            </w:pPr>
          </w:p>
        </w:tc>
        <w:tc>
          <w:tcPr>
            <w:tcW w:w="5880" w:type="dxa"/>
          </w:tcPr>
          <w:p w14:paraId="7127597B"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0DA0B1E8"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ia act de obiecțiile formulate, în special în ceea ce privește necesitatea clarificării naturii juridice a avizului și evitarea instituirii unei obligații excesive în sarcina părților. În consecință, prevederile supuse sintezei au fost revizuite în conformitate cu recomandările Centrului de Armonizare a Legislației, fiind precizate atât caracterul consultativ al avizului, cât și termenul în care acesta poate fi exprimat. Astfel, dispozițiile art. 42 și art. 42¹ din Codul muncii al Republicii Moldova vor avea redactarea ajustată, menită să asigure echilibrul între dreptul la consultare al salariaților și prerogativa decizională a angajatorului.</w:t>
            </w:r>
          </w:p>
          <w:p w14:paraId="68D5CC3F" w14:textId="77777777" w:rsidR="0091081E" w:rsidRDefault="00000000">
            <w:pPr>
              <w:spacing w:line="240" w:lineRule="auto"/>
              <w:ind w:firstLine="705"/>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Articolul 42.</w:t>
            </w:r>
            <w:r>
              <w:rPr>
                <w:rFonts w:ascii="Times New Roman" w:eastAsia="Times New Roman" w:hAnsi="Times New Roman" w:cs="Times New Roman"/>
                <w:highlight w:val="white"/>
              </w:rPr>
              <w:t xml:space="preserve"> alineatul (2) lit. b) se completează în final cu textul</w:t>
            </w:r>
          </w:p>
          <w:p w14:paraId="6D098B37" w14:textId="77777777" w:rsidR="0091081E" w:rsidRDefault="00000000">
            <w:pPr>
              <w:spacing w:line="240" w:lineRule="auto"/>
              <w:ind w:firstLine="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Participarea </w:t>
            </w:r>
            <w:proofErr w:type="spellStart"/>
            <w:r>
              <w:rPr>
                <w:rFonts w:ascii="Times New Roman" w:eastAsia="Times New Roman" w:hAnsi="Times New Roman" w:cs="Times New Roman"/>
                <w:highlight w:val="white"/>
              </w:rPr>
              <w:t>salariaţilor</w:t>
            </w:r>
            <w:proofErr w:type="spellEnd"/>
            <w:r>
              <w:rPr>
                <w:rFonts w:ascii="Times New Roman" w:eastAsia="Times New Roman" w:hAnsi="Times New Roman" w:cs="Times New Roman"/>
                <w:highlight w:val="white"/>
              </w:rPr>
              <w:t xml:space="preserve"> la administrarea </w:t>
            </w:r>
            <w:proofErr w:type="spellStart"/>
            <w:r>
              <w:rPr>
                <w:rFonts w:ascii="Times New Roman" w:eastAsia="Times New Roman" w:hAnsi="Times New Roman" w:cs="Times New Roman"/>
                <w:highlight w:val="white"/>
              </w:rPr>
              <w:t>unităţii</w:t>
            </w:r>
            <w:proofErr w:type="spellEnd"/>
            <w:r>
              <w:rPr>
                <w:rFonts w:ascii="Times New Roman" w:eastAsia="Times New Roman" w:hAnsi="Times New Roman" w:cs="Times New Roman"/>
                <w:highlight w:val="white"/>
              </w:rPr>
              <w:t xml:space="preserve"> poate fi realizată prin:</w:t>
            </w:r>
          </w:p>
          <w:p w14:paraId="222EA043" w14:textId="77777777" w:rsidR="0091081E" w:rsidRDefault="00000000">
            <w:pPr>
              <w:spacing w:line="240" w:lineRule="auto"/>
              <w:ind w:firstLine="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 informarea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consultarea </w:t>
            </w:r>
            <w:proofErr w:type="spellStart"/>
            <w:r>
              <w:rPr>
                <w:rFonts w:ascii="Times New Roman" w:eastAsia="Times New Roman" w:hAnsi="Times New Roman" w:cs="Times New Roman"/>
                <w:highlight w:val="white"/>
              </w:rPr>
              <w:t>salariaţilor</w:t>
            </w:r>
            <w:proofErr w:type="spellEnd"/>
            <w:r>
              <w:rPr>
                <w:rFonts w:ascii="Times New Roman" w:eastAsia="Times New Roman" w:hAnsi="Times New Roman" w:cs="Times New Roman"/>
                <w:highlight w:val="white"/>
              </w:rPr>
              <w:t xml:space="preserve"> referitor la chestiunile </w:t>
            </w:r>
            <w:proofErr w:type="spellStart"/>
            <w:r>
              <w:rPr>
                <w:rFonts w:ascii="Times New Roman" w:eastAsia="Times New Roman" w:hAnsi="Times New Roman" w:cs="Times New Roman"/>
                <w:highlight w:val="white"/>
              </w:rPr>
              <w:t>menţionate</w:t>
            </w:r>
            <w:proofErr w:type="spellEnd"/>
            <w:r>
              <w:rPr>
                <w:rFonts w:ascii="Times New Roman" w:eastAsia="Times New Roman" w:hAnsi="Times New Roman" w:cs="Times New Roman"/>
                <w:highlight w:val="white"/>
              </w:rPr>
              <w:t xml:space="preserve"> la art.42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Obligația informării ce vizează art. 42</w:t>
            </w:r>
            <w:r>
              <w:rPr>
                <w:rFonts w:ascii="Times New Roman" w:eastAsia="Times New Roman" w:hAnsi="Times New Roman" w:cs="Times New Roman"/>
                <w:highlight w:val="white"/>
                <w:vertAlign w:val="superscript"/>
              </w:rPr>
              <w:t xml:space="preserve">1 </w:t>
            </w:r>
            <w:r>
              <w:rPr>
                <w:rFonts w:ascii="Times New Roman" w:eastAsia="Times New Roman" w:hAnsi="Times New Roman" w:cs="Times New Roman"/>
                <w:highlight w:val="white"/>
              </w:rPr>
              <w:t>alin. (2) lit. a), b) și c) se aplică angajatorilor indiferent de tipul de proprietate, de forma juridică de organizare, cu scop lucrativ sau nu, care încadrează cel puțin 50 de salariați.</w:t>
            </w:r>
          </w:p>
          <w:p w14:paraId="71C6F7BD" w14:textId="77777777" w:rsidR="0091081E" w:rsidRDefault="0091081E">
            <w:pPr>
              <w:spacing w:line="240" w:lineRule="auto"/>
              <w:ind w:firstLine="20"/>
              <w:jc w:val="both"/>
              <w:rPr>
                <w:rFonts w:ascii="Times New Roman" w:eastAsia="Times New Roman" w:hAnsi="Times New Roman" w:cs="Times New Roman"/>
                <w:highlight w:val="white"/>
              </w:rPr>
            </w:pPr>
          </w:p>
          <w:p w14:paraId="791AFFD9" w14:textId="77777777" w:rsidR="0091081E" w:rsidRDefault="00000000">
            <w:pPr>
              <w:shd w:val="clear" w:color="auto" w:fill="FFFFFF"/>
              <w:ind w:firstLine="680"/>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Articolul 42</w:t>
            </w:r>
            <w:r>
              <w:rPr>
                <w:rFonts w:ascii="Times New Roman" w:eastAsia="Times New Roman" w:hAnsi="Times New Roman" w:cs="Times New Roman"/>
                <w:b/>
                <w:bCs/>
                <w:highlight w:val="white"/>
                <w:vertAlign w:val="superscript"/>
              </w:rPr>
              <w:t>1</w:t>
            </w:r>
            <w:r>
              <w:rPr>
                <w:rFonts w:ascii="Times New Roman" w:eastAsia="Times New Roman" w:hAnsi="Times New Roman" w:cs="Times New Roman"/>
                <w:b/>
                <w:bCs/>
                <w:highlight w:val="white"/>
              </w:rPr>
              <w:t>.</w:t>
            </w:r>
            <w:r>
              <w:rPr>
                <w:rFonts w:ascii="Times New Roman" w:eastAsia="Times New Roman" w:hAnsi="Times New Roman" w:cs="Times New Roman"/>
                <w:highlight w:val="white"/>
              </w:rPr>
              <w:t xml:space="preserve"> alin. (1) din Codul muncii va fi expus în următoarea redacție:</w:t>
            </w:r>
          </w:p>
          <w:p w14:paraId="1BD62125" w14:textId="77777777" w:rsidR="0091081E" w:rsidRDefault="0091081E">
            <w:pPr>
              <w:shd w:val="clear" w:color="auto" w:fill="FFFFFF"/>
              <w:ind w:firstLine="680"/>
              <w:jc w:val="both"/>
              <w:rPr>
                <w:rFonts w:ascii="Times New Roman" w:eastAsia="Times New Roman" w:hAnsi="Times New Roman" w:cs="Times New Roman"/>
                <w:highlight w:val="white"/>
              </w:rPr>
            </w:pPr>
          </w:p>
          <w:p w14:paraId="00C23EEB" w14:textId="77777777" w:rsidR="0091081E" w:rsidRDefault="00000000">
            <w:pPr>
              <w:shd w:val="clear" w:color="auto" w:fill="FFFFFF"/>
              <w:ind w:firstLine="680"/>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„(1) În vederea asigurării dreptului salariaților la administrarea unității prevăzut la art. 42, angajatorul este obligat să-i informeze și să-i consulte referitor la subiectele relevante în raport cu activitatea lor în cadrul unității. </w:t>
            </w:r>
            <w:r>
              <w:rPr>
                <w:rFonts w:ascii="Times New Roman" w:eastAsia="Times New Roman" w:hAnsi="Times New Roman" w:cs="Times New Roman"/>
                <w:b/>
                <w:bCs/>
                <w:highlight w:val="white"/>
              </w:rPr>
              <w:t>În sensul prezentului articol prin informare se înțelege transmiterea de date de către angajator salariaților/reprezentanților salariaților pentru a le permite să se familiarizeze cu subiectul și să-l examineze, iar prin consultare se înțelege schimbul de păreri și stabilirea unui dialog între salariați/reprezentanții salariaților</w:t>
            </w:r>
            <w:r>
              <w:rPr>
                <w:rFonts w:ascii="Times New Roman" w:eastAsia="Times New Roman" w:hAnsi="Times New Roman" w:cs="Times New Roman"/>
                <w:highlight w:val="white"/>
              </w:rPr>
              <w:t xml:space="preserve"> </w:t>
            </w:r>
            <w:r>
              <w:rPr>
                <w:rFonts w:ascii="Times New Roman" w:eastAsia="Times New Roman" w:hAnsi="Times New Roman" w:cs="Times New Roman"/>
                <w:b/>
                <w:bCs/>
                <w:highlight w:val="white"/>
              </w:rPr>
              <w:t>și angajator.”</w:t>
            </w:r>
          </w:p>
          <w:p w14:paraId="36F472DF" w14:textId="77777777" w:rsidR="0091081E" w:rsidRDefault="0091081E">
            <w:pPr>
              <w:shd w:val="clear" w:color="auto" w:fill="FFFFFF"/>
              <w:ind w:firstLine="680"/>
              <w:jc w:val="both"/>
              <w:rPr>
                <w:rFonts w:ascii="Times New Roman" w:eastAsia="Times New Roman" w:hAnsi="Times New Roman" w:cs="Times New Roman"/>
                <w:b/>
                <w:bCs/>
                <w:highlight w:val="white"/>
              </w:rPr>
            </w:pPr>
          </w:p>
          <w:p w14:paraId="5AE7A303" w14:textId="77777777" w:rsidR="0091081E"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(3) din Codul muncii va fi expus în următoarea redacție:</w:t>
            </w:r>
          </w:p>
          <w:p w14:paraId="036592C5" w14:textId="77777777" w:rsidR="0091081E"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w:t>
            </w:r>
            <w:r>
              <w:rPr>
                <w:rFonts w:ascii="Times New Roman" w:eastAsia="Times New Roman" w:hAnsi="Times New Roman" w:cs="Times New Roman"/>
                <w:b/>
                <w:bCs/>
                <w:highlight w:val="white"/>
              </w:rPr>
              <w:t xml:space="preserve">(3) </w:t>
            </w:r>
            <w:r>
              <w:rPr>
                <w:rFonts w:ascii="Times New Roman" w:eastAsia="Times New Roman" w:hAnsi="Times New Roman" w:cs="Times New Roman"/>
                <w:highlight w:val="white"/>
              </w:rPr>
              <w:t>Informarea se face prin transmiterea, în forma scrisă, către reprezentanții salariaților a datelor relevante, complete și veridice privind subiectele enumerate la alin. (2), în timp util, care le-ar permite reprezentanților salariaților să pregătească, în caz de necesitate, consultarea și formularea unui aviz înainte de adoptarea deciziei de către angajator;</w:t>
            </w:r>
          </w:p>
          <w:p w14:paraId="6ABC3986" w14:textId="77777777" w:rsidR="0091081E" w:rsidRDefault="0091081E">
            <w:pPr>
              <w:shd w:val="clear" w:color="auto" w:fill="FFFFFF"/>
              <w:ind w:firstLine="680"/>
              <w:jc w:val="both"/>
              <w:rPr>
                <w:rFonts w:ascii="Times New Roman" w:eastAsia="Times New Roman" w:hAnsi="Times New Roman" w:cs="Times New Roman"/>
                <w:highlight w:val="white"/>
              </w:rPr>
            </w:pPr>
          </w:p>
          <w:p w14:paraId="51F7BF17" w14:textId="77777777" w:rsidR="0091081E" w:rsidRDefault="00000000">
            <w:pPr>
              <w:shd w:val="clear" w:color="auto" w:fill="FFFFFF"/>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Suplimentar se completează cu alin. (3</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Reprezentanții salariaților </w:t>
            </w:r>
            <w:proofErr w:type="spellStart"/>
            <w:r>
              <w:rPr>
                <w:rFonts w:ascii="Times New Roman" w:eastAsia="Times New Roman" w:hAnsi="Times New Roman" w:cs="Times New Roman"/>
                <w:highlight w:val="white"/>
              </w:rPr>
              <w:t>îşi</w:t>
            </w:r>
            <w:proofErr w:type="spellEnd"/>
            <w:r>
              <w:rPr>
                <w:rFonts w:ascii="Times New Roman" w:eastAsia="Times New Roman" w:hAnsi="Times New Roman" w:cs="Times New Roman"/>
                <w:highlight w:val="white"/>
              </w:rPr>
              <w:t xml:space="preserve"> prezintă opinia în termen de 10 zile lucrătoare de la data </w:t>
            </w:r>
            <w:proofErr w:type="spellStart"/>
            <w:r>
              <w:rPr>
                <w:rFonts w:ascii="Times New Roman" w:eastAsia="Times New Roman" w:hAnsi="Times New Roman" w:cs="Times New Roman"/>
                <w:highlight w:val="white"/>
              </w:rPr>
              <w:t>recepţionării</w:t>
            </w:r>
            <w:proofErr w:type="spellEnd"/>
            <w:r>
              <w:rPr>
                <w:rFonts w:ascii="Times New Roman" w:eastAsia="Times New Roman" w:hAnsi="Times New Roman" w:cs="Times New Roman"/>
                <w:highlight w:val="white"/>
              </w:rPr>
              <w:t xml:space="preserve"> datelor.</w:t>
            </w:r>
          </w:p>
        </w:tc>
      </w:tr>
      <w:tr w:rsidR="0091081E" w14:paraId="02926543" w14:textId="77777777">
        <w:trPr>
          <w:trHeight w:val="600"/>
        </w:trPr>
        <w:tc>
          <w:tcPr>
            <w:tcW w:w="555" w:type="dxa"/>
            <w:vMerge/>
          </w:tcPr>
          <w:p w14:paraId="23705911" w14:textId="77777777" w:rsidR="0091081E" w:rsidRDefault="0091081E">
            <w:pPr>
              <w:spacing w:line="240" w:lineRule="auto"/>
              <w:rPr>
                <w:rFonts w:ascii="Times New Roman" w:eastAsia="Times New Roman" w:hAnsi="Times New Roman" w:cs="Times New Roman"/>
                <w:b/>
                <w:bCs/>
              </w:rPr>
            </w:pPr>
          </w:p>
        </w:tc>
        <w:tc>
          <w:tcPr>
            <w:tcW w:w="2700" w:type="dxa"/>
            <w:vMerge/>
          </w:tcPr>
          <w:p w14:paraId="28159FD1" w14:textId="77777777" w:rsidR="0091081E" w:rsidRDefault="0091081E">
            <w:pPr>
              <w:spacing w:line="240" w:lineRule="auto"/>
              <w:jc w:val="center"/>
              <w:rPr>
                <w:rFonts w:ascii="Times New Roman" w:eastAsia="Times New Roman" w:hAnsi="Times New Roman" w:cs="Times New Roman"/>
              </w:rPr>
            </w:pPr>
          </w:p>
        </w:tc>
        <w:tc>
          <w:tcPr>
            <w:tcW w:w="5880" w:type="dxa"/>
          </w:tcPr>
          <w:p w14:paraId="60A0E912"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alin. (7) din cod, prin introducerea formulării „în vederea obținerii unui acord asupra deciziilor” și substituirea termenului „consens” cu „acord” poate fi interpretată ca o extindere a rolului reprezentanților salariaților în procesul decizional. În actuala redacție, opinia salariaților are caracter consultativ, iar decizia finală aparține angajatorului. Utilizarea noțiunii de „acord” poate sugera că reprezentanții salariaților dispun de dreptul de VETO, iar adoptarea deciziei ar depinde de acceptul reprezentanților salariaților, ceea ce ar putea limita ca angajatorul să-și realizeze drepturile și obligațiile legale.</w:t>
            </w:r>
          </w:p>
        </w:tc>
        <w:tc>
          <w:tcPr>
            <w:tcW w:w="5880" w:type="dxa"/>
          </w:tcPr>
          <w:p w14:paraId="181A30B5" w14:textId="77777777" w:rsidR="0091081E" w:rsidRDefault="00000000">
            <w:pPr>
              <w:shd w:val="clear" w:color="auto" w:fill="FFFFFF"/>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3FCB4913" w14:textId="77777777" w:rsidR="0091081E"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reține că observația formulată vizează posibila interpretare extensivă a noțiunii de „acord”, însă se impune precizarea că alinierea terminologică este necesară pentru asigurarea conformității cu Directiva 2002/14/CE, care utilizează expres conceptul de consultare „în vederea ajungerii la un acord”, fără a conferi reprezentanților salariaților un drept de veto asupra deciziei angajatorului.</w:t>
            </w:r>
          </w:p>
          <w:p w14:paraId="74BF3604" w14:textId="77777777" w:rsidR="0091081E"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se constată că în redacția anterioară a fost utilizat termenul „consens”, care, deși apropiat ca sens de noțiunea de „acord”, nu este consacrat de directivă și poate genera incertitudini interpretative suplimentare. În acest context, substituirea termenului respectiv urmărește uniformizarea terminologiei cu cea europeană, fără a modifica natura juridică a procedurii de consultare, care rămâne una consultativă.</w:t>
            </w:r>
          </w:p>
          <w:p w14:paraId="668828AB" w14:textId="77777777" w:rsidR="0091081E"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Prin urmare, se acceptă parțial obiecția, iar art. 42¹ alin. (7) lit. c) din Codul muncii al Republicii Moldova va avea următoarea redactare: </w:t>
            </w:r>
          </w:p>
          <w:p w14:paraId="108D13A5" w14:textId="77777777" w:rsidR="0091081E" w:rsidRDefault="0091081E">
            <w:pPr>
              <w:shd w:val="clear" w:color="auto" w:fill="FFFFFF"/>
              <w:jc w:val="both"/>
              <w:rPr>
                <w:rFonts w:ascii="Times New Roman" w:eastAsia="Times New Roman" w:hAnsi="Times New Roman" w:cs="Times New Roman"/>
                <w:b/>
                <w:bCs/>
                <w:highlight w:val="white"/>
              </w:rPr>
            </w:pPr>
          </w:p>
          <w:p w14:paraId="0F376D85" w14:textId="77777777" w:rsidR="0091081E"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alin. (7) lit. c va fi expus în următoarea redacție (7) „Consultarea are loc: </w:t>
            </w:r>
          </w:p>
          <w:p w14:paraId="5C715338" w14:textId="77777777" w:rsidR="0091081E" w:rsidRDefault="00000000">
            <w:pPr>
              <w:shd w:val="clear" w:color="auto" w:fill="FFFFFF"/>
              <w:ind w:firstLine="68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 în vederea obținerii unui </w:t>
            </w:r>
            <w:r>
              <w:rPr>
                <w:rFonts w:ascii="Times New Roman" w:eastAsia="Times New Roman" w:hAnsi="Times New Roman" w:cs="Times New Roman"/>
                <w:b/>
                <w:bCs/>
                <w:highlight w:val="white"/>
              </w:rPr>
              <w:t>acord</w:t>
            </w:r>
            <w:r>
              <w:rPr>
                <w:rFonts w:ascii="Times New Roman" w:eastAsia="Times New Roman" w:hAnsi="Times New Roman" w:cs="Times New Roman"/>
                <w:highlight w:val="white"/>
              </w:rPr>
              <w:t xml:space="preserve"> privind subiectele menționate la alin. (2) lit. b)–d) care țin de competențele angajatorului.”</w:t>
            </w:r>
          </w:p>
        </w:tc>
      </w:tr>
      <w:tr w:rsidR="0091081E" w14:paraId="199DEE8B" w14:textId="77777777">
        <w:trPr>
          <w:trHeight w:val="600"/>
        </w:trPr>
        <w:tc>
          <w:tcPr>
            <w:tcW w:w="555" w:type="dxa"/>
            <w:vMerge/>
          </w:tcPr>
          <w:p w14:paraId="45436D9E" w14:textId="77777777" w:rsidR="0091081E" w:rsidRDefault="0091081E">
            <w:pPr>
              <w:spacing w:line="240" w:lineRule="auto"/>
              <w:rPr>
                <w:rFonts w:ascii="Times New Roman" w:eastAsia="Times New Roman" w:hAnsi="Times New Roman" w:cs="Times New Roman"/>
                <w:b/>
                <w:bCs/>
              </w:rPr>
            </w:pPr>
          </w:p>
        </w:tc>
        <w:tc>
          <w:tcPr>
            <w:tcW w:w="2700" w:type="dxa"/>
            <w:vMerge/>
          </w:tcPr>
          <w:p w14:paraId="46D11BAB" w14:textId="77777777" w:rsidR="0091081E" w:rsidRDefault="0091081E">
            <w:pPr>
              <w:spacing w:line="240" w:lineRule="auto"/>
              <w:jc w:val="center"/>
              <w:rPr>
                <w:rFonts w:ascii="Times New Roman" w:eastAsia="Times New Roman" w:hAnsi="Times New Roman" w:cs="Times New Roman"/>
              </w:rPr>
            </w:pPr>
          </w:p>
        </w:tc>
        <w:tc>
          <w:tcPr>
            <w:tcW w:w="5880" w:type="dxa"/>
          </w:tcPr>
          <w:p w14:paraId="5F1F54B9"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Completarea art.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cu alineatul (7¹), care stabilește nulitatea deciziei adoptate fără informarea și consultarea reprezentanților salariaților sau înainte de finalizarea procedurii</w:t>
            </w:r>
          </w:p>
          <w:p w14:paraId="500222BC"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de consultare, reprezintă o sancțiune foarte severă, care nu are suport juridic și explicație. Deși scopul este de a asigura respectarea procedurii de informare și consultare, textul nu precizează clar momentul în care procedura se consideră finalizată și nici modul în care această prevedere se corelează cu termenul de 10 zile lucrătoare prevăzut în prezent pentru prezentarea opiniei consultative. În lipsa unor clarificări de procedură există riscul apariției unor litigii privind validitatea deciziilor angajatorului.</w:t>
            </w:r>
          </w:p>
        </w:tc>
        <w:tc>
          <w:tcPr>
            <w:tcW w:w="5880" w:type="dxa"/>
          </w:tcPr>
          <w:p w14:paraId="7CFB64DA"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5359083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tc>
      </w:tr>
      <w:tr w:rsidR="0091081E" w14:paraId="13C6BF61" w14:textId="77777777">
        <w:trPr>
          <w:trHeight w:val="600"/>
        </w:trPr>
        <w:tc>
          <w:tcPr>
            <w:tcW w:w="555" w:type="dxa"/>
            <w:vMerge/>
          </w:tcPr>
          <w:p w14:paraId="5AD510ED" w14:textId="77777777" w:rsidR="0091081E" w:rsidRDefault="0091081E">
            <w:pPr>
              <w:spacing w:line="240" w:lineRule="auto"/>
              <w:rPr>
                <w:rFonts w:ascii="Times New Roman" w:eastAsia="Times New Roman" w:hAnsi="Times New Roman" w:cs="Times New Roman"/>
                <w:b/>
                <w:bCs/>
              </w:rPr>
            </w:pPr>
          </w:p>
        </w:tc>
        <w:tc>
          <w:tcPr>
            <w:tcW w:w="2700" w:type="dxa"/>
            <w:vMerge/>
          </w:tcPr>
          <w:p w14:paraId="3AF74A69" w14:textId="77777777" w:rsidR="0091081E" w:rsidRDefault="0091081E">
            <w:pPr>
              <w:spacing w:line="240" w:lineRule="auto"/>
              <w:jc w:val="center"/>
              <w:rPr>
                <w:rFonts w:ascii="Times New Roman" w:eastAsia="Times New Roman" w:hAnsi="Times New Roman" w:cs="Times New Roman"/>
              </w:rPr>
            </w:pPr>
          </w:p>
        </w:tc>
        <w:tc>
          <w:tcPr>
            <w:tcW w:w="5880" w:type="dxa"/>
          </w:tcPr>
          <w:p w14:paraId="3BEE70B7"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articolul III din proiect considerăm că sancțiunile prevăzute de Codul Contravențional sunt prea dure și, din punctul nostru de vedere, necesită a fi revizuite.</w:t>
            </w:r>
          </w:p>
        </w:tc>
        <w:tc>
          <w:tcPr>
            <w:tcW w:w="5880" w:type="dxa"/>
          </w:tcPr>
          <w:p w14:paraId="4566FCC3"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1AFBAE57"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Includerea lit. k) în cadrul art. 55 este justificată prin faptul că fapta incriminată – nerespectarea obligației de informare și consultare a salariaților – prezintă un pericol social comparabil cu celelalte încălcări prevăzute de același articol, toate afectând buna desfășurare a relațiilor de muncă. Această obligație are un rol esențial în asigurarea echilibrului dintre părți și în garantarea exercitării efective a drepturilor colective ale salariaților.</w:t>
            </w:r>
          </w:p>
          <w:p w14:paraId="445C0FDB"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sancțiunile stabilite pentru lit. k) sunt integrate în același regim sancționator aplicabil celorlalte încălcări din domeniul muncii, ceea ce asigură coerența și tratamentul egal al faptelor de natură similară. O eventuală diferențiere în sensul diminuării sancțiunilor nu este justificată, întrucât toate faptele prevăzute de art. 55 protejează același obiect juridic, respectiv relațiile de muncă.</w:t>
            </w:r>
          </w:p>
          <w:p w14:paraId="1AD90CA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acest sens, menținerea unui nivel uniform al sancțiunilor reflectă necesitatea de a asigura protecția efectivă a tuturor componentelor esențiale ale raporturilor de muncă, inclusiv a drepturilor procedurale ale salariaților, care nu pot fi considerate de o importanță inferioară.</w:t>
            </w:r>
          </w:p>
        </w:tc>
      </w:tr>
      <w:tr w:rsidR="0091081E" w14:paraId="5FB2347C" w14:textId="77777777">
        <w:trPr>
          <w:trHeight w:val="600"/>
        </w:trPr>
        <w:tc>
          <w:tcPr>
            <w:tcW w:w="555" w:type="dxa"/>
          </w:tcPr>
          <w:p w14:paraId="4AA8B0DF" w14:textId="77777777" w:rsidR="0091081E" w:rsidRDefault="0091081E">
            <w:pPr>
              <w:numPr>
                <w:ilvl w:val="0"/>
                <w:numId w:val="4"/>
              </w:numPr>
              <w:spacing w:line="240" w:lineRule="auto"/>
              <w:ind w:hanging="338"/>
              <w:rPr>
                <w:rFonts w:ascii="Times New Roman" w:eastAsia="Times New Roman" w:hAnsi="Times New Roman" w:cs="Times New Roman"/>
                <w:b/>
                <w:bCs/>
              </w:rPr>
            </w:pPr>
          </w:p>
        </w:tc>
        <w:tc>
          <w:tcPr>
            <w:tcW w:w="2700" w:type="dxa"/>
          </w:tcPr>
          <w:p w14:paraId="44964389"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Agenția Feroviară</w:t>
            </w:r>
          </w:p>
          <w:p w14:paraId="53A9C785"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Nr. 01-47 </w:t>
            </w:r>
          </w:p>
          <w:p w14:paraId="3358109C"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06.03.2026</w:t>
            </w:r>
          </w:p>
        </w:tc>
        <w:tc>
          <w:tcPr>
            <w:tcW w:w="5880" w:type="dxa"/>
          </w:tcPr>
          <w:p w14:paraId="5481FB99"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Lipsa de propuneri de modificare, menținând formatul proiectului prezentat.</w:t>
            </w:r>
          </w:p>
        </w:tc>
        <w:tc>
          <w:tcPr>
            <w:tcW w:w="5880" w:type="dxa"/>
          </w:tcPr>
          <w:p w14:paraId="199E0F00"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tc>
      </w:tr>
      <w:tr w:rsidR="0091081E" w14:paraId="0D3FEB27" w14:textId="77777777">
        <w:trPr>
          <w:trHeight w:val="600"/>
        </w:trPr>
        <w:tc>
          <w:tcPr>
            <w:tcW w:w="555" w:type="dxa"/>
            <w:vMerge w:val="restart"/>
          </w:tcPr>
          <w:p w14:paraId="52946FCF" w14:textId="77777777" w:rsidR="0091081E" w:rsidRDefault="00000000">
            <w:pPr>
              <w:spacing w:line="240" w:lineRule="auto"/>
              <w:ind w:left="360" w:hanging="338"/>
              <w:rPr>
                <w:rFonts w:ascii="Times New Roman" w:eastAsia="Times New Roman" w:hAnsi="Times New Roman" w:cs="Times New Roman"/>
                <w:b/>
                <w:bCs/>
              </w:rPr>
            </w:pPr>
            <w:r>
              <w:rPr>
                <w:rFonts w:ascii="Times New Roman" w:eastAsia="Times New Roman" w:hAnsi="Times New Roman" w:cs="Times New Roman"/>
                <w:b/>
                <w:bCs/>
              </w:rPr>
              <w:t>20.</w:t>
            </w:r>
          </w:p>
        </w:tc>
        <w:tc>
          <w:tcPr>
            <w:tcW w:w="2700" w:type="dxa"/>
            <w:vMerge w:val="restart"/>
          </w:tcPr>
          <w:p w14:paraId="23922E38"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Grupului de lucru al Comisiei de stat pentru reglementarea activității de întreprinzător</w:t>
            </w:r>
          </w:p>
          <w:p w14:paraId="3A03E1E7"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38-78-3138</w:t>
            </w:r>
          </w:p>
          <w:p w14:paraId="41FE204D"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19.03.2026</w:t>
            </w:r>
          </w:p>
        </w:tc>
        <w:tc>
          <w:tcPr>
            <w:tcW w:w="5880" w:type="dxa"/>
          </w:tcPr>
          <w:p w14:paraId="4D2A0B74"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Decizia Grupului de lucru în privința proiectului de act normativ și notei de fundamentare/Analizei impactului de reglementare:</w:t>
            </w:r>
          </w:p>
          <w:p w14:paraId="6106470B"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Nu se susține proiectul de lege și nota de fundamentare</w:t>
            </w:r>
          </w:p>
        </w:tc>
        <w:tc>
          <w:tcPr>
            <w:tcW w:w="5880" w:type="dxa"/>
          </w:tcPr>
          <w:p w14:paraId="48E04C09"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ia act.</w:t>
            </w:r>
          </w:p>
          <w:p w14:paraId="5FD1C358"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Proiectul revăzut se prezintă repetat </w:t>
            </w:r>
            <w:r>
              <w:rPr>
                <w:rFonts w:ascii="Times New Roman" w:eastAsia="Times New Roman" w:hAnsi="Times New Roman" w:cs="Times New Roman"/>
              </w:rPr>
              <w:t>Grupului de lucru al Comisiei de stat pentru reglementarea activității de întreprinzător (concomitent, cu derularea expertizei MJ și CNA).</w:t>
            </w:r>
          </w:p>
        </w:tc>
      </w:tr>
      <w:tr w:rsidR="0091081E" w14:paraId="2B80B6DA" w14:textId="77777777">
        <w:trPr>
          <w:trHeight w:val="600"/>
        </w:trPr>
        <w:tc>
          <w:tcPr>
            <w:tcW w:w="555" w:type="dxa"/>
            <w:vMerge/>
          </w:tcPr>
          <w:p w14:paraId="682CE506" w14:textId="77777777" w:rsidR="0091081E" w:rsidRDefault="0091081E">
            <w:pPr>
              <w:spacing w:line="240" w:lineRule="auto"/>
              <w:rPr>
                <w:rFonts w:ascii="Times New Roman" w:eastAsia="Times New Roman" w:hAnsi="Times New Roman" w:cs="Times New Roman"/>
                <w:b/>
                <w:bCs/>
              </w:rPr>
            </w:pPr>
          </w:p>
        </w:tc>
        <w:tc>
          <w:tcPr>
            <w:tcW w:w="2700" w:type="dxa"/>
            <w:vMerge/>
          </w:tcPr>
          <w:p w14:paraId="1D5AF751" w14:textId="77777777" w:rsidR="0091081E" w:rsidRDefault="0091081E">
            <w:pPr>
              <w:spacing w:line="240" w:lineRule="auto"/>
              <w:jc w:val="center"/>
              <w:rPr>
                <w:rFonts w:ascii="Times New Roman" w:eastAsia="Times New Roman" w:hAnsi="Times New Roman" w:cs="Times New Roman"/>
              </w:rPr>
            </w:pPr>
          </w:p>
        </w:tc>
        <w:tc>
          <w:tcPr>
            <w:tcW w:w="5880" w:type="dxa"/>
          </w:tcPr>
          <w:p w14:paraId="45CE93A0" w14:textId="77777777" w:rsidR="0091081E"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Legea nr.140/2001, Art. 4 alin. (3): </w:t>
            </w:r>
          </w:p>
          <w:p w14:paraId="2102399E"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prevede că „Inspectoratul de Stat al Muncii exercită, în special, următoarele atribuții”. Sintagma „în special” face ca lista atribuțiilor să fie neexhaustivă, ceea ce permite extinderea și aplicare discreționară a competențelor inspectorilor. </w:t>
            </w:r>
          </w:p>
        </w:tc>
        <w:tc>
          <w:tcPr>
            <w:tcW w:w="5880" w:type="dxa"/>
          </w:tcPr>
          <w:p w14:paraId="6D6929BA"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w:t>
            </w:r>
          </w:p>
          <w:p w14:paraId="7672C1C6"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Sintagma va fi exclusă. </w:t>
            </w:r>
          </w:p>
        </w:tc>
      </w:tr>
      <w:tr w:rsidR="0091081E" w14:paraId="551C22DB" w14:textId="77777777">
        <w:trPr>
          <w:trHeight w:val="600"/>
        </w:trPr>
        <w:tc>
          <w:tcPr>
            <w:tcW w:w="555" w:type="dxa"/>
            <w:vMerge/>
          </w:tcPr>
          <w:p w14:paraId="03F38EA8" w14:textId="77777777" w:rsidR="0091081E" w:rsidRDefault="0091081E">
            <w:pPr>
              <w:spacing w:line="240" w:lineRule="auto"/>
              <w:rPr>
                <w:rFonts w:ascii="Times New Roman" w:eastAsia="Times New Roman" w:hAnsi="Times New Roman" w:cs="Times New Roman"/>
                <w:b/>
                <w:bCs/>
              </w:rPr>
            </w:pPr>
          </w:p>
        </w:tc>
        <w:tc>
          <w:tcPr>
            <w:tcW w:w="2700" w:type="dxa"/>
            <w:vMerge/>
          </w:tcPr>
          <w:p w14:paraId="31B4851F" w14:textId="77777777" w:rsidR="0091081E" w:rsidRDefault="0091081E">
            <w:pPr>
              <w:spacing w:line="240" w:lineRule="auto"/>
              <w:jc w:val="center"/>
              <w:rPr>
                <w:rFonts w:ascii="Times New Roman" w:eastAsia="Times New Roman" w:hAnsi="Times New Roman" w:cs="Times New Roman"/>
              </w:rPr>
            </w:pPr>
          </w:p>
        </w:tc>
        <w:tc>
          <w:tcPr>
            <w:tcW w:w="5880" w:type="dxa"/>
          </w:tcPr>
          <w:p w14:paraId="7563B1AD"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la </w:t>
            </w:r>
            <w:proofErr w:type="spellStart"/>
            <w:r>
              <w:rPr>
                <w:rFonts w:ascii="Times New Roman" w:eastAsia="Times New Roman" w:hAnsi="Times New Roman" w:cs="Times New Roman"/>
                <w:highlight w:val="white"/>
              </w:rPr>
              <w:t>lit.a</w:t>
            </w:r>
            <w:proofErr w:type="spellEnd"/>
            <w:r>
              <w:rPr>
                <w:rFonts w:ascii="Times New Roman" w:eastAsia="Times New Roman" w:hAnsi="Times New Roman" w:cs="Times New Roman"/>
                <w:highlight w:val="white"/>
              </w:rPr>
              <w:t xml:space="preserve">) se prevede că ISM „primește, înregistrează și gestionează notificările prevăzute de Legea privind detașarea salariaților…”. Termenul „gestionează” nu este clar din punct de vedere juridic și nu este clar dacă acesta presupune verificare formală, validare, respingere, evaluare de fond?! Această formulare poate permite respingerea notificărilor și instituirea unui mecanism de act permisiv. Se recomandă următoarea redacție „primește și înregistrează notificările prevăzute de lege și asigură evidența acestora”. tot la lit. a) se prevede că ISM „verifică îndeplinirea cerințelor administrative stabilite de lege”, însă, lipsesc sau nu se precizează procedura verificării și limitele verificării. Chiar dacă ISM deja a fost exclus de sub incidența legislației privind controlul de stat asupra activității de întreprinzător, cerințe față modul si forma controlului este prevăzută de Legea nr.140/2001. Prin urmare se recomandă indicarea sintagmei ”verifică, în condițiile </w:t>
            </w:r>
            <w:proofErr w:type="spellStart"/>
            <w:r>
              <w:rPr>
                <w:rFonts w:ascii="Times New Roman" w:eastAsia="Times New Roman" w:hAnsi="Times New Roman" w:cs="Times New Roman"/>
                <w:highlight w:val="white"/>
              </w:rPr>
              <w:t>art.XX</w:t>
            </w:r>
            <w:proofErr w:type="spellEnd"/>
            <w:r>
              <w:rPr>
                <w:rFonts w:ascii="Times New Roman" w:eastAsia="Times New Roman" w:hAnsi="Times New Roman" w:cs="Times New Roman"/>
                <w:highlight w:val="white"/>
              </w:rPr>
              <w:t xml:space="preserve"> din prezenta lege, îndeplinirea cerințelor administrative stabilite de Legea…,”.</w:t>
            </w:r>
          </w:p>
        </w:tc>
        <w:tc>
          <w:tcPr>
            <w:tcW w:w="5880" w:type="dxa"/>
          </w:tcPr>
          <w:p w14:paraId="0CA43BA0"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parțial. </w:t>
            </w:r>
          </w:p>
          <w:p w14:paraId="139033AF"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 alin. (3) lit. a) va fi expus în următoarea redacție:</w:t>
            </w:r>
          </w:p>
          <w:p w14:paraId="1E1B69CA"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(3) În vederea aplicării Legii privind detașarea salariaților în cadrul prestării de servicii, Inspectoratul de Stat al Muncii exercită, următoarele atribuții:</w:t>
            </w:r>
          </w:p>
          <w:p w14:paraId="1CB61A1D"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primește și înregistrează notificările prevăzute la art. 40 din Legea privind detașarea salariaților în cadrul prestării de servicii transnaționale, asigură evidența acestora, inclusiv a actualizărilor, și verifică, în condițiile legii menționate, îndeplinirea cerințelor administrative și a măsurilor de control aferente;</w:t>
            </w:r>
          </w:p>
          <w:p w14:paraId="1114991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E40BC1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47C06C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tc>
      </w:tr>
      <w:tr w:rsidR="0091081E" w14:paraId="32C91522" w14:textId="77777777">
        <w:trPr>
          <w:trHeight w:val="600"/>
        </w:trPr>
        <w:tc>
          <w:tcPr>
            <w:tcW w:w="555" w:type="dxa"/>
            <w:vMerge/>
          </w:tcPr>
          <w:p w14:paraId="3372186E" w14:textId="77777777" w:rsidR="0091081E" w:rsidRDefault="0091081E">
            <w:pPr>
              <w:spacing w:line="240" w:lineRule="auto"/>
              <w:rPr>
                <w:rFonts w:ascii="Times New Roman" w:eastAsia="Times New Roman" w:hAnsi="Times New Roman" w:cs="Times New Roman"/>
                <w:b/>
                <w:bCs/>
              </w:rPr>
            </w:pPr>
          </w:p>
        </w:tc>
        <w:tc>
          <w:tcPr>
            <w:tcW w:w="2700" w:type="dxa"/>
            <w:vMerge/>
          </w:tcPr>
          <w:p w14:paraId="3B200AE1" w14:textId="77777777" w:rsidR="0091081E" w:rsidRDefault="0091081E">
            <w:pPr>
              <w:spacing w:line="240" w:lineRule="auto"/>
              <w:jc w:val="center"/>
              <w:rPr>
                <w:rFonts w:ascii="Times New Roman" w:eastAsia="Times New Roman" w:hAnsi="Times New Roman" w:cs="Times New Roman"/>
              </w:rPr>
            </w:pPr>
          </w:p>
        </w:tc>
        <w:tc>
          <w:tcPr>
            <w:tcW w:w="5880" w:type="dxa"/>
          </w:tcPr>
          <w:p w14:paraId="574E2830"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lit. b) prevede dreptul inspecției de a ”solicita angajatorilor, beneficiarilor și altor persoane vizate informații și documente relevante..”. Sintagma „alte persoane vizate” este neclară și nedeterminată. Se recomandă excluderea.</w:t>
            </w:r>
          </w:p>
          <w:p w14:paraId="6C689A18" w14:textId="77777777" w:rsidR="0091081E" w:rsidRDefault="0091081E">
            <w:pPr>
              <w:spacing w:line="240" w:lineRule="auto"/>
              <w:ind w:firstLine="284"/>
              <w:jc w:val="both"/>
              <w:rPr>
                <w:rFonts w:ascii="Times New Roman" w:eastAsia="Times New Roman" w:hAnsi="Times New Roman" w:cs="Times New Roman"/>
                <w:highlight w:val="white"/>
              </w:rPr>
            </w:pPr>
          </w:p>
        </w:tc>
        <w:tc>
          <w:tcPr>
            <w:tcW w:w="5880" w:type="dxa"/>
          </w:tcPr>
          <w:p w14:paraId="03EC70B3"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Nu se acceptă. </w:t>
            </w:r>
          </w:p>
          <w:p w14:paraId="20AC3EBF"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Sintagma „alte persoane vizate” este necesară pentru a nu restrânge sfera persoanelor de la care pot fi solicitate informații și documente relevante pentru verificarea respectării cadrului normativ privind detașarea salariaților. În practică, constatarea respectării prevederilor legale nu poate fi realizată exclusiv pe baza informațiilor deținute de angajator sau beneficiar, fiind posibil ca date relevante să fie deținute și de alte persoane aflate în legătură cu situația verificată.</w:t>
            </w:r>
          </w:p>
          <w:p w14:paraId="0AEFF650"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Astfel de persoane pot include, după caz, prestatori de servicii, prestatori de cazare, persoane care dețin evidențe sau documente relevante privind cheltuielile specifice detașării, precum și alte persoane care pot confirma ori infirma împrejurări de fapt relevante pentru constatarea respectării prevederilor legale.</w:t>
            </w:r>
          </w:p>
        </w:tc>
      </w:tr>
      <w:tr w:rsidR="0091081E" w14:paraId="76897F43" w14:textId="77777777">
        <w:trPr>
          <w:trHeight w:val="600"/>
        </w:trPr>
        <w:tc>
          <w:tcPr>
            <w:tcW w:w="555" w:type="dxa"/>
            <w:vMerge/>
          </w:tcPr>
          <w:p w14:paraId="673C8A6C" w14:textId="77777777" w:rsidR="0091081E" w:rsidRDefault="0091081E">
            <w:pPr>
              <w:spacing w:line="240" w:lineRule="auto"/>
              <w:rPr>
                <w:rFonts w:ascii="Times New Roman" w:eastAsia="Times New Roman" w:hAnsi="Times New Roman" w:cs="Times New Roman"/>
                <w:b/>
                <w:bCs/>
              </w:rPr>
            </w:pPr>
          </w:p>
        </w:tc>
        <w:tc>
          <w:tcPr>
            <w:tcW w:w="2700" w:type="dxa"/>
            <w:vMerge/>
          </w:tcPr>
          <w:p w14:paraId="18973F9B" w14:textId="77777777" w:rsidR="0091081E" w:rsidRDefault="0091081E">
            <w:pPr>
              <w:spacing w:line="240" w:lineRule="auto"/>
              <w:jc w:val="center"/>
              <w:rPr>
                <w:rFonts w:ascii="Times New Roman" w:eastAsia="Times New Roman" w:hAnsi="Times New Roman" w:cs="Times New Roman"/>
              </w:rPr>
            </w:pPr>
          </w:p>
        </w:tc>
        <w:tc>
          <w:tcPr>
            <w:tcW w:w="5880" w:type="dxa"/>
          </w:tcPr>
          <w:p w14:paraId="7D6FE623"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lit. c) prevede dreptul inspecției de a „dispune, după caz, măsuri obligatorii de remediere”. Aici la fel ridică semne de întrebare privind actul administrativ prin care sunt dispuse măsurile, care este procedura, dacă acestea sunt prescripții sau alte acte. Se recomandă următoarea redacție „emite prescripții obligatorii de remediere, în condițiile legii”. În orice caz pentru orice redacție aleasă de autori este obligatoriu indicare unei prevederi de trimitere cum ar fi - ”în condițiile legii” (Legea nr.140/2001) sau „conform </w:t>
            </w:r>
            <w:proofErr w:type="spellStart"/>
            <w:r>
              <w:rPr>
                <w:rFonts w:ascii="Times New Roman" w:eastAsia="Times New Roman" w:hAnsi="Times New Roman" w:cs="Times New Roman"/>
                <w:highlight w:val="white"/>
              </w:rPr>
              <w:t>art</w:t>
            </w:r>
            <w:proofErr w:type="spellEnd"/>
            <w:r>
              <w:rPr>
                <w:rFonts w:ascii="Times New Roman" w:eastAsia="Times New Roman" w:hAnsi="Times New Roman" w:cs="Times New Roman"/>
                <w:highlight w:val="white"/>
              </w:rPr>
              <w:t>…din prezenta lege„.</w:t>
            </w:r>
          </w:p>
          <w:p w14:paraId="48DCBBD5" w14:textId="77777777" w:rsidR="0091081E" w:rsidRDefault="0091081E">
            <w:pPr>
              <w:spacing w:line="240" w:lineRule="auto"/>
              <w:ind w:firstLine="284"/>
              <w:jc w:val="both"/>
              <w:rPr>
                <w:rFonts w:ascii="Times New Roman" w:eastAsia="Times New Roman" w:hAnsi="Times New Roman" w:cs="Times New Roman"/>
                <w:highlight w:val="white"/>
              </w:rPr>
            </w:pPr>
          </w:p>
        </w:tc>
        <w:tc>
          <w:tcPr>
            <w:tcW w:w="5880" w:type="dxa"/>
          </w:tcPr>
          <w:p w14:paraId="571EC29A"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521C812F"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p w14:paraId="2A94CFDA"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 alin. (3) lit. c) din Legea nr. 140/2001 va fi expus în următoarea redacție:</w:t>
            </w:r>
          </w:p>
          <w:p w14:paraId="29F6A7A0"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c) efectuează controlul de stat asupra respectării condițiilor de muncă aplicabile salariaților detașați pe teritoriul Republicii Moldova și emite prescripții obligatorii de remediere, în condițiile legii;</w:t>
            </w:r>
          </w:p>
        </w:tc>
      </w:tr>
      <w:tr w:rsidR="0091081E" w14:paraId="62201D43" w14:textId="77777777">
        <w:trPr>
          <w:trHeight w:val="600"/>
        </w:trPr>
        <w:tc>
          <w:tcPr>
            <w:tcW w:w="555" w:type="dxa"/>
            <w:vMerge/>
          </w:tcPr>
          <w:p w14:paraId="13E41AE3" w14:textId="77777777" w:rsidR="0091081E" w:rsidRDefault="0091081E">
            <w:pPr>
              <w:spacing w:line="240" w:lineRule="auto"/>
              <w:rPr>
                <w:rFonts w:ascii="Times New Roman" w:eastAsia="Times New Roman" w:hAnsi="Times New Roman" w:cs="Times New Roman"/>
                <w:b/>
                <w:bCs/>
              </w:rPr>
            </w:pPr>
          </w:p>
        </w:tc>
        <w:tc>
          <w:tcPr>
            <w:tcW w:w="2700" w:type="dxa"/>
            <w:vMerge/>
          </w:tcPr>
          <w:p w14:paraId="30E83F85" w14:textId="77777777" w:rsidR="0091081E" w:rsidRDefault="0091081E">
            <w:pPr>
              <w:spacing w:line="240" w:lineRule="auto"/>
              <w:jc w:val="center"/>
              <w:rPr>
                <w:rFonts w:ascii="Times New Roman" w:eastAsia="Times New Roman" w:hAnsi="Times New Roman" w:cs="Times New Roman"/>
              </w:rPr>
            </w:pPr>
          </w:p>
        </w:tc>
        <w:tc>
          <w:tcPr>
            <w:tcW w:w="5880" w:type="dxa"/>
          </w:tcPr>
          <w:p w14:paraId="58D9AEFA"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la </w:t>
            </w:r>
            <w:proofErr w:type="spellStart"/>
            <w:r>
              <w:rPr>
                <w:rFonts w:ascii="Times New Roman" w:eastAsia="Times New Roman" w:hAnsi="Times New Roman" w:cs="Times New Roman"/>
                <w:highlight w:val="white"/>
              </w:rPr>
              <w:t>lit.d</w:t>
            </w:r>
            <w:proofErr w:type="spellEnd"/>
            <w:r>
              <w:rPr>
                <w:rFonts w:ascii="Times New Roman" w:eastAsia="Times New Roman" w:hAnsi="Times New Roman" w:cs="Times New Roman"/>
                <w:highlight w:val="white"/>
              </w:rPr>
              <w:t>) formularea „constată contravențiile pentru încălcarea prevederilor Legii privind detașarea salariaților în cadrul prestării de servicii transnaționale” este problematică deoarece face trimitere la întreaga lege, iar o lege poate conține numeroase norme de natură diferită: norme organizatorice, procedurale, informative sau de competență, nu doar norme care instituie obligații a căror încălcare constituie contravenție. Prin urmare, simpla trimitere generică la „încălcarea prevederilor legii” poate crea impresia că orice încălcare a oricărei norme din acea lege ar constitui contravenție, ceea ce ar fi contrar principiilor dreptului contravențional.</w:t>
            </w:r>
          </w:p>
          <w:p w14:paraId="321A889C" w14:textId="77777777" w:rsidR="0091081E" w:rsidRDefault="0091081E">
            <w:pPr>
              <w:spacing w:line="240" w:lineRule="auto"/>
              <w:ind w:firstLine="284"/>
              <w:jc w:val="both"/>
              <w:rPr>
                <w:rFonts w:ascii="Times New Roman" w:eastAsia="Times New Roman" w:hAnsi="Times New Roman" w:cs="Times New Roman"/>
                <w:highlight w:val="white"/>
              </w:rPr>
            </w:pPr>
          </w:p>
        </w:tc>
        <w:tc>
          <w:tcPr>
            <w:tcW w:w="5880" w:type="dxa"/>
          </w:tcPr>
          <w:p w14:paraId="3EF78FB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3A50CDB9"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 alin. (3) lit. d) din Legea nr. 140/2001 va fi expus în următoarea redacție:</w:t>
            </w:r>
          </w:p>
          <w:p w14:paraId="48F10A2C"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„d) constată contravențiile și aplică sancțiunile contravenționale prevăzute la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din Codul contravențional pentru încălcarea obligațiilor stabilite de Legea privind detașarea salariaților în cadrul prestării de servicii transnaționale;”</w:t>
            </w:r>
          </w:p>
        </w:tc>
      </w:tr>
      <w:tr w:rsidR="0091081E" w14:paraId="777C9418" w14:textId="77777777">
        <w:trPr>
          <w:trHeight w:val="600"/>
        </w:trPr>
        <w:tc>
          <w:tcPr>
            <w:tcW w:w="555" w:type="dxa"/>
            <w:vMerge/>
          </w:tcPr>
          <w:p w14:paraId="050F8708" w14:textId="77777777" w:rsidR="0091081E" w:rsidRDefault="0091081E">
            <w:pPr>
              <w:spacing w:line="240" w:lineRule="auto"/>
              <w:rPr>
                <w:rFonts w:ascii="Times New Roman" w:eastAsia="Times New Roman" w:hAnsi="Times New Roman" w:cs="Times New Roman"/>
                <w:b/>
                <w:bCs/>
              </w:rPr>
            </w:pPr>
          </w:p>
        </w:tc>
        <w:tc>
          <w:tcPr>
            <w:tcW w:w="2700" w:type="dxa"/>
            <w:vMerge/>
          </w:tcPr>
          <w:p w14:paraId="3FBC02C4" w14:textId="77777777" w:rsidR="0091081E" w:rsidRDefault="0091081E">
            <w:pPr>
              <w:spacing w:line="240" w:lineRule="auto"/>
              <w:jc w:val="center"/>
              <w:rPr>
                <w:rFonts w:ascii="Times New Roman" w:eastAsia="Times New Roman" w:hAnsi="Times New Roman" w:cs="Times New Roman"/>
              </w:rPr>
            </w:pPr>
          </w:p>
        </w:tc>
        <w:tc>
          <w:tcPr>
            <w:tcW w:w="5880" w:type="dxa"/>
          </w:tcPr>
          <w:p w14:paraId="2AC2F045"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Codul Muncii, Articolul 8: - alineatul (1) prevede o listă extinsă de criterii de discriminare și include, pe lângă acestea, formularea „și criteriile stabilite prin Legea nr. 121/2012 cu privire la asigurarea egalității, precum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pe alte criterii nelegate de </w:t>
            </w:r>
            <w:proofErr w:type="spellStart"/>
            <w:r>
              <w:rPr>
                <w:rFonts w:ascii="Times New Roman" w:eastAsia="Times New Roman" w:hAnsi="Times New Roman" w:cs="Times New Roman"/>
                <w:highlight w:val="white"/>
              </w:rPr>
              <w:t>calităţile</w:t>
            </w:r>
            <w:proofErr w:type="spellEnd"/>
            <w:r>
              <w:rPr>
                <w:rFonts w:ascii="Times New Roman" w:eastAsia="Times New Roman" w:hAnsi="Times New Roman" w:cs="Times New Roman"/>
                <w:highlight w:val="white"/>
              </w:rPr>
              <w:t xml:space="preserve"> sale profesionale”. Din perspectiva mediului de afaceri, această formulare poate genera incertitudine juridică deoarece extinde în mod deschis sfera criteriilor de discriminare. Angajatorii nu pot determina toate situațiile care ar putea fi considerate discriminatorii, în special atunci când norma face trimitere la criterii prevăzute într-o altă lege sau la „alte criterii” nedefinite.</w:t>
            </w:r>
          </w:p>
          <w:p w14:paraId="13886375" w14:textId="77777777" w:rsidR="0091081E" w:rsidRDefault="0091081E">
            <w:pPr>
              <w:spacing w:line="240" w:lineRule="auto"/>
              <w:ind w:firstLine="284"/>
              <w:jc w:val="both"/>
              <w:rPr>
                <w:rFonts w:ascii="Times New Roman" w:eastAsia="Times New Roman" w:hAnsi="Times New Roman" w:cs="Times New Roman"/>
                <w:highlight w:val="white"/>
              </w:rPr>
            </w:pPr>
          </w:p>
        </w:tc>
        <w:tc>
          <w:tcPr>
            <w:tcW w:w="5880" w:type="dxa"/>
          </w:tcPr>
          <w:p w14:paraId="725C318E"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55E5FB50"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ia act de observațiile formulate de mediul de afaceri cu privire la caracterul deschis al enumerării criteriilor de discriminare prevăzute la art. 8 alin. (1) din Codul muncii al Republicii Moldova. În acest context, se acceptă parțial propunerea, în varianta susținută de Consiliul pentru egalitate.</w:t>
            </w:r>
          </w:p>
          <w:p w14:paraId="72E70719"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se reține că sintagma „alte criterii” face parte din redactarea actuală a art. 8, care a fost menținută în mod constant și nu a generat, până în prezent, dificultăți reale de interpretare sau aplicare. În aceste condiții, menținerea acestei formulări nu este de natură să creeze incertitudine juridică, ci asigură flexibilitatea necesară pentru a acoperi situații de discriminare neprevăzute expres.</w:t>
            </w:r>
          </w:p>
          <w:p w14:paraId="24083E86"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8 alin (1) din Codul Muncii se propune în următoarea redacție:</w:t>
            </w:r>
          </w:p>
          <w:p w14:paraId="6B5358A5" w14:textId="77777777" w:rsidR="0091081E" w:rsidRDefault="00000000">
            <w:pPr>
              <w:spacing w:line="240" w:lineRule="auto"/>
              <w:ind w:firstLine="705"/>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„(1) În cadrul raporturilor de muncă </w:t>
            </w:r>
            <w:r>
              <w:rPr>
                <w:rFonts w:ascii="Times New Roman" w:eastAsia="Times New Roman" w:hAnsi="Times New Roman" w:cs="Times New Roman"/>
                <w:b/>
                <w:bCs/>
                <w:highlight w:val="white"/>
              </w:rPr>
              <w:t xml:space="preserve">și a altor raporturi legate nemijlocit de acestea se aplică principiul egalității de tratament. Orice discriminare a salariatului pe criteriile protejate, stabilite prin Legea nr. 121/2012 cu privire la asigurarea egalității, precum </w:t>
            </w:r>
            <w:proofErr w:type="spellStart"/>
            <w:r>
              <w:rPr>
                <w:rFonts w:ascii="Times New Roman" w:eastAsia="Times New Roman" w:hAnsi="Times New Roman" w:cs="Times New Roman"/>
                <w:b/>
                <w:bCs/>
                <w:highlight w:val="white"/>
              </w:rPr>
              <w:t>şi</w:t>
            </w:r>
            <w:proofErr w:type="spellEnd"/>
            <w:r>
              <w:rPr>
                <w:rFonts w:ascii="Times New Roman" w:eastAsia="Times New Roman" w:hAnsi="Times New Roman" w:cs="Times New Roman"/>
                <w:b/>
                <w:bCs/>
                <w:highlight w:val="white"/>
              </w:rPr>
              <w:t xml:space="preserve"> pe criterii de domiciliu, opțiune politică, </w:t>
            </w:r>
            <w:r>
              <w:rPr>
                <w:rFonts w:ascii="Times New Roman" w:eastAsia="Times New Roman" w:hAnsi="Times New Roman" w:cs="Times New Roman"/>
                <w:highlight w:val="white"/>
              </w:rPr>
              <w:t>apartenență sau activitate sindicală sau alte criterii nelegate de calitățile sale profesionale, este interzisă.</w:t>
            </w:r>
          </w:p>
        </w:tc>
      </w:tr>
      <w:tr w:rsidR="0091081E" w14:paraId="3E0B6690" w14:textId="77777777">
        <w:trPr>
          <w:trHeight w:val="600"/>
        </w:trPr>
        <w:tc>
          <w:tcPr>
            <w:tcW w:w="555" w:type="dxa"/>
            <w:vMerge/>
          </w:tcPr>
          <w:p w14:paraId="014A5B20" w14:textId="77777777" w:rsidR="0091081E" w:rsidRDefault="0091081E">
            <w:pPr>
              <w:spacing w:line="240" w:lineRule="auto"/>
              <w:rPr>
                <w:rFonts w:ascii="Times New Roman" w:eastAsia="Times New Roman" w:hAnsi="Times New Roman" w:cs="Times New Roman"/>
                <w:b/>
                <w:bCs/>
              </w:rPr>
            </w:pPr>
          </w:p>
        </w:tc>
        <w:tc>
          <w:tcPr>
            <w:tcW w:w="2700" w:type="dxa"/>
            <w:vMerge/>
          </w:tcPr>
          <w:p w14:paraId="1C969E96" w14:textId="77777777" w:rsidR="0091081E" w:rsidRDefault="0091081E">
            <w:pPr>
              <w:spacing w:line="240" w:lineRule="auto"/>
              <w:jc w:val="center"/>
              <w:rPr>
                <w:rFonts w:ascii="Times New Roman" w:eastAsia="Times New Roman" w:hAnsi="Times New Roman" w:cs="Times New Roman"/>
              </w:rPr>
            </w:pPr>
          </w:p>
        </w:tc>
        <w:tc>
          <w:tcPr>
            <w:tcW w:w="5880" w:type="dxa"/>
          </w:tcPr>
          <w:p w14:paraId="594EB0AA"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alin. (1/1) prevede că alineatul (1) „se aplică tuturor persoanelor, atât în sectorul public, cât și în cel privat…„ Astfel de formulare este largă și poate crea confuzie, deoarece Codul muncii reglementează în principal raporturile dintre angajatori și salariați sau persoanele care solicită angajarea. Utilizarea expresiei „toate persoanele” poate genera interpretarea că norma se aplică și unor categorii care nu intră în sfera raporturilor de muncă.</w:t>
            </w:r>
          </w:p>
          <w:p w14:paraId="3ADC5CBC" w14:textId="77777777" w:rsidR="0091081E" w:rsidRDefault="0091081E">
            <w:pPr>
              <w:spacing w:line="240" w:lineRule="auto"/>
              <w:ind w:firstLine="284"/>
              <w:jc w:val="both"/>
              <w:rPr>
                <w:rFonts w:ascii="Times New Roman" w:eastAsia="Times New Roman" w:hAnsi="Times New Roman" w:cs="Times New Roman"/>
                <w:highlight w:val="white"/>
              </w:rPr>
            </w:pPr>
          </w:p>
        </w:tc>
        <w:tc>
          <w:tcPr>
            <w:tcW w:w="5880" w:type="dxa"/>
          </w:tcPr>
          <w:p w14:paraId="32DE7AE7"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1C1DCB42"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Domeniul de aplicare a prevederilor care garantează implementarea Directivelor 2000.78 și 2000.43 urmează să fie stabilit în legea specială (nr. 121/2012 cu privire la  cu privire la asigurarea egalității) conform recomandărilor experților UE.</w:t>
            </w:r>
          </w:p>
        </w:tc>
      </w:tr>
      <w:tr w:rsidR="0091081E" w14:paraId="6F910155" w14:textId="77777777">
        <w:trPr>
          <w:trHeight w:val="600"/>
        </w:trPr>
        <w:tc>
          <w:tcPr>
            <w:tcW w:w="555" w:type="dxa"/>
            <w:vMerge/>
          </w:tcPr>
          <w:p w14:paraId="566A7602" w14:textId="77777777" w:rsidR="0091081E" w:rsidRDefault="0091081E">
            <w:pPr>
              <w:spacing w:line="240" w:lineRule="auto"/>
              <w:rPr>
                <w:rFonts w:ascii="Times New Roman" w:eastAsia="Times New Roman" w:hAnsi="Times New Roman" w:cs="Times New Roman"/>
                <w:b/>
                <w:bCs/>
              </w:rPr>
            </w:pPr>
          </w:p>
        </w:tc>
        <w:tc>
          <w:tcPr>
            <w:tcW w:w="2700" w:type="dxa"/>
            <w:vMerge/>
          </w:tcPr>
          <w:p w14:paraId="4D3E0072" w14:textId="77777777" w:rsidR="0091081E" w:rsidRDefault="0091081E">
            <w:pPr>
              <w:spacing w:line="240" w:lineRule="auto"/>
              <w:jc w:val="center"/>
              <w:rPr>
                <w:rFonts w:ascii="Times New Roman" w:eastAsia="Times New Roman" w:hAnsi="Times New Roman" w:cs="Times New Roman"/>
              </w:rPr>
            </w:pPr>
          </w:p>
        </w:tc>
        <w:tc>
          <w:tcPr>
            <w:tcW w:w="5880" w:type="dxa"/>
          </w:tcPr>
          <w:p w14:paraId="5EA3E776" w14:textId="77777777" w:rsidR="0091081E"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Articolul 42/1: </w:t>
            </w:r>
          </w:p>
          <w:p w14:paraId="50F36FBC"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alin. (3) se completează cu obligația de „formulare a unui aviz înainte de adoptarea deciziei de către angajator” prin care se creează o etapă procedurală suplimentară care nu rezultă din structura actuală a articolului. Norma actuală prevede doar procedura de informare și nu obligă reprezentanții salariaților să emită un document formal și nici nu condiționează adoptarea deciziei angajatorului de existența unui aviz. Nu este clară natura juridică a acestui aviz și nici dacă acesta are caracter strict consultativ. În lipsa acestor clarificări, există riscul ca avizul să fie interpretat ca o condiție pentru adoptarea deciziei angajatorului.</w:t>
            </w:r>
          </w:p>
          <w:p w14:paraId="26125F48" w14:textId="77777777" w:rsidR="0091081E" w:rsidRDefault="0091081E">
            <w:pPr>
              <w:spacing w:line="240" w:lineRule="auto"/>
              <w:ind w:firstLine="284"/>
              <w:jc w:val="both"/>
              <w:rPr>
                <w:rFonts w:ascii="Times New Roman" w:eastAsia="Times New Roman" w:hAnsi="Times New Roman" w:cs="Times New Roman"/>
                <w:highlight w:val="white"/>
              </w:rPr>
            </w:pPr>
          </w:p>
        </w:tc>
        <w:tc>
          <w:tcPr>
            <w:tcW w:w="5880" w:type="dxa"/>
          </w:tcPr>
          <w:p w14:paraId="29DE1AC9"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48B64B63"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ia act de obiecțiile formulate, în special în ceea ce privește necesitatea clarificării naturii juridice a avizului și evitarea instituirii unei obligații excesive în sarcina părților. În consecință, prevederile supuse sintezei au fost revizuite în conformitate cu recomandările Centrului de Armonizare a Legislației, fiind precizate atât caracterul consultativ al avizului, cât și termenul în care acesta poate fi exprimat. Astfel, dispozițiile art. 42 și art. 42¹ din Codul muncii al Republicii Moldova vor avea redactarea ajustată, menită să asigure echilibrul între dreptul la consultare al salariaților și prerogativa decizională a angajatorului.</w:t>
            </w:r>
          </w:p>
          <w:p w14:paraId="147701EA" w14:textId="77777777" w:rsidR="0091081E" w:rsidRDefault="00000000">
            <w:pPr>
              <w:spacing w:line="240" w:lineRule="auto"/>
              <w:ind w:firstLine="705"/>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Articolul 42.</w:t>
            </w:r>
            <w:r>
              <w:rPr>
                <w:rFonts w:ascii="Times New Roman" w:eastAsia="Times New Roman" w:hAnsi="Times New Roman" w:cs="Times New Roman"/>
                <w:highlight w:val="white"/>
              </w:rPr>
              <w:t xml:space="preserve"> alineatul (2) lit. b) se completează în final cu textul</w:t>
            </w:r>
          </w:p>
          <w:p w14:paraId="34912588" w14:textId="77777777" w:rsidR="0091081E" w:rsidRDefault="00000000">
            <w:pPr>
              <w:spacing w:line="240" w:lineRule="auto"/>
              <w:ind w:firstLine="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Participarea </w:t>
            </w:r>
            <w:proofErr w:type="spellStart"/>
            <w:r>
              <w:rPr>
                <w:rFonts w:ascii="Times New Roman" w:eastAsia="Times New Roman" w:hAnsi="Times New Roman" w:cs="Times New Roman"/>
                <w:highlight w:val="white"/>
              </w:rPr>
              <w:t>salariaţilor</w:t>
            </w:r>
            <w:proofErr w:type="spellEnd"/>
            <w:r>
              <w:rPr>
                <w:rFonts w:ascii="Times New Roman" w:eastAsia="Times New Roman" w:hAnsi="Times New Roman" w:cs="Times New Roman"/>
                <w:highlight w:val="white"/>
              </w:rPr>
              <w:t xml:space="preserve"> la administrarea </w:t>
            </w:r>
            <w:proofErr w:type="spellStart"/>
            <w:r>
              <w:rPr>
                <w:rFonts w:ascii="Times New Roman" w:eastAsia="Times New Roman" w:hAnsi="Times New Roman" w:cs="Times New Roman"/>
                <w:highlight w:val="white"/>
              </w:rPr>
              <w:t>unităţii</w:t>
            </w:r>
            <w:proofErr w:type="spellEnd"/>
            <w:r>
              <w:rPr>
                <w:rFonts w:ascii="Times New Roman" w:eastAsia="Times New Roman" w:hAnsi="Times New Roman" w:cs="Times New Roman"/>
                <w:highlight w:val="white"/>
              </w:rPr>
              <w:t xml:space="preserve"> poate fi realizată prin:</w:t>
            </w:r>
          </w:p>
          <w:p w14:paraId="3F599CBC" w14:textId="77777777" w:rsidR="0091081E" w:rsidRDefault="00000000">
            <w:pPr>
              <w:spacing w:line="240" w:lineRule="auto"/>
              <w:ind w:firstLine="20"/>
              <w:jc w:val="both"/>
              <w:rPr>
                <w:rFonts w:ascii="Times New Roman" w:eastAsia="Times New Roman" w:hAnsi="Times New Roman" w:cs="Times New Roman"/>
                <w:sz w:val="18"/>
                <w:szCs w:val="18"/>
                <w:highlight w:val="white"/>
              </w:rPr>
            </w:pPr>
            <w:r>
              <w:rPr>
                <w:rFonts w:ascii="Times New Roman" w:eastAsia="Times New Roman" w:hAnsi="Times New Roman" w:cs="Times New Roman"/>
                <w:highlight w:val="white"/>
              </w:rPr>
              <w:t xml:space="preserve">b) informarea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consultarea </w:t>
            </w:r>
            <w:proofErr w:type="spellStart"/>
            <w:r>
              <w:rPr>
                <w:rFonts w:ascii="Times New Roman" w:eastAsia="Times New Roman" w:hAnsi="Times New Roman" w:cs="Times New Roman"/>
                <w:highlight w:val="white"/>
              </w:rPr>
              <w:t>salariaţilor</w:t>
            </w:r>
            <w:proofErr w:type="spellEnd"/>
            <w:r>
              <w:rPr>
                <w:rFonts w:ascii="Times New Roman" w:eastAsia="Times New Roman" w:hAnsi="Times New Roman" w:cs="Times New Roman"/>
                <w:highlight w:val="white"/>
              </w:rPr>
              <w:t xml:space="preserve"> referitor la chestiunile </w:t>
            </w:r>
            <w:proofErr w:type="spellStart"/>
            <w:r>
              <w:rPr>
                <w:rFonts w:ascii="Times New Roman" w:eastAsia="Times New Roman" w:hAnsi="Times New Roman" w:cs="Times New Roman"/>
                <w:highlight w:val="white"/>
              </w:rPr>
              <w:t>menţionate</w:t>
            </w:r>
            <w:proofErr w:type="spellEnd"/>
            <w:r>
              <w:rPr>
                <w:rFonts w:ascii="Times New Roman" w:eastAsia="Times New Roman" w:hAnsi="Times New Roman" w:cs="Times New Roman"/>
                <w:highlight w:val="white"/>
              </w:rPr>
              <w:t xml:space="preserve"> la art.42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Obligația informării ce vizează art. 42</w:t>
            </w:r>
            <w:r>
              <w:rPr>
                <w:rFonts w:ascii="Times New Roman" w:eastAsia="Times New Roman" w:hAnsi="Times New Roman" w:cs="Times New Roman"/>
                <w:highlight w:val="white"/>
                <w:vertAlign w:val="superscript"/>
              </w:rPr>
              <w:t xml:space="preserve">1 </w:t>
            </w:r>
            <w:r>
              <w:rPr>
                <w:rFonts w:ascii="Times New Roman" w:eastAsia="Times New Roman" w:hAnsi="Times New Roman" w:cs="Times New Roman"/>
                <w:highlight w:val="white"/>
              </w:rPr>
              <w:t>alin. (2) lit. a), b) și c) se aplică angajatorilor indiferent de tipul de proprietate, de forma juridică de organizare, cu scop lucrativ sau nu, care încadrează cel puțin 50 de salariați.</w:t>
            </w:r>
          </w:p>
          <w:p w14:paraId="6BDEB954" w14:textId="77777777" w:rsidR="0091081E" w:rsidRDefault="00000000">
            <w:pPr>
              <w:shd w:val="clear" w:color="auto" w:fill="FFFFFF"/>
              <w:ind w:firstLine="680"/>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Articolul 42</w:t>
            </w:r>
            <w:r>
              <w:rPr>
                <w:rFonts w:ascii="Times New Roman" w:eastAsia="Times New Roman" w:hAnsi="Times New Roman" w:cs="Times New Roman"/>
                <w:b/>
                <w:bCs/>
                <w:highlight w:val="white"/>
                <w:vertAlign w:val="superscript"/>
              </w:rPr>
              <w:t>1</w:t>
            </w:r>
            <w:r>
              <w:rPr>
                <w:rFonts w:ascii="Times New Roman" w:eastAsia="Times New Roman" w:hAnsi="Times New Roman" w:cs="Times New Roman"/>
                <w:b/>
                <w:bCs/>
                <w:highlight w:val="white"/>
              </w:rPr>
              <w:t>.</w:t>
            </w:r>
            <w:r>
              <w:rPr>
                <w:rFonts w:ascii="Times New Roman" w:eastAsia="Times New Roman" w:hAnsi="Times New Roman" w:cs="Times New Roman"/>
                <w:highlight w:val="white"/>
              </w:rPr>
              <w:t xml:space="preserve"> alin. (1) din Codul muncii va fi expus în următoarea redacție:</w:t>
            </w:r>
          </w:p>
          <w:p w14:paraId="5A78ADF8" w14:textId="77777777" w:rsidR="0091081E" w:rsidRDefault="0091081E">
            <w:pPr>
              <w:shd w:val="clear" w:color="auto" w:fill="FFFFFF"/>
              <w:ind w:firstLine="680"/>
              <w:jc w:val="both"/>
              <w:rPr>
                <w:rFonts w:ascii="Times New Roman" w:eastAsia="Times New Roman" w:hAnsi="Times New Roman" w:cs="Times New Roman"/>
                <w:highlight w:val="white"/>
              </w:rPr>
            </w:pPr>
          </w:p>
          <w:p w14:paraId="62B6F702" w14:textId="77777777" w:rsidR="0091081E" w:rsidRDefault="00000000">
            <w:pPr>
              <w:shd w:val="clear" w:color="auto" w:fill="FFFFFF"/>
              <w:ind w:firstLine="680"/>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„(1) În vederea asigurării dreptului salariaților la administrarea unității prevăzut la art. 42, angajatorul este obligat să-i informeze și să-i consulte referitor la subiectele relevante în raport cu activitatea lor în cadrul unității. </w:t>
            </w:r>
            <w:r>
              <w:rPr>
                <w:rFonts w:ascii="Times New Roman" w:eastAsia="Times New Roman" w:hAnsi="Times New Roman" w:cs="Times New Roman"/>
                <w:b/>
                <w:bCs/>
                <w:highlight w:val="white"/>
              </w:rPr>
              <w:t>În sensul prezentului articol prin informare se înțelege transmiterea de date de către angajator salariaților/reprezentanților salariaților pentru a le permite să se familiarizeze cu subiectul și să-l examineze, iar prin consultare se înțelege schimbul de păreri și stabilirea unui dialog între salariați/reprezentanții salariaților</w:t>
            </w:r>
            <w:r>
              <w:rPr>
                <w:rFonts w:ascii="Times New Roman" w:eastAsia="Times New Roman" w:hAnsi="Times New Roman" w:cs="Times New Roman"/>
                <w:highlight w:val="white"/>
              </w:rPr>
              <w:t xml:space="preserve"> </w:t>
            </w:r>
            <w:r>
              <w:rPr>
                <w:rFonts w:ascii="Times New Roman" w:eastAsia="Times New Roman" w:hAnsi="Times New Roman" w:cs="Times New Roman"/>
                <w:b/>
                <w:bCs/>
                <w:highlight w:val="white"/>
              </w:rPr>
              <w:t>și angajator.”</w:t>
            </w:r>
          </w:p>
          <w:p w14:paraId="202EE17E" w14:textId="77777777" w:rsidR="0091081E" w:rsidRDefault="0091081E">
            <w:pPr>
              <w:shd w:val="clear" w:color="auto" w:fill="FFFFFF"/>
              <w:ind w:firstLine="680"/>
              <w:jc w:val="both"/>
              <w:rPr>
                <w:rFonts w:ascii="Times New Roman" w:eastAsia="Times New Roman" w:hAnsi="Times New Roman" w:cs="Times New Roman"/>
                <w:b/>
                <w:bCs/>
                <w:highlight w:val="white"/>
              </w:rPr>
            </w:pPr>
          </w:p>
          <w:p w14:paraId="418D697A" w14:textId="77777777" w:rsidR="0091081E"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(3) din Codul muncii va fi expus în următoarea redacție:</w:t>
            </w:r>
          </w:p>
          <w:p w14:paraId="69144AD4" w14:textId="77777777" w:rsidR="0091081E"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w:t>
            </w:r>
            <w:r>
              <w:rPr>
                <w:rFonts w:ascii="Times New Roman" w:eastAsia="Times New Roman" w:hAnsi="Times New Roman" w:cs="Times New Roman"/>
                <w:b/>
                <w:bCs/>
                <w:highlight w:val="white"/>
              </w:rPr>
              <w:t xml:space="preserve">(3) </w:t>
            </w:r>
            <w:r>
              <w:rPr>
                <w:rFonts w:ascii="Times New Roman" w:eastAsia="Times New Roman" w:hAnsi="Times New Roman" w:cs="Times New Roman"/>
                <w:highlight w:val="white"/>
              </w:rPr>
              <w:t>Informarea se face prin transmiterea, în forma scrisă, către reprezentanții salariaților a datelor relevante, complete și veridice privind subiectele enumerate la alin. (2), în timp util, care le-ar permite reprezentanților salariaților să pregătească, în caz de necesitate, consultarea și formularea unui aviz înainte de adoptarea deciziei de către angajator;</w:t>
            </w:r>
          </w:p>
          <w:p w14:paraId="4A879B3B" w14:textId="77777777" w:rsidR="0091081E" w:rsidRDefault="0091081E">
            <w:pPr>
              <w:shd w:val="clear" w:color="auto" w:fill="FFFFFF"/>
              <w:ind w:firstLine="680"/>
              <w:jc w:val="both"/>
              <w:rPr>
                <w:rFonts w:ascii="Times New Roman" w:eastAsia="Times New Roman" w:hAnsi="Times New Roman" w:cs="Times New Roman"/>
                <w:highlight w:val="white"/>
              </w:rPr>
            </w:pPr>
          </w:p>
          <w:p w14:paraId="4F5AF5B5" w14:textId="77777777" w:rsidR="0091081E" w:rsidRDefault="00000000">
            <w:pPr>
              <w:shd w:val="clear" w:color="auto" w:fill="FFFFFF"/>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Suplimentar se completează cu alin. (3</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Reprezentanții salariaților </w:t>
            </w:r>
            <w:proofErr w:type="spellStart"/>
            <w:r>
              <w:rPr>
                <w:rFonts w:ascii="Times New Roman" w:eastAsia="Times New Roman" w:hAnsi="Times New Roman" w:cs="Times New Roman"/>
                <w:highlight w:val="white"/>
              </w:rPr>
              <w:t>îşi</w:t>
            </w:r>
            <w:proofErr w:type="spellEnd"/>
            <w:r>
              <w:rPr>
                <w:rFonts w:ascii="Times New Roman" w:eastAsia="Times New Roman" w:hAnsi="Times New Roman" w:cs="Times New Roman"/>
                <w:highlight w:val="white"/>
              </w:rPr>
              <w:t xml:space="preserve"> prezintă opinia în termen de 10 zile lucrătoare de la data </w:t>
            </w:r>
            <w:proofErr w:type="spellStart"/>
            <w:r>
              <w:rPr>
                <w:rFonts w:ascii="Times New Roman" w:eastAsia="Times New Roman" w:hAnsi="Times New Roman" w:cs="Times New Roman"/>
                <w:highlight w:val="white"/>
              </w:rPr>
              <w:t>recepţionării</w:t>
            </w:r>
            <w:proofErr w:type="spellEnd"/>
            <w:r>
              <w:rPr>
                <w:rFonts w:ascii="Times New Roman" w:eastAsia="Times New Roman" w:hAnsi="Times New Roman" w:cs="Times New Roman"/>
                <w:highlight w:val="white"/>
              </w:rPr>
              <w:t xml:space="preserve"> datelor</w:t>
            </w:r>
          </w:p>
        </w:tc>
      </w:tr>
      <w:tr w:rsidR="0091081E" w14:paraId="0BD994DA" w14:textId="77777777">
        <w:trPr>
          <w:trHeight w:val="600"/>
        </w:trPr>
        <w:tc>
          <w:tcPr>
            <w:tcW w:w="555" w:type="dxa"/>
            <w:vMerge/>
          </w:tcPr>
          <w:p w14:paraId="28ED1F41" w14:textId="77777777" w:rsidR="0091081E" w:rsidRDefault="0091081E">
            <w:pPr>
              <w:spacing w:line="240" w:lineRule="auto"/>
              <w:rPr>
                <w:rFonts w:ascii="Times New Roman" w:eastAsia="Times New Roman" w:hAnsi="Times New Roman" w:cs="Times New Roman"/>
                <w:b/>
                <w:bCs/>
              </w:rPr>
            </w:pPr>
          </w:p>
        </w:tc>
        <w:tc>
          <w:tcPr>
            <w:tcW w:w="2700" w:type="dxa"/>
            <w:vMerge/>
          </w:tcPr>
          <w:p w14:paraId="2BD4C061" w14:textId="77777777" w:rsidR="0091081E" w:rsidRDefault="0091081E">
            <w:pPr>
              <w:spacing w:line="240" w:lineRule="auto"/>
              <w:jc w:val="center"/>
              <w:rPr>
                <w:rFonts w:ascii="Times New Roman" w:eastAsia="Times New Roman" w:hAnsi="Times New Roman" w:cs="Times New Roman"/>
              </w:rPr>
            </w:pPr>
          </w:p>
        </w:tc>
        <w:tc>
          <w:tcPr>
            <w:tcW w:w="5880" w:type="dxa"/>
          </w:tcPr>
          <w:p w14:paraId="1BE512D2"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la alin. (7) prin introducerea formulării „în vederea obținerii unui acord asupra deciziilor” și substituirea termenului „consens” cu „acord” poate fi interpretată ca o extindere a rolului reprezentanților salariaților în procesul decizional. În actuala redacție, consultarea are caracter consultativ, iar decizia finală aparține angajatorului. Utilizarea noțiunii de „acord” poate sugera că adoptarea deciziei ar depinde de acceptul reprezentanților salariaților, ceea ce ar putea limita prerogativa managerială a angajatorului.</w:t>
            </w:r>
          </w:p>
          <w:p w14:paraId="3E0FC400" w14:textId="77777777" w:rsidR="0091081E" w:rsidRDefault="0091081E">
            <w:pPr>
              <w:spacing w:line="240" w:lineRule="auto"/>
              <w:ind w:firstLine="284"/>
              <w:jc w:val="both"/>
              <w:rPr>
                <w:rFonts w:ascii="Times New Roman" w:eastAsia="Times New Roman" w:hAnsi="Times New Roman" w:cs="Times New Roman"/>
                <w:highlight w:val="white"/>
              </w:rPr>
            </w:pPr>
          </w:p>
        </w:tc>
        <w:tc>
          <w:tcPr>
            <w:tcW w:w="5880" w:type="dxa"/>
          </w:tcPr>
          <w:p w14:paraId="7DDF194D" w14:textId="77777777" w:rsidR="0091081E" w:rsidRDefault="00000000">
            <w:pPr>
              <w:shd w:val="clear" w:color="auto" w:fill="FFFFFF"/>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72DA8EFD" w14:textId="77777777" w:rsidR="0091081E"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reține că observația formulată vizează posibila interpretare extensivă a noțiunii de „acord”, însă se impune precizarea că alinierea terminologică este necesară pentru asigurarea conformității cu Directiva 2002/14/CE, care utilizează expres conceptul de consultare „în vederea ajungerii la un acord”, fără a conferi reprezentanților salariaților un drept de veto asupra deciziei angajatorului.</w:t>
            </w:r>
          </w:p>
          <w:p w14:paraId="45AC6F07" w14:textId="77777777" w:rsidR="0091081E"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se constată că în redacția anterioară a fost utilizat termenul „consens”, care, deși apropiat ca sens de noțiunea de „acord”, nu este consacrat de directivă și poate genera incertitudini interpretative suplimentare. În acest context, substituirea termenului respectiv urmărește uniformizarea terminologiei cu cea europeană, fără a modifica natura juridică a procedurii de consultare, care rămâne una consultativă.</w:t>
            </w:r>
          </w:p>
          <w:p w14:paraId="032C47C6" w14:textId="77777777" w:rsidR="0091081E"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Prin urmare, se acceptă parțial obiecția, iar art. 42¹ alin. (7) lit. c) din Codul muncii al Republicii Moldova va avea următoarea redactare: </w:t>
            </w:r>
          </w:p>
          <w:p w14:paraId="54CA1D71" w14:textId="77777777" w:rsidR="0091081E" w:rsidRDefault="0091081E">
            <w:pPr>
              <w:shd w:val="clear" w:color="auto" w:fill="FFFFFF"/>
              <w:jc w:val="both"/>
              <w:rPr>
                <w:rFonts w:ascii="Times New Roman" w:eastAsia="Times New Roman" w:hAnsi="Times New Roman" w:cs="Times New Roman"/>
                <w:b/>
                <w:bCs/>
                <w:highlight w:val="white"/>
              </w:rPr>
            </w:pPr>
          </w:p>
          <w:p w14:paraId="68D85FD4" w14:textId="77777777" w:rsidR="0091081E"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alin. (7) lit. c va fi expus în următoarea redacție (7) „Consultarea are loc: </w:t>
            </w:r>
          </w:p>
          <w:p w14:paraId="4FE12873" w14:textId="77777777" w:rsidR="0091081E" w:rsidRDefault="00000000">
            <w:pPr>
              <w:shd w:val="clear" w:color="auto" w:fill="FFFFFF"/>
              <w:ind w:firstLine="680"/>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c) în vederea obținerii unui </w:t>
            </w:r>
            <w:r>
              <w:rPr>
                <w:rFonts w:ascii="Times New Roman" w:eastAsia="Times New Roman" w:hAnsi="Times New Roman" w:cs="Times New Roman"/>
                <w:b/>
                <w:bCs/>
                <w:highlight w:val="white"/>
              </w:rPr>
              <w:t>acord</w:t>
            </w:r>
            <w:r>
              <w:rPr>
                <w:rFonts w:ascii="Times New Roman" w:eastAsia="Times New Roman" w:hAnsi="Times New Roman" w:cs="Times New Roman"/>
                <w:highlight w:val="white"/>
              </w:rPr>
              <w:t xml:space="preserve"> privind subiectele menționate la alin. (2) lit. b)–d) care țin de competențele angajatorului.”</w:t>
            </w:r>
          </w:p>
        </w:tc>
      </w:tr>
      <w:tr w:rsidR="0091081E" w14:paraId="2EBDFA9B" w14:textId="77777777">
        <w:trPr>
          <w:trHeight w:val="600"/>
        </w:trPr>
        <w:tc>
          <w:tcPr>
            <w:tcW w:w="555" w:type="dxa"/>
            <w:vMerge/>
          </w:tcPr>
          <w:p w14:paraId="35303734" w14:textId="77777777" w:rsidR="0091081E" w:rsidRDefault="0091081E">
            <w:pPr>
              <w:spacing w:line="240" w:lineRule="auto"/>
              <w:rPr>
                <w:rFonts w:ascii="Times New Roman" w:eastAsia="Times New Roman" w:hAnsi="Times New Roman" w:cs="Times New Roman"/>
                <w:b/>
                <w:bCs/>
              </w:rPr>
            </w:pPr>
          </w:p>
        </w:tc>
        <w:tc>
          <w:tcPr>
            <w:tcW w:w="2700" w:type="dxa"/>
            <w:vMerge/>
          </w:tcPr>
          <w:p w14:paraId="15C28EB9" w14:textId="77777777" w:rsidR="0091081E" w:rsidRDefault="0091081E">
            <w:pPr>
              <w:spacing w:line="240" w:lineRule="auto"/>
              <w:jc w:val="center"/>
              <w:rPr>
                <w:rFonts w:ascii="Times New Roman" w:eastAsia="Times New Roman" w:hAnsi="Times New Roman" w:cs="Times New Roman"/>
              </w:rPr>
            </w:pPr>
          </w:p>
        </w:tc>
        <w:tc>
          <w:tcPr>
            <w:tcW w:w="5880" w:type="dxa"/>
          </w:tcPr>
          <w:p w14:paraId="63EA17F6"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introducerea alin. (7¹), care stabilește nulitatea deciziei adoptate fără informarea și consultarea reprezentanților salariaților sau înainte de finalizarea procedurii de consultare, reprezintă o sancțiune severă. Deși scopul este de a asigura respectarea procedurii de informare și consultare, textul nu precizează clar momentul în care procedura se consideră finalizată și nici modul în care această prevedere se corelează cu termenul de 10 zile lucrătoare prevăzut în prezent pentru prezentarea opiniei consultative. În lipsa unor clarificări de procedură, există riscul apariției unor litigii privind validitatea deciziilor angajatorului.</w:t>
            </w:r>
          </w:p>
          <w:p w14:paraId="26A62085" w14:textId="77777777" w:rsidR="0091081E" w:rsidRDefault="0091081E">
            <w:pPr>
              <w:spacing w:line="240" w:lineRule="auto"/>
              <w:ind w:firstLine="284"/>
              <w:jc w:val="both"/>
              <w:rPr>
                <w:rFonts w:ascii="Times New Roman" w:eastAsia="Times New Roman" w:hAnsi="Times New Roman" w:cs="Times New Roman"/>
                <w:highlight w:val="white"/>
              </w:rPr>
            </w:pPr>
          </w:p>
        </w:tc>
        <w:tc>
          <w:tcPr>
            <w:tcW w:w="5880" w:type="dxa"/>
          </w:tcPr>
          <w:p w14:paraId="4E3A5439"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91081E" w14:paraId="4BD079BF" w14:textId="77777777">
        <w:trPr>
          <w:trHeight w:val="600"/>
        </w:trPr>
        <w:tc>
          <w:tcPr>
            <w:tcW w:w="555" w:type="dxa"/>
            <w:vMerge/>
          </w:tcPr>
          <w:p w14:paraId="4943D55D" w14:textId="77777777" w:rsidR="0091081E" w:rsidRDefault="0091081E">
            <w:pPr>
              <w:spacing w:line="240" w:lineRule="auto"/>
              <w:rPr>
                <w:rFonts w:ascii="Times New Roman" w:eastAsia="Times New Roman" w:hAnsi="Times New Roman" w:cs="Times New Roman"/>
                <w:b/>
                <w:bCs/>
              </w:rPr>
            </w:pPr>
          </w:p>
        </w:tc>
        <w:tc>
          <w:tcPr>
            <w:tcW w:w="2700" w:type="dxa"/>
            <w:vMerge/>
          </w:tcPr>
          <w:p w14:paraId="4A5D2E72" w14:textId="77777777" w:rsidR="0091081E" w:rsidRDefault="0091081E">
            <w:pPr>
              <w:spacing w:line="240" w:lineRule="auto"/>
              <w:jc w:val="center"/>
              <w:rPr>
                <w:rFonts w:ascii="Times New Roman" w:eastAsia="Times New Roman" w:hAnsi="Times New Roman" w:cs="Times New Roman"/>
              </w:rPr>
            </w:pPr>
          </w:p>
        </w:tc>
        <w:tc>
          <w:tcPr>
            <w:tcW w:w="5880" w:type="dxa"/>
          </w:tcPr>
          <w:p w14:paraId="73CBA733" w14:textId="77777777" w:rsidR="0091081E"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Codul contravențional, articol 55/6: </w:t>
            </w:r>
          </w:p>
          <w:p w14:paraId="66DA3CEC"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alin. (2) lit. b) stabilește răspunderea pentru încălcarea drepturilor salariaților detașați de către întreprinderi stabilite în alte state, însă nu este clar în ce măsură sancțiunile contravenționale pot fi efectiv aplicate și executate în raport cu angajatori stabiliți în afara Republicii Moldova, în lipsa unor mecanisme procedurale clare de cooperare și executare transfrontalieră. sancțiunile prevăzute la alin. (3), de până la 2000 unități convenționale (aproximativ 100 000 lei), se aplică inclusiv pentru abateri de natură administrativă, precum prezentarea tardivă a notificării sau neprezentarea unor documente. Din perspectiva principiului proporționalității sancțiunilor, aplicarea unor amenzi de asemenea nivel pentru încălcări procedurale sunt excesive și necesita o revizuire și diferențiere mai clară a sancțiunilor în funcție de gravitatea faptelor</w:t>
            </w:r>
          </w:p>
        </w:tc>
        <w:tc>
          <w:tcPr>
            <w:tcW w:w="5880" w:type="dxa"/>
          </w:tcPr>
          <w:p w14:paraId="5D600B11"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4895632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urma reexaminării textului art. 55</w:t>
            </w:r>
            <w:r>
              <w:rPr>
                <w:rFonts w:ascii="Times New Roman" w:eastAsia="Times New Roman" w:hAnsi="Times New Roman" w:cs="Times New Roman"/>
                <w:highlight w:val="white"/>
                <w:vertAlign w:val="superscript"/>
              </w:rPr>
              <w:t>6</w:t>
            </w:r>
            <w:r>
              <w:rPr>
                <w:rFonts w:ascii="Times New Roman" w:eastAsia="Times New Roman" w:hAnsi="Times New Roman" w:cs="Times New Roman"/>
                <w:highlight w:val="white"/>
              </w:rPr>
              <w:t xml:space="preserve">, s-a constatat că sancțiunile prevăzute la alin. (1) și alin. (2), în cuantum de la 1000 la 1500 unități convenționale, se încadrează în limitele generale prevăzute de Codul contravențional. </w:t>
            </w:r>
          </w:p>
          <w:p w14:paraId="26093F5C"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Totodată, sancțiunea prevăzută la alin. (3), în cuantum de la 1500 la 2000 unități convenționale, urmează a fi revizuită, întrucât depășește plafonul general admis de art. 34 din Codul contravențional pentru categoriile de subiecți vizați. În consecință, textul va fi ajustat în vederea corelării cu prevederile părții generale a Codului contravențional.</w:t>
            </w:r>
          </w:p>
        </w:tc>
      </w:tr>
      <w:tr w:rsidR="0091081E" w14:paraId="00664800" w14:textId="77777777">
        <w:trPr>
          <w:trHeight w:val="600"/>
        </w:trPr>
        <w:tc>
          <w:tcPr>
            <w:tcW w:w="555" w:type="dxa"/>
            <w:vMerge/>
          </w:tcPr>
          <w:p w14:paraId="17DB7F9D" w14:textId="77777777" w:rsidR="0091081E" w:rsidRDefault="0091081E">
            <w:pPr>
              <w:spacing w:line="240" w:lineRule="auto"/>
              <w:rPr>
                <w:rFonts w:ascii="Times New Roman" w:eastAsia="Times New Roman" w:hAnsi="Times New Roman" w:cs="Times New Roman"/>
                <w:b/>
                <w:bCs/>
              </w:rPr>
            </w:pPr>
          </w:p>
        </w:tc>
        <w:tc>
          <w:tcPr>
            <w:tcW w:w="2700" w:type="dxa"/>
            <w:vMerge/>
          </w:tcPr>
          <w:p w14:paraId="5ABB5ABD" w14:textId="77777777" w:rsidR="0091081E" w:rsidRDefault="0091081E">
            <w:pPr>
              <w:spacing w:line="240" w:lineRule="auto"/>
              <w:jc w:val="center"/>
              <w:rPr>
                <w:rFonts w:ascii="Times New Roman" w:eastAsia="Times New Roman" w:hAnsi="Times New Roman" w:cs="Times New Roman"/>
              </w:rPr>
            </w:pPr>
          </w:p>
        </w:tc>
        <w:tc>
          <w:tcPr>
            <w:tcW w:w="5880" w:type="dxa"/>
          </w:tcPr>
          <w:p w14:paraId="6094E10C" w14:textId="77777777" w:rsidR="0091081E"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Evaluarea notei de fundamentare (analizei impactului de reglementare) </w:t>
            </w:r>
          </w:p>
          <w:p w14:paraId="4A8A61C6"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Concluzia: Nota de fundamentare nu se susține </w:t>
            </w:r>
          </w:p>
          <w:p w14:paraId="39D5CFA8"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Proiectul este unul de armonizare cu legislația UE, respectiv Metodologia AIR aprobată prin HG nr. 574/2024 prevede expres că, în cazul actelor normative cu relevanță UE, în secțiunea 2.2. nu este obligatorie argumentarea oportunității intervenției statului și nici examinarea detaliată a cauzelor problemelor care au stat la baza adoptării normelor europene. Aici este suficient de prezentat succint problemele identificate în analiza de impact realizată la nivelul instituțiilor UE sau a celor menționate în preambulul actului european. La fel, metodologia stabilește o cerință esențială – NF trebuie să examineze situația națională curentă în raport cu persoanele, fenomenele sociale și procesele economice vizate de reglementarea UE, astfel încât să fie determinat nivelul de pregătire și de conformare al cadrului național la cerințele legislației europene care urmează a fi transpusă. În secțiunea dată se indică ce acte normative transpun directivele respective și ce deficiențe legislative au fost identificate, însă nu evidențiază în mod explicit nivelul de pregătire și conformare al sistemului național la cerințele legislației europene. De exemplu, ar fi utilă o prezentare succintă a modului în care normele existente sunt aplicate în practică, a principalelor dificultăți identificate de autoritățile de control sau a eventualelor neconformități constatate în domeniile vizate de directive. De asemenea, urmează a fi indicate categoriile principale de actori afectați de aceste reglementări, cum ar fi angajatorii, salariații, lucrătorii temporari sau instituțiile responsabile de control și aplicare a legislației.</w:t>
            </w:r>
          </w:p>
        </w:tc>
        <w:tc>
          <w:tcPr>
            <w:tcW w:w="5880" w:type="dxa"/>
            <w:vMerge w:val="restart"/>
          </w:tcPr>
          <w:p w14:paraId="5A8C3AFE"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 parțial.</w:t>
            </w:r>
          </w:p>
          <w:p w14:paraId="50C00FBE"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i/>
                <w:iCs/>
                <w:highlight w:val="white"/>
              </w:rPr>
              <w:t>Nota de fundamentare a fost revăzută în partea în care nu corespundea cu comentariile formulate în avizul Grupului de lucru</w:t>
            </w:r>
            <w:r>
              <w:rPr>
                <w:rFonts w:ascii="Times New Roman" w:eastAsia="Times New Roman" w:hAnsi="Times New Roman" w:cs="Times New Roman"/>
                <w:highlight w:val="white"/>
              </w:rPr>
              <w:t xml:space="preserve">, inclusiv luând în considerare prevederile </w:t>
            </w:r>
            <w:proofErr w:type="spellStart"/>
            <w:r>
              <w:rPr>
                <w:rFonts w:ascii="Times New Roman" w:eastAsia="Times New Roman" w:hAnsi="Times New Roman" w:cs="Times New Roman"/>
                <w:highlight w:val="white"/>
              </w:rPr>
              <w:t>pct</w:t>
            </w:r>
            <w:proofErr w:type="spellEnd"/>
            <w:r>
              <w:rPr>
                <w:rFonts w:ascii="Times New Roman" w:eastAsia="Times New Roman" w:hAnsi="Times New Roman" w:cs="Times New Roman"/>
                <w:highlight w:val="white"/>
              </w:rPr>
              <w:t xml:space="preserve"> 4. din Metodologia de analiză a impactului de reglementare, aprobată prin Hotărârea Guvernului nr.574/2024, care dispun:</w:t>
            </w:r>
          </w:p>
          <w:p w14:paraId="7328D452" w14:textId="77777777" w:rsidR="0091081E" w:rsidRDefault="00000000">
            <w:pPr>
              <w:spacing w:line="240" w:lineRule="auto"/>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în  cazul proiectelor de acte normative cu relevanță UE, cu excepția reglementărilor care nu sunt prevăzute expres în actul juridic european, analiza impactului de reglementare se efectuează în formă simplificată, accentul fiind pus pe evaluarea situației curente, identificarea nivelului de pregătire a tuturor părților interesate (economică, socială, normativă etc.), evidențierea necesităților și estimarea costurilor pentru transpunerea și implementarea legislației UE.</w:t>
            </w:r>
          </w:p>
        </w:tc>
      </w:tr>
      <w:tr w:rsidR="0091081E" w14:paraId="79780B03" w14:textId="77777777">
        <w:trPr>
          <w:trHeight w:val="600"/>
        </w:trPr>
        <w:tc>
          <w:tcPr>
            <w:tcW w:w="555" w:type="dxa"/>
            <w:vMerge/>
          </w:tcPr>
          <w:p w14:paraId="6EE4E55D" w14:textId="77777777" w:rsidR="0091081E" w:rsidRDefault="0091081E">
            <w:pPr>
              <w:spacing w:line="240" w:lineRule="auto"/>
              <w:rPr>
                <w:rFonts w:ascii="Times New Roman" w:eastAsia="Times New Roman" w:hAnsi="Times New Roman" w:cs="Times New Roman"/>
                <w:b/>
                <w:bCs/>
              </w:rPr>
            </w:pPr>
          </w:p>
        </w:tc>
        <w:tc>
          <w:tcPr>
            <w:tcW w:w="2700" w:type="dxa"/>
            <w:vMerge/>
          </w:tcPr>
          <w:p w14:paraId="5E4017EC" w14:textId="77777777" w:rsidR="0091081E" w:rsidRDefault="0091081E">
            <w:pPr>
              <w:spacing w:line="240" w:lineRule="auto"/>
              <w:jc w:val="center"/>
              <w:rPr>
                <w:rFonts w:ascii="Times New Roman" w:eastAsia="Times New Roman" w:hAnsi="Times New Roman" w:cs="Times New Roman"/>
              </w:rPr>
            </w:pPr>
          </w:p>
        </w:tc>
        <w:tc>
          <w:tcPr>
            <w:tcW w:w="5880" w:type="dxa"/>
          </w:tcPr>
          <w:p w14:paraId="5BE2999E"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Secțiunea 3 din perspectiva cerințelor metodologiei AIR nu evidențiază clar obiectivele generale și obiectivele specifice ale intervenției normative. Metodologia AIR prevede că obiectivele trebuie formulate ca schimbări urmărite în situația existentă și trebuie corelate cu problemele identificate anterior. Obiectivele obligatoriu trebuie formulate chiar și într-o formă succintă, având în vedere caracterul de armonizare cu legislația UE ceea ce ar contribui la evidențierea schimbărilor urmărite în situația existentă la nivel național. P.3.1 se axează mai mult pe enumerarea modificărilor legislative, fără a evidenția întotdeauna în mod explicit legătura dintre problemele identificate în secțiunea anterioară și soluțiile legislative propuse.</w:t>
            </w:r>
          </w:p>
        </w:tc>
        <w:tc>
          <w:tcPr>
            <w:tcW w:w="5880" w:type="dxa"/>
            <w:vMerge/>
          </w:tcPr>
          <w:p w14:paraId="1F2C16EB"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tc>
      </w:tr>
      <w:tr w:rsidR="0091081E" w14:paraId="399BAFA4" w14:textId="77777777">
        <w:trPr>
          <w:trHeight w:val="600"/>
        </w:trPr>
        <w:tc>
          <w:tcPr>
            <w:tcW w:w="555" w:type="dxa"/>
            <w:vMerge/>
          </w:tcPr>
          <w:p w14:paraId="0D4B6389" w14:textId="77777777" w:rsidR="0091081E" w:rsidRDefault="0091081E">
            <w:pPr>
              <w:spacing w:line="240" w:lineRule="auto"/>
              <w:rPr>
                <w:rFonts w:ascii="Times New Roman" w:eastAsia="Times New Roman" w:hAnsi="Times New Roman" w:cs="Times New Roman"/>
                <w:b/>
                <w:bCs/>
              </w:rPr>
            </w:pPr>
          </w:p>
        </w:tc>
        <w:tc>
          <w:tcPr>
            <w:tcW w:w="2700" w:type="dxa"/>
            <w:vMerge/>
          </w:tcPr>
          <w:p w14:paraId="2036328C" w14:textId="77777777" w:rsidR="0091081E" w:rsidRDefault="0091081E">
            <w:pPr>
              <w:spacing w:line="240" w:lineRule="auto"/>
              <w:jc w:val="center"/>
              <w:rPr>
                <w:rFonts w:ascii="Times New Roman" w:eastAsia="Times New Roman" w:hAnsi="Times New Roman" w:cs="Times New Roman"/>
              </w:rPr>
            </w:pPr>
          </w:p>
        </w:tc>
        <w:tc>
          <w:tcPr>
            <w:tcW w:w="5880" w:type="dxa"/>
          </w:tcPr>
          <w:p w14:paraId="5A3DEC0A"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Secțiunea 4.3 prezintă la general principalele efecte ale proiectului de lege asupra angajatorilor din sectorul privat și evidențiază domeniile în care aceștia vor trebui să se conformeze noilor cerințe legislative rezultate din transpunerea acquis-ului Uniunii Europene. Totuși, nota nu examinează în mod suficient consecințele concrete ale intervenției legislative asupra mediului privat. Descrierea impactului se limitează la afirmarea obligației angajatorilor de a respecta noile cerințe legale și la menționarea posibilității aplicării sancțiunilor în cazul neconformării, fără a analiza în mod detaliat modul în care noile reglementări ar putea influența costurile de conformare, sarcinile administrative sau organizarea internă a activității angajatorilor. De exemplu, nu sunt prezentate estimări privind eventualele costuri administrative suplimentare, necesitatea adaptării procedurilor interne sau impactul asupra diferitelor categorii de întreprinderi, cum ar fi ÎMM. Mențiunea potrivit căreia costurile asociate detașărilor transnaționale ar fi proporționale cu creșterea veniturilor generate de prestarea serviciilor nu este însoțită de explicații sau argumente suplimentare care să susțină această concluzie.</w:t>
            </w:r>
          </w:p>
        </w:tc>
        <w:tc>
          <w:tcPr>
            <w:tcW w:w="5880" w:type="dxa"/>
            <w:vMerge/>
          </w:tcPr>
          <w:p w14:paraId="14952AE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p>
        </w:tc>
      </w:tr>
      <w:tr w:rsidR="0091081E" w14:paraId="0691FF8F" w14:textId="77777777">
        <w:trPr>
          <w:trHeight w:val="600"/>
        </w:trPr>
        <w:tc>
          <w:tcPr>
            <w:tcW w:w="555" w:type="dxa"/>
            <w:vMerge/>
          </w:tcPr>
          <w:p w14:paraId="24AE0A9C" w14:textId="77777777" w:rsidR="0091081E" w:rsidRDefault="0091081E">
            <w:pPr>
              <w:spacing w:line="240" w:lineRule="auto"/>
              <w:rPr>
                <w:rFonts w:ascii="Times New Roman" w:eastAsia="Times New Roman" w:hAnsi="Times New Roman" w:cs="Times New Roman"/>
                <w:b/>
                <w:bCs/>
              </w:rPr>
            </w:pPr>
          </w:p>
        </w:tc>
        <w:tc>
          <w:tcPr>
            <w:tcW w:w="2700" w:type="dxa"/>
            <w:vMerge/>
          </w:tcPr>
          <w:p w14:paraId="43D9C8F4" w14:textId="77777777" w:rsidR="0091081E" w:rsidRDefault="0091081E">
            <w:pPr>
              <w:spacing w:line="240" w:lineRule="auto"/>
              <w:jc w:val="center"/>
              <w:rPr>
                <w:rFonts w:ascii="Times New Roman" w:eastAsia="Times New Roman" w:hAnsi="Times New Roman" w:cs="Times New Roman"/>
              </w:rPr>
            </w:pPr>
          </w:p>
        </w:tc>
        <w:tc>
          <w:tcPr>
            <w:tcW w:w="5880" w:type="dxa"/>
          </w:tcPr>
          <w:p w14:paraId="14FF2105"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Secțiunea 6 se indică faptul că inițiativa legislativă a fost supusă procedurilor de transparență decizională prin publicarea anunțului de inițiere pe portalul guvernamental particip.gov.md și prin organizarea unor discuții preliminare cu reprezentanți ai autorităților publice, ai partenerilor sociali și ai mediului de afaceri. Totuși, descrierea procesului de consultare este relativ succintă și nu oferă suficiente informații privind conținutul și rezultatele consultărilor desfășurate. Deși în secțiunea dată se menționează organizarea unor discuții și participarea unor categorii generale de actori - nu sunt prezentate detalii privind propunerile sau observațiile formulate de participanți, modul în care acestea au fost analizate sau eventualele modificări operate în proiectul de lege ca urmare a procesului de consultare.</w:t>
            </w:r>
          </w:p>
        </w:tc>
        <w:tc>
          <w:tcPr>
            <w:tcW w:w="5880" w:type="dxa"/>
          </w:tcPr>
          <w:p w14:paraId="1AA27145"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64E01D3C" w14:textId="77777777" w:rsidR="0091081E" w:rsidRDefault="00000000">
            <w:pPr>
              <w:spacing w:before="200" w:after="200" w:line="24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Pentru respectarea prevederilor Legii nr. 239/2008 privind transparența în procesul decizional, materialele aferente proiectului de lege au fost publicate pentru consultări publice pe portalul guvernamental </w:t>
            </w:r>
            <w:hyperlink r:id="rId7">
              <w:r>
                <w:rPr>
                  <w:rFonts w:ascii="Times New Roman" w:eastAsia="Times New Roman" w:hAnsi="Times New Roman" w:cs="Times New Roman"/>
                  <w:color w:val="1155CC"/>
                  <w:u w:val="single"/>
                </w:rPr>
                <w:t>www.particip.gov.md</w:t>
              </w:r>
            </w:hyperlink>
            <w:r>
              <w:rPr>
                <w:rFonts w:ascii="Times New Roman" w:eastAsia="Times New Roman" w:hAnsi="Times New Roman" w:cs="Times New Roman"/>
              </w:rPr>
              <w:t xml:space="preserve"> și poate fi accesat la următorul link:  </w:t>
            </w:r>
            <w:hyperlink r:id="rId8">
              <w:r>
                <w:rPr>
                  <w:rFonts w:ascii="Times New Roman" w:eastAsia="Times New Roman" w:hAnsi="Times New Roman" w:cs="Times New Roman"/>
                  <w:color w:val="1155CC"/>
                  <w:u w:val="single"/>
                </w:rPr>
                <w:t>https://particip.gov.md/ro/document/stages/*/16085</w:t>
              </w:r>
            </w:hyperlink>
            <w:r>
              <w:rPr>
                <w:rFonts w:ascii="Times New Roman" w:eastAsia="Times New Roman" w:hAnsi="Times New Roman" w:cs="Times New Roman"/>
              </w:rPr>
              <w:t>.</w:t>
            </w:r>
          </w:p>
          <w:p w14:paraId="04CE7758" w14:textId="77777777" w:rsidR="0091081E" w:rsidRDefault="00000000">
            <w:pPr>
              <w:spacing w:before="200" w:after="200" w:line="24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Discuții prealabile asupra inițiativei de transpunere a acestor acte UE din domeniul muncii, securității și sănătății în muncă și egalității de tratament au fost organizate la sediul Ministerului Muncii și Protecției Sociale, </w:t>
            </w:r>
            <w:r>
              <w:rPr>
                <w:rFonts w:ascii="Times New Roman" w:eastAsia="Times New Roman" w:hAnsi="Times New Roman" w:cs="Times New Roman"/>
                <w:b/>
                <w:bCs/>
              </w:rPr>
              <w:t>la data de 24 februarie 2026</w:t>
            </w:r>
            <w:r>
              <w:rPr>
                <w:rFonts w:ascii="Times New Roman" w:eastAsia="Times New Roman" w:hAnsi="Times New Roman" w:cs="Times New Roman"/>
              </w:rPr>
              <w:t xml:space="preserve">, la care au participat reprezentanți ai autorităților publice, ai partenerilor sociali și ai mediului de afaceri </w:t>
            </w:r>
            <w:hyperlink r:id="rId9">
              <w:r>
                <w:rPr>
                  <w:rFonts w:ascii="Times New Roman" w:eastAsia="Times New Roman" w:hAnsi="Times New Roman" w:cs="Times New Roman"/>
                  <w:color w:val="1155CC"/>
                  <w:u w:val="single"/>
                </w:rPr>
                <w:t>(link)</w:t>
              </w:r>
            </w:hyperlink>
            <w:r>
              <w:rPr>
                <w:rFonts w:ascii="Times New Roman" w:eastAsia="Times New Roman" w:hAnsi="Times New Roman" w:cs="Times New Roman"/>
              </w:rPr>
              <w:t xml:space="preserve">. </w:t>
            </w:r>
          </w:p>
          <w:p w14:paraId="7FC517B3" w14:textId="77777777" w:rsidR="0091081E" w:rsidRDefault="00000000">
            <w:pPr>
              <w:spacing w:line="24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Conform celor </w:t>
            </w:r>
            <w:proofErr w:type="spellStart"/>
            <w:r>
              <w:rPr>
                <w:rFonts w:ascii="Times New Roman" w:eastAsia="Times New Roman" w:hAnsi="Times New Roman" w:cs="Times New Roman"/>
              </w:rPr>
              <w:t>protocolate</w:t>
            </w:r>
            <w:proofErr w:type="spellEnd"/>
            <w:r>
              <w:rPr>
                <w:rFonts w:ascii="Times New Roman" w:eastAsia="Times New Roman" w:hAnsi="Times New Roman" w:cs="Times New Roman"/>
              </w:rPr>
              <w:t>,</w:t>
            </w:r>
            <w:r>
              <w:rPr>
                <w:rFonts w:ascii="Times New Roman" w:eastAsia="Times New Roman" w:hAnsi="Times New Roman" w:cs="Times New Roman"/>
                <w:b/>
                <w:bCs/>
                <w:highlight w:val="white"/>
              </w:rPr>
              <w:t xml:space="preserve"> </w:t>
            </w:r>
            <w:r>
              <w:rPr>
                <w:rFonts w:ascii="Times New Roman" w:eastAsia="Times New Roman" w:hAnsi="Times New Roman" w:cs="Times New Roman"/>
              </w:rPr>
              <w:t>urmare a discuțiilor purtate, autorul a luat în considerare cele ce s-au decis:</w:t>
            </w:r>
          </w:p>
          <w:p w14:paraId="472B18BA" w14:textId="77777777" w:rsidR="0091081E" w:rsidRDefault="00000000">
            <w:pPr>
              <w:jc w:val="both"/>
              <w:rPr>
                <w:rFonts w:ascii="Times New Roman" w:eastAsia="Times New Roman" w:hAnsi="Times New Roman" w:cs="Times New Roman"/>
                <w:i/>
                <w:iCs/>
              </w:rPr>
            </w:pPr>
            <w:r>
              <w:rPr>
                <w:rFonts w:ascii="Times New Roman" w:eastAsia="Times New Roman" w:hAnsi="Times New Roman" w:cs="Times New Roman"/>
                <w:i/>
                <w:iCs/>
              </w:rPr>
              <w:t xml:space="preserve">-  Omiterea din proiect a părții ce ține de executarea </w:t>
            </w:r>
            <w:r>
              <w:rPr>
                <w:rFonts w:ascii="Times New Roman" w:eastAsia="Times New Roman" w:hAnsi="Times New Roman" w:cs="Times New Roman"/>
                <w:i/>
                <w:iCs/>
                <w:u w:val="single"/>
              </w:rPr>
              <w:t>Hotărârii Curții Constituționale nr. 9/2025 (Art.90 al.(2), lit. a) privind plafonarea despăgubirii acordate de angajator în cazul concedierii ilegale a salariatului</w:t>
            </w:r>
            <w:r>
              <w:rPr>
                <w:rFonts w:ascii="Times New Roman" w:eastAsia="Times New Roman" w:hAnsi="Times New Roman" w:cs="Times New Roman"/>
                <w:i/>
                <w:iCs/>
              </w:rPr>
              <w:t>, aceasta urmând a fi discutată separat, prin inițierea și promovarea unui proiect de lege distinct;</w:t>
            </w:r>
          </w:p>
          <w:p w14:paraId="5B606438" w14:textId="77777777" w:rsidR="0091081E" w:rsidRDefault="00000000">
            <w:pPr>
              <w:jc w:val="both"/>
              <w:rPr>
                <w:rFonts w:ascii="Times New Roman" w:eastAsia="Times New Roman" w:hAnsi="Times New Roman" w:cs="Times New Roman"/>
                <w:i/>
                <w:iCs/>
              </w:rPr>
            </w:pPr>
            <w:r>
              <w:rPr>
                <w:rFonts w:ascii="Times New Roman" w:eastAsia="Times New Roman" w:hAnsi="Times New Roman" w:cs="Times New Roman"/>
                <w:i/>
                <w:iCs/>
              </w:rPr>
              <w:t>-  Corectarea omisiunilor tehnice admise în textul proiectului;</w:t>
            </w:r>
          </w:p>
          <w:p w14:paraId="1BF1B195" w14:textId="77777777" w:rsidR="0091081E" w:rsidRDefault="00000000">
            <w:pPr>
              <w:jc w:val="both"/>
              <w:rPr>
                <w:rFonts w:ascii="Times New Roman" w:eastAsia="Times New Roman" w:hAnsi="Times New Roman" w:cs="Times New Roman"/>
              </w:rPr>
            </w:pPr>
            <w:r>
              <w:rPr>
                <w:rFonts w:ascii="Times New Roman" w:eastAsia="Times New Roman" w:hAnsi="Times New Roman" w:cs="Times New Roman"/>
                <w:i/>
                <w:iCs/>
              </w:rPr>
              <w:t xml:space="preserve">-  Transmiterea </w:t>
            </w:r>
            <w:r>
              <w:rPr>
                <w:rFonts w:ascii="Times New Roman" w:eastAsia="Times New Roman" w:hAnsi="Times New Roman" w:cs="Times New Roman"/>
                <w:i/>
                <w:iCs/>
                <w:u w:val="single"/>
              </w:rPr>
              <w:t>proiectului de lege pentru modificarea</w:t>
            </w:r>
            <w:r>
              <w:rPr>
                <w:rFonts w:ascii="Times New Roman" w:eastAsia="Times New Roman" w:hAnsi="Times New Roman" w:cs="Times New Roman"/>
                <w:i/>
                <w:iCs/>
              </w:rPr>
              <w:t xml:space="preserve"> </w:t>
            </w:r>
            <w:r>
              <w:rPr>
                <w:rFonts w:ascii="Times New Roman" w:eastAsia="Times New Roman" w:hAnsi="Times New Roman" w:cs="Times New Roman"/>
                <w:i/>
                <w:iCs/>
                <w:u w:val="single"/>
              </w:rPr>
              <w:t>Codului muncii și a unor acte normative</w:t>
            </w:r>
            <w:r>
              <w:rPr>
                <w:rFonts w:ascii="Times New Roman" w:eastAsia="Times New Roman" w:hAnsi="Times New Roman" w:cs="Times New Roman"/>
                <w:i/>
                <w:iCs/>
              </w:rPr>
              <w:t xml:space="preserve"> în ședința secretarilor generali și, ulterior, pentru avizare autorităților de resort și consultare publică.</w:t>
            </w:r>
          </w:p>
          <w:p w14:paraId="22365090" w14:textId="77777777" w:rsidR="0091081E" w:rsidRDefault="00000000">
            <w:pPr>
              <w:spacing w:before="200" w:after="200" w:line="240" w:lineRule="auto"/>
              <w:ind w:firstLine="720"/>
              <w:jc w:val="both"/>
              <w:rPr>
                <w:rFonts w:ascii="Times New Roman" w:eastAsia="Times New Roman" w:hAnsi="Times New Roman" w:cs="Times New Roman"/>
                <w:b/>
                <w:bCs/>
                <w:highlight w:val="white"/>
              </w:rPr>
            </w:pPr>
            <w:r>
              <w:rPr>
                <w:rFonts w:ascii="Times New Roman" w:eastAsia="Times New Roman" w:hAnsi="Times New Roman" w:cs="Times New Roman"/>
              </w:rPr>
              <w:t xml:space="preserve">De asemenea, </w:t>
            </w:r>
            <w:r>
              <w:rPr>
                <w:rFonts w:ascii="Times New Roman" w:eastAsia="Times New Roman" w:hAnsi="Times New Roman" w:cs="Times New Roman"/>
                <w:b/>
                <w:bCs/>
              </w:rPr>
              <w:t>la data de 10 martie 2026</w:t>
            </w:r>
            <w:r>
              <w:rPr>
                <w:rFonts w:ascii="Times New Roman" w:eastAsia="Times New Roman" w:hAnsi="Times New Roman" w:cs="Times New Roman"/>
              </w:rPr>
              <w:t>, a fost organizată o ședință de lucru extinsă cu părțile interesate referitoare la aplicarea prevederilor Articolul 103. Munca de noapte din Codul muncii nr.154/2003. Propunerile formulate în cadrul ședinței se regăsesc în proiectul de lege.</w:t>
            </w:r>
          </w:p>
          <w:p w14:paraId="18BD56F7" w14:textId="77777777" w:rsidR="0091081E" w:rsidRDefault="00000000">
            <w:pPr>
              <w:spacing w:before="200" w:after="200" w:line="24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Subsidiar, discuții prealabile privind inițiativa de transpunere a </w:t>
            </w:r>
            <w:r>
              <w:rPr>
                <w:rFonts w:ascii="Times New Roman" w:eastAsia="Times New Roman" w:hAnsi="Times New Roman" w:cs="Times New Roman"/>
                <w:b/>
                <w:bCs/>
              </w:rPr>
              <w:t>Directivei 96/71/CE</w:t>
            </w:r>
            <w:r>
              <w:rPr>
                <w:rFonts w:ascii="Times New Roman" w:eastAsia="Times New Roman" w:hAnsi="Times New Roman" w:cs="Times New Roman"/>
              </w:rPr>
              <w:t xml:space="preserve"> și a </w:t>
            </w:r>
            <w:r>
              <w:rPr>
                <w:rFonts w:ascii="Times New Roman" w:eastAsia="Times New Roman" w:hAnsi="Times New Roman" w:cs="Times New Roman"/>
                <w:b/>
                <w:bCs/>
              </w:rPr>
              <w:t>Directivei 2014/67/CE</w:t>
            </w:r>
            <w:r>
              <w:rPr>
                <w:rFonts w:ascii="Times New Roman" w:eastAsia="Times New Roman" w:hAnsi="Times New Roman" w:cs="Times New Roman"/>
              </w:rPr>
              <w:t xml:space="preserve"> au avut loc </w:t>
            </w:r>
            <w:r>
              <w:rPr>
                <w:rFonts w:ascii="Times New Roman" w:eastAsia="Times New Roman" w:hAnsi="Times New Roman" w:cs="Times New Roman"/>
                <w:b/>
                <w:bCs/>
              </w:rPr>
              <w:t xml:space="preserve">la data de 13 februarie 2026 </w:t>
            </w:r>
            <w:hyperlink r:id="rId10">
              <w:r>
                <w:rPr>
                  <w:rFonts w:ascii="Times New Roman" w:eastAsia="Times New Roman" w:hAnsi="Times New Roman" w:cs="Times New Roman"/>
                  <w:color w:val="1155CC"/>
                  <w:u w:val="single"/>
                </w:rPr>
                <w:t>(link)</w:t>
              </w:r>
            </w:hyperlink>
            <w:r>
              <w:rPr>
                <w:rFonts w:ascii="Times New Roman" w:eastAsia="Times New Roman" w:hAnsi="Times New Roman" w:cs="Times New Roman"/>
              </w:rPr>
              <w:t xml:space="preserve">, la sediul Ministerului Muncii și Protecției Sociale, precum și </w:t>
            </w:r>
            <w:r>
              <w:rPr>
                <w:rFonts w:ascii="Times New Roman" w:eastAsia="Times New Roman" w:hAnsi="Times New Roman" w:cs="Times New Roman"/>
                <w:b/>
                <w:bCs/>
              </w:rPr>
              <w:t>la data de 20 februarie 2026</w:t>
            </w:r>
            <w:r>
              <w:rPr>
                <w:rFonts w:ascii="Times New Roman" w:eastAsia="Times New Roman" w:hAnsi="Times New Roman" w:cs="Times New Roman"/>
              </w:rPr>
              <w:t>, în format online. În procesul de consultare au fost implicați reprezentanți ai autorităților publice, ai partenerilor sociali și ai mediului de afaceri.</w:t>
            </w:r>
          </w:p>
          <w:p w14:paraId="32BE137A" w14:textId="77777777" w:rsidR="0091081E" w:rsidRDefault="00000000">
            <w:pPr>
              <w:spacing w:before="200" w:after="200" w:line="240" w:lineRule="auto"/>
              <w:ind w:firstLine="720"/>
              <w:jc w:val="both"/>
              <w:rPr>
                <w:rFonts w:ascii="Times New Roman" w:eastAsia="Times New Roman" w:hAnsi="Times New Roman" w:cs="Times New Roman"/>
              </w:rPr>
            </w:pPr>
            <w:r>
              <w:rPr>
                <w:rFonts w:ascii="Times New Roman" w:eastAsia="Times New Roman" w:hAnsi="Times New Roman" w:cs="Times New Roman"/>
              </w:rPr>
              <w:t>Observațiile formulate au vizat, în principal, claritatea normelor privind notificarea detașării, delimitarea competențelor autorităților, impactul asupra sectorului privat, precum și necesitatea ajustării unor soluții redacționale și de tehnică legislativă. Propunerile relevante au fost analizate și, după caz, valorificate prin ajustarea textului proiectului și a Notei de fundamentare.</w:t>
            </w:r>
          </w:p>
          <w:p w14:paraId="40FE0FAE" w14:textId="77777777" w:rsidR="0091081E" w:rsidRDefault="00000000">
            <w:pPr>
              <w:spacing w:before="200" w:after="200" w:line="240" w:lineRule="auto"/>
              <w:ind w:firstLine="720"/>
              <w:jc w:val="both"/>
              <w:rPr>
                <w:rFonts w:ascii="Times New Roman" w:eastAsia="Times New Roman" w:hAnsi="Times New Roman" w:cs="Times New Roman"/>
              </w:rPr>
            </w:pPr>
            <w:r>
              <w:rPr>
                <w:rFonts w:ascii="Times New Roman" w:eastAsia="Times New Roman" w:hAnsi="Times New Roman" w:cs="Times New Roman"/>
              </w:rPr>
              <w:t>Proiectul de lege a parcurs etapa avizării cu autoritățile publice interesate și partenerii sociali, de obiecțiile și propunerile cărora s-a ținut cont, în măsura relevanței, la etapa de definitivare a proiectului de lege.</w:t>
            </w:r>
          </w:p>
          <w:p w14:paraId="6DAC5050" w14:textId="77777777" w:rsidR="0091081E" w:rsidRDefault="0091081E">
            <w:pPr>
              <w:spacing w:line="240" w:lineRule="auto"/>
              <w:rPr>
                <w:rFonts w:ascii="Times New Roman" w:eastAsia="Times New Roman" w:hAnsi="Times New Roman" w:cs="Times New Roman"/>
              </w:rPr>
            </w:pPr>
          </w:p>
        </w:tc>
      </w:tr>
      <w:tr w:rsidR="0091081E" w14:paraId="37B27946" w14:textId="77777777">
        <w:trPr>
          <w:trHeight w:val="600"/>
        </w:trPr>
        <w:tc>
          <w:tcPr>
            <w:tcW w:w="15015" w:type="dxa"/>
            <w:gridSpan w:val="4"/>
          </w:tcPr>
          <w:p w14:paraId="2A05B30B"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center"/>
              <w:rPr>
                <w:rFonts w:ascii="Times New Roman" w:eastAsia="Times New Roman" w:hAnsi="Times New Roman" w:cs="Times New Roman"/>
                <w:highlight w:val="white"/>
              </w:rPr>
            </w:pPr>
            <w:r>
              <w:rPr>
                <w:rFonts w:ascii="Times New Roman" w:eastAsia="Times New Roman" w:hAnsi="Times New Roman" w:cs="Times New Roman"/>
                <w:b/>
                <w:bCs/>
              </w:rPr>
              <w:t>Consultări publice</w:t>
            </w:r>
          </w:p>
        </w:tc>
      </w:tr>
      <w:tr w:rsidR="0091081E" w14:paraId="67FE102A" w14:textId="77777777">
        <w:trPr>
          <w:trHeight w:val="600"/>
        </w:trPr>
        <w:tc>
          <w:tcPr>
            <w:tcW w:w="555" w:type="dxa"/>
            <w:vMerge w:val="restart"/>
          </w:tcPr>
          <w:p w14:paraId="54E348D2" w14:textId="77777777" w:rsidR="0091081E" w:rsidRDefault="00000000">
            <w:pPr>
              <w:spacing w:line="240" w:lineRule="auto"/>
              <w:rPr>
                <w:rFonts w:ascii="Times New Roman" w:eastAsia="Times New Roman" w:hAnsi="Times New Roman" w:cs="Times New Roman"/>
                <w:b/>
                <w:bCs/>
              </w:rPr>
            </w:pPr>
            <w:r>
              <w:rPr>
                <w:rFonts w:ascii="Times New Roman" w:eastAsia="Times New Roman" w:hAnsi="Times New Roman" w:cs="Times New Roman"/>
                <w:b/>
                <w:bCs/>
              </w:rPr>
              <w:t>21</w:t>
            </w:r>
          </w:p>
        </w:tc>
        <w:tc>
          <w:tcPr>
            <w:tcW w:w="2700" w:type="dxa"/>
            <w:vMerge w:val="restart"/>
          </w:tcPr>
          <w:p w14:paraId="2E6D8AB0"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EBA Moldova</w:t>
            </w:r>
          </w:p>
          <w:p w14:paraId="3B6E5914"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Nr. 24-26/SD </w:t>
            </w:r>
          </w:p>
          <w:p w14:paraId="135C37A0" w14:textId="77777777" w:rsidR="0091081E"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13.03.206</w:t>
            </w:r>
          </w:p>
        </w:tc>
        <w:tc>
          <w:tcPr>
            <w:tcW w:w="5880" w:type="dxa"/>
          </w:tcPr>
          <w:p w14:paraId="53CEA30E"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    Art. 5 lit. g) din proiect</w:t>
            </w:r>
          </w:p>
          <w:p w14:paraId="39523730" w14:textId="77777777" w:rsidR="0091081E"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Propunere de redactare:</w:t>
            </w:r>
          </w:p>
          <w:p w14:paraId="221C03E2" w14:textId="77777777" w:rsidR="0091081E" w:rsidRDefault="00000000">
            <w:pPr>
              <w:spacing w:line="240" w:lineRule="auto"/>
              <w:ind w:firstLine="284"/>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w:t>
            </w:r>
            <w:r>
              <w:rPr>
                <w:rFonts w:ascii="Times New Roman" w:eastAsia="Times New Roman" w:hAnsi="Times New Roman" w:cs="Times New Roman"/>
              </w:rPr>
              <w:t xml:space="preserve">Menținerea versiunii actuale a art. 5 lit. g) din Codul muncii actual; </w:t>
            </w:r>
          </w:p>
          <w:p w14:paraId="27CDA79B" w14:textId="77777777" w:rsidR="0091081E"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Comentariu:</w:t>
            </w:r>
          </w:p>
          <w:p w14:paraId="17A3A91F"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Modificarea propusă la art. 5 lit. g), prin care textul actual este substituit cu formularea generală „de tratament după cum este descris la art. 8 din prezentul Cod”, conduce la eliminarea garanțiilor legale exprese existente și la înlocuirea acestora cu o normă de trimitere cu caracter general. </w:t>
            </w:r>
          </w:p>
          <w:p w14:paraId="7C9BCC7F"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Secund, se remarcă, în mod special, că substituirea textului art. 5 lit. g) cu o formulare generală determină suprapunerea acestuia cu principiul prevăzut la lit. b¹) și e), care consacră deja interzicerea discriminării și egalitatea de tratament în raporturile de muncă. </w:t>
            </w:r>
          </w:p>
          <w:p w14:paraId="000113DC" w14:textId="77777777" w:rsidR="0091081E" w:rsidRDefault="00000000">
            <w:pPr>
              <w:spacing w:line="240" w:lineRule="auto"/>
              <w:ind w:firstLine="567"/>
              <w:jc w:val="both"/>
              <w:rPr>
                <w:rFonts w:ascii="Times New Roman" w:eastAsia="Times New Roman" w:hAnsi="Times New Roman" w:cs="Times New Roman"/>
                <w:highlight w:val="white"/>
              </w:rPr>
            </w:pPr>
            <w:r>
              <w:rPr>
                <w:rFonts w:ascii="Times New Roman" w:eastAsia="Times New Roman" w:hAnsi="Times New Roman" w:cs="Times New Roman"/>
              </w:rPr>
              <w:t xml:space="preserve">Or, în redacția actuală, lit. g) reglementează un aspect distinct, și anume aplicarea principiului egalității în materia avansării în serviciu și a formării profesionale. Eliminarea acestor elemente conduce la lipsirea lit. g) de conținut normativ propriu și la transformarea acesteia într-o reiterare a principiilor deja consacrate. În redacția în vigoare, art. 5 lit. g) consacră în mod explicit dreptul salariaților la egalitate de tratament la avansare în serviciu și la formare profesională, indicând totodată criteriile obiective care urmează a fi luate în considerare, precum productivitatea muncii, calificarea și vechimea în muncă în specialitate. Aceste elemente conferă normei un conținut normativ clar și previzibil și constituie garanții juridice concrete pentru salariați. </w:t>
            </w:r>
          </w:p>
          <w:p w14:paraId="44638BCE"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Substituirea acestui text cu o formulare generală, care face trimitere la art. 8, are ca efect eliminarea acestor garanții exprese și transformarea principiului într-o normă declarativă, lipsită de conținut normativ propriu. În aceste condiții, modificarea propusă nu doar că nu adaugă valoare normativă, dar conduce la pierderea unor reglementări explicite existente, ceea ce afectează </w:t>
            </w:r>
          </w:p>
          <w:p w14:paraId="39F7301C"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accesibilitatea și previzibilitatea normei. </w:t>
            </w:r>
          </w:p>
          <w:p w14:paraId="5AFD7471"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Proiectul elimină criteriile obiective existente (productivitate, calificare, vechime). Această modificare: </w:t>
            </w:r>
          </w:p>
          <w:p w14:paraId="4868FDD3" w14:textId="77777777" w:rsidR="0091081E" w:rsidRDefault="00000000">
            <w:pPr>
              <w:numPr>
                <w:ilvl w:val="0"/>
                <w:numId w:val="2"/>
              </w:numPr>
              <w:spacing w:line="24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reduce transparența deciziilor de carieră </w:t>
            </w:r>
          </w:p>
          <w:p w14:paraId="7EDE5B45" w14:textId="77777777" w:rsidR="0091081E" w:rsidRDefault="00000000">
            <w:pPr>
              <w:numPr>
                <w:ilvl w:val="0"/>
                <w:numId w:val="2"/>
              </w:numPr>
              <w:spacing w:line="24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diminuează garanțiile împotriva discriminării la promovare </w:t>
            </w:r>
          </w:p>
          <w:p w14:paraId="33605B2E" w14:textId="77777777" w:rsidR="0091081E" w:rsidRDefault="00000000">
            <w:pPr>
              <w:numPr>
                <w:ilvl w:val="0"/>
                <w:numId w:val="2"/>
              </w:numPr>
              <w:spacing w:line="24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transformă articolul într-o simplă normă declarativă, fără conținut normativ propriu </w:t>
            </w:r>
          </w:p>
          <w:p w14:paraId="1296C9F5" w14:textId="77777777" w:rsidR="0091081E" w:rsidRDefault="00000000">
            <w:pPr>
              <w:numPr>
                <w:ilvl w:val="0"/>
                <w:numId w:val="2"/>
              </w:numPr>
              <w:spacing w:line="24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suprapune lit. g) peste principiile deja existente la art. 8, făcând norma inutilă. </w:t>
            </w:r>
          </w:p>
          <w:p w14:paraId="3DCE721A"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acest sens, se recomandă menținerea redacției actuale a art. 5 lit. g), întrucât aceasta asigură o reglementare clară și completă a principiului egalității salariaților în materia avansării în serviciu și a formării profesionale. </w:t>
            </w:r>
          </w:p>
        </w:tc>
        <w:tc>
          <w:tcPr>
            <w:tcW w:w="5880" w:type="dxa"/>
          </w:tcPr>
          <w:p w14:paraId="33FC2ED5"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b/>
                <w:bCs/>
                <w:highlight w:val="white"/>
              </w:rPr>
              <w:t>Se acceptă.</w:t>
            </w:r>
          </w:p>
          <w:p w14:paraId="6C9D5D9E" w14:textId="77777777" w:rsidR="0091081E" w:rsidRDefault="00000000">
            <w:pPr>
              <w:spacing w:line="240" w:lineRule="auto"/>
              <w:ind w:firstLine="705"/>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Articolul 5 literele b</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și e) vor avea următorul cuprins:</w:t>
            </w:r>
          </w:p>
          <w:p w14:paraId="6C1D7819" w14:textId="77777777" w:rsidR="0091081E" w:rsidRDefault="00000000">
            <w:pPr>
              <w:shd w:val="clear" w:color="auto" w:fill="FFFFFF"/>
              <w:ind w:firstLine="680"/>
              <w:jc w:val="both"/>
              <w:rPr>
                <w:rFonts w:ascii="Times New Roman" w:eastAsia="Times New Roman" w:hAnsi="Times New Roman" w:cs="Times New Roman"/>
                <w:highlight w:val="white"/>
              </w:rPr>
            </w:pPr>
            <w:r>
              <w:rPr>
                <w:rFonts w:ascii="Times New Roman" w:eastAsia="Times New Roman" w:hAnsi="Times New Roman" w:cs="Times New Roman"/>
                <w:highlight w:val="white"/>
              </w:rPr>
              <w:t>„b</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interzicerea discriminării în temeiul criteriilor protejate, a violenței și a hărțuirii de orice natură în cadrul  raporturilor de muncă și a altor raporturi legate nemijlocit de acestea;</w:t>
            </w:r>
          </w:p>
          <w:p w14:paraId="4195411B" w14:textId="77777777" w:rsidR="0091081E" w:rsidRDefault="00000000">
            <w:pPr>
              <w:shd w:val="clear" w:color="auto" w:fill="FFFFFF"/>
              <w:ind w:firstLine="68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e) egalitatea în drepturi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în </w:t>
            </w:r>
            <w:proofErr w:type="spellStart"/>
            <w:r>
              <w:rPr>
                <w:rFonts w:ascii="Times New Roman" w:eastAsia="Times New Roman" w:hAnsi="Times New Roman" w:cs="Times New Roman"/>
                <w:highlight w:val="white"/>
              </w:rPr>
              <w:t>posibilităţi</w:t>
            </w:r>
            <w:proofErr w:type="spellEnd"/>
            <w:r>
              <w:rPr>
                <w:rFonts w:ascii="Times New Roman" w:eastAsia="Times New Roman" w:hAnsi="Times New Roman" w:cs="Times New Roman"/>
                <w:highlight w:val="white"/>
              </w:rPr>
              <w:t xml:space="preserve"> a </w:t>
            </w:r>
            <w:proofErr w:type="spellStart"/>
            <w:r>
              <w:rPr>
                <w:rFonts w:ascii="Times New Roman" w:eastAsia="Times New Roman" w:hAnsi="Times New Roman" w:cs="Times New Roman"/>
                <w:highlight w:val="white"/>
              </w:rPr>
              <w:t>salariaţilor</w:t>
            </w:r>
            <w:proofErr w:type="spellEnd"/>
            <w:r>
              <w:rPr>
                <w:rFonts w:ascii="Times New Roman" w:eastAsia="Times New Roman" w:hAnsi="Times New Roman" w:cs="Times New Roman"/>
                <w:highlight w:val="white"/>
              </w:rPr>
              <w:t xml:space="preserve"> în cadrul raporturilor de muncă și a altor raporturi legate nemijlocit de acestea;”</w:t>
            </w:r>
          </w:p>
          <w:p w14:paraId="15EF838D" w14:textId="77777777" w:rsidR="0091081E" w:rsidRDefault="0091081E">
            <w:pPr>
              <w:shd w:val="clear" w:color="auto" w:fill="FFFFFF"/>
              <w:ind w:firstLine="680"/>
              <w:jc w:val="both"/>
              <w:rPr>
                <w:rFonts w:ascii="Times New Roman" w:eastAsia="Times New Roman" w:hAnsi="Times New Roman" w:cs="Times New Roman"/>
                <w:highlight w:val="white"/>
              </w:rPr>
            </w:pPr>
          </w:p>
          <w:p w14:paraId="20966A6D" w14:textId="77777777" w:rsidR="0091081E" w:rsidRDefault="00000000">
            <w:pPr>
              <w:shd w:val="clear" w:color="auto" w:fill="FFFFFF"/>
              <w:ind w:firstLine="68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Așadar, se omite modificarea art. 5 lit. g) din redacția proiectului. </w:t>
            </w:r>
          </w:p>
          <w:p w14:paraId="457DA5E6"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00523B4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DB8DAA6"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7A8F39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794BAB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FCB2144"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EC82F6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0CF6C7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408005B7"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0A680F15"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51744B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8B2E64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023949E7"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AD4CC34"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00AAC3F5"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322C492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91081E" w14:paraId="25AA883B" w14:textId="77777777">
        <w:trPr>
          <w:trHeight w:val="600"/>
        </w:trPr>
        <w:tc>
          <w:tcPr>
            <w:tcW w:w="555" w:type="dxa"/>
            <w:vMerge/>
          </w:tcPr>
          <w:p w14:paraId="18BF01CD" w14:textId="77777777" w:rsidR="0091081E" w:rsidRDefault="0091081E">
            <w:pPr>
              <w:widowControl w:val="0"/>
              <w:rPr>
                <w:rFonts w:ascii="Times New Roman" w:eastAsia="Times New Roman" w:hAnsi="Times New Roman" w:cs="Times New Roman"/>
                <w:highlight w:val="white"/>
              </w:rPr>
            </w:pPr>
          </w:p>
        </w:tc>
        <w:tc>
          <w:tcPr>
            <w:tcW w:w="2700" w:type="dxa"/>
            <w:vMerge/>
          </w:tcPr>
          <w:p w14:paraId="72B4CBDE" w14:textId="77777777" w:rsidR="0091081E" w:rsidRDefault="0091081E">
            <w:pPr>
              <w:widowControl w:val="0"/>
              <w:rPr>
                <w:rFonts w:ascii="Times New Roman" w:eastAsia="Times New Roman" w:hAnsi="Times New Roman" w:cs="Times New Roman"/>
                <w:highlight w:val="white"/>
              </w:rPr>
            </w:pPr>
          </w:p>
        </w:tc>
        <w:tc>
          <w:tcPr>
            <w:tcW w:w="5880" w:type="dxa"/>
          </w:tcPr>
          <w:p w14:paraId="1CFDFEE8"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    Art. 8 alin. (1</w:t>
            </w:r>
            <w:r>
              <w:rPr>
                <w:rFonts w:ascii="Times New Roman" w:eastAsia="Times New Roman" w:hAnsi="Times New Roman" w:cs="Times New Roman"/>
                <w:b/>
                <w:bCs/>
                <w:vertAlign w:val="superscript"/>
              </w:rPr>
              <w:t>1</w:t>
            </w:r>
            <w:r>
              <w:rPr>
                <w:rFonts w:ascii="Times New Roman" w:eastAsia="Times New Roman" w:hAnsi="Times New Roman" w:cs="Times New Roman"/>
                <w:b/>
                <w:bCs/>
              </w:rPr>
              <w:t xml:space="preserve">) </w:t>
            </w:r>
          </w:p>
          <w:p w14:paraId="5728DC7A" w14:textId="77777777" w:rsidR="0091081E"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Propunere de redactare:</w:t>
            </w:r>
          </w:p>
          <w:p w14:paraId="559F1820"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Propunem modificarea după cum urmează: „c) condițiile de încadrare în muncă, condițiile de muncă și de remunerare, inclusiv condițiile de concediere;”. </w:t>
            </w:r>
          </w:p>
          <w:p w14:paraId="536D5B5D" w14:textId="77777777" w:rsidR="0091081E"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Comentariu:</w:t>
            </w:r>
          </w:p>
          <w:p w14:paraId="2556F386"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Sintagma „inclusiv organismelor publice” din conținutul (11) art. 8 și lit. c) din același alineat propus spre modificare </w:t>
            </w:r>
          </w:p>
          <w:p w14:paraId="13C9355F"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La alin. (11), utilizarea sintagmei „inclusiv organismelor publice” conține o suprapunere terminologică cu sintagma „atât în sectorul public” utilizată în același alineat, fapt care afectează claritatea normei.</w:t>
            </w:r>
          </w:p>
          <w:p w14:paraId="29114140"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Astfel, noțiunea de „sector public” include, prin definiție, autoritățile și instituțiile publice, precum și alte entități care desfășoară activitate în sfera publică. În aceste condiții, menționarea distinctă a „organismelor publice” după referirea la „sectorul public” apare ca fiind redundantă, întrucât acestea sunt deja cuprinse în această categorie. </w:t>
            </w:r>
          </w:p>
          <w:p w14:paraId="1600EF85"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Totodată, utilizarea sintagmei „organismelor publice”, pe lângă caracterul redundant, introduce o noțiune care nu este consacrată în mod obișnuit în legislația națională, ceea ce poate genera incertitudini de interpretare. </w:t>
            </w:r>
          </w:p>
          <w:p w14:paraId="3CF18ECB"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consecință, completarea respectivă nu adaugă valoare normativă, ci, dimpotrivă, creează o formulare supradimensionată și neuniformă din punct de vedere terminologic iar în acest sens se propune excluderea sintagmei „inclusiv organismelor publice”. </w:t>
            </w:r>
          </w:p>
          <w:p w14:paraId="19FFD48B"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La fel, mai consemnăm faptul că, sub aspect de tehnică legislativă, urmează ca lit. c) din alin. (11) să fie redactată în sensul asigurării unei cronologii corespunzătoare a raporturilor de muncă. </w:t>
            </w:r>
          </w:p>
          <w:p w14:paraId="0689A753" w14:textId="77777777" w:rsidR="0091081E" w:rsidRDefault="00000000">
            <w:pPr>
              <w:spacing w:line="240" w:lineRule="auto"/>
              <w:ind w:firstLine="567"/>
              <w:jc w:val="both"/>
              <w:rPr>
                <w:rFonts w:ascii="Times New Roman" w:eastAsia="Times New Roman" w:hAnsi="Times New Roman" w:cs="Times New Roman"/>
                <w:highlight w:val="white"/>
              </w:rPr>
            </w:pPr>
            <w:r>
              <w:rPr>
                <w:rFonts w:ascii="Times New Roman" w:eastAsia="Times New Roman" w:hAnsi="Times New Roman" w:cs="Times New Roman"/>
              </w:rPr>
              <w:t xml:space="preserve">Formularea actuală introduce „condițiile de </w:t>
            </w:r>
            <w:r>
              <w:rPr>
                <w:rFonts w:ascii="Times New Roman" w:eastAsia="Times New Roman" w:hAnsi="Times New Roman" w:cs="Times New Roman"/>
                <w:i/>
                <w:iCs/>
              </w:rPr>
              <w:t xml:space="preserve">concediere” înainte de „remunerare”, deși </w:t>
            </w:r>
            <w:r>
              <w:rPr>
                <w:rFonts w:ascii="Times New Roman" w:eastAsia="Times New Roman" w:hAnsi="Times New Roman" w:cs="Times New Roman"/>
              </w:rPr>
              <w:t xml:space="preserve">remunerarea aparține fazei de executare, iar concedierea fazei finale. </w:t>
            </w:r>
          </w:p>
        </w:tc>
        <w:tc>
          <w:tcPr>
            <w:tcW w:w="5880" w:type="dxa"/>
          </w:tcPr>
          <w:p w14:paraId="69E4D1EC" w14:textId="77777777" w:rsidR="0091081E" w:rsidRDefault="0091081E">
            <w:pPr>
              <w:spacing w:line="240" w:lineRule="auto"/>
              <w:jc w:val="both"/>
              <w:rPr>
                <w:rFonts w:ascii="Times New Roman" w:eastAsia="Times New Roman" w:hAnsi="Times New Roman" w:cs="Times New Roman"/>
                <w:b/>
                <w:bCs/>
                <w:highlight w:val="white"/>
              </w:rPr>
            </w:pPr>
          </w:p>
          <w:p w14:paraId="0A564279"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Se acceptă parțial </w:t>
            </w:r>
            <w:r>
              <w:rPr>
                <w:rFonts w:ascii="Times New Roman" w:eastAsia="Times New Roman" w:hAnsi="Times New Roman" w:cs="Times New Roman"/>
                <w:highlight w:val="white"/>
              </w:rPr>
              <w:t>în redacția propusă de Cancelaria de stat.</w:t>
            </w:r>
          </w:p>
          <w:p w14:paraId="2A40D97A" w14:textId="77777777" w:rsidR="0091081E" w:rsidRDefault="0091081E">
            <w:pPr>
              <w:spacing w:line="240" w:lineRule="auto"/>
              <w:jc w:val="both"/>
              <w:rPr>
                <w:rFonts w:ascii="Times New Roman" w:eastAsia="Times New Roman" w:hAnsi="Times New Roman" w:cs="Times New Roman"/>
                <w:b/>
                <w:bCs/>
                <w:highlight w:val="white"/>
              </w:rPr>
            </w:pPr>
          </w:p>
          <w:p w14:paraId="14E3D5AB"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„c) condițiile de muncă, inclusiv condițiile de remunerare și  de încetare a raporturilor de muncă;”</w:t>
            </w:r>
          </w:p>
          <w:p w14:paraId="0388CB61" w14:textId="77777777" w:rsidR="0091081E" w:rsidRDefault="0091081E">
            <w:pPr>
              <w:spacing w:line="240" w:lineRule="auto"/>
              <w:jc w:val="both"/>
              <w:rPr>
                <w:rFonts w:ascii="Times New Roman" w:eastAsia="Times New Roman" w:hAnsi="Times New Roman" w:cs="Times New Roman"/>
                <w:highlight w:val="white"/>
              </w:rPr>
            </w:pPr>
          </w:p>
          <w:p w14:paraId="31EEFBF1"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38440CC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Domeniul de aplicare a prevederilor care garantează implementarea Directivelor 2000.78 și 2000.43 urmează să fie stabilit în legea specială (121/2012 cu privire la  cu privire la asigurarea egalității) conform recomandărilor experților UE.</w:t>
            </w:r>
          </w:p>
        </w:tc>
      </w:tr>
      <w:tr w:rsidR="0091081E" w14:paraId="681EA239" w14:textId="77777777">
        <w:trPr>
          <w:trHeight w:val="600"/>
        </w:trPr>
        <w:tc>
          <w:tcPr>
            <w:tcW w:w="555" w:type="dxa"/>
            <w:vMerge/>
          </w:tcPr>
          <w:p w14:paraId="1A390EC9" w14:textId="77777777" w:rsidR="0091081E" w:rsidRDefault="0091081E">
            <w:pPr>
              <w:widowControl w:val="0"/>
              <w:rPr>
                <w:rFonts w:ascii="Times New Roman" w:eastAsia="Times New Roman" w:hAnsi="Times New Roman" w:cs="Times New Roman"/>
                <w:highlight w:val="white"/>
              </w:rPr>
            </w:pPr>
          </w:p>
        </w:tc>
        <w:tc>
          <w:tcPr>
            <w:tcW w:w="2700" w:type="dxa"/>
            <w:vMerge/>
          </w:tcPr>
          <w:p w14:paraId="19F8F636" w14:textId="77777777" w:rsidR="0091081E" w:rsidRDefault="0091081E">
            <w:pPr>
              <w:widowControl w:val="0"/>
              <w:rPr>
                <w:rFonts w:ascii="Times New Roman" w:eastAsia="Times New Roman" w:hAnsi="Times New Roman" w:cs="Times New Roman"/>
                <w:highlight w:val="white"/>
              </w:rPr>
            </w:pPr>
          </w:p>
        </w:tc>
        <w:tc>
          <w:tcPr>
            <w:tcW w:w="5880" w:type="dxa"/>
          </w:tcPr>
          <w:p w14:paraId="7F0A2A23"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    Articolul 8 alin. (2) </w:t>
            </w:r>
          </w:p>
          <w:p w14:paraId="43FF8D95" w14:textId="77777777" w:rsidR="0091081E"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Propunere de redactare:</w:t>
            </w:r>
          </w:p>
          <w:p w14:paraId="3DE75330"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(2) Nu constituie discriminare </w:t>
            </w:r>
            <w:r>
              <w:rPr>
                <w:rFonts w:ascii="Times New Roman" w:eastAsia="Times New Roman" w:hAnsi="Times New Roman" w:cs="Times New Roman"/>
                <w:strike/>
              </w:rPr>
              <w:t>stabilirea unor diferențieri, excepții, preferințe determinate</w:t>
            </w:r>
            <w:r>
              <w:rPr>
                <w:rFonts w:ascii="Times New Roman" w:eastAsia="Times New Roman" w:hAnsi="Times New Roman" w:cs="Times New Roman"/>
              </w:rPr>
              <w:t xml:space="preserve"> </w:t>
            </w:r>
            <w:r>
              <w:rPr>
                <w:rFonts w:ascii="Times New Roman" w:eastAsia="Times New Roman" w:hAnsi="Times New Roman" w:cs="Times New Roman"/>
                <w:u w:val="single"/>
              </w:rPr>
              <w:t>tratamentul diferențiat bazat pe o caracteristică legată de unul dintre motivele prevăzute la alineatul (1), atunci când, având în vedere natura activității profesionale sau condițiile de exercitare a acesteia, această caracteristica reprezintă</w:t>
            </w:r>
            <w:r>
              <w:rPr>
                <w:rFonts w:ascii="Times New Roman" w:eastAsia="Times New Roman" w:hAnsi="Times New Roman" w:cs="Times New Roman"/>
              </w:rPr>
              <w:t xml:space="preserve"> </w:t>
            </w:r>
            <w:r>
              <w:rPr>
                <w:rFonts w:ascii="Times New Roman" w:eastAsia="Times New Roman" w:hAnsi="Times New Roman" w:cs="Times New Roman"/>
                <w:strike/>
              </w:rPr>
              <w:t>de</w:t>
            </w:r>
            <w:r>
              <w:rPr>
                <w:rFonts w:ascii="Times New Roman" w:eastAsia="Times New Roman" w:hAnsi="Times New Roman" w:cs="Times New Roman"/>
              </w:rPr>
              <w:t xml:space="preserve"> o cerință profesională esențială și determinantă, </w:t>
            </w:r>
            <w:r>
              <w:rPr>
                <w:rFonts w:ascii="Times New Roman" w:eastAsia="Times New Roman" w:hAnsi="Times New Roman" w:cs="Times New Roman"/>
                <w:u w:val="single"/>
              </w:rPr>
              <w:t>astfel încât</w:t>
            </w:r>
            <w:r>
              <w:rPr>
                <w:rFonts w:ascii="Times New Roman" w:eastAsia="Times New Roman" w:hAnsi="Times New Roman" w:cs="Times New Roman"/>
              </w:rPr>
              <w:t xml:space="preserve"> </w:t>
            </w:r>
            <w:r>
              <w:rPr>
                <w:rFonts w:ascii="Times New Roman" w:eastAsia="Times New Roman" w:hAnsi="Times New Roman" w:cs="Times New Roman"/>
                <w:strike/>
              </w:rPr>
              <w:t>cu condiția ca această dispoziție, acest criteriu sau această practică este obiectiv justificată de un</w:t>
            </w:r>
            <w:r>
              <w:rPr>
                <w:rFonts w:ascii="Times New Roman" w:eastAsia="Times New Roman" w:hAnsi="Times New Roman" w:cs="Times New Roman"/>
              </w:rPr>
              <w:t xml:space="preserve"> obiectiv</w:t>
            </w:r>
            <w:r>
              <w:rPr>
                <w:rFonts w:ascii="Times New Roman" w:eastAsia="Times New Roman" w:hAnsi="Times New Roman" w:cs="Times New Roman"/>
                <w:u w:val="single"/>
              </w:rPr>
              <w:t>ul</w:t>
            </w:r>
            <w:r>
              <w:rPr>
                <w:rFonts w:ascii="Times New Roman" w:eastAsia="Times New Roman" w:hAnsi="Times New Roman" w:cs="Times New Roman"/>
              </w:rPr>
              <w:t xml:space="preserve"> </w:t>
            </w:r>
            <w:r>
              <w:rPr>
                <w:rFonts w:ascii="Times New Roman" w:eastAsia="Times New Roman" w:hAnsi="Times New Roman" w:cs="Times New Roman"/>
                <w:u w:val="single"/>
              </w:rPr>
              <w:t>tratamentului diferențiat este</w:t>
            </w:r>
            <w:r>
              <w:rPr>
                <w:rFonts w:ascii="Times New Roman" w:eastAsia="Times New Roman" w:hAnsi="Times New Roman" w:cs="Times New Roman"/>
              </w:rPr>
              <w:t xml:space="preserve"> legitim, iar </w:t>
            </w:r>
            <w:r>
              <w:rPr>
                <w:rFonts w:ascii="Times New Roman" w:eastAsia="Times New Roman" w:hAnsi="Times New Roman" w:cs="Times New Roman"/>
                <w:u w:val="single"/>
              </w:rPr>
              <w:t>cerința care stă la baza lui este</w:t>
            </w:r>
            <w:r>
              <w:rPr>
                <w:rFonts w:ascii="Times New Roman" w:eastAsia="Times New Roman" w:hAnsi="Times New Roman" w:cs="Times New Roman"/>
              </w:rPr>
              <w:t xml:space="preserve"> </w:t>
            </w:r>
            <w:r>
              <w:rPr>
                <w:rFonts w:ascii="Times New Roman" w:eastAsia="Times New Roman" w:hAnsi="Times New Roman" w:cs="Times New Roman"/>
                <w:strike/>
              </w:rPr>
              <w:t>mijloacele de realizare a acestui obiectiv nu sunt adecvate și necesare</w:t>
            </w:r>
            <w:r>
              <w:rPr>
                <w:rFonts w:ascii="Times New Roman" w:eastAsia="Times New Roman" w:hAnsi="Times New Roman" w:cs="Times New Roman"/>
              </w:rPr>
              <w:t xml:space="preserve"> </w:t>
            </w:r>
            <w:r>
              <w:rPr>
                <w:rFonts w:ascii="Times New Roman" w:eastAsia="Times New Roman" w:hAnsi="Times New Roman" w:cs="Times New Roman"/>
                <w:u w:val="single"/>
              </w:rPr>
              <w:t>proporțională</w:t>
            </w:r>
            <w:r>
              <w:rPr>
                <w:rFonts w:ascii="Times New Roman" w:eastAsia="Times New Roman" w:hAnsi="Times New Roman" w:cs="Times New Roman"/>
              </w:rPr>
              <w:t xml:space="preserve">. </w:t>
            </w:r>
          </w:p>
          <w:p w14:paraId="6E6F2BE8" w14:textId="77777777" w:rsidR="0091081E" w:rsidRDefault="0091081E">
            <w:pPr>
              <w:spacing w:line="240" w:lineRule="auto"/>
              <w:ind w:firstLine="284"/>
              <w:jc w:val="both"/>
              <w:rPr>
                <w:rFonts w:ascii="Times New Roman" w:eastAsia="Times New Roman" w:hAnsi="Times New Roman" w:cs="Times New Roman"/>
                <w:b/>
                <w:bCs/>
                <w:highlight w:val="white"/>
              </w:rPr>
            </w:pPr>
          </w:p>
          <w:p w14:paraId="39F44A75" w14:textId="77777777" w:rsidR="0091081E"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Comentariu:</w:t>
            </w:r>
          </w:p>
          <w:p w14:paraId="6BD948FC" w14:textId="77777777" w:rsidR="0091081E" w:rsidRDefault="00000000">
            <w:pPr>
              <w:numPr>
                <w:ilvl w:val="0"/>
                <w:numId w:val="11"/>
              </w:num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Fuzionarea a doua norme distincte din directivă și incoerența logică a prevederii </w:t>
            </w:r>
          </w:p>
          <w:p w14:paraId="09D1EDA0"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Articolul 8 alin. (2) a Codului muncii în versiunea Proiectului combină prevederi din două articole distincte din Directiva 2000/78/CE care reglementează diferite aspecte: </w:t>
            </w:r>
          </w:p>
          <w:p w14:paraId="5595D330" w14:textId="77777777" w:rsidR="0091081E" w:rsidRDefault="00000000">
            <w:pPr>
              <w:numPr>
                <w:ilvl w:val="0"/>
                <w:numId w:val="3"/>
              </w:num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pe de o parte, această normă din Proiect urmărește transpunerea art. 4 alin. (1) din Directivă, referitor la tratamentul diferențiat pe baza cerințelor profesionale esențiale și determinante (descrie un tratament permis de Directivă); </w:t>
            </w:r>
          </w:p>
          <w:p w14:paraId="6FD3BDE3" w14:textId="77777777" w:rsidR="0091081E" w:rsidRDefault="00000000">
            <w:pPr>
              <w:numPr>
                <w:ilvl w:val="0"/>
                <w:numId w:val="3"/>
              </w:num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pe de altă parte, ultima parte a normei din Proiect (de la cuvintele „această dispoziție, acest criteriu...” reproduce prevederile art. 2 alin. (2) lit. b) (i) din Directivă, care vizează discriminarea indirectă (un tratament, dimpotrivă, condamnat și restrâns de Directivă). </w:t>
            </w:r>
          </w:p>
          <w:p w14:paraId="2928AB6C"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textul propus în Proiect, aceste două prevederi ale Directivei au fost contopite într-o singură propoziție. Rezultatul este o incoerență logică, în care anumite practici „nu constituie discriminare” cu condiția că „mijloacele de realizare ...nu sunt adecvate și necesare”. </w:t>
            </w:r>
          </w:p>
          <w:p w14:paraId="18450EC0"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Redacția propusă la alin. (2) conține o inadvertență juridică majoră, care afectează substanța normei. Astfel, textul prevede că diferențierea nu constituie discriminare în cazul în care mijloacele de realizare a obiectivului „nu sunt adecvate și necesare”. </w:t>
            </w:r>
          </w:p>
          <w:p w14:paraId="2C539E4A"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A </w:t>
            </w:r>
            <w:proofErr w:type="spellStart"/>
            <w:r>
              <w:rPr>
                <w:rFonts w:ascii="Times New Roman" w:eastAsia="Times New Roman" w:hAnsi="Times New Roman" w:cs="Times New Roman"/>
              </w:rPr>
              <w:t>contrario</w:t>
            </w:r>
            <w:proofErr w:type="spellEnd"/>
            <w:r>
              <w:rPr>
                <w:rFonts w:ascii="Times New Roman" w:eastAsia="Times New Roman" w:hAnsi="Times New Roman" w:cs="Times New Roman"/>
              </w:rPr>
              <w:t xml:space="preserve">, o diferențiere/discriminare pozitivă poate fi considerată justificată doar în cazul în care mijloacele utilizate sunt adecvate și necesare pentru realizarea unui obiectiv legitim. Formularea propusă, în forma actuală, inversează acest test și poate conduce la interpretări contrare scopului normei. </w:t>
            </w:r>
          </w:p>
          <w:p w14:paraId="1EEC3BC0"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Mai mult ca atât se constată că sintagma „obiectiv justificată de un obiectiv legitim” conține o repetare improprie a termenului „obiectiv”, utilizat cu sensuri diferite, ceea ce afectează claritatea normei. În vederea asigurării unei formulări clare și conforme tehnicii legislative, se recomandă reformularea textului, prin utilizarea unei expresii echivalente, cum ar fi „justificată în mod obiectiv printr-un scop legitim”. Subsidiar, recomandăm completarea normei cu referirea la caracterul proporțional al mijloacelor utilizate, având în vedere că principiul proporționalității constituie un element esențial al testului justificării diferențierii și asigură un nivel adecvat de protecție împotriva tratamentului discriminatoriu. </w:t>
            </w:r>
          </w:p>
          <w:p w14:paraId="67BCF76F"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acest sens, se reține că, potrivit art. 4 din Directiva 2000/43/CE, o diferență de tratament nu constituie discriminare atunci când caracteristica respectivă constituie o cerință profesională reală și determinantă, cu condiția ca obiectivul să fie legitim și cerința proporțională (!). Prin urmare, cerința proporționalității și a caracterului adecvat al măsurii constituie un element esențial al testului justificării și nu poate fi exclusă sau formulată în sens negativ, astfel cum rezultă din redacția propusă. </w:t>
            </w:r>
          </w:p>
          <w:p w14:paraId="576D507D" w14:textId="77777777" w:rsidR="0091081E" w:rsidRDefault="0091081E">
            <w:pPr>
              <w:spacing w:line="240" w:lineRule="auto"/>
              <w:jc w:val="both"/>
              <w:rPr>
                <w:rFonts w:ascii="Times New Roman" w:eastAsia="Times New Roman" w:hAnsi="Times New Roman" w:cs="Times New Roman"/>
              </w:rPr>
            </w:pPr>
          </w:p>
          <w:p w14:paraId="17B5AC38" w14:textId="77777777" w:rsidR="0091081E" w:rsidRDefault="00000000">
            <w:pPr>
              <w:numPr>
                <w:ilvl w:val="0"/>
                <w:numId w:val="7"/>
              </w:num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Extinderea neîntemeiată a obligației de justificare a tratamentului diferențiat bazat pe cerințe profesionale </w:t>
            </w:r>
          </w:p>
          <w:p w14:paraId="2F9CADE5"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Înțelegem că norma în cauză din Proiect urmărește transpunerea articolului 4 („Cerințe profesionale”) din Directiva 2000/78/CE. Însă norma din Proiect extinde sfera de aplicare a testelor de legitimitate prevăzute de Directivă dincolo de limitele acesteia. </w:t>
            </w:r>
          </w:p>
          <w:p w14:paraId="28C803F5"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Directivă, art. 4 alin. (1) se aplică tratamentelor diferențiate întemeiate pe cerințe profesionale doar în măsura în care diferențierea are legătură cu unul din motivele de discriminare prevăzute de art. 1 al Directivei – religie sau convingeri, handicap, vârstă și orientare sexuală. Cu alte cuvinte, filtrul „obiectivului legitim” și al proporționalității intervine doar atunci când tratamentul diferențiat atinge un motiv protejat de Directivă. </w:t>
            </w:r>
          </w:p>
          <w:p w14:paraId="1C4C98B6"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Dimpotrivă, norma propusă în Codul muncii este formulată de o manieră generală, fără trimitere la motivele protejate de Directivă sau, cel puțin, cele prevăzute la art. 8 alin. (1) din Codul muncii (chiar dacă acestea din urmă sunt mai numeroase decât cele enumerate la art. 1 din Directivă, ele reprezintă totuși o delimitare și un cadru adecvat de aplicare a normei). Rezultă o povară excesivă pentru angajator: acesta va trebui să justifice, în mod generalizat, raționalitatea și necesitatea oricărei diferențieri legate de natura sau condițiile muncii, chiar și dacă aceasta nu are legătură cu motivele de discriminare protejate de lege. Reiterăm că Directiva prevede un asemenea control al cerințelor profesionale numai atunci când diferențierea atinge un motiv protejat și, prin urmare, există un risc real de discriminare în sferele protejate stabilite de art. 1 al Directivei. </w:t>
            </w:r>
          </w:p>
          <w:p w14:paraId="418B3544"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De exemplu, potrivit formulării din Proiect, cerința de a deține permis de conducere pentru ocuparea unui post de șofer și refuzul angajării persoanelor care nu îndeplinesc această condiție ar intra sub incidența obligației de justificare după obiect și mijloace, așa cum este prevăzută de art. 8 alin. (2) al CM Proiect. Aceasta, deși cerința permisului nu are legătură cu niciun motiv de discriminare protejat, ci ține exclusiv de natura atribuțiilor postului. </w:t>
            </w:r>
          </w:p>
          <w:p w14:paraId="14873F8E"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Prin urmare, norma trebuie formulată astfel, încât să fie aplicabilă în legătură cu criteriile de discriminare protejate potrivit art. 8 alin. (1) al Codului muncii.</w:t>
            </w:r>
          </w:p>
          <w:p w14:paraId="239DF9DD" w14:textId="77777777" w:rsidR="0091081E" w:rsidRDefault="0091081E">
            <w:pPr>
              <w:spacing w:line="240" w:lineRule="auto"/>
              <w:jc w:val="both"/>
              <w:rPr>
                <w:rFonts w:ascii="Times New Roman" w:eastAsia="Times New Roman" w:hAnsi="Times New Roman" w:cs="Times New Roman"/>
              </w:rPr>
            </w:pPr>
          </w:p>
          <w:p w14:paraId="7E874D80" w14:textId="77777777" w:rsidR="0091081E" w:rsidRDefault="00000000">
            <w:pPr>
              <w:numPr>
                <w:ilvl w:val="0"/>
                <w:numId w:val="6"/>
              </w:numPr>
              <w:spacing w:line="240" w:lineRule="auto"/>
              <w:jc w:val="both"/>
              <w:rPr>
                <w:rFonts w:ascii="Times New Roman" w:eastAsia="Times New Roman" w:hAnsi="Times New Roman" w:cs="Times New Roman"/>
              </w:rPr>
            </w:pPr>
            <w:r>
              <w:rPr>
                <w:rFonts w:ascii="Times New Roman" w:eastAsia="Times New Roman" w:hAnsi="Times New Roman" w:cs="Times New Roman"/>
                <w:b/>
                <w:bCs/>
              </w:rPr>
              <w:t>Deplasarea accentului de la controlul jurisdicțional ulterior la o obligație generală ex-ante</w:t>
            </w:r>
          </w:p>
          <w:p w14:paraId="27B52CE0"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Înlocuirea, în Proiect, a formulării articolului 4 din Directiva 2000/78/CE - potrivit căreia tratamentul diferențiat bazat pe caracteristici profesionale este permis atunci „când... caracteristica ... constituie o cerință profesională esențială și determinantă, astfel </w:t>
            </w:r>
          </w:p>
          <w:p w14:paraId="6C874D23"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încât obiectivul [este] legitim, iar cerința [-] proporțională” - cu formula „</w:t>
            </w:r>
            <w:r>
              <w:rPr>
                <w:rFonts w:ascii="Times New Roman" w:eastAsia="Times New Roman" w:hAnsi="Times New Roman" w:cs="Times New Roman"/>
                <w:u w:val="single"/>
              </w:rPr>
              <w:t>cu condiția că</w:t>
            </w:r>
            <w:r>
              <w:rPr>
                <w:rFonts w:ascii="Times New Roman" w:eastAsia="Times New Roman" w:hAnsi="Times New Roman" w:cs="Times New Roman"/>
              </w:rPr>
              <w:t xml:space="preserve"> [...] această practică </w:t>
            </w:r>
            <w:r>
              <w:rPr>
                <w:rFonts w:ascii="Times New Roman" w:eastAsia="Times New Roman" w:hAnsi="Times New Roman" w:cs="Times New Roman"/>
                <w:u w:val="single"/>
              </w:rPr>
              <w:t>este obiectiv justificată</w:t>
            </w:r>
            <w:r>
              <w:rPr>
                <w:rFonts w:ascii="Times New Roman" w:eastAsia="Times New Roman" w:hAnsi="Times New Roman" w:cs="Times New Roman"/>
              </w:rPr>
              <w:t xml:space="preserve"> de un obiectiv [...] [și] mijloace […] adecvate și necesare” schimbă accentele testelor prevăzute de Directivă. </w:t>
            </w:r>
          </w:p>
          <w:p w14:paraId="1DA727A9"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Reieșind din Directivă, testul obiectivului legitim și al proporționalității funcționează ca standard juridic de apreciere aplicat a posteriori, în cadrul unui litigiu concret, atunci când se invocă existența unui caz concret de discriminare. Formularea din Proiect ar putea transforma acest standard de control ex post într-o obligație generală, aplicabilă ex-ante, impunând angajatorului să efectueze pentru fiecare diferențiere pe cerințe profesionale o evaluare formală și documentată a obiectivului și mijloacelor utilizate. </w:t>
            </w:r>
          </w:p>
          <w:p w14:paraId="30A94042"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consecință, textul din Proiect nu doar preia cerințele Directivei, ci poate avea un efect de reconfigurare a lor: din criterii de apreciere jurisdicțională ulterioară acestea ar putea deveni obligații preventive generale. Această deplasare de accent depășește logica și economia Directivei și riscă să creeze incertitudine și sarcini administrative disproporționate pentru angajatori. </w:t>
            </w:r>
          </w:p>
          <w:p w14:paraId="6812F0DA"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Art. 8 alin. (2) – Diferențierea obiectiv justificată </w:t>
            </w:r>
          </w:p>
          <w:p w14:paraId="39AEC2F9"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Redacția propusă este eronată juridic. În forma actuală: </w:t>
            </w:r>
          </w:p>
          <w:p w14:paraId="007A93E4" w14:textId="77777777" w:rsidR="0091081E" w:rsidRDefault="00000000">
            <w:pPr>
              <w:numPr>
                <w:ilvl w:val="0"/>
                <w:numId w:val="10"/>
              </w:numPr>
              <w:spacing w:line="240" w:lineRule="auto"/>
              <w:jc w:val="both"/>
              <w:rPr>
                <w:rFonts w:ascii="Times New Roman" w:eastAsia="Times New Roman" w:hAnsi="Times New Roman" w:cs="Times New Roman"/>
              </w:rPr>
            </w:pPr>
            <w:r>
              <w:rPr>
                <w:rFonts w:ascii="Times New Roman" w:eastAsia="Times New Roman" w:hAnsi="Times New Roman" w:cs="Times New Roman"/>
              </w:rPr>
              <w:t>inversează criteriile textului european „scop legitim + mijloace adecvate, necesare și proporționale”</w:t>
            </w:r>
          </w:p>
          <w:p w14:paraId="7988459A" w14:textId="77777777" w:rsidR="0091081E" w:rsidRDefault="00000000">
            <w:pPr>
              <w:numPr>
                <w:ilvl w:val="0"/>
                <w:numId w:val="9"/>
              </w:num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creează riscuri grave pentru politicile de nediscriminare și D&amp;I </w:t>
            </w:r>
          </w:p>
          <w:p w14:paraId="7BE3127D" w14:textId="77777777" w:rsidR="0091081E" w:rsidRDefault="00000000">
            <w:pPr>
              <w:numPr>
                <w:ilvl w:val="0"/>
                <w:numId w:val="9"/>
              </w:num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contravine directivelor 2000/43 și 2000/78  </w:t>
            </w:r>
          </w:p>
        </w:tc>
        <w:tc>
          <w:tcPr>
            <w:tcW w:w="5880" w:type="dxa"/>
          </w:tcPr>
          <w:p w14:paraId="5149403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p w14:paraId="02317319"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Se acceptă parțial </w:t>
            </w:r>
            <w:r>
              <w:rPr>
                <w:rFonts w:ascii="Times New Roman" w:eastAsia="Times New Roman" w:hAnsi="Times New Roman" w:cs="Times New Roman"/>
                <w:highlight w:val="white"/>
              </w:rPr>
              <w:t>în redacția propusă de Consiliul pentru egalitate.</w:t>
            </w:r>
          </w:p>
          <w:p w14:paraId="3E1935E3"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Astfel  art. 8 alin. (2) se propune în redacția următoare: </w:t>
            </w:r>
          </w:p>
          <w:p w14:paraId="68351AF5"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„Orice diferență de tratament bazată pe o caracteristică legată de unul din criteriile prevăzute la alin. (1) nu constituie o discriminare atunci când, având în vedere natura unei activități profesionale sau condițiile de exercitare a acesteia, caracteristică în cauză constituie o cerință profesională esențială și determinantă, astfel încât obiectivul să fie legitim, iar cerința să fie proporțională.”</w:t>
            </w:r>
          </w:p>
          <w:p w14:paraId="58582383"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Argumentele invocate nu pot fi reținute, întrucât formularea propusă la art. 8 alin. (2) urmărește o transpunere sintetică și coerentă a principiilor relevante din Directiva 2000/78/CE, fără a altera conținutul normativ al acestora, ci adaptându-l specificului legislației naționale. Integrarea elementelor privind cerințele profesionale esențiale și testul justificării nu generează o incoerență, ci reflectă o abordare unitară a excepțiilor de la principiul egalității de tratament, în conformitate cu logica sistemică a dreptului muncii.</w:t>
            </w:r>
          </w:p>
          <w:p w14:paraId="485731C1"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ceea ce privește critica referitoare la formularea condițiilor de justificare, aceasta nu afectează substanța normei, întrucât interpretarea sistemică și teleologică impune în mod implicit respectarea caracterului adecvat, necesar și proporțional al măsurilor, astfel cum rezultă și din standardele stabilite la nivel european, inclusiv prin Directiva 2000/43/CE.</w:t>
            </w:r>
          </w:p>
          <w:p w14:paraId="541C98C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91081E" w14:paraId="50B1FB33" w14:textId="77777777">
        <w:trPr>
          <w:trHeight w:val="2117"/>
        </w:trPr>
        <w:tc>
          <w:tcPr>
            <w:tcW w:w="555" w:type="dxa"/>
            <w:vMerge/>
          </w:tcPr>
          <w:p w14:paraId="7A4255EC" w14:textId="77777777" w:rsidR="0091081E" w:rsidRDefault="0091081E">
            <w:pPr>
              <w:widowControl w:val="0"/>
              <w:rPr>
                <w:rFonts w:ascii="Times New Roman" w:eastAsia="Times New Roman" w:hAnsi="Times New Roman" w:cs="Times New Roman"/>
                <w:highlight w:val="white"/>
              </w:rPr>
            </w:pPr>
          </w:p>
        </w:tc>
        <w:tc>
          <w:tcPr>
            <w:tcW w:w="2700" w:type="dxa"/>
            <w:vMerge/>
          </w:tcPr>
          <w:p w14:paraId="5DE72A2E" w14:textId="77777777" w:rsidR="0091081E" w:rsidRDefault="0091081E">
            <w:pPr>
              <w:widowControl w:val="0"/>
              <w:rPr>
                <w:rFonts w:ascii="Times New Roman" w:eastAsia="Times New Roman" w:hAnsi="Times New Roman" w:cs="Times New Roman"/>
                <w:highlight w:val="white"/>
              </w:rPr>
            </w:pPr>
          </w:p>
        </w:tc>
        <w:tc>
          <w:tcPr>
            <w:tcW w:w="5880" w:type="dxa"/>
          </w:tcPr>
          <w:p w14:paraId="084A12D6"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    Articolul 42</w:t>
            </w:r>
            <w:r>
              <w:rPr>
                <w:rFonts w:ascii="Times New Roman" w:eastAsia="Times New Roman" w:hAnsi="Times New Roman" w:cs="Times New Roman"/>
                <w:b/>
                <w:bCs/>
                <w:vertAlign w:val="superscript"/>
              </w:rPr>
              <w:t>1</w:t>
            </w:r>
            <w:r>
              <w:rPr>
                <w:rFonts w:ascii="Times New Roman" w:eastAsia="Times New Roman" w:hAnsi="Times New Roman" w:cs="Times New Roman"/>
                <w:b/>
                <w:bCs/>
              </w:rPr>
              <w:t xml:space="preserve"> alin. (7) </w:t>
            </w:r>
          </w:p>
          <w:p w14:paraId="1CC15357" w14:textId="77777777" w:rsidR="0091081E"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Propunere de redactare:</w:t>
            </w:r>
          </w:p>
          <w:p w14:paraId="3FA701E7"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Soluții: </w:t>
            </w:r>
          </w:p>
          <w:p w14:paraId="0500D7D5" w14:textId="77777777" w:rsidR="0091081E" w:rsidRDefault="00000000">
            <w:pPr>
              <w:numPr>
                <w:ilvl w:val="0"/>
                <w:numId w:val="8"/>
              </w:num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Excluderea în genere a completării propuse de Proiect, iar dacă nu se acceptă, expunerea acesteia în următoarea redacție: </w:t>
            </w:r>
          </w:p>
          <w:p w14:paraId="0C64C2D9"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(7) Consultarea are loc </w:t>
            </w:r>
            <w:r>
              <w:rPr>
                <w:rFonts w:ascii="Times New Roman" w:eastAsia="Times New Roman" w:hAnsi="Times New Roman" w:cs="Times New Roman"/>
                <w:strike/>
              </w:rPr>
              <w:t>în vederea obținerii unui acord asupra deciziilor care se încadrează în competențele angajatorului prevăzute la alineatul (2) anterior adoptării acestora. după cum urmează</w:t>
            </w:r>
            <w:r>
              <w:rPr>
                <w:rFonts w:ascii="Times New Roman" w:eastAsia="Times New Roman" w:hAnsi="Times New Roman" w:cs="Times New Roman"/>
              </w:rPr>
              <w:t xml:space="preserve">: </w:t>
            </w:r>
          </w:p>
          <w:p w14:paraId="1093C8B7"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a) în cadrul unor întâlniri cu reprezentanți ai angajatorului de nivel relevant în raport cu subiectul discutat; </w:t>
            </w:r>
          </w:p>
          <w:p w14:paraId="1087CBB5" w14:textId="77777777" w:rsidR="0091081E" w:rsidRDefault="00000000">
            <w:pPr>
              <w:spacing w:line="240" w:lineRule="auto"/>
              <w:ind w:firstLine="284"/>
              <w:jc w:val="both"/>
              <w:rPr>
                <w:rFonts w:ascii="Times New Roman" w:eastAsia="Times New Roman" w:hAnsi="Times New Roman" w:cs="Times New Roman"/>
              </w:rPr>
            </w:pPr>
            <w:r>
              <w:rPr>
                <w:rFonts w:ascii="Times New Roman" w:eastAsia="Times New Roman" w:hAnsi="Times New Roman" w:cs="Times New Roman"/>
              </w:rPr>
              <w:t xml:space="preserve">b) în baza informațiilor transmise conform alin.(3) și a avizului pe care reprezentanții salariaților sunt în drept să-l formuleze în acest context; </w:t>
            </w:r>
          </w:p>
          <w:p w14:paraId="449E8D36"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c) în vederea obținerii unui </w:t>
            </w:r>
            <w:r>
              <w:rPr>
                <w:rFonts w:ascii="Times New Roman" w:eastAsia="Times New Roman" w:hAnsi="Times New Roman" w:cs="Times New Roman"/>
                <w:strike/>
              </w:rPr>
              <w:t>acord</w:t>
            </w:r>
            <w:r>
              <w:rPr>
                <w:rFonts w:ascii="Times New Roman" w:eastAsia="Times New Roman" w:hAnsi="Times New Roman" w:cs="Times New Roman"/>
              </w:rPr>
              <w:t xml:space="preserve"> </w:t>
            </w:r>
            <w:r>
              <w:rPr>
                <w:rFonts w:ascii="Times New Roman" w:eastAsia="Times New Roman" w:hAnsi="Times New Roman" w:cs="Times New Roman"/>
                <w:u w:val="single"/>
              </w:rPr>
              <w:t>consens</w:t>
            </w:r>
            <w:r>
              <w:rPr>
                <w:rFonts w:ascii="Times New Roman" w:eastAsia="Times New Roman" w:hAnsi="Times New Roman" w:cs="Times New Roman"/>
              </w:rPr>
              <w:t xml:space="preserve"> </w:t>
            </w:r>
            <w:r>
              <w:rPr>
                <w:rFonts w:ascii="Times New Roman" w:eastAsia="Times New Roman" w:hAnsi="Times New Roman" w:cs="Times New Roman"/>
                <w:i/>
                <w:iCs/>
              </w:rPr>
              <w:t xml:space="preserve">[menținerea redacției actuale – n.n.] privind subiectele menționate la alin.(2) lit. b) </w:t>
            </w:r>
            <w:r>
              <w:rPr>
                <w:rFonts w:ascii="Times New Roman" w:eastAsia="Times New Roman" w:hAnsi="Times New Roman" w:cs="Times New Roman"/>
                <w:i/>
                <w:iCs/>
                <w:u w:val="single"/>
              </w:rPr>
              <w:t>și c)</w:t>
            </w:r>
            <w:r>
              <w:rPr>
                <w:rFonts w:ascii="Times New Roman" w:eastAsia="Times New Roman" w:hAnsi="Times New Roman" w:cs="Times New Roman"/>
                <w:i/>
                <w:iCs/>
                <w:strike/>
              </w:rPr>
              <w:t xml:space="preserve">–d) </w:t>
            </w:r>
            <w:r>
              <w:rPr>
                <w:rFonts w:ascii="Times New Roman" w:eastAsia="Times New Roman" w:hAnsi="Times New Roman" w:cs="Times New Roman"/>
                <w:i/>
                <w:iCs/>
              </w:rPr>
              <w:t xml:space="preserve">care </w:t>
            </w:r>
            <w:r>
              <w:rPr>
                <w:rFonts w:ascii="Times New Roman" w:eastAsia="Times New Roman" w:hAnsi="Times New Roman" w:cs="Times New Roman"/>
              </w:rPr>
              <w:t xml:space="preserve">țin de competențele angajatorului. </w:t>
            </w:r>
          </w:p>
          <w:p w14:paraId="119C1BC6" w14:textId="77777777" w:rsidR="0091081E" w:rsidRDefault="0091081E">
            <w:pPr>
              <w:spacing w:line="240" w:lineRule="auto"/>
              <w:ind w:firstLine="284"/>
              <w:jc w:val="both"/>
              <w:rPr>
                <w:rFonts w:ascii="Times New Roman" w:eastAsia="Times New Roman" w:hAnsi="Times New Roman" w:cs="Times New Roman"/>
                <w:b/>
                <w:bCs/>
                <w:highlight w:val="white"/>
              </w:rPr>
            </w:pPr>
          </w:p>
          <w:p w14:paraId="2CE23586" w14:textId="77777777" w:rsidR="0091081E"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Comentariu:</w:t>
            </w:r>
          </w:p>
          <w:p w14:paraId="7D2C312A" w14:textId="77777777" w:rsidR="0091081E" w:rsidRDefault="00000000">
            <w:pPr>
              <w:numPr>
                <w:ilvl w:val="0"/>
                <w:numId w:val="13"/>
              </w:num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Redundanța și extinderea nejustificată a sferei consultării </w:t>
            </w:r>
          </w:p>
          <w:p w14:paraId="23671025"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Completarea propusă la alin. (7), potrivit căreia consultarea are loc „în vederea obținerii unui acord asupra deciziilor…”, este redundantă. Această finalitate a consultărilor este deja prevăzută la lit. c) a aceluiași alineat. </w:t>
            </w:r>
          </w:p>
          <w:p w14:paraId="43E326E5"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Totodată, modificarea propusă în Proiect lărgește neîntemeiat sfera problemelor asupra cărora urmează a fi consultați salariații. Modificarea propusă intră, astfel, în contradicție cu lit. c) din același alineat, care limitează consultarea salariaților la aspectele menționate la lit. b)-d) ale alin. (2) al articolului. În redacția Proiectului, consultarea ar ajunge să includă și aspectele prevăzute la lit. a) și e) ale alin. (2), ceea ce constituie o extindere nejustificată și incoerentă a domeniului de aplicare al normelor privind consultarea reprezentanților salariaților. Această extindere devine și mai problematică odată cu introducerea obligativității „obținerii unui acord” ca rezultat al consultării. Ea depășește nu doar economia textului actual al Codului muncii, ci și cadrul stabilit de Directiva 2002/14/CE, care include în sfera de aplicare a consultărilor doar circumstanțele care sunt reflectate la literele b) și c) din alin. (1) al art.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al Codului muncii</w:t>
            </w:r>
            <w:r>
              <w:rPr>
                <w:rFonts w:ascii="Times New Roman" w:eastAsia="Times New Roman" w:hAnsi="Times New Roman" w:cs="Times New Roman"/>
                <w:vertAlign w:val="superscript"/>
              </w:rPr>
              <w:footnoteReference w:id="1"/>
            </w:r>
            <w:r>
              <w:rPr>
                <w:rFonts w:ascii="Times New Roman" w:eastAsia="Times New Roman" w:hAnsi="Times New Roman" w:cs="Times New Roman"/>
              </w:rPr>
              <w:t>.</w:t>
            </w:r>
          </w:p>
          <w:p w14:paraId="7C57F5A8"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consecință, deși intervenția propusă nu adaugă un conținut normativ nou, ea încarcă inutil textul alineatului, extinde nejustificat sfera sa de aplicare și accentuează artificial ideea de „acord” ca rezultat formal obligatoriu al consultării (a se vedea comentariul de la punctul 3, mai jos). Or, potrivit Directivei 2002/14/CE, consultarea reprezintă un proces de schimb de informații și opinii, nu o procedură de aprobare a deciziilor angajatorului de către reprezentanții salariaților. </w:t>
            </w:r>
          </w:p>
          <w:p w14:paraId="55781F66" w14:textId="77777777" w:rsidR="0091081E" w:rsidRDefault="0091081E">
            <w:pPr>
              <w:spacing w:line="240" w:lineRule="auto"/>
              <w:jc w:val="both"/>
              <w:rPr>
                <w:rFonts w:ascii="Times New Roman" w:eastAsia="Times New Roman" w:hAnsi="Times New Roman" w:cs="Times New Roman"/>
              </w:rPr>
            </w:pPr>
          </w:p>
          <w:p w14:paraId="7C595F26" w14:textId="77777777" w:rsidR="0091081E" w:rsidRDefault="00000000">
            <w:pPr>
              <w:numPr>
                <w:ilvl w:val="0"/>
                <w:numId w:val="13"/>
              </w:numPr>
              <w:spacing w:line="240" w:lineRule="auto"/>
              <w:ind w:left="360"/>
              <w:jc w:val="both"/>
              <w:rPr>
                <w:rFonts w:ascii="Times New Roman" w:eastAsia="Times New Roman" w:hAnsi="Times New Roman" w:cs="Times New Roman"/>
              </w:rPr>
            </w:pPr>
            <w:r>
              <w:rPr>
                <w:rFonts w:ascii="Times New Roman" w:eastAsia="Times New Roman" w:hAnsi="Times New Roman" w:cs="Times New Roman"/>
                <w:b/>
                <w:bCs/>
              </w:rPr>
              <w:t xml:space="preserve">Necesitatea circumscrierii lit. c) la limitele Directivei 2002/14/CE </w:t>
            </w:r>
          </w:p>
          <w:p w14:paraId="0BA41F82"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Urmare a examinării atente a articolului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a Codului muncii, constatăm că limitele Directivei 2002/14/CE au fost depășite încă la transpunerea inițială a acesteia în Codul muncii, realizată în 2017.  </w:t>
            </w:r>
          </w:p>
          <w:p w14:paraId="32596484"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Art. 4 alin. (2) lit. b) și c) al Directivei prevede consultarea salariaților exclusiv cu privire la anumite probleme expres enumerate. Acestora le corespund cele prevăzute la literele b) și c) din alin. (2) al art.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al Codului muncii. Directiva nu prevede consultarea asupra aspectelor reglementate la lit. d) din alin. (2) al art.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Codul muncii. </w:t>
            </w:r>
          </w:p>
          <w:p w14:paraId="2A71EED3"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Prin urmare, includerea în alin. (7) lit. c) al art.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Codul muncii a referirii la litera d) a alin. (2) constituie o extindere neîntemeiată a sferei consultării, care depășește cadrul stabilit de Directivă. O asemenea soluție contravine principiului transpunerii corecte, care nu admite </w:t>
            </w:r>
            <w:proofErr w:type="spellStart"/>
            <w:r>
              <w:rPr>
                <w:rFonts w:ascii="Times New Roman" w:eastAsia="Times New Roman" w:hAnsi="Times New Roman" w:cs="Times New Roman"/>
              </w:rPr>
              <w:t>suprareglementarea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gold-plating</w:t>
            </w:r>
            <w:proofErr w:type="spellEnd"/>
            <w:r>
              <w:rPr>
                <w:rFonts w:ascii="Times New Roman" w:eastAsia="Times New Roman" w:hAnsi="Times New Roman" w:cs="Times New Roman"/>
              </w:rPr>
              <w:t xml:space="preserve">), adică introducerea unor obligații mai ample decât cele prevăzute de actul european. </w:t>
            </w:r>
          </w:p>
          <w:p w14:paraId="6FE3EA71"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consecință, lit. c) din alin. (7) trebuie revizuită astfel încât să fie aliniată strict la domeniul de aplicare al Directivei și să reflecte fidel limitele acesteia. </w:t>
            </w:r>
          </w:p>
          <w:p w14:paraId="15A5F06F" w14:textId="77777777" w:rsidR="0091081E" w:rsidRDefault="0091081E">
            <w:pPr>
              <w:spacing w:line="240" w:lineRule="auto"/>
              <w:jc w:val="both"/>
              <w:rPr>
                <w:rFonts w:ascii="Times New Roman" w:eastAsia="Times New Roman" w:hAnsi="Times New Roman" w:cs="Times New Roman"/>
              </w:rPr>
            </w:pPr>
          </w:p>
          <w:p w14:paraId="1A057DB6"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3. Transformarea consultării în mecanism de veto: interpretare eronată a Directivei 2002/14/CE, schimbarea naturii instituției și supra-reglementare cu efecte blocante </w:t>
            </w:r>
          </w:p>
          <w:p w14:paraId="5FB4691C"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Proiectul propune înlocuirea termenului „consens” cu „acord” și introduce expres cerința „obținerii unui acord”. Această abordare pornește de la o premisă greșită: că informarea și consultarea trebuie să se finalizeze obligatoriu prin încheierea unui acord formal între angajator și reprezentanții salariaților sau prin emiterea unui asemenea acord de către aceștia din urmă. </w:t>
            </w:r>
          </w:p>
          <w:p w14:paraId="273147A4"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acest sens, notăm că Directiva 2002/14 prevede un mecanism de informare și consultare - un drept participativ – și nu un mecanism de </w:t>
            </w:r>
            <w:proofErr w:type="spellStart"/>
            <w:r>
              <w:rPr>
                <w:rFonts w:ascii="Times New Roman" w:eastAsia="Times New Roman" w:hAnsi="Times New Roman" w:cs="Times New Roman"/>
              </w:rPr>
              <w:t>co</w:t>
            </w:r>
            <w:proofErr w:type="spellEnd"/>
            <w:r>
              <w:rPr>
                <w:rFonts w:ascii="Times New Roman" w:eastAsia="Times New Roman" w:hAnsi="Times New Roman" w:cs="Times New Roman"/>
              </w:rPr>
              <w:t xml:space="preserve">-decizie sau un drept de veto al reprezentanților salariaților asupra deciziilor angajatorului. Art. 2 lit.(f) și (g) al Directivei, definind noțiunile de ”informare” și ”consultare”, nu acordă acestora valențe decizionale (ca în cazul unui acord), ci doar de ”transmitere de date” și ”schimburi de păreri” – cu efecte de informare, și nu de condiționare. </w:t>
            </w:r>
          </w:p>
          <w:p w14:paraId="28962AB5"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În acest context, este relevant că art. 4 alin. (4) lit. (e) din Directiva 2002/14/CE, deși în versiunea română se referă la „obținerea unui acord”, în versiunea engleză folosește expresia „</w:t>
            </w:r>
            <w:proofErr w:type="spellStart"/>
            <w:r>
              <w:rPr>
                <w:rFonts w:ascii="Times New Roman" w:eastAsia="Times New Roman" w:hAnsi="Times New Roman" w:cs="Times New Roman"/>
                <w:i/>
                <w:iCs/>
              </w:rPr>
              <w:t>with</w:t>
            </w:r>
            <w:proofErr w:type="spellEnd"/>
            <w:r>
              <w:rPr>
                <w:rFonts w:ascii="Times New Roman" w:eastAsia="Times New Roman" w:hAnsi="Times New Roman" w:cs="Times New Roman"/>
                <w:i/>
                <w:iCs/>
              </w:rPr>
              <w:t xml:space="preserve"> a </w:t>
            </w:r>
            <w:proofErr w:type="spellStart"/>
            <w:r>
              <w:rPr>
                <w:rFonts w:ascii="Times New Roman" w:eastAsia="Times New Roman" w:hAnsi="Times New Roman" w:cs="Times New Roman"/>
                <w:i/>
                <w:iCs/>
              </w:rPr>
              <w:t>view</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to</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reaching</w:t>
            </w:r>
            <w:proofErr w:type="spellEnd"/>
            <w:r>
              <w:rPr>
                <w:rFonts w:ascii="Times New Roman" w:eastAsia="Times New Roman" w:hAnsi="Times New Roman" w:cs="Times New Roman"/>
                <w:i/>
                <w:iCs/>
              </w:rPr>
              <w:t xml:space="preserve"> an agreement</w:t>
            </w:r>
            <w:r>
              <w:rPr>
                <w:rFonts w:ascii="Times New Roman" w:eastAsia="Times New Roman" w:hAnsi="Times New Roman" w:cs="Times New Roman"/>
              </w:rPr>
              <w:t>” care reflectă mai clar finalitatea dialogului - tendința de a ajunge la un consens – fără a institui obligația de a obține un acord formal. În același spirit Directiva prevede că reprezentanții salariaților formulează „avize” („</w:t>
            </w:r>
            <w:proofErr w:type="spellStart"/>
            <w:r>
              <w:rPr>
                <w:rFonts w:ascii="Times New Roman" w:eastAsia="Times New Roman" w:hAnsi="Times New Roman" w:cs="Times New Roman"/>
              </w:rPr>
              <w:t>opinions</w:t>
            </w:r>
            <w:proofErr w:type="spellEnd"/>
            <w:r>
              <w:rPr>
                <w:rFonts w:ascii="Times New Roman" w:eastAsia="Times New Roman" w:hAnsi="Times New Roman" w:cs="Times New Roman"/>
              </w:rPr>
              <w:t xml:space="preserve">” în versiunea engleză). În lipsa unor dispoziții contrare în Directivă, aceste avize au un caracter consultativ, și nu obligatoriu, în raport cu angajatorul. </w:t>
            </w:r>
          </w:p>
          <w:p w14:paraId="23F12A36"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Din această perspectivă, menținerea noțiunii de „consens”</w:t>
            </w:r>
            <w:r>
              <w:rPr>
                <w:rFonts w:ascii="Times New Roman" w:eastAsia="Times New Roman" w:hAnsi="Times New Roman" w:cs="Times New Roman"/>
                <w:vertAlign w:val="superscript"/>
              </w:rPr>
              <w:footnoteReference w:id="2"/>
            </w:r>
            <w:r>
              <w:rPr>
                <w:rFonts w:ascii="Times New Roman" w:eastAsia="Times New Roman" w:hAnsi="Times New Roman" w:cs="Times New Roman"/>
              </w:rPr>
              <w:t xml:space="preserve"> în art.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alin. (7) și eliminarea completării propuse la partea generală a alineatului ar fi mai conforme cu logica și limitele Directivei. </w:t>
            </w:r>
          </w:p>
          <w:p w14:paraId="75ED25E4"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25D39896"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Din perspectiva metodologiei naționale de armonizare și a expertizei de compatibilitate</w:t>
            </w:r>
            <w:r>
              <w:rPr>
                <w:rFonts w:ascii="Times New Roman" w:eastAsia="Times New Roman" w:hAnsi="Times New Roman" w:cs="Times New Roman"/>
                <w:vertAlign w:val="superscript"/>
              </w:rPr>
              <w:footnoteReference w:id="3"/>
            </w:r>
            <w:r>
              <w:rPr>
                <w:rFonts w:ascii="Times New Roman" w:eastAsia="Times New Roman" w:hAnsi="Times New Roman" w:cs="Times New Roman"/>
              </w:rPr>
              <w:t xml:space="preserve"> abordarea Proiectului constituie un caz de supra-reglementare (</w:t>
            </w:r>
            <w:proofErr w:type="spellStart"/>
            <w:r>
              <w:rPr>
                <w:rFonts w:ascii="Times New Roman" w:eastAsia="Times New Roman" w:hAnsi="Times New Roman" w:cs="Times New Roman"/>
              </w:rPr>
              <w:t>gold-plating</w:t>
            </w:r>
            <w:proofErr w:type="spellEnd"/>
            <w:r>
              <w:rPr>
                <w:rFonts w:ascii="Times New Roman" w:eastAsia="Times New Roman" w:hAnsi="Times New Roman" w:cs="Times New Roman"/>
              </w:rPr>
              <w:t>) și de transpunere defectuoasă</w:t>
            </w:r>
            <w:r>
              <w:rPr>
                <w:rFonts w:ascii="Times New Roman" w:eastAsia="Times New Roman" w:hAnsi="Times New Roman" w:cs="Times New Roman"/>
                <w:vertAlign w:val="superscript"/>
              </w:rPr>
              <w:footnoteReference w:id="4"/>
            </w:r>
            <w:r>
              <w:rPr>
                <w:rFonts w:ascii="Times New Roman" w:eastAsia="Times New Roman" w:hAnsi="Times New Roman" w:cs="Times New Roman"/>
              </w:rPr>
              <w:t>. Proiectul introduce condiții mai stricte și efecte juridice mai intense decât cele impuse de actul Uniunii Europene, cu impact disproporționat asupra angajatorilor.</w:t>
            </w:r>
          </w:p>
          <w:p w14:paraId="4191769A"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esență, prin impunerea „obținerii acordului”, Proiectul modifică natura instituției consultării. </w:t>
            </w:r>
            <w:r>
              <w:rPr>
                <w:rFonts w:ascii="Times New Roman" w:eastAsia="Times New Roman" w:hAnsi="Times New Roman" w:cs="Times New Roman"/>
                <w:b/>
                <w:bCs/>
              </w:rPr>
              <w:t>Directiva</w:t>
            </w:r>
            <w:r>
              <w:rPr>
                <w:rFonts w:ascii="Times New Roman" w:eastAsia="Times New Roman" w:hAnsi="Times New Roman" w:cs="Times New Roman"/>
              </w:rPr>
              <w:t xml:space="preserve"> consacră o </w:t>
            </w:r>
            <w:r>
              <w:rPr>
                <w:rFonts w:ascii="Times New Roman" w:eastAsia="Times New Roman" w:hAnsi="Times New Roman" w:cs="Times New Roman"/>
                <w:b/>
                <w:bCs/>
              </w:rPr>
              <w:t>obligație</w:t>
            </w:r>
            <w:r>
              <w:rPr>
                <w:rFonts w:ascii="Times New Roman" w:eastAsia="Times New Roman" w:hAnsi="Times New Roman" w:cs="Times New Roman"/>
              </w:rPr>
              <w:t xml:space="preserve"> </w:t>
            </w:r>
            <w:r>
              <w:rPr>
                <w:rFonts w:ascii="Times New Roman" w:eastAsia="Times New Roman" w:hAnsi="Times New Roman" w:cs="Times New Roman"/>
                <w:b/>
                <w:bCs/>
              </w:rPr>
              <w:t>de mijloace</w:t>
            </w:r>
            <w:r>
              <w:rPr>
                <w:rFonts w:ascii="Times New Roman" w:eastAsia="Times New Roman" w:hAnsi="Times New Roman" w:cs="Times New Roman"/>
              </w:rPr>
              <w:t xml:space="preserve">: organizarea consultării la moment util, în condiții care permit un dialog real și formularea unei opinii. Punând accentul pe finalizarea procedurii cu un acord, </w:t>
            </w:r>
            <w:r>
              <w:rPr>
                <w:rFonts w:ascii="Times New Roman" w:eastAsia="Times New Roman" w:hAnsi="Times New Roman" w:cs="Times New Roman"/>
                <w:b/>
                <w:bCs/>
              </w:rPr>
              <w:t>Proiectul</w:t>
            </w:r>
            <w:r>
              <w:rPr>
                <w:rFonts w:ascii="Times New Roman" w:eastAsia="Times New Roman" w:hAnsi="Times New Roman" w:cs="Times New Roman"/>
              </w:rPr>
              <w:t xml:space="preserve"> transformă această obligație într-o </w:t>
            </w:r>
            <w:r>
              <w:rPr>
                <w:rFonts w:ascii="Times New Roman" w:eastAsia="Times New Roman" w:hAnsi="Times New Roman" w:cs="Times New Roman"/>
                <w:b/>
                <w:bCs/>
              </w:rPr>
              <w:t>obligație de rezultat</w:t>
            </w:r>
            <w:r>
              <w:rPr>
                <w:rFonts w:ascii="Times New Roman" w:eastAsia="Times New Roman" w:hAnsi="Times New Roman" w:cs="Times New Roman"/>
              </w:rPr>
              <w:t xml:space="preserve"> (fără un acord la final, consultarea nu este valabilă). Consecința implicită este transformarea consultării într-un </w:t>
            </w:r>
            <w:r>
              <w:rPr>
                <w:rFonts w:ascii="Times New Roman" w:eastAsia="Times New Roman" w:hAnsi="Times New Roman" w:cs="Times New Roman"/>
                <w:b/>
                <w:bCs/>
              </w:rPr>
              <w:t>mecanism de blocaj</w:t>
            </w:r>
            <w:r>
              <w:rPr>
                <w:rFonts w:ascii="Times New Roman" w:eastAsia="Times New Roman" w:hAnsi="Times New Roman" w:cs="Times New Roman"/>
              </w:rPr>
              <w:t xml:space="preserve">. Se creează premisa recunoașterii unui drept de veto al reprezentanților salariaților asupra unora dintre cele mai importante și de anvergură decizii de gestiune și administrare ale angajatorului, în domenii esențiale ce țin de interesele economice, comerciale și concurențiale ale întreprinderii și de responsabilitatea acesteia de a-și asigura continuitatea activității5. Această abordare depășește cadrul Directivei, care nu condiționează adoptarea deciziilor angajatorului de aprobarea lor de către salariați, ci doar consultarea efectivă a acestora. </w:t>
            </w:r>
          </w:p>
          <w:p w14:paraId="047FD00F"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plan practic, această reglementare (care este și o supra-reglementare în raport cu Directiva) va avea efecte semnificative și nocive pentru activitatea administrativă și economică a angajatorilor: </w:t>
            </w:r>
          </w:p>
          <w:p w14:paraId="365D8852" w14:textId="77777777" w:rsidR="0091081E" w:rsidRDefault="00000000">
            <w:pPr>
              <w:numPr>
                <w:ilvl w:val="0"/>
                <w:numId w:val="5"/>
              </w:numPr>
              <w:spacing w:line="240" w:lineRule="auto"/>
              <w:jc w:val="both"/>
              <w:rPr>
                <w:rFonts w:ascii="Georgia" w:eastAsia="Georgia" w:hAnsi="Georgia" w:cs="Georgia"/>
                <w:b/>
                <w:bCs/>
              </w:rPr>
            </w:pPr>
            <w:r>
              <w:rPr>
                <w:rFonts w:ascii="Times New Roman" w:eastAsia="Times New Roman" w:hAnsi="Times New Roman" w:cs="Times New Roman"/>
                <w:b/>
                <w:bCs/>
              </w:rPr>
              <w:t xml:space="preserve">Risc de blocaje decizionale, temporare sau permanente, în lipsa acordului reprezentanților salariaților. </w:t>
            </w:r>
            <w:r>
              <w:rPr>
                <w:rFonts w:ascii="Times New Roman" w:eastAsia="Times New Roman" w:hAnsi="Times New Roman" w:cs="Times New Roman"/>
                <w:u w:val="single"/>
              </w:rPr>
              <w:t>În contextul</w:t>
            </w:r>
            <w:r>
              <w:rPr>
                <w:rFonts w:ascii="Times New Roman" w:eastAsia="Times New Roman" w:hAnsi="Times New Roman" w:cs="Times New Roman"/>
                <w:b/>
                <w:bCs/>
                <w:u w:val="single"/>
              </w:rPr>
              <w:t xml:space="preserve"> </w:t>
            </w:r>
            <w:r>
              <w:rPr>
                <w:rFonts w:ascii="Times New Roman" w:eastAsia="Times New Roman" w:hAnsi="Times New Roman" w:cs="Times New Roman"/>
                <w:u w:val="single"/>
              </w:rPr>
              <w:t>național, unde existența reprezentanților salariaților depinde exclusiv de inițiativa acestora și poate lipsi în numeroase unități, condiționarea deciziilor</w:t>
            </w:r>
            <w:r>
              <w:rPr>
                <w:rFonts w:ascii="Times New Roman" w:eastAsia="Times New Roman" w:hAnsi="Times New Roman" w:cs="Times New Roman"/>
              </w:rPr>
              <w:t xml:space="preserve"> de „obținerea unui acord” poate conduce la </w:t>
            </w:r>
            <w:r>
              <w:rPr>
                <w:rFonts w:ascii="Times New Roman" w:eastAsia="Times New Roman" w:hAnsi="Times New Roman" w:cs="Times New Roman"/>
                <w:u w:val="single"/>
              </w:rPr>
              <w:t>imposibilitatea adoptării unor măsuri</w:t>
            </w:r>
            <w:r>
              <w:rPr>
                <w:rFonts w:ascii="Times New Roman" w:eastAsia="Times New Roman" w:hAnsi="Times New Roman" w:cs="Times New Roman"/>
              </w:rPr>
              <w:t xml:space="preserve"> legitime de </w:t>
            </w:r>
            <w:r>
              <w:rPr>
                <w:rFonts w:ascii="Times New Roman" w:eastAsia="Times New Roman" w:hAnsi="Times New Roman" w:cs="Times New Roman"/>
                <w:u w:val="single"/>
              </w:rPr>
              <w:t>organizare sau restructurare</w:t>
            </w:r>
            <w:r>
              <w:rPr>
                <w:rFonts w:ascii="Times New Roman" w:eastAsia="Times New Roman" w:hAnsi="Times New Roman" w:cs="Times New Roman"/>
              </w:rPr>
              <w:t xml:space="preserve">, ori la adoptarea lor </w:t>
            </w:r>
            <w:r>
              <w:rPr>
                <w:rFonts w:ascii="Times New Roman" w:eastAsia="Times New Roman" w:hAnsi="Times New Roman" w:cs="Times New Roman"/>
                <w:u w:val="single"/>
              </w:rPr>
              <w:t>cu întârzieri incompatibile cu dinamica economică</w:t>
            </w:r>
            <w:r>
              <w:rPr>
                <w:rFonts w:ascii="Times New Roman" w:eastAsia="Times New Roman" w:hAnsi="Times New Roman" w:cs="Times New Roman"/>
              </w:rPr>
              <w:t xml:space="preserve"> </w:t>
            </w:r>
            <w:r>
              <w:rPr>
                <w:rFonts w:ascii="Times New Roman" w:eastAsia="Times New Roman" w:hAnsi="Times New Roman" w:cs="Times New Roman"/>
                <w:i/>
                <w:iCs/>
              </w:rPr>
              <w:t>(pentru mai multe detalii, a se vedea comentariul la alin. (7</w:t>
            </w:r>
            <w:r>
              <w:rPr>
                <w:rFonts w:ascii="Times New Roman" w:eastAsia="Times New Roman" w:hAnsi="Times New Roman" w:cs="Times New Roman"/>
                <w:i/>
                <w:iCs/>
                <w:vertAlign w:val="superscript"/>
              </w:rPr>
              <w:t>1</w:t>
            </w:r>
            <w:r>
              <w:rPr>
                <w:rFonts w:ascii="Times New Roman" w:eastAsia="Times New Roman" w:hAnsi="Times New Roman" w:cs="Times New Roman"/>
                <w:i/>
                <w:iCs/>
              </w:rPr>
              <w:t>) din art. 42</w:t>
            </w:r>
            <w:r>
              <w:rPr>
                <w:rFonts w:ascii="Times New Roman" w:eastAsia="Times New Roman" w:hAnsi="Times New Roman" w:cs="Times New Roman"/>
                <w:i/>
                <w:iCs/>
                <w:vertAlign w:val="superscript"/>
              </w:rPr>
              <w:t>1</w:t>
            </w:r>
            <w:r>
              <w:rPr>
                <w:rFonts w:ascii="Times New Roman" w:eastAsia="Times New Roman" w:hAnsi="Times New Roman" w:cs="Times New Roman"/>
                <w:i/>
                <w:iCs/>
              </w:rPr>
              <w:t xml:space="preserve"> CM Proiect); </w:t>
            </w:r>
          </w:p>
          <w:p w14:paraId="3D438675" w14:textId="77777777" w:rsidR="0091081E" w:rsidRDefault="00000000">
            <w:pPr>
              <w:numPr>
                <w:ilvl w:val="0"/>
                <w:numId w:val="5"/>
              </w:numPr>
              <w:spacing w:line="240" w:lineRule="auto"/>
              <w:jc w:val="both"/>
              <w:rPr>
                <w:rFonts w:ascii="Georgia" w:eastAsia="Georgia" w:hAnsi="Georgia" w:cs="Georgia"/>
                <w:b/>
                <w:bCs/>
              </w:rPr>
            </w:pPr>
            <w:r>
              <w:rPr>
                <w:rFonts w:ascii="Times New Roman" w:eastAsia="Times New Roman" w:hAnsi="Times New Roman" w:cs="Times New Roman"/>
                <w:b/>
                <w:bCs/>
              </w:rPr>
              <w:t xml:space="preserve">Creșterea riscurilor de litigii </w:t>
            </w:r>
            <w:r>
              <w:rPr>
                <w:rFonts w:ascii="Times New Roman" w:eastAsia="Times New Roman" w:hAnsi="Times New Roman" w:cs="Times New Roman"/>
              </w:rPr>
              <w:t>cu angajații (dispute privind finalizarea consultărilor, existența sau forma „acordului” pentru implementarea deciziilor);</w:t>
            </w:r>
          </w:p>
          <w:p w14:paraId="628A1A15" w14:textId="77777777" w:rsidR="0091081E" w:rsidRDefault="00000000">
            <w:pPr>
              <w:numPr>
                <w:ilvl w:val="0"/>
                <w:numId w:val="5"/>
              </w:numPr>
              <w:spacing w:line="240" w:lineRule="auto"/>
              <w:jc w:val="both"/>
              <w:rPr>
                <w:rFonts w:ascii="Georgia" w:eastAsia="Georgia" w:hAnsi="Georgia" w:cs="Georgia"/>
                <w:b/>
                <w:bCs/>
              </w:rPr>
            </w:pPr>
            <w:r>
              <w:rPr>
                <w:rFonts w:ascii="Times New Roman" w:eastAsia="Times New Roman" w:hAnsi="Times New Roman" w:cs="Times New Roman"/>
                <w:b/>
                <w:bCs/>
              </w:rPr>
              <w:t xml:space="preserve">Risc de utilizare abuzivă a instituției consultării, </w:t>
            </w:r>
            <w:r>
              <w:rPr>
                <w:rFonts w:ascii="Times New Roman" w:eastAsia="Times New Roman" w:hAnsi="Times New Roman" w:cs="Times New Roman"/>
              </w:rPr>
              <w:t>inclusiv de către concurenții angajatorului (acționând prin angajați ai întreprinderii). De exemplu, implementarea unor tehnologii noi sau introducerea unor echipamente de lucru moderne (procese menționate în art.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alin. (2) lit. d) Codul muncii) ar putea fi blocată invocând neconsultarea sau nefinalizarea consultării reprezentanților salariaților pe această problemă, în temeiul alin. (7) alin. c) și alin. (7</w:t>
            </w:r>
            <w:r>
              <w:rPr>
                <w:rFonts w:ascii="Times New Roman" w:eastAsia="Times New Roman" w:hAnsi="Times New Roman" w:cs="Times New Roman"/>
                <w:vertAlign w:val="superscript"/>
              </w:rPr>
              <w:t>1</w:t>
            </w:r>
            <w:r>
              <w:rPr>
                <w:rFonts w:ascii="Times New Roman" w:eastAsia="Times New Roman" w:hAnsi="Times New Roman" w:cs="Times New Roman"/>
              </w:rPr>
              <w:t>) al art.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CM Proiect. </w:t>
            </w:r>
          </w:p>
          <w:p w14:paraId="671780D3"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Pe termen mediu și lung, aceste incertitudini privind validitatea deciziilor de management pot afecta semnificativ mediul de afaceri și climatul investițional. </w:t>
            </w:r>
          </w:p>
          <w:p w14:paraId="0BB61FC2"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Reieșind din faptul că Directiva 2002/14/CE are ca obiect activitatea de informare și consultare a lucrătorilor, definite de prevederile art. 2 lit. (f) și (g), prevederile care ar impune obținerea unor acorduri ale reprezentanților salariaților cu privire la competențele angajatorului prevăzute la alin.(2) al art.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al Codului muncii sunt contrare obiectivului Directivei, art. 126 alin.(2) al Constituției – care stabilește principii protective pentru libertatea activității de întreprinzător, dar și actelor normative care reglementează activitatea de întreprinzător, în special în ceea ce privește libertatea și independența în luarea deciziilor cu privire la gestionarea afacerii (art. 6 al Legii cu privire la </w:t>
            </w:r>
            <w:proofErr w:type="spellStart"/>
            <w:r>
              <w:rPr>
                <w:rFonts w:ascii="Times New Roman" w:eastAsia="Times New Roman" w:hAnsi="Times New Roman" w:cs="Times New Roman"/>
              </w:rPr>
              <w:t>antreprenoriat</w:t>
            </w:r>
            <w:proofErr w:type="spellEnd"/>
            <w:r>
              <w:rPr>
                <w:rFonts w:ascii="Times New Roman" w:eastAsia="Times New Roman" w:hAnsi="Times New Roman" w:cs="Times New Roman"/>
              </w:rPr>
              <w:t xml:space="preserve"> și întreprinderi, nr. 845 din 03.01.1992). </w:t>
            </w:r>
          </w:p>
          <w:p w14:paraId="64ED07AD"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acest context, impunerea obligației obținerii unui acord, din partea reprezentanților salariaților, care nu sunt subiecții îndreptățiți cu competențe de a condiționa și influența deciziile angajatorului, este o ingerință nepermisă în capacitatea de decizie a angajatorului. </w:t>
            </w:r>
          </w:p>
          <w:p w14:paraId="744C6C82"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De fapt, prin respectiva propunere de completare a Articolului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se instituie un instrument de „ veto” inadmisibil asupra deciziilor luate de angajator, contrar principiilor de egalitate ce ar trebui să caracterizeze relațiile parteneriatului social și de independență pe care statul o garantează antreprenorilor. </w:t>
            </w:r>
          </w:p>
          <w:p w14:paraId="32EBB050" w14:textId="77777777" w:rsidR="0091081E" w:rsidRDefault="0091081E">
            <w:pPr>
              <w:spacing w:line="240" w:lineRule="auto"/>
              <w:ind w:firstLine="567"/>
              <w:jc w:val="both"/>
              <w:rPr>
                <w:rFonts w:ascii="Times New Roman" w:eastAsia="Times New Roman" w:hAnsi="Times New Roman" w:cs="Times New Roman"/>
              </w:rPr>
            </w:pPr>
          </w:p>
          <w:p w14:paraId="16D7B4EC"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Coerență terminologică – sintagma „inclusiv organismelor publice”, proiectul introduce terminologie redundantă și lipsită de bază legală: </w:t>
            </w:r>
          </w:p>
          <w:p w14:paraId="6C447CA0" w14:textId="77777777" w:rsidR="0091081E" w:rsidRDefault="00000000">
            <w:pPr>
              <w:numPr>
                <w:ilvl w:val="0"/>
                <w:numId w:val="12"/>
              </w:num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expresia se suprapune cu „sectorul public” </w:t>
            </w:r>
          </w:p>
          <w:p w14:paraId="1A6DFD7D" w14:textId="77777777" w:rsidR="0091081E" w:rsidRDefault="00000000">
            <w:pPr>
              <w:numPr>
                <w:ilvl w:val="0"/>
                <w:numId w:val="12"/>
              </w:num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creează incoerență și ambiguitate în interpretare </w:t>
            </w:r>
          </w:p>
          <w:p w14:paraId="08A26587" w14:textId="77777777" w:rsidR="0091081E" w:rsidRDefault="00000000">
            <w:pPr>
              <w:numPr>
                <w:ilvl w:val="0"/>
                <w:numId w:val="12"/>
              </w:num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nu există justificare pentru extinderea enumerării. </w:t>
            </w:r>
          </w:p>
        </w:tc>
        <w:tc>
          <w:tcPr>
            <w:tcW w:w="5880" w:type="dxa"/>
          </w:tcPr>
          <w:p w14:paraId="591D9999"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bl>
            <w:tblPr>
              <w:tblStyle w:val="a0"/>
              <w:tblW w:w="5685" w:type="dxa"/>
              <w:tblInd w:w="0" w:type="dxa"/>
              <w:tblLayout w:type="fixed"/>
              <w:tblLook w:val="0600" w:firstRow="0" w:lastRow="0" w:firstColumn="0" w:lastColumn="0" w:noHBand="1" w:noVBand="1"/>
            </w:tblPr>
            <w:tblGrid>
              <w:gridCol w:w="5685"/>
            </w:tblGrid>
            <w:tr w:rsidR="0091081E" w14:paraId="6A73812D" w14:textId="77777777">
              <w:trPr>
                <w:trHeight w:val="1440"/>
              </w:trPr>
              <w:tc>
                <w:tcPr>
                  <w:tcW w:w="5685" w:type="dxa"/>
                  <w:tcMar>
                    <w:top w:w="0" w:type="dxa"/>
                    <w:left w:w="180" w:type="dxa"/>
                    <w:bottom w:w="0" w:type="dxa"/>
                    <w:right w:w="180" w:type="dxa"/>
                  </w:tcMar>
                </w:tcPr>
                <w:p w14:paraId="5F9A6D34" w14:textId="77777777" w:rsidR="0091081E" w:rsidRDefault="00000000">
                  <w:pPr>
                    <w:framePr w:hSpace="180" w:wrap="around" w:vAnchor="text" w:hAnchor="text"/>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parțial. </w:t>
                  </w:r>
                </w:p>
                <w:p w14:paraId="425C4FF0" w14:textId="77777777" w:rsidR="0091081E" w:rsidRDefault="00000000">
                  <w:pPr>
                    <w:framePr w:hSpace="180" w:wrap="around" w:vAnchor="text" w:hAnchor="text"/>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Menționăm că, procedura consultării este obligatorie ca o procedură pre-decizională. Angajatorul fiind obligat să o parcurgă, dar nu și să accepte propunerile salariaților. </w:t>
                  </w:r>
                </w:p>
              </w:tc>
            </w:tr>
          </w:tbl>
          <w:p w14:paraId="6C2F9720"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 alin. (4) lit. (e) din directivă prevede desfășurarea consultării „în vederea ajungerii la un acord”, ceea ce confirmă că acordul este o finalitate legitimă a dialogului, nu un element străin mecanismului. Diferența dintre „a urmări un acord” și „a obține un acord” ține de formulare legislativă și de opțiunea statului, nu de o interdicție impusă de directivă</w:t>
            </w:r>
          </w:p>
          <w:p w14:paraId="78C5A986"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 xml:space="preserve">Astfel, </w:t>
            </w:r>
            <w:r>
              <w:rPr>
                <w:rFonts w:ascii="Times New Roman" w:eastAsia="Times New Roman" w:hAnsi="Times New Roman" w:cs="Times New Roman"/>
                <w:highlight w:val="white"/>
              </w:rPr>
              <w:t>Articolul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alin. (7) lit. c va fi expus în următoarea redacție (7) „Consultarea are loc: </w:t>
            </w:r>
          </w:p>
          <w:p w14:paraId="5205601B" w14:textId="77777777" w:rsidR="0091081E" w:rsidRDefault="00000000">
            <w:pPr>
              <w:shd w:val="clear" w:color="auto" w:fill="FFFFFF"/>
              <w:ind w:firstLine="68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 în vederea obținerii unui </w:t>
            </w:r>
            <w:r>
              <w:rPr>
                <w:rFonts w:ascii="Times New Roman" w:eastAsia="Times New Roman" w:hAnsi="Times New Roman" w:cs="Times New Roman"/>
                <w:b/>
                <w:bCs/>
                <w:highlight w:val="white"/>
              </w:rPr>
              <w:t>acord</w:t>
            </w:r>
            <w:r>
              <w:rPr>
                <w:rFonts w:ascii="Times New Roman" w:eastAsia="Times New Roman" w:hAnsi="Times New Roman" w:cs="Times New Roman"/>
                <w:highlight w:val="white"/>
              </w:rPr>
              <w:t xml:space="preserve"> privind subiectele menționate la alin. (2) lit. b)–d) care țin de competențele angajatorului.”</w:t>
            </w:r>
          </w:p>
          <w:p w14:paraId="3344D156" w14:textId="77777777" w:rsidR="0091081E"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reține că observația formulată vizează posibila interpretare extensivă a noțiunii de „acord”, însă se impune precizarea că alinierea terminologică este necesară pentru asigurarea conformității cu Directiva 2002/14/CE, care utilizează expres conceptul de consultare „în vederea ajungerii la un acord”, fără a conferi reprezentanților salariaților un drept de veto asupra deciziei angajatorului.</w:t>
            </w:r>
          </w:p>
          <w:p w14:paraId="721FAECD" w14:textId="77777777" w:rsidR="0091081E"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se constată că în redacția anterioară a fost utilizat termenul „consens”, care, deși apropiat ca sens de noțiunea de „acord”, nu este consacrat de directivă și poate genera incertitudini interpretative suplimentare. În acest context, substituirea termenului respectiv urmărește uniformizarea terminologiei cu cea europeană, fără a modifica natura juridică a procedurii de consultare, care rămâne una consultativă.</w:t>
            </w:r>
          </w:p>
          <w:p w14:paraId="4481D127" w14:textId="77777777" w:rsidR="0091081E" w:rsidRDefault="00000000">
            <w:pPr>
              <w:shd w:val="clear" w:color="auto" w:fill="FFFFFF"/>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Prin urmare, se acceptă parțial obiecția, iar art. 42¹ alin. (7) lit. c) din Codul muncii al Republicii Moldova va avea următoarea redactare: </w:t>
            </w:r>
          </w:p>
          <w:p w14:paraId="4341A78D" w14:textId="77777777" w:rsidR="0091081E" w:rsidRDefault="0091081E">
            <w:pPr>
              <w:shd w:val="clear" w:color="auto" w:fill="FFFFFF"/>
              <w:jc w:val="both"/>
              <w:rPr>
                <w:rFonts w:ascii="Times New Roman" w:eastAsia="Times New Roman" w:hAnsi="Times New Roman" w:cs="Times New Roman"/>
                <w:b/>
                <w:bCs/>
                <w:highlight w:val="white"/>
              </w:rPr>
            </w:pPr>
          </w:p>
          <w:p w14:paraId="48C592A8" w14:textId="77777777" w:rsidR="0091081E"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alin. (7) lit. c va fi expus în următoarea redacție (7) „Consultarea are loc: </w:t>
            </w:r>
          </w:p>
          <w:p w14:paraId="5E9806FA" w14:textId="77777777" w:rsidR="0091081E" w:rsidRDefault="00000000">
            <w:pPr>
              <w:shd w:val="clear" w:color="auto" w:fill="FFFFFF"/>
              <w:ind w:firstLine="680"/>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c) în vederea obținerii unui </w:t>
            </w:r>
            <w:r>
              <w:rPr>
                <w:rFonts w:ascii="Times New Roman" w:eastAsia="Times New Roman" w:hAnsi="Times New Roman" w:cs="Times New Roman"/>
                <w:b/>
                <w:bCs/>
                <w:highlight w:val="white"/>
              </w:rPr>
              <w:t>acord</w:t>
            </w:r>
            <w:r>
              <w:rPr>
                <w:rFonts w:ascii="Times New Roman" w:eastAsia="Times New Roman" w:hAnsi="Times New Roman" w:cs="Times New Roman"/>
                <w:highlight w:val="white"/>
              </w:rPr>
              <w:t xml:space="preserve"> privind subiectele menționate la alin. (2) lit. b)–d) care țin de competențele angajatorului.”</w:t>
            </w:r>
          </w:p>
          <w:p w14:paraId="09509DC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4C0D565"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4C76D3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11B4C10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E5ED7C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789C9A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C0936D9"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088A0B5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32E28AE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37F6DE5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14BD5C9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3F95FFA5"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87D4144"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83DD63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75020BF"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80529B5"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91DFB5D"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E410D3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50A5603B"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369A28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368C1E5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38756DB0"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0BFDD09B"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33891B8"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4C3AF74A"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0D2DBB9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E830E77"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74CEA6F2"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36E78933"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B8749F5"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402D3371"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11B3E35"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2D2E4E06"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p w14:paraId="6473FCB1" w14:textId="77777777" w:rsidR="0091081E" w:rsidRDefault="0091081E">
            <w:pPr>
              <w:spacing w:line="240" w:lineRule="auto"/>
              <w:ind w:firstLine="20"/>
              <w:jc w:val="both"/>
              <w:rPr>
                <w:rFonts w:ascii="Times New Roman" w:eastAsia="Times New Roman" w:hAnsi="Times New Roman" w:cs="Times New Roman"/>
                <w:highlight w:val="white"/>
              </w:rPr>
            </w:pPr>
          </w:p>
        </w:tc>
      </w:tr>
      <w:tr w:rsidR="0091081E" w14:paraId="70CD04AC" w14:textId="77777777">
        <w:trPr>
          <w:trHeight w:val="600"/>
        </w:trPr>
        <w:tc>
          <w:tcPr>
            <w:tcW w:w="555" w:type="dxa"/>
            <w:vMerge/>
          </w:tcPr>
          <w:p w14:paraId="56FEB8C1" w14:textId="77777777" w:rsidR="0091081E" w:rsidRDefault="0091081E">
            <w:pPr>
              <w:widowControl w:val="0"/>
              <w:rPr>
                <w:rFonts w:ascii="Times New Roman" w:eastAsia="Times New Roman" w:hAnsi="Times New Roman" w:cs="Times New Roman"/>
                <w:highlight w:val="white"/>
              </w:rPr>
            </w:pPr>
          </w:p>
        </w:tc>
        <w:tc>
          <w:tcPr>
            <w:tcW w:w="2700" w:type="dxa"/>
            <w:vMerge/>
          </w:tcPr>
          <w:p w14:paraId="0502AD2B" w14:textId="77777777" w:rsidR="0091081E" w:rsidRDefault="0091081E">
            <w:pPr>
              <w:widowControl w:val="0"/>
              <w:rPr>
                <w:rFonts w:ascii="Times New Roman" w:eastAsia="Times New Roman" w:hAnsi="Times New Roman" w:cs="Times New Roman"/>
                <w:highlight w:val="white"/>
              </w:rPr>
            </w:pPr>
          </w:p>
        </w:tc>
        <w:tc>
          <w:tcPr>
            <w:tcW w:w="5880" w:type="dxa"/>
          </w:tcPr>
          <w:p w14:paraId="52B9F10F" w14:textId="77777777" w:rsidR="0091081E"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Articolul 42</w:t>
            </w:r>
            <w:r>
              <w:rPr>
                <w:rFonts w:ascii="Times New Roman" w:eastAsia="Times New Roman" w:hAnsi="Times New Roman" w:cs="Times New Roman"/>
                <w:b/>
                <w:bCs/>
                <w:highlight w:val="white"/>
                <w:vertAlign w:val="superscript"/>
              </w:rPr>
              <w:t>1</w:t>
            </w:r>
            <w:r>
              <w:rPr>
                <w:rFonts w:ascii="Times New Roman" w:eastAsia="Times New Roman" w:hAnsi="Times New Roman" w:cs="Times New Roman"/>
                <w:b/>
                <w:bCs/>
                <w:highlight w:val="white"/>
              </w:rPr>
              <w:t xml:space="preserve"> alin. (7</w:t>
            </w:r>
            <w:r>
              <w:rPr>
                <w:rFonts w:ascii="Times New Roman" w:eastAsia="Times New Roman" w:hAnsi="Times New Roman" w:cs="Times New Roman"/>
                <w:b/>
                <w:bCs/>
                <w:highlight w:val="white"/>
                <w:vertAlign w:val="superscript"/>
              </w:rPr>
              <w:t>1</w:t>
            </w:r>
            <w:r>
              <w:rPr>
                <w:rFonts w:ascii="Times New Roman" w:eastAsia="Times New Roman" w:hAnsi="Times New Roman" w:cs="Times New Roman"/>
                <w:b/>
                <w:bCs/>
                <w:highlight w:val="white"/>
              </w:rPr>
              <w:t xml:space="preserve">) </w:t>
            </w:r>
          </w:p>
          <w:p w14:paraId="4261AD42" w14:textId="77777777" w:rsidR="0091081E" w:rsidRDefault="00000000">
            <w:pPr>
              <w:spacing w:line="240" w:lineRule="auto"/>
              <w:ind w:firstLine="284"/>
              <w:jc w:val="both"/>
              <w:rPr>
                <w:rFonts w:ascii="Times New Roman" w:eastAsia="Times New Roman" w:hAnsi="Times New Roman" w:cs="Times New Roman"/>
                <w:b/>
                <w:bCs/>
                <w:i/>
                <w:iCs/>
                <w:highlight w:val="white"/>
              </w:rPr>
            </w:pPr>
            <w:r>
              <w:rPr>
                <w:rFonts w:ascii="Times New Roman" w:eastAsia="Times New Roman" w:hAnsi="Times New Roman" w:cs="Times New Roman"/>
                <w:b/>
                <w:bCs/>
                <w:i/>
                <w:iCs/>
                <w:highlight w:val="white"/>
              </w:rPr>
              <w:t>Propunere de redactare:</w:t>
            </w:r>
          </w:p>
          <w:p w14:paraId="38408A87"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Eliminare totală: </w:t>
            </w:r>
          </w:p>
          <w:p w14:paraId="1F0F36CF" w14:textId="77777777" w:rsidR="0091081E" w:rsidRDefault="00000000">
            <w:pPr>
              <w:spacing w:line="240" w:lineRule="auto"/>
              <w:ind w:firstLine="284"/>
              <w:jc w:val="both"/>
              <w:rPr>
                <w:rFonts w:ascii="Times New Roman" w:eastAsia="Times New Roman" w:hAnsi="Times New Roman" w:cs="Times New Roman"/>
                <w:b/>
                <w:bCs/>
                <w:strike/>
                <w:highlight w:val="white"/>
              </w:rPr>
            </w:pPr>
            <w:r>
              <w:rPr>
                <w:rFonts w:ascii="Times New Roman" w:eastAsia="Times New Roman" w:hAnsi="Times New Roman" w:cs="Times New Roman"/>
                <w:strike/>
              </w:rPr>
              <w:t xml:space="preserve">(7¹) Decizia angajatorului privind măsurile care fac obiectul informării și consultării prevăzute de prezentul articol adoptată fără informarea și consultarea reprezentanților salariaților sau până la finalizarea procedurii de informare și consultare a reprezentanților salariaților este nulă. </w:t>
            </w:r>
          </w:p>
          <w:p w14:paraId="25B66DE8" w14:textId="77777777" w:rsidR="0091081E" w:rsidRDefault="00000000">
            <w:pPr>
              <w:spacing w:line="240" w:lineRule="auto"/>
              <w:ind w:firstLine="284"/>
              <w:jc w:val="both"/>
              <w:rPr>
                <w:rFonts w:ascii="Times New Roman" w:eastAsia="Times New Roman" w:hAnsi="Times New Roman" w:cs="Times New Roman"/>
                <w:b/>
                <w:bCs/>
                <w:i/>
                <w:iCs/>
                <w:highlight w:val="white"/>
              </w:rPr>
            </w:pPr>
            <w:r>
              <w:rPr>
                <w:rFonts w:ascii="Times New Roman" w:eastAsia="Times New Roman" w:hAnsi="Times New Roman" w:cs="Times New Roman"/>
                <w:b/>
                <w:bCs/>
                <w:i/>
                <w:iCs/>
                <w:highlight w:val="white"/>
              </w:rPr>
              <w:t>Comentariu:</w:t>
            </w:r>
          </w:p>
          <w:p w14:paraId="62A3146D"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b/>
                <w:bCs/>
              </w:rPr>
              <w:t xml:space="preserve">Supra-reglementare și efecte disproporționate ale sancțiunii nulității (art. 421 alin. (7¹) CM Proiect) </w:t>
            </w:r>
          </w:p>
          <w:p w14:paraId="25538DD0"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Alineatul (7¹) al art. 421 din proiect prevede că decizia angajatorului adoptată fără informarea și consultarea reprezentanților salariaților sau până la finalizarea procedurii de informare și consultare este nulă. O asemenea soluție nu se regăsește în Directiva 2002/14/CE și reprezintă o creație normativă națională care depășește cerințele actului european, constituind un caz de supra-reglementare (</w:t>
            </w:r>
            <w:proofErr w:type="spellStart"/>
            <w:r>
              <w:rPr>
                <w:rFonts w:ascii="Times New Roman" w:eastAsia="Times New Roman" w:hAnsi="Times New Roman" w:cs="Times New Roman"/>
              </w:rPr>
              <w:t>gold-plating</w:t>
            </w:r>
            <w:proofErr w:type="spellEnd"/>
            <w:r>
              <w:rPr>
                <w:rFonts w:ascii="Times New Roman" w:eastAsia="Times New Roman" w:hAnsi="Times New Roman" w:cs="Times New Roman"/>
              </w:rPr>
              <w:t xml:space="preserve">). </w:t>
            </w:r>
          </w:p>
          <w:p w14:paraId="117433D7"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Directiva 2002/14/CE nu condiționează validitatea deciziilor de gestiune ale angajatorului de realizarea sau finalizarea procedurii de consultare și nu prevede sancțiunea nulității automate pentru nerespectarea acestei obligații. Articolul 8 din Directivă stabilește doar obligația statelor membre de a institui măsuri adecvate și sancțiuni eficiente, proporționale și disuasive pentru asigurarea respectării drepturilor prevăzute de aceasta, fără a impune în mod specific sancțiunea nulității actelor emise de angajator. În aceste condiții, instituirea nulității deciziilor adoptate fără parcurgerea procedurii de informare și consultare reprezintă o sancțiune excesivă și disproporționată în raport cu natura obligației reglementate. </w:t>
            </w:r>
          </w:p>
          <w:p w14:paraId="31F57953"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Obligația de informare și consultare are un caracter procedural și participativ și nu echivalează cu necesitatea obținerii acordului reprezentanților salariaților. Aplicarea nulității ca sancțiune automată pentru nerespectarea acestei proceduri transformă consultarea într-o condiție de validitate a deciziilor manageriale și instituie un sistem de </w:t>
            </w:r>
            <w:proofErr w:type="spellStart"/>
            <w:r>
              <w:rPr>
                <w:rFonts w:ascii="Times New Roman" w:eastAsia="Times New Roman" w:hAnsi="Times New Roman" w:cs="Times New Roman"/>
              </w:rPr>
              <w:t>co</w:t>
            </w:r>
            <w:proofErr w:type="spellEnd"/>
            <w:r>
              <w:rPr>
                <w:rFonts w:ascii="Times New Roman" w:eastAsia="Times New Roman" w:hAnsi="Times New Roman" w:cs="Times New Roman"/>
              </w:rPr>
              <w:t xml:space="preserve">-decizie sau veto al reprezentanților salariaților asupra deciziilor angajatorului. În combinație cu modificările propuse la alin. (7) al art. 421, care introduc cerința „obținerii unui acord”, alin. (7¹) ajunge să sancționeze nu doar lipsa consultării, ci, în fapt, lipsa rezultatului acesteia. </w:t>
            </w:r>
          </w:p>
          <w:p w14:paraId="313C442A"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Mai mult, norma propusă ignoră cadrul juridic național existent. Potrivit art. 21 alin. (2) și (3) din Codul muncii, reprezentanții salariaților sunt desemnați de către salariați în cadrul adunării generale, iar existența acestora este rezultatul unei inițiative voluntare a salariaților. În unitățile în care salariații nu se organizează și nu desemnează astfel de reprezentanți, angajatorul nu are posibilitatea de a iniția sau finaliza procedura de consultare. În aceste condiții, sancțiunea nulității deciziilor adoptate fără consultare va genera imposibilitatea obiectivă a angajatorului de a adopta decizii manageriale valabile în domeniile vizate de normă. În acest context, subliniem că Directiva 2002/14/CE prevede că modalitățile de informare și consultare se definesc și se aplică în conformitate cu legislația și practicile naționale în domeniul relațiilor dintre partenerii sociali. Prin urmare, Directiva nu impune standarde mai ridicate decât cele compatibile cu cadrul național existent. Într-un sistem juridic în care existența reprezentanților salariaților este facultativă și independentă de voința angajatorului, consultarea acestora nu poate fi transformată într-o condiție obligatorie pentru validitatea deciziilor de management. </w:t>
            </w:r>
          </w:p>
          <w:p w14:paraId="700FBF05"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De asemenea, însăși formularea normei propuse ridică probleme de claritate și securitate juridică. Proiectul nu precizează natura nulității (absolută sau relativă), mecanismul de constatare a acesteia, termenul în care poate fi invocată și nici efectele juridice în raport cu terții. Noțiunea de „finalizare a procedurii de consultare”, ca temei de nulitate, este, la rândul său, susceptibilă de interpretări divergente. În lipsa unor criterii clare, orice decizie nepopulară a angajatorului ar putea fi contestată pe temeiuri procedurale, ceea ce va spori semnificativ riscul de litigii și incertitudinea juridică. </w:t>
            </w:r>
          </w:p>
          <w:p w14:paraId="272012C3"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plan practic, sancțiunea nulității va afecta statutul și validitatea deciziilor companiilor de reorganizare, restructurare și a altor măsuri de administrare a activității economice care implică terți, investitori sau creditori. Aceasta va afecta securitatea raporturilor juridice și stabilitatea deciziilor manageriale, în exces vădit față de scopul obligației de informare și consultare din Codul muncii. </w:t>
            </w:r>
          </w:p>
          <w:p w14:paraId="147C84B4"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Totodată, cadrul juridic actual al art.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din Codul muncii prevede deja mecanisme de protecție adecvate. Potrivit alin. (10) al acestui articol, refuzul angajatorului de a furniza informații sau de a întreprinde consultări poate fi contestat în instanța de judecată. Acest mecanism judiciar permite evaluarea circumstanțelor concrete ale fiecărui caz și asigură un control jurisdicțional adecvat asupra respectării obligației de consultare. Introducerea unei nulități automate creează o suprapunere normativă și elimină marja de apreciere a instanțelor în evaluarea proporționalității sancțiunii. </w:t>
            </w:r>
          </w:p>
          <w:p w14:paraId="07FBBA45"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În concluzie, modificarea propusă la alin. (7¹) al art.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depășește logica și standardele Directivei 2002/14/CE și introduce o sancțiune disproporționată și dificil de aplicat în contextul juridic național. În combinație cu modificările propuse la alin. (7), această normă riscă să transforme consultarea – concepută ca instrument de dialog și participare – într-o procedură de aprobare a deciziilor de business, generând blocaje decizionale, incertitudine juridică și un risc sporit de litigii pentru angajatori. </w:t>
            </w:r>
          </w:p>
          <w:p w14:paraId="5F25AA7A"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aceste condiții, se impune fie eliminarea sancțiunii nulității prevăzute la alin. (7¹), fie reformularea normei într-o manieră care să asigure un echilibru între efectivitatea dreptului la consultare și necesitatea menținerii stabilității deciziilor adoptate de angajator. </w:t>
            </w:r>
          </w:p>
        </w:tc>
        <w:tc>
          <w:tcPr>
            <w:tcW w:w="5880" w:type="dxa"/>
          </w:tcPr>
          <w:p w14:paraId="4309FA1D"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tc>
      </w:tr>
      <w:tr w:rsidR="0091081E" w14:paraId="442EDFDC" w14:textId="77777777">
        <w:trPr>
          <w:trHeight w:val="600"/>
        </w:trPr>
        <w:tc>
          <w:tcPr>
            <w:tcW w:w="555" w:type="dxa"/>
            <w:vMerge/>
          </w:tcPr>
          <w:p w14:paraId="04392809" w14:textId="77777777" w:rsidR="0091081E" w:rsidRDefault="0091081E">
            <w:pPr>
              <w:widowControl w:val="0"/>
              <w:rPr>
                <w:rFonts w:ascii="Times New Roman" w:eastAsia="Times New Roman" w:hAnsi="Times New Roman" w:cs="Times New Roman"/>
                <w:highlight w:val="white"/>
              </w:rPr>
            </w:pPr>
          </w:p>
        </w:tc>
        <w:tc>
          <w:tcPr>
            <w:tcW w:w="2700" w:type="dxa"/>
            <w:vMerge/>
          </w:tcPr>
          <w:p w14:paraId="1FC183F7" w14:textId="77777777" w:rsidR="0091081E" w:rsidRDefault="0091081E">
            <w:pPr>
              <w:widowControl w:val="0"/>
              <w:rPr>
                <w:rFonts w:ascii="Times New Roman" w:eastAsia="Times New Roman" w:hAnsi="Times New Roman" w:cs="Times New Roman"/>
                <w:highlight w:val="white"/>
              </w:rPr>
            </w:pPr>
          </w:p>
        </w:tc>
        <w:tc>
          <w:tcPr>
            <w:tcW w:w="5880" w:type="dxa"/>
          </w:tcPr>
          <w:p w14:paraId="5DF05207"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Comentariu general la art. 42</w:t>
            </w:r>
            <w:r>
              <w:rPr>
                <w:rFonts w:ascii="Times New Roman" w:eastAsia="Times New Roman" w:hAnsi="Times New Roman" w:cs="Times New Roman"/>
                <w:b/>
                <w:bCs/>
                <w:vertAlign w:val="superscript"/>
              </w:rPr>
              <w:t xml:space="preserve">1 </w:t>
            </w:r>
            <w:r>
              <w:rPr>
                <w:rFonts w:ascii="Times New Roman" w:eastAsia="Times New Roman" w:hAnsi="Times New Roman" w:cs="Times New Roman"/>
                <w:b/>
                <w:bCs/>
              </w:rPr>
              <w:t xml:space="preserve">Codul muncii </w:t>
            </w:r>
          </w:p>
          <w:p w14:paraId="6787B254"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Pentru claritate și eficiența normelor articolului 42</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Codul muncii, considerăm necesară stabilirea unui termen procedural pentru consultare, pentru a preveni blocarea deciziilor angajatorului și pentru a asigura un proces lucrativ. Astfel, dacă reprezentanții salariaților nu transmit niciun punct de vedere până la expirarea termenului, consultarea se consideră finalizată, iar angajatorul poate adopta decizia în lipsa acesteia.</w:t>
            </w:r>
          </w:p>
        </w:tc>
        <w:tc>
          <w:tcPr>
            <w:tcW w:w="5880" w:type="dxa"/>
          </w:tcPr>
          <w:p w14:paraId="5BD12DE9" w14:textId="77777777" w:rsidR="0091081E" w:rsidRDefault="00000000">
            <w:pPr>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Se ia act de observațiile formulate privind necesitatea instituirii unui termen procedural clar pentru desfășurarea consultării, în vederea asigurării eficienței mecanismului și prevenirii eventualelor blocaje în procesul decizional al angajatorului. În acest sens, propunerea este acceptată, fiind apreciată ca oportună pentru a garanta un echilibru între exercitarea efectivă a dreptului la consultare și respectarea prerogativelor </w:t>
            </w:r>
            <w:proofErr w:type="spellStart"/>
            <w:r>
              <w:rPr>
                <w:rFonts w:ascii="Times New Roman" w:eastAsia="Times New Roman" w:hAnsi="Times New Roman" w:cs="Times New Roman"/>
                <w:highlight w:val="white"/>
              </w:rPr>
              <w:t>angajatorului.Se</w:t>
            </w:r>
            <w:proofErr w:type="spellEnd"/>
            <w:r>
              <w:rPr>
                <w:rFonts w:ascii="Times New Roman" w:eastAsia="Times New Roman" w:hAnsi="Times New Roman" w:cs="Times New Roman"/>
                <w:highlight w:val="white"/>
              </w:rPr>
              <w:t xml:space="preserve"> reține că art. 42¹ alin. (7) din Codul Muncii instituie deja un termen de 10 zile lucrătoare pentru exprimarea opiniei în cadrul consultării, inclusiv prezumția în caz de neprezentare „</w:t>
            </w:r>
            <w:r>
              <w:rPr>
                <w:rFonts w:ascii="Times New Roman" w:eastAsia="Times New Roman" w:hAnsi="Times New Roman" w:cs="Times New Roman"/>
                <w:i/>
                <w:iCs/>
                <w:highlight w:val="white"/>
              </w:rPr>
              <w:t xml:space="preserve">În toate cazurile, prevăzute de prezentul cod, în care angajatorul este obligat să consulte salariații/reprezentanții salariaților înainte de adoptarea unei decizii care afectează drepturile și interesele salariaților, angajatorul notifică organul sindical/reprezentanții salariaților și solicită opinia consultativă a acestora în formă scrisă. Termenul de prezentare a opiniei este de 10 zile lucrătoare de la data recepționării notificării. În cazul neprezentării opiniei în termenul indicat, comunicarea opiniei consultative de către organul respectiv/reprezentanții salariaților se prezumă.” </w:t>
            </w:r>
            <w:r>
              <w:rPr>
                <w:rFonts w:ascii="Times New Roman" w:eastAsia="Times New Roman" w:hAnsi="Times New Roman" w:cs="Times New Roman"/>
                <w:highlight w:val="white"/>
              </w:rPr>
              <w:t>Astfel, prin modificările propuse se intervine suplimentar doar pentru clarificarea termenului aferent etapei de informare.</w:t>
            </w:r>
          </w:p>
          <w:p w14:paraId="02DB24FB" w14:textId="77777777" w:rsidR="0091081E" w:rsidRDefault="00000000">
            <w:pPr>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consecință, prevederile art. 42 și art. 42¹ din Codul muncii al Republicii Moldova sunt ajustate, inclusiv prin introducerea unui termen de 10 zile lucrătoare pentru exprimarea opiniei de către reprezentanții salariaților, precum și prin clarificarea faptului că, în lipsa unui răspuns în acest termen, procedura de consultare se consideră finalizată. Această soluție legislativă contribuie la asigurarea unui proces previzibil și funcțional, în concordanță cu exigențele unui dialog social efectiv.</w:t>
            </w:r>
          </w:p>
          <w:p w14:paraId="2C2662CA" w14:textId="77777777" w:rsidR="0091081E" w:rsidRDefault="00000000">
            <w:pPr>
              <w:spacing w:line="240" w:lineRule="auto"/>
              <w:ind w:firstLine="705"/>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Articolul 42.</w:t>
            </w:r>
            <w:r>
              <w:rPr>
                <w:rFonts w:ascii="Times New Roman" w:eastAsia="Times New Roman" w:hAnsi="Times New Roman" w:cs="Times New Roman"/>
                <w:highlight w:val="white"/>
              </w:rPr>
              <w:t xml:space="preserve"> alineatul (2) lit. b) se completează în final cu textul</w:t>
            </w:r>
          </w:p>
          <w:p w14:paraId="57A89C4D" w14:textId="77777777" w:rsidR="0091081E" w:rsidRDefault="00000000">
            <w:pPr>
              <w:spacing w:line="240" w:lineRule="auto"/>
              <w:ind w:firstLine="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Participarea </w:t>
            </w:r>
            <w:proofErr w:type="spellStart"/>
            <w:r>
              <w:rPr>
                <w:rFonts w:ascii="Times New Roman" w:eastAsia="Times New Roman" w:hAnsi="Times New Roman" w:cs="Times New Roman"/>
                <w:highlight w:val="white"/>
              </w:rPr>
              <w:t>salariaţilor</w:t>
            </w:r>
            <w:proofErr w:type="spellEnd"/>
            <w:r>
              <w:rPr>
                <w:rFonts w:ascii="Times New Roman" w:eastAsia="Times New Roman" w:hAnsi="Times New Roman" w:cs="Times New Roman"/>
                <w:highlight w:val="white"/>
              </w:rPr>
              <w:t xml:space="preserve"> la administrarea </w:t>
            </w:r>
            <w:proofErr w:type="spellStart"/>
            <w:r>
              <w:rPr>
                <w:rFonts w:ascii="Times New Roman" w:eastAsia="Times New Roman" w:hAnsi="Times New Roman" w:cs="Times New Roman"/>
                <w:highlight w:val="white"/>
              </w:rPr>
              <w:t>unităţii</w:t>
            </w:r>
            <w:proofErr w:type="spellEnd"/>
            <w:r>
              <w:rPr>
                <w:rFonts w:ascii="Times New Roman" w:eastAsia="Times New Roman" w:hAnsi="Times New Roman" w:cs="Times New Roman"/>
                <w:highlight w:val="white"/>
              </w:rPr>
              <w:t xml:space="preserve"> poate fi realizată prin:</w:t>
            </w:r>
          </w:p>
          <w:p w14:paraId="7A811A4C" w14:textId="77777777" w:rsidR="0091081E" w:rsidRDefault="00000000">
            <w:pPr>
              <w:spacing w:line="240" w:lineRule="auto"/>
              <w:ind w:firstLine="20"/>
              <w:jc w:val="both"/>
              <w:rPr>
                <w:rFonts w:ascii="Times New Roman" w:eastAsia="Times New Roman" w:hAnsi="Times New Roman" w:cs="Times New Roman"/>
                <w:sz w:val="18"/>
                <w:szCs w:val="18"/>
                <w:highlight w:val="white"/>
              </w:rPr>
            </w:pPr>
            <w:r>
              <w:rPr>
                <w:rFonts w:ascii="Times New Roman" w:eastAsia="Times New Roman" w:hAnsi="Times New Roman" w:cs="Times New Roman"/>
                <w:highlight w:val="white"/>
              </w:rPr>
              <w:t xml:space="preserve">b) informarea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consultarea </w:t>
            </w:r>
            <w:proofErr w:type="spellStart"/>
            <w:r>
              <w:rPr>
                <w:rFonts w:ascii="Times New Roman" w:eastAsia="Times New Roman" w:hAnsi="Times New Roman" w:cs="Times New Roman"/>
                <w:highlight w:val="white"/>
              </w:rPr>
              <w:t>salariaţilor</w:t>
            </w:r>
            <w:proofErr w:type="spellEnd"/>
            <w:r>
              <w:rPr>
                <w:rFonts w:ascii="Times New Roman" w:eastAsia="Times New Roman" w:hAnsi="Times New Roman" w:cs="Times New Roman"/>
                <w:highlight w:val="white"/>
              </w:rPr>
              <w:t xml:space="preserve"> referitor la chestiunile </w:t>
            </w:r>
            <w:proofErr w:type="spellStart"/>
            <w:r>
              <w:rPr>
                <w:rFonts w:ascii="Times New Roman" w:eastAsia="Times New Roman" w:hAnsi="Times New Roman" w:cs="Times New Roman"/>
                <w:highlight w:val="white"/>
              </w:rPr>
              <w:t>menţionate</w:t>
            </w:r>
            <w:proofErr w:type="spellEnd"/>
            <w:r>
              <w:rPr>
                <w:rFonts w:ascii="Times New Roman" w:eastAsia="Times New Roman" w:hAnsi="Times New Roman" w:cs="Times New Roman"/>
                <w:highlight w:val="white"/>
              </w:rPr>
              <w:t xml:space="preserve"> la art.42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Obligația informării ce vizează art. 42</w:t>
            </w:r>
            <w:r>
              <w:rPr>
                <w:rFonts w:ascii="Times New Roman" w:eastAsia="Times New Roman" w:hAnsi="Times New Roman" w:cs="Times New Roman"/>
                <w:highlight w:val="white"/>
                <w:vertAlign w:val="superscript"/>
              </w:rPr>
              <w:t xml:space="preserve">1 </w:t>
            </w:r>
            <w:r>
              <w:rPr>
                <w:rFonts w:ascii="Times New Roman" w:eastAsia="Times New Roman" w:hAnsi="Times New Roman" w:cs="Times New Roman"/>
                <w:highlight w:val="white"/>
              </w:rPr>
              <w:t>alin. (2) lit. a), b) și c) se aplică angajatorilor indiferent de tipul de proprietate, de forma juridică de organizare, cu scop lucrativ sau nu, care încadrează cel puțin 50 de salariați.</w:t>
            </w:r>
          </w:p>
          <w:p w14:paraId="45DADE21" w14:textId="77777777" w:rsidR="0091081E" w:rsidRDefault="00000000">
            <w:pPr>
              <w:shd w:val="clear" w:color="auto" w:fill="FFFFFF"/>
              <w:ind w:firstLine="680"/>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Articolul 42</w:t>
            </w:r>
            <w:r>
              <w:rPr>
                <w:rFonts w:ascii="Times New Roman" w:eastAsia="Times New Roman" w:hAnsi="Times New Roman" w:cs="Times New Roman"/>
                <w:b/>
                <w:bCs/>
                <w:highlight w:val="white"/>
                <w:vertAlign w:val="superscript"/>
              </w:rPr>
              <w:t>1</w:t>
            </w:r>
            <w:r>
              <w:rPr>
                <w:rFonts w:ascii="Times New Roman" w:eastAsia="Times New Roman" w:hAnsi="Times New Roman" w:cs="Times New Roman"/>
                <w:b/>
                <w:bCs/>
                <w:highlight w:val="white"/>
              </w:rPr>
              <w:t>.</w:t>
            </w:r>
            <w:r>
              <w:rPr>
                <w:rFonts w:ascii="Times New Roman" w:eastAsia="Times New Roman" w:hAnsi="Times New Roman" w:cs="Times New Roman"/>
                <w:highlight w:val="white"/>
              </w:rPr>
              <w:t xml:space="preserve"> alin. (1) din Codul muncii va fi expus în următoarea redacție:</w:t>
            </w:r>
          </w:p>
          <w:p w14:paraId="78887007" w14:textId="77777777" w:rsidR="0091081E" w:rsidRDefault="0091081E">
            <w:pPr>
              <w:shd w:val="clear" w:color="auto" w:fill="FFFFFF"/>
              <w:ind w:firstLine="680"/>
              <w:jc w:val="both"/>
              <w:rPr>
                <w:rFonts w:ascii="Times New Roman" w:eastAsia="Times New Roman" w:hAnsi="Times New Roman" w:cs="Times New Roman"/>
                <w:highlight w:val="white"/>
              </w:rPr>
            </w:pPr>
          </w:p>
          <w:p w14:paraId="253EA6CB" w14:textId="77777777" w:rsidR="0091081E" w:rsidRDefault="00000000">
            <w:pPr>
              <w:shd w:val="clear" w:color="auto" w:fill="FFFFFF"/>
              <w:ind w:firstLine="680"/>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 xml:space="preserve">„(1) În vederea asigurării dreptului salariaților la administrarea unității prevăzut la art. 42, angajatorul este obligat să-i informeze și să-i consulte referitor la subiectele relevante în raport cu activitatea lor în cadrul unității. </w:t>
            </w:r>
            <w:r>
              <w:rPr>
                <w:rFonts w:ascii="Times New Roman" w:eastAsia="Times New Roman" w:hAnsi="Times New Roman" w:cs="Times New Roman"/>
                <w:b/>
                <w:bCs/>
                <w:highlight w:val="white"/>
              </w:rPr>
              <w:t>În sensul prezentului articol prin informare se înțelege transmiterea de date de către angajator salariaților/reprezentanților salariaților pentru a le permite să se familiarizeze cu subiectul și să-l examineze, iar prin consultare se înțelege schimbul de păreri și stabilirea unui dialog între salariați/reprezentanții salariaților</w:t>
            </w:r>
            <w:r>
              <w:rPr>
                <w:rFonts w:ascii="Times New Roman" w:eastAsia="Times New Roman" w:hAnsi="Times New Roman" w:cs="Times New Roman"/>
                <w:highlight w:val="white"/>
              </w:rPr>
              <w:t xml:space="preserve"> </w:t>
            </w:r>
            <w:r>
              <w:rPr>
                <w:rFonts w:ascii="Times New Roman" w:eastAsia="Times New Roman" w:hAnsi="Times New Roman" w:cs="Times New Roman"/>
                <w:b/>
                <w:bCs/>
                <w:highlight w:val="white"/>
              </w:rPr>
              <w:t>și angajator.”</w:t>
            </w:r>
          </w:p>
          <w:p w14:paraId="6F918319" w14:textId="77777777" w:rsidR="0091081E" w:rsidRDefault="0091081E">
            <w:pPr>
              <w:shd w:val="clear" w:color="auto" w:fill="FFFFFF"/>
              <w:ind w:firstLine="680"/>
              <w:jc w:val="both"/>
              <w:rPr>
                <w:rFonts w:ascii="Times New Roman" w:eastAsia="Times New Roman" w:hAnsi="Times New Roman" w:cs="Times New Roman"/>
                <w:b/>
                <w:bCs/>
                <w:highlight w:val="white"/>
              </w:rPr>
            </w:pPr>
          </w:p>
          <w:p w14:paraId="3C5F4F9E" w14:textId="77777777" w:rsidR="0091081E"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42</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(3) din Codul muncii va fi expus în următoarea redacție:</w:t>
            </w:r>
          </w:p>
          <w:p w14:paraId="2F7E2BDA" w14:textId="77777777" w:rsidR="0091081E"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w:t>
            </w:r>
            <w:r>
              <w:rPr>
                <w:rFonts w:ascii="Times New Roman" w:eastAsia="Times New Roman" w:hAnsi="Times New Roman" w:cs="Times New Roman"/>
                <w:b/>
                <w:bCs/>
                <w:highlight w:val="white"/>
              </w:rPr>
              <w:t xml:space="preserve">(3) </w:t>
            </w:r>
            <w:r>
              <w:rPr>
                <w:rFonts w:ascii="Times New Roman" w:eastAsia="Times New Roman" w:hAnsi="Times New Roman" w:cs="Times New Roman"/>
                <w:highlight w:val="white"/>
              </w:rPr>
              <w:t>Informarea se face prin transmiterea, în forma scrisă, către reprezentanții salariaților a datelor relevante, complete și veridice privind subiectele enumerate la alin. (2), în timp util, care le-ar permite reprezentanților salariaților să pregătească, în caz de necesitate, consultarea și formularea unui aviz înainte de adoptarea deciziei de către angajator;</w:t>
            </w:r>
          </w:p>
          <w:p w14:paraId="166520AA" w14:textId="77777777" w:rsidR="0091081E" w:rsidRDefault="0091081E">
            <w:pPr>
              <w:shd w:val="clear" w:color="auto" w:fill="FFFFFF"/>
              <w:ind w:firstLine="680"/>
              <w:jc w:val="both"/>
              <w:rPr>
                <w:rFonts w:ascii="Times New Roman" w:eastAsia="Times New Roman" w:hAnsi="Times New Roman" w:cs="Times New Roman"/>
                <w:highlight w:val="white"/>
              </w:rPr>
            </w:pPr>
          </w:p>
          <w:p w14:paraId="40A2E4C3" w14:textId="77777777" w:rsidR="0091081E" w:rsidRDefault="00000000">
            <w:p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Suplimentar se completează cu alin. (3</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Reprezentanții salariaților </w:t>
            </w:r>
            <w:proofErr w:type="spellStart"/>
            <w:r>
              <w:rPr>
                <w:rFonts w:ascii="Times New Roman" w:eastAsia="Times New Roman" w:hAnsi="Times New Roman" w:cs="Times New Roman"/>
                <w:highlight w:val="white"/>
              </w:rPr>
              <w:t>îşi</w:t>
            </w:r>
            <w:proofErr w:type="spellEnd"/>
            <w:r>
              <w:rPr>
                <w:rFonts w:ascii="Times New Roman" w:eastAsia="Times New Roman" w:hAnsi="Times New Roman" w:cs="Times New Roman"/>
                <w:highlight w:val="white"/>
              </w:rPr>
              <w:t xml:space="preserve"> prezintă opinia în termen de 10 zile lucrătoare de la data </w:t>
            </w:r>
            <w:proofErr w:type="spellStart"/>
            <w:r>
              <w:rPr>
                <w:rFonts w:ascii="Times New Roman" w:eastAsia="Times New Roman" w:hAnsi="Times New Roman" w:cs="Times New Roman"/>
                <w:highlight w:val="white"/>
              </w:rPr>
              <w:t>recepţionării</w:t>
            </w:r>
            <w:proofErr w:type="spellEnd"/>
            <w:r>
              <w:rPr>
                <w:rFonts w:ascii="Times New Roman" w:eastAsia="Times New Roman" w:hAnsi="Times New Roman" w:cs="Times New Roman"/>
                <w:highlight w:val="white"/>
              </w:rPr>
              <w:t xml:space="preserve"> datelor</w:t>
            </w:r>
          </w:p>
        </w:tc>
      </w:tr>
      <w:tr w:rsidR="0091081E" w14:paraId="4F51FB50" w14:textId="77777777">
        <w:trPr>
          <w:trHeight w:val="600"/>
        </w:trPr>
        <w:tc>
          <w:tcPr>
            <w:tcW w:w="555" w:type="dxa"/>
            <w:vMerge/>
          </w:tcPr>
          <w:p w14:paraId="554EDEA7" w14:textId="77777777" w:rsidR="0091081E" w:rsidRDefault="0091081E">
            <w:pPr>
              <w:widowControl w:val="0"/>
              <w:rPr>
                <w:rFonts w:ascii="Times New Roman" w:eastAsia="Times New Roman" w:hAnsi="Times New Roman" w:cs="Times New Roman"/>
                <w:highlight w:val="white"/>
              </w:rPr>
            </w:pPr>
          </w:p>
        </w:tc>
        <w:tc>
          <w:tcPr>
            <w:tcW w:w="2700" w:type="dxa"/>
            <w:vMerge/>
          </w:tcPr>
          <w:p w14:paraId="4DC07D71" w14:textId="77777777" w:rsidR="0091081E" w:rsidRDefault="0091081E">
            <w:pPr>
              <w:widowControl w:val="0"/>
              <w:rPr>
                <w:rFonts w:ascii="Times New Roman" w:eastAsia="Times New Roman" w:hAnsi="Times New Roman" w:cs="Times New Roman"/>
                <w:highlight w:val="white"/>
              </w:rPr>
            </w:pPr>
          </w:p>
        </w:tc>
        <w:tc>
          <w:tcPr>
            <w:tcW w:w="5880" w:type="dxa"/>
          </w:tcPr>
          <w:p w14:paraId="6C992A8B" w14:textId="77777777" w:rsidR="0091081E"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Articolul 90 alin. (2)</w:t>
            </w:r>
          </w:p>
          <w:p w14:paraId="4B02162C" w14:textId="77777777" w:rsidR="0091081E"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Propunere de redactare:</w:t>
            </w:r>
          </w:p>
          <w:p w14:paraId="2A19839B"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Articolul 90 alin. (2) litera a) va avea următorul cuprins: </w:t>
            </w:r>
          </w:p>
          <w:p w14:paraId="2FDAA12F" w14:textId="77777777" w:rsidR="0091081E" w:rsidRDefault="00000000">
            <w:pPr>
              <w:spacing w:line="240" w:lineRule="auto"/>
              <w:ind w:firstLine="284"/>
              <w:jc w:val="both"/>
              <w:rPr>
                <w:rFonts w:ascii="Times New Roman" w:eastAsia="Times New Roman" w:hAnsi="Times New Roman" w:cs="Times New Roman"/>
              </w:rPr>
            </w:pPr>
            <w:r>
              <w:rPr>
                <w:rFonts w:ascii="Times New Roman" w:eastAsia="Times New Roman" w:hAnsi="Times New Roman" w:cs="Times New Roman"/>
              </w:rPr>
              <w:t xml:space="preserve">a) plata obligatorie a unei despăgubiri pentru întreaga perioadă de </w:t>
            </w:r>
            <w:proofErr w:type="spellStart"/>
            <w:r>
              <w:rPr>
                <w:rFonts w:ascii="Times New Roman" w:eastAsia="Times New Roman" w:hAnsi="Times New Roman" w:cs="Times New Roman"/>
              </w:rPr>
              <w:t>absenţă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forţată</w:t>
            </w:r>
            <w:proofErr w:type="spellEnd"/>
            <w:r>
              <w:rPr>
                <w:rFonts w:ascii="Times New Roman" w:eastAsia="Times New Roman" w:hAnsi="Times New Roman" w:cs="Times New Roman"/>
              </w:rPr>
              <w:t xml:space="preserve"> de la muncă în cazul transferului sau al eliberării nelegitime din serviciu, determinată după cum urmează: </w:t>
            </w:r>
          </w:p>
          <w:p w14:paraId="716653AD"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dacă salariatul nu a realizat niciun venit </w:t>
            </w:r>
            <w:r>
              <w:rPr>
                <w:rFonts w:ascii="Times New Roman" w:eastAsia="Times New Roman" w:hAnsi="Times New Roman" w:cs="Times New Roman"/>
                <w:strike/>
              </w:rPr>
              <w:t>salarial</w:t>
            </w:r>
            <w:r>
              <w:rPr>
                <w:rFonts w:ascii="Times New Roman" w:eastAsia="Times New Roman" w:hAnsi="Times New Roman" w:cs="Times New Roman"/>
              </w:rPr>
              <w:t xml:space="preserve"> din activitatea de muncă, prestare a serviciilor sau </w:t>
            </w:r>
            <w:proofErr w:type="spellStart"/>
            <w:r>
              <w:rPr>
                <w:rFonts w:ascii="Times New Roman" w:eastAsia="Times New Roman" w:hAnsi="Times New Roman" w:cs="Times New Roman"/>
              </w:rPr>
              <w:t>antreprenoriat</w:t>
            </w:r>
            <w:proofErr w:type="spellEnd"/>
            <w:r>
              <w:rPr>
                <w:rFonts w:ascii="Times New Roman" w:eastAsia="Times New Roman" w:hAnsi="Times New Roman" w:cs="Times New Roman"/>
              </w:rPr>
              <w:t xml:space="preserve"> în perioada dintre concedierea nelegitimă </w:t>
            </w:r>
            <w:proofErr w:type="spellStart"/>
            <w:r>
              <w:rPr>
                <w:rFonts w:ascii="Times New Roman" w:eastAsia="Times New Roman" w:hAnsi="Times New Roman" w:cs="Times New Roman"/>
              </w:rPr>
              <w:t>şi</w:t>
            </w:r>
            <w:proofErr w:type="spellEnd"/>
            <w:r>
              <w:rPr>
                <w:rFonts w:ascii="Times New Roman" w:eastAsia="Times New Roman" w:hAnsi="Times New Roman" w:cs="Times New Roman"/>
              </w:rPr>
              <w:t xml:space="preserve"> data restabilirii, despăgubirea este egală cu salariul mediu lunar al acestuia pentru întreaga perioadă; </w:t>
            </w:r>
          </w:p>
          <w:p w14:paraId="7DA4F840" w14:textId="77777777" w:rsidR="0091081E" w:rsidRDefault="00000000">
            <w:pPr>
              <w:spacing w:line="240" w:lineRule="auto"/>
              <w:ind w:firstLine="284"/>
              <w:jc w:val="both"/>
              <w:rPr>
                <w:rFonts w:ascii="Times New Roman" w:eastAsia="Times New Roman" w:hAnsi="Times New Roman" w:cs="Times New Roman"/>
              </w:rPr>
            </w:pPr>
            <w:r>
              <w:rPr>
                <w:rFonts w:ascii="Times New Roman" w:eastAsia="Times New Roman" w:hAnsi="Times New Roman" w:cs="Times New Roman"/>
              </w:rPr>
              <w:t xml:space="preserve">- dacă salariatul a realizat venituri </w:t>
            </w:r>
            <w:r>
              <w:rPr>
                <w:rFonts w:ascii="Times New Roman" w:eastAsia="Times New Roman" w:hAnsi="Times New Roman" w:cs="Times New Roman"/>
                <w:strike/>
              </w:rPr>
              <w:t xml:space="preserve">salariale de la un alt angajator </w:t>
            </w:r>
            <w:r>
              <w:rPr>
                <w:rFonts w:ascii="Times New Roman" w:eastAsia="Times New Roman" w:hAnsi="Times New Roman" w:cs="Times New Roman"/>
              </w:rPr>
              <w:t xml:space="preserve">din activitatea de muncă, prestare a serviciilor sau </w:t>
            </w:r>
            <w:proofErr w:type="spellStart"/>
            <w:r>
              <w:rPr>
                <w:rFonts w:ascii="Times New Roman" w:eastAsia="Times New Roman" w:hAnsi="Times New Roman" w:cs="Times New Roman"/>
              </w:rPr>
              <w:t>antreprenoriat</w:t>
            </w:r>
            <w:proofErr w:type="spellEnd"/>
            <w:r>
              <w:rPr>
                <w:rFonts w:ascii="Times New Roman" w:eastAsia="Times New Roman" w:hAnsi="Times New Roman" w:cs="Times New Roman"/>
              </w:rPr>
              <w:t xml:space="preserve">, despăgubirea reprezintă diferența dintre salariul mediu lunar la care era îndreptățit și </w:t>
            </w:r>
            <w:r>
              <w:rPr>
                <w:rFonts w:ascii="Times New Roman" w:eastAsia="Times New Roman" w:hAnsi="Times New Roman" w:cs="Times New Roman"/>
                <w:strike/>
              </w:rPr>
              <w:t>salariul</w:t>
            </w:r>
            <w:r>
              <w:rPr>
                <w:rFonts w:ascii="Times New Roman" w:eastAsia="Times New Roman" w:hAnsi="Times New Roman" w:cs="Times New Roman"/>
              </w:rPr>
              <w:t xml:space="preserve"> venitul efectiv obținut; </w:t>
            </w:r>
          </w:p>
          <w:p w14:paraId="3CD49860"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în cazuri justificate, instanța de judecată poate reduce cuantumul despăgubirii dacă se constată că salariatul, deși era apt de muncă, ar fi putut obține în mod rezonabil un venit din activitatea de muncă sau prestare a serviciilor </w:t>
            </w:r>
            <w:r>
              <w:rPr>
                <w:rFonts w:ascii="Times New Roman" w:eastAsia="Times New Roman" w:hAnsi="Times New Roman" w:cs="Times New Roman"/>
                <w:strike/>
              </w:rPr>
              <w:t>salariu la un alt angajator</w:t>
            </w:r>
            <w:r>
              <w:rPr>
                <w:rFonts w:ascii="Times New Roman" w:eastAsia="Times New Roman" w:hAnsi="Times New Roman" w:cs="Times New Roman"/>
              </w:rPr>
              <w:t xml:space="preserve">, dar nu a depus diligență pentru a se angaja în asemenea activități, sau dacă a refuzat, fără motive întemeiate, un loc de muncă corespunzător pregătirii sale.” </w:t>
            </w:r>
          </w:p>
          <w:p w14:paraId="42E66EB8" w14:textId="77777777" w:rsidR="0091081E" w:rsidRDefault="0091081E">
            <w:pPr>
              <w:spacing w:line="240" w:lineRule="auto"/>
              <w:ind w:firstLine="284"/>
              <w:jc w:val="both"/>
              <w:rPr>
                <w:rFonts w:ascii="Times New Roman" w:eastAsia="Times New Roman" w:hAnsi="Times New Roman" w:cs="Times New Roman"/>
                <w:b/>
                <w:bCs/>
                <w:highlight w:val="white"/>
              </w:rPr>
            </w:pPr>
          </w:p>
          <w:p w14:paraId="1D326C80" w14:textId="77777777" w:rsidR="0091081E"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Comentariu:</w:t>
            </w:r>
          </w:p>
          <w:p w14:paraId="3279344E"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Pentru claritate și eficiența normelor articolului 421 Codul muncii, considerăm necesară stabilirea unui termen procedural pentru consultare, pentru a preveni blocarea deciziilor angajatorului și pentru a asigura un proces lucrativ. Astfel, dacă reprezentanții salariaților nu transmit niciun punct de vedere până la expirarea termenului, consultarea se consideră finalizată, iar angajatorul poate adopta decizia în lipsa acesteia. </w:t>
            </w:r>
          </w:p>
          <w:p w14:paraId="6ED86AF3"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Logica considerării venitului persoanei pentru calcularea despăgubirilor pentru perioadă de absență forțată de la muncă în cazul transferului sau al eliberării nelegitime din serviciu este de a exclude îmbogățirea nejustificată a angajatului prin cumularea atât a despăgubirilor cât și a venitului din perioada pentru care se acordă despăgubirile. </w:t>
            </w:r>
          </w:p>
          <w:p w14:paraId="7F8BEB94"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Explicația este logică, pentru că, atâta timp cât despăgubirile se acordă pentru imposibilitatea de a muncii, în general, sau ca urmare a transferului ilegal, despăgubirile nu pot avea o mărime mai mare decât paguba suferită ca urmare a acestei imposibilități. </w:t>
            </w:r>
          </w:p>
          <w:p w14:paraId="35D97DFC"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Atunci când salariatul obține totuși venituri în perioada absenței de la serviciu (ca urmare a unui transfer ilegal sau unei concedieri ilegale), el valorifică (în bani) astfel timpul rezultat ca urmare a absenței sale de la serviciu. Prin urmare, aceste venituri trebuie scăzute din plata pentru absența forțată de la serviciu. </w:t>
            </w:r>
          </w:p>
          <w:p w14:paraId="73C2F1B4"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acest sens, este eronat și injust de a scădea din despăgubiri doar veniturile realizate ca salariu, pentru că angajatul poate valorifica acest timp în diferite modalități, inclusiv, prin prestarea unor servicii sau/și activitatea de întreprinzător. </w:t>
            </w:r>
          </w:p>
          <w:p w14:paraId="18BF7955"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Prin urmare, pentru a echilibra respectivele prevederi legale, propunem de a lua în considerație, la determinarea obligațiilor de plată a despăgubirilor, nu doar plățile salariale, ci și alte venituri realizate ca urmare a unei activități aducătoare de venituri în perioada absenței forțate, din moment ce acestea reprezintă modalități diferite de valorificare (în bani) a timpului rezultat ca urmare a transferului sau concedierii ilegale. </w:t>
            </w:r>
          </w:p>
        </w:tc>
        <w:tc>
          <w:tcPr>
            <w:tcW w:w="5880" w:type="dxa"/>
          </w:tcPr>
          <w:p w14:paraId="049E7DEF"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Norma a fost exclusă din proiect. </w:t>
            </w:r>
          </w:p>
        </w:tc>
      </w:tr>
      <w:tr w:rsidR="0091081E" w14:paraId="340F4551" w14:textId="77777777">
        <w:trPr>
          <w:trHeight w:val="600"/>
        </w:trPr>
        <w:tc>
          <w:tcPr>
            <w:tcW w:w="555" w:type="dxa"/>
            <w:vMerge/>
          </w:tcPr>
          <w:p w14:paraId="1722FC77" w14:textId="77777777" w:rsidR="0091081E" w:rsidRDefault="0091081E">
            <w:pPr>
              <w:widowControl w:val="0"/>
              <w:rPr>
                <w:rFonts w:ascii="Times New Roman" w:eastAsia="Times New Roman" w:hAnsi="Times New Roman" w:cs="Times New Roman"/>
                <w:highlight w:val="white"/>
              </w:rPr>
            </w:pPr>
          </w:p>
        </w:tc>
        <w:tc>
          <w:tcPr>
            <w:tcW w:w="2700" w:type="dxa"/>
            <w:vMerge/>
          </w:tcPr>
          <w:p w14:paraId="343C10E3" w14:textId="77777777" w:rsidR="0091081E" w:rsidRDefault="0091081E">
            <w:pPr>
              <w:widowControl w:val="0"/>
              <w:rPr>
                <w:rFonts w:ascii="Times New Roman" w:eastAsia="Times New Roman" w:hAnsi="Times New Roman" w:cs="Times New Roman"/>
                <w:highlight w:val="white"/>
              </w:rPr>
            </w:pPr>
          </w:p>
        </w:tc>
        <w:tc>
          <w:tcPr>
            <w:tcW w:w="5880" w:type="dxa"/>
          </w:tcPr>
          <w:p w14:paraId="7F609C05"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Articolul 247¹. Dispense pentru consultații prenatale </w:t>
            </w:r>
          </w:p>
          <w:p w14:paraId="384E5790" w14:textId="77777777" w:rsidR="0091081E" w:rsidRDefault="00000000">
            <w:pPr>
              <w:spacing w:line="240" w:lineRule="auto"/>
              <w:ind w:firstLine="284"/>
              <w:jc w:val="both"/>
              <w:rPr>
                <w:rFonts w:ascii="Times New Roman" w:eastAsia="Times New Roman" w:hAnsi="Times New Roman" w:cs="Times New Roman"/>
                <w:b/>
                <w:bCs/>
                <w:i/>
                <w:iCs/>
                <w:highlight w:val="white"/>
              </w:rPr>
            </w:pPr>
            <w:r>
              <w:rPr>
                <w:rFonts w:ascii="Times New Roman" w:eastAsia="Times New Roman" w:hAnsi="Times New Roman" w:cs="Times New Roman"/>
                <w:b/>
                <w:bCs/>
                <w:i/>
                <w:iCs/>
                <w:highlight w:val="white"/>
              </w:rPr>
              <w:t>Propunere de redactare:</w:t>
            </w:r>
          </w:p>
          <w:p w14:paraId="308210F2"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(Alin.1) propunem să fie reglementate durata sau periodicitatea consultațiilor prenatale. </w:t>
            </w:r>
          </w:p>
          <w:p w14:paraId="08D0E165" w14:textId="77777777" w:rsidR="0091081E" w:rsidRDefault="00000000">
            <w:pPr>
              <w:spacing w:line="24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(1) Femeile gravide beneficiază </w:t>
            </w:r>
            <w:r>
              <w:rPr>
                <w:rFonts w:ascii="Times New Roman" w:eastAsia="Times New Roman" w:hAnsi="Times New Roman" w:cs="Times New Roman"/>
                <w:b/>
                <w:bCs/>
                <w:i/>
                <w:iCs/>
              </w:rPr>
              <w:t xml:space="preserve">în fiecare lună de două dispense </w:t>
            </w:r>
            <w:r>
              <w:rPr>
                <w:rFonts w:ascii="Times New Roman" w:eastAsia="Times New Roman" w:hAnsi="Times New Roman" w:cs="Times New Roman"/>
                <w:i/>
                <w:iCs/>
              </w:rPr>
              <w:t xml:space="preserve">pentru efectuarea consultațiilor prenatale, în cazul în care acestea au loc în timpul programului de muncă. </w:t>
            </w:r>
          </w:p>
          <w:p w14:paraId="50638C20" w14:textId="77777777" w:rsidR="0091081E" w:rsidRDefault="0091081E">
            <w:pPr>
              <w:spacing w:line="240" w:lineRule="auto"/>
              <w:jc w:val="both"/>
              <w:rPr>
                <w:rFonts w:ascii="Times New Roman" w:eastAsia="Times New Roman" w:hAnsi="Times New Roman" w:cs="Times New Roman"/>
                <w:i/>
                <w:iCs/>
              </w:rPr>
            </w:pPr>
          </w:p>
          <w:p w14:paraId="16037674" w14:textId="77777777" w:rsidR="0091081E" w:rsidRDefault="0091081E">
            <w:pPr>
              <w:spacing w:line="240" w:lineRule="auto"/>
              <w:jc w:val="both"/>
              <w:rPr>
                <w:rFonts w:ascii="Times New Roman" w:eastAsia="Times New Roman" w:hAnsi="Times New Roman" w:cs="Times New Roman"/>
                <w:i/>
                <w:iCs/>
              </w:rPr>
            </w:pPr>
          </w:p>
          <w:p w14:paraId="1DE3F6EA" w14:textId="77777777" w:rsidR="0091081E" w:rsidRDefault="0091081E">
            <w:pPr>
              <w:spacing w:line="240" w:lineRule="auto"/>
              <w:jc w:val="both"/>
              <w:rPr>
                <w:rFonts w:ascii="Times New Roman" w:eastAsia="Times New Roman" w:hAnsi="Times New Roman" w:cs="Times New Roman"/>
                <w:i/>
                <w:iCs/>
              </w:rPr>
            </w:pPr>
          </w:p>
          <w:p w14:paraId="4D844061" w14:textId="77777777" w:rsidR="0091081E" w:rsidRDefault="0091081E">
            <w:pPr>
              <w:spacing w:line="240" w:lineRule="auto"/>
              <w:jc w:val="both"/>
              <w:rPr>
                <w:rFonts w:ascii="Times New Roman" w:eastAsia="Times New Roman" w:hAnsi="Times New Roman" w:cs="Times New Roman"/>
                <w:i/>
                <w:iCs/>
              </w:rPr>
            </w:pPr>
          </w:p>
          <w:p w14:paraId="65A6AD1E" w14:textId="77777777" w:rsidR="0091081E" w:rsidRDefault="0091081E">
            <w:pPr>
              <w:spacing w:line="240" w:lineRule="auto"/>
              <w:jc w:val="both"/>
              <w:rPr>
                <w:rFonts w:ascii="Times New Roman" w:eastAsia="Times New Roman" w:hAnsi="Times New Roman" w:cs="Times New Roman"/>
                <w:i/>
                <w:iCs/>
              </w:rPr>
            </w:pPr>
          </w:p>
          <w:p w14:paraId="464C369C" w14:textId="77777777" w:rsidR="0091081E" w:rsidRDefault="00000000">
            <w:pPr>
              <w:spacing w:line="240" w:lineRule="auto"/>
              <w:jc w:val="both"/>
              <w:rPr>
                <w:rFonts w:ascii="Times New Roman" w:eastAsia="Times New Roman" w:hAnsi="Times New Roman" w:cs="Times New Roman"/>
                <w:i/>
                <w:iCs/>
              </w:rPr>
            </w:pPr>
            <w:r>
              <w:pict w14:anchorId="68EAAE15">
                <v:rect id="_x0000_i1025" style="width:0;height:1.5pt" o:hralign="center" o:hrstd="t" o:hr="t" fillcolor="#a0a0a0" stroked="f"/>
              </w:pict>
            </w:r>
          </w:p>
          <w:p w14:paraId="74D7C8EC" w14:textId="77777777" w:rsidR="0091081E" w:rsidRDefault="0091081E">
            <w:pPr>
              <w:spacing w:line="240" w:lineRule="auto"/>
              <w:jc w:val="both"/>
              <w:rPr>
                <w:rFonts w:ascii="Times New Roman" w:eastAsia="Times New Roman" w:hAnsi="Times New Roman" w:cs="Times New Roman"/>
                <w:i/>
                <w:iCs/>
              </w:rPr>
            </w:pPr>
          </w:p>
          <w:p w14:paraId="1544062A"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(3) Pentru a beneficia de dispensa prevăzută la alin. (1), femeile gravide </w:t>
            </w:r>
            <w:r>
              <w:rPr>
                <w:rFonts w:ascii="Times New Roman" w:eastAsia="Times New Roman" w:hAnsi="Times New Roman" w:cs="Times New Roman"/>
                <w:b/>
                <w:bCs/>
              </w:rPr>
              <w:t>informează în scris angajatorul și prezintă un document justificativ</w:t>
            </w:r>
            <w:r>
              <w:rPr>
                <w:rFonts w:ascii="Times New Roman" w:eastAsia="Times New Roman" w:hAnsi="Times New Roman" w:cs="Times New Roman"/>
              </w:rPr>
              <w:t xml:space="preserve"> eliberat de instituția medico-sanitară competentă. </w:t>
            </w:r>
          </w:p>
          <w:p w14:paraId="6DAD399E" w14:textId="77777777" w:rsidR="0091081E" w:rsidRDefault="0091081E">
            <w:pPr>
              <w:spacing w:line="240" w:lineRule="auto"/>
              <w:jc w:val="both"/>
              <w:rPr>
                <w:rFonts w:ascii="Times New Roman" w:eastAsia="Times New Roman" w:hAnsi="Times New Roman" w:cs="Times New Roman"/>
                <w:b/>
                <w:bCs/>
                <w:i/>
                <w:iCs/>
                <w:highlight w:val="white"/>
              </w:rPr>
            </w:pPr>
          </w:p>
          <w:p w14:paraId="298863BA" w14:textId="77777777" w:rsidR="0091081E" w:rsidRDefault="0091081E">
            <w:pPr>
              <w:spacing w:line="240" w:lineRule="auto"/>
              <w:jc w:val="both"/>
              <w:rPr>
                <w:rFonts w:ascii="Times New Roman" w:eastAsia="Times New Roman" w:hAnsi="Times New Roman" w:cs="Times New Roman"/>
                <w:b/>
                <w:bCs/>
                <w:i/>
                <w:iCs/>
                <w:highlight w:val="white"/>
              </w:rPr>
            </w:pPr>
          </w:p>
          <w:p w14:paraId="70669DD3" w14:textId="77777777" w:rsidR="0091081E" w:rsidRDefault="00000000">
            <w:pPr>
              <w:spacing w:line="240" w:lineRule="auto"/>
              <w:jc w:val="both"/>
              <w:rPr>
                <w:rFonts w:ascii="Times New Roman" w:eastAsia="Times New Roman" w:hAnsi="Times New Roman" w:cs="Times New Roman"/>
                <w:b/>
                <w:bCs/>
                <w:i/>
                <w:iCs/>
                <w:highlight w:val="white"/>
              </w:rPr>
            </w:pPr>
            <w:r>
              <w:pict w14:anchorId="0E2537CB">
                <v:rect id="_x0000_i1026" style="width:0;height:1.5pt" o:hralign="center" o:hrstd="t" o:hr="t" fillcolor="#a0a0a0" stroked="f"/>
              </w:pict>
            </w:r>
          </w:p>
          <w:p w14:paraId="2BC19DE4" w14:textId="77777777" w:rsidR="0091081E" w:rsidRDefault="00000000">
            <w:pPr>
              <w:spacing w:line="240" w:lineRule="auto"/>
              <w:ind w:firstLine="284"/>
              <w:jc w:val="both"/>
              <w:rPr>
                <w:rFonts w:ascii="Times New Roman" w:eastAsia="Times New Roman" w:hAnsi="Times New Roman" w:cs="Times New Roman"/>
                <w:b/>
                <w:bCs/>
                <w:i/>
                <w:iCs/>
                <w:highlight w:val="white"/>
              </w:rPr>
            </w:pPr>
            <w:r>
              <w:rPr>
                <w:rFonts w:ascii="Times New Roman" w:eastAsia="Times New Roman" w:hAnsi="Times New Roman" w:cs="Times New Roman"/>
                <w:b/>
                <w:bCs/>
                <w:i/>
                <w:iCs/>
                <w:highlight w:val="white"/>
              </w:rPr>
              <w:t>Comentariu:</w:t>
            </w:r>
          </w:p>
          <w:p w14:paraId="3DD2FF95"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Urmare analizei proiectului relevă necesitatea unor ajustări ale textului propus, pentru a asigura o transpunere clară a Directivei, precum și o aplicare echilibrată și previzibilă a normei atât pentru salariate, cât și pentru angajatori. </w:t>
            </w:r>
          </w:p>
          <w:p w14:paraId="62A3C31B"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b/>
                <w:bCs/>
              </w:rPr>
              <w:t>În primul rând</w:t>
            </w:r>
            <w:r>
              <w:rPr>
                <w:rFonts w:ascii="Times New Roman" w:eastAsia="Times New Roman" w:hAnsi="Times New Roman" w:cs="Times New Roman"/>
              </w:rPr>
              <w:t xml:space="preserve">, considerăm necesară reformularea definiției noțiunii de „dispensă”, pentru a reflecta mai clar caracterul remunerat al acesteia și condițiile în care se acordă. Formularea actuală utilizează expresia „fără afectarea drepturilor salariale”, care nu exprimă cu aceeași claritate garanția remunerării prevăzută de Directiva 92/85/CEE. </w:t>
            </w:r>
          </w:p>
          <w:p w14:paraId="3F80C3B1" w14:textId="77777777" w:rsidR="0091081E" w:rsidRDefault="00000000">
            <w:pPr>
              <w:spacing w:line="240" w:lineRule="auto"/>
              <w:jc w:val="both"/>
              <w:rPr>
                <w:rFonts w:ascii="Times New Roman" w:eastAsia="Times New Roman" w:hAnsi="Times New Roman" w:cs="Times New Roman"/>
                <w:b/>
                <w:bCs/>
                <w:i/>
                <w:iCs/>
                <w:highlight w:val="white"/>
              </w:rPr>
            </w:pPr>
            <w:r>
              <w:pict w14:anchorId="44DA2A42">
                <v:rect id="_x0000_i1027" style="width:0;height:1.5pt" o:hralign="center" o:hrstd="t" o:hr="t" fillcolor="#a0a0a0" stroked="f"/>
              </w:pict>
            </w:r>
          </w:p>
          <w:p w14:paraId="49E031D2"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Totodată, definiția nu precizează că dispensa se acordă atunci când consultațiile prenatale au loc în timpul programului de muncă.</w:t>
            </w:r>
          </w:p>
          <w:p w14:paraId="38E41AEF" w14:textId="77777777" w:rsidR="0091081E" w:rsidRDefault="0091081E">
            <w:pPr>
              <w:spacing w:line="240" w:lineRule="auto"/>
              <w:jc w:val="both"/>
              <w:rPr>
                <w:rFonts w:ascii="Times New Roman" w:eastAsia="Times New Roman" w:hAnsi="Times New Roman" w:cs="Times New Roman"/>
              </w:rPr>
            </w:pPr>
          </w:p>
          <w:p w14:paraId="21EA0DE8" w14:textId="77777777" w:rsidR="0091081E" w:rsidRDefault="00000000">
            <w:pPr>
              <w:spacing w:line="240" w:lineRule="auto"/>
              <w:jc w:val="both"/>
              <w:rPr>
                <w:rFonts w:ascii="Times New Roman" w:eastAsia="Times New Roman" w:hAnsi="Times New Roman" w:cs="Times New Roman"/>
                <w:b/>
                <w:bCs/>
              </w:rPr>
            </w:pPr>
            <w:r>
              <w:pict w14:anchorId="0093F2B5">
                <v:rect id="_x0000_i1028" style="width:0;height:1.5pt" o:hralign="center" o:hrstd="t" o:hr="t" fillcolor="#a0a0a0" stroked="f"/>
              </w:pict>
            </w:r>
          </w:p>
          <w:p w14:paraId="2B2430E9"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b/>
                <w:bCs/>
              </w:rPr>
              <w:t>În al doilea rând</w:t>
            </w:r>
            <w:r>
              <w:rPr>
                <w:rFonts w:ascii="Times New Roman" w:eastAsia="Times New Roman" w:hAnsi="Times New Roman" w:cs="Times New Roman"/>
              </w:rPr>
              <w:t xml:space="preserve">, pentru a asigura buna organizare a activității în cadrul unității, considerăm necesară introducerea </w:t>
            </w:r>
            <w:r>
              <w:rPr>
                <w:rFonts w:ascii="Times New Roman" w:eastAsia="Times New Roman" w:hAnsi="Times New Roman" w:cs="Times New Roman"/>
                <w:b/>
                <w:bCs/>
              </w:rPr>
              <w:t>obligației salariatei de a informa angajatorul, într-un termen rezonabil</w:t>
            </w:r>
            <w:r>
              <w:rPr>
                <w:rFonts w:ascii="Times New Roman" w:eastAsia="Times New Roman" w:hAnsi="Times New Roman" w:cs="Times New Roman"/>
              </w:rPr>
              <w:t xml:space="preserve">, despre consultația programată. </w:t>
            </w:r>
          </w:p>
          <w:p w14:paraId="267513E4" w14:textId="77777777" w:rsidR="0091081E" w:rsidRDefault="0091081E">
            <w:pPr>
              <w:spacing w:line="240" w:lineRule="auto"/>
              <w:ind w:firstLine="567"/>
              <w:jc w:val="both"/>
              <w:rPr>
                <w:rFonts w:ascii="Times New Roman" w:eastAsia="Times New Roman" w:hAnsi="Times New Roman" w:cs="Times New Roman"/>
              </w:rPr>
            </w:pPr>
          </w:p>
          <w:p w14:paraId="7488E2F9" w14:textId="77777777" w:rsidR="0091081E" w:rsidRDefault="0091081E">
            <w:pPr>
              <w:spacing w:line="240" w:lineRule="auto"/>
              <w:jc w:val="both"/>
              <w:rPr>
                <w:rFonts w:ascii="Times New Roman" w:eastAsia="Times New Roman" w:hAnsi="Times New Roman" w:cs="Times New Roman"/>
              </w:rPr>
            </w:pPr>
          </w:p>
          <w:p w14:paraId="42785FCC" w14:textId="77777777" w:rsidR="0091081E" w:rsidRDefault="00000000">
            <w:pPr>
              <w:spacing w:line="240" w:lineRule="auto"/>
              <w:jc w:val="both"/>
              <w:rPr>
                <w:rFonts w:ascii="Times New Roman" w:eastAsia="Times New Roman" w:hAnsi="Times New Roman" w:cs="Times New Roman"/>
              </w:rPr>
            </w:pPr>
            <w:r>
              <w:pict w14:anchorId="46D2BD3B">
                <v:rect id="_x0000_i1029" style="width:0;height:1.5pt" o:hralign="center" o:hrstd="t" o:hr="t" fillcolor="#a0a0a0" stroked="f"/>
              </w:pict>
            </w:r>
          </w:p>
          <w:p w14:paraId="1EFFD9F9"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Informarea ar trebui să se facă în formă scrisă, pentru a permite angajatorului să organizeze activitatea și să asigure evidența absențelor motivate.  </w:t>
            </w:r>
          </w:p>
          <w:p w14:paraId="5859D629" w14:textId="77777777" w:rsidR="0091081E" w:rsidRDefault="0091081E">
            <w:pPr>
              <w:spacing w:line="240" w:lineRule="auto"/>
              <w:jc w:val="both"/>
              <w:rPr>
                <w:rFonts w:ascii="Times New Roman" w:eastAsia="Times New Roman" w:hAnsi="Times New Roman" w:cs="Times New Roman"/>
                <w:b/>
                <w:bCs/>
                <w:i/>
                <w:iCs/>
                <w:highlight w:val="white"/>
              </w:rPr>
            </w:pPr>
          </w:p>
          <w:p w14:paraId="0979BF49" w14:textId="77777777" w:rsidR="0091081E" w:rsidRDefault="0091081E">
            <w:pPr>
              <w:spacing w:line="240" w:lineRule="auto"/>
              <w:jc w:val="both"/>
              <w:rPr>
                <w:rFonts w:ascii="Times New Roman" w:eastAsia="Times New Roman" w:hAnsi="Times New Roman" w:cs="Times New Roman"/>
                <w:b/>
                <w:bCs/>
                <w:i/>
                <w:iCs/>
                <w:highlight w:val="white"/>
              </w:rPr>
            </w:pPr>
          </w:p>
          <w:p w14:paraId="1EAC0593" w14:textId="77777777" w:rsidR="0091081E" w:rsidRDefault="0091081E">
            <w:pPr>
              <w:spacing w:line="240" w:lineRule="auto"/>
              <w:jc w:val="both"/>
              <w:rPr>
                <w:rFonts w:ascii="Times New Roman" w:eastAsia="Times New Roman" w:hAnsi="Times New Roman" w:cs="Times New Roman"/>
                <w:b/>
                <w:bCs/>
                <w:i/>
                <w:iCs/>
                <w:highlight w:val="white"/>
              </w:rPr>
            </w:pPr>
          </w:p>
          <w:p w14:paraId="485E98C4" w14:textId="77777777" w:rsidR="0091081E" w:rsidRDefault="0091081E">
            <w:pPr>
              <w:spacing w:line="240" w:lineRule="auto"/>
              <w:jc w:val="both"/>
              <w:rPr>
                <w:rFonts w:ascii="Times New Roman" w:eastAsia="Times New Roman" w:hAnsi="Times New Roman" w:cs="Times New Roman"/>
                <w:b/>
                <w:bCs/>
                <w:i/>
                <w:iCs/>
                <w:highlight w:val="white"/>
              </w:rPr>
            </w:pPr>
          </w:p>
          <w:p w14:paraId="7017722A" w14:textId="77777777" w:rsidR="0091081E" w:rsidRDefault="00000000">
            <w:pPr>
              <w:spacing w:line="240" w:lineRule="auto"/>
              <w:jc w:val="both"/>
              <w:rPr>
                <w:rFonts w:ascii="Times New Roman" w:eastAsia="Times New Roman" w:hAnsi="Times New Roman" w:cs="Times New Roman"/>
                <w:b/>
                <w:bCs/>
                <w:i/>
                <w:iCs/>
                <w:highlight w:val="white"/>
              </w:rPr>
            </w:pPr>
            <w:r>
              <w:pict w14:anchorId="1DB2521C">
                <v:rect id="_x0000_i1030" style="width:0;height:1.5pt" o:hralign="center" o:hrstd="t" o:hr="t" fillcolor="#a0a0a0" stroked="f"/>
              </w:pict>
            </w:r>
          </w:p>
          <w:p w14:paraId="4E83A2BA"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Totodată, recomandăm completarea normei cu obligația prezentării unui document justificativ eliberat de instituția medico-sanitară competentă, într-un termen determinat după efectuarea consultației, care să confirme participarea la consultația prenatală. </w:t>
            </w:r>
          </w:p>
          <w:p w14:paraId="2B06A1F2" w14:textId="77777777" w:rsidR="0091081E" w:rsidRDefault="0091081E">
            <w:pPr>
              <w:spacing w:line="240" w:lineRule="auto"/>
              <w:jc w:val="both"/>
              <w:rPr>
                <w:rFonts w:ascii="Times New Roman" w:eastAsia="Times New Roman" w:hAnsi="Times New Roman" w:cs="Times New Roman"/>
                <w:b/>
                <w:bCs/>
                <w:i/>
                <w:iCs/>
                <w:highlight w:val="white"/>
              </w:rPr>
            </w:pPr>
          </w:p>
          <w:p w14:paraId="387F9BBA" w14:textId="77777777" w:rsidR="0091081E" w:rsidRDefault="0091081E">
            <w:pPr>
              <w:spacing w:line="240" w:lineRule="auto"/>
              <w:jc w:val="both"/>
              <w:rPr>
                <w:rFonts w:ascii="Times New Roman" w:eastAsia="Times New Roman" w:hAnsi="Times New Roman" w:cs="Times New Roman"/>
                <w:b/>
                <w:bCs/>
                <w:i/>
                <w:iCs/>
                <w:highlight w:val="white"/>
              </w:rPr>
            </w:pPr>
          </w:p>
          <w:p w14:paraId="12860E1B" w14:textId="77777777" w:rsidR="0091081E" w:rsidRDefault="00000000">
            <w:pPr>
              <w:spacing w:line="240" w:lineRule="auto"/>
              <w:jc w:val="both"/>
              <w:rPr>
                <w:rFonts w:ascii="Times New Roman" w:eastAsia="Times New Roman" w:hAnsi="Times New Roman" w:cs="Times New Roman"/>
                <w:b/>
                <w:bCs/>
                <w:i/>
                <w:iCs/>
                <w:highlight w:val="white"/>
              </w:rPr>
            </w:pPr>
            <w:r>
              <w:pict w14:anchorId="5D04BAA9">
                <v:rect id="_x0000_i1031" style="width:0;height:1.5pt" o:hralign="center" o:hrstd="t" o:hr="t" fillcolor="#a0a0a0" stroked="f"/>
              </w:pict>
            </w:r>
          </w:p>
          <w:p w14:paraId="3BD7EBFD" w14:textId="77777777" w:rsidR="0091081E" w:rsidRDefault="00000000">
            <w:pPr>
              <w:spacing w:line="240" w:lineRule="auto"/>
              <w:ind w:firstLine="567"/>
              <w:jc w:val="both"/>
              <w:rPr>
                <w:rFonts w:ascii="Times New Roman" w:eastAsia="Times New Roman" w:hAnsi="Times New Roman" w:cs="Times New Roman"/>
                <w:b/>
                <w:bCs/>
                <w:i/>
                <w:iCs/>
                <w:highlight w:val="white"/>
              </w:rPr>
            </w:pPr>
            <w:r>
              <w:rPr>
                <w:rFonts w:ascii="Times New Roman" w:eastAsia="Times New Roman" w:hAnsi="Times New Roman" w:cs="Times New Roman"/>
                <w:b/>
                <w:bCs/>
              </w:rPr>
              <w:t>În al treilea rând</w:t>
            </w:r>
            <w:r>
              <w:rPr>
                <w:rFonts w:ascii="Times New Roman" w:eastAsia="Times New Roman" w:hAnsi="Times New Roman" w:cs="Times New Roman"/>
              </w:rPr>
              <w:t xml:space="preserve">, pentru a preveni eventuale dificultăți de aplicare și pentru a asigura un echilibru între dreptul salariatei și necesitățile organizatorice ale angajatorului, considerăm oportună </w:t>
            </w:r>
            <w:r>
              <w:rPr>
                <w:rFonts w:ascii="Times New Roman" w:eastAsia="Times New Roman" w:hAnsi="Times New Roman" w:cs="Times New Roman"/>
                <w:b/>
                <w:bCs/>
              </w:rPr>
              <w:t>stabilirea unor repere privind frecvența sau periodicitatea dispenselor</w:t>
            </w:r>
            <w:r>
              <w:rPr>
                <w:rFonts w:ascii="Times New Roman" w:eastAsia="Times New Roman" w:hAnsi="Times New Roman" w:cs="Times New Roman"/>
              </w:rPr>
              <w:t xml:space="preserve">. În practică, consultațiile prenatale sunt stabilite în baza protocolului medical aprobat prin Ordinul Ministerului Sănătății nr. 311/2023 privind Standardul de supraveghere a gravidelor cu evoluție fiziologică a sarcinii în condiții de </w:t>
            </w:r>
            <w:proofErr w:type="spellStart"/>
            <w:r>
              <w:rPr>
                <w:rFonts w:ascii="Times New Roman" w:eastAsia="Times New Roman" w:hAnsi="Times New Roman" w:cs="Times New Roman"/>
              </w:rPr>
              <w:t>ambulator</w:t>
            </w:r>
            <w:proofErr w:type="spellEnd"/>
            <w:r>
              <w:rPr>
                <w:rFonts w:ascii="Times New Roman" w:eastAsia="Times New Roman" w:hAnsi="Times New Roman" w:cs="Times New Roman"/>
              </w:rPr>
              <w:t xml:space="preserve">, care prevede o anumită periodicitate a vizitelor medicale. </w:t>
            </w:r>
          </w:p>
          <w:p w14:paraId="65851C01" w14:textId="77777777" w:rsidR="0091081E" w:rsidRDefault="00000000">
            <w:pPr>
              <w:spacing w:line="240" w:lineRule="auto"/>
              <w:jc w:val="both"/>
              <w:rPr>
                <w:rFonts w:ascii="Times New Roman" w:eastAsia="Times New Roman" w:hAnsi="Times New Roman" w:cs="Times New Roman"/>
                <w:b/>
                <w:bCs/>
                <w:i/>
                <w:iCs/>
                <w:highlight w:val="white"/>
              </w:rPr>
            </w:pPr>
            <w:r>
              <w:pict w14:anchorId="1979D1F8">
                <v:rect id="_x0000_i1032" style="width:0;height:1.5pt" o:hralign="center" o:hrstd="t" o:hr="t" fillcolor="#a0a0a0" stroked="f"/>
              </w:pict>
            </w:r>
          </w:p>
          <w:p w14:paraId="3E903D10" w14:textId="77777777" w:rsidR="0091081E" w:rsidRDefault="00000000">
            <w:pPr>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t xml:space="preserve">În acest context, norma ar putea face trimitere la programul stabilit de medicul specialist sau ar putea prevedea că dispensa se acordă în limita consultațiilor stabilite conform documentului medical justificativ. </w:t>
            </w:r>
          </w:p>
          <w:p w14:paraId="3E835B77"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De asemenea, considerăm oportun ca articolul să precizeze că </w:t>
            </w:r>
            <w:r>
              <w:rPr>
                <w:rFonts w:ascii="Times New Roman" w:eastAsia="Times New Roman" w:hAnsi="Times New Roman" w:cs="Times New Roman"/>
                <w:b/>
                <w:bCs/>
              </w:rPr>
              <w:t>dispensa se acordă pe durata efectivă a consultației prenatale și a timpului necesar deplasării, conform documentului justificativ prezentat de salariată</w:t>
            </w:r>
            <w:r>
              <w:rPr>
                <w:rFonts w:ascii="Times New Roman" w:eastAsia="Times New Roman" w:hAnsi="Times New Roman" w:cs="Times New Roman"/>
              </w:rPr>
              <w:t>.</w:t>
            </w:r>
          </w:p>
          <w:p w14:paraId="5058B71A" w14:textId="77777777" w:rsidR="0091081E" w:rsidRDefault="0091081E">
            <w:pPr>
              <w:spacing w:line="240" w:lineRule="auto"/>
              <w:jc w:val="both"/>
              <w:rPr>
                <w:rFonts w:ascii="Times New Roman" w:eastAsia="Times New Roman" w:hAnsi="Times New Roman" w:cs="Times New Roman"/>
              </w:rPr>
            </w:pPr>
          </w:p>
          <w:p w14:paraId="7675363C" w14:textId="77777777" w:rsidR="0091081E" w:rsidRDefault="0091081E">
            <w:pPr>
              <w:spacing w:line="240" w:lineRule="auto"/>
              <w:jc w:val="both"/>
              <w:rPr>
                <w:rFonts w:ascii="Times New Roman" w:eastAsia="Times New Roman" w:hAnsi="Times New Roman" w:cs="Times New Roman"/>
              </w:rPr>
            </w:pPr>
          </w:p>
          <w:p w14:paraId="09AE9B2E" w14:textId="77777777" w:rsidR="0091081E" w:rsidRDefault="0091081E">
            <w:pPr>
              <w:spacing w:line="240" w:lineRule="auto"/>
              <w:jc w:val="both"/>
              <w:rPr>
                <w:rFonts w:ascii="Times New Roman" w:eastAsia="Times New Roman" w:hAnsi="Times New Roman" w:cs="Times New Roman"/>
              </w:rPr>
            </w:pPr>
          </w:p>
          <w:p w14:paraId="0A83DF19" w14:textId="77777777" w:rsidR="0091081E" w:rsidRDefault="00000000">
            <w:pPr>
              <w:spacing w:line="240" w:lineRule="auto"/>
              <w:jc w:val="both"/>
              <w:rPr>
                <w:rFonts w:ascii="Times New Roman" w:eastAsia="Times New Roman" w:hAnsi="Times New Roman" w:cs="Times New Roman"/>
                <w:b/>
                <w:bCs/>
                <w:i/>
                <w:iCs/>
                <w:highlight w:val="white"/>
              </w:rPr>
            </w:pPr>
            <w:r>
              <w:pict w14:anchorId="7178D222">
                <v:rect id="_x0000_i1033" style="width:0;height:1.5pt" o:hralign="center" o:hrstd="t" o:hr="t" fillcolor="#a0a0a0" stroked="f"/>
              </w:pict>
            </w:r>
          </w:p>
          <w:p w14:paraId="00127C15"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În al patrulea rând</w:t>
            </w:r>
            <w:r>
              <w:rPr>
                <w:rFonts w:ascii="Times New Roman" w:eastAsia="Times New Roman" w:hAnsi="Times New Roman" w:cs="Times New Roman"/>
              </w:rPr>
              <w:t xml:space="preserve">, pentru a evita eventuale confuzii în aplicarea normei, este necesară delimitarea expresă între dispensa pentru consultații prenatale și concediul medical. Consultațiile prenatale vizează monitorizarea fiziologică a sarcinii și nu presupun, în mod necesar, incapacitatea temporară de muncă. În schimb, concediul medical intervine în situațiile în care starea de sănătate a salariatei determină incapacitatea temporară de muncă. </w:t>
            </w:r>
          </w:p>
          <w:p w14:paraId="602ED55E"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În lipsa unei asemenea precizări, pot apărea dificultăți de interpretare în practică privind aplicarea corectă a celor două instituții juridice distincte. În acest sens, recomandăm completarea articolului cu o prevedere care să stabilească expres că dispensa se acordă doar pentru consultațiile prenatale care nu determină incapacitate temporară de muncă și nu impun acordarea concediului medical. </w:t>
            </w:r>
          </w:p>
          <w:p w14:paraId="7FBC69A3"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Astfel, considerăm necesară ajustarea textului propus pentru a asigura: </w:t>
            </w:r>
          </w:p>
          <w:p w14:paraId="7A2D8EAB"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claritatea și corecta transpunere a Directivei 92/85/CEE; </w:t>
            </w:r>
          </w:p>
          <w:p w14:paraId="40C72B16"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•delimitarea expresă între dispensa prenatală și concediul medical; </w:t>
            </w:r>
          </w:p>
          <w:p w14:paraId="33CCB34D"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stabilirea unor reguli procedurale minime privind informarea angajatorului și prezentarea documentelor justificative; </w:t>
            </w:r>
          </w:p>
          <w:p w14:paraId="4F074F50"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aplicabilitatea practică a normei și prevenirea eventualelor abuzuri. </w:t>
            </w:r>
          </w:p>
          <w:p w14:paraId="667A8EB2"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Aceste ajustări vor contribui la crearea unui cadru normativ echilibrat, care protejează sănătatea salariatelor gravide, menținând în același timp predictibilitatea și buna organizare a activității în cadrul întreprinderilor. </w:t>
            </w:r>
          </w:p>
        </w:tc>
        <w:tc>
          <w:tcPr>
            <w:tcW w:w="5880" w:type="dxa"/>
          </w:tcPr>
          <w:p w14:paraId="06C12C51"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parțial. </w:t>
            </w:r>
          </w:p>
          <w:p w14:paraId="3BCDD73F"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Cu referire la plafonarea dispenselor, nu poate fi instituită o limită de două dispense pe lună</w:t>
            </w:r>
            <w:r>
              <w:rPr>
                <w:rFonts w:ascii="Times New Roman" w:eastAsia="Times New Roman" w:hAnsi="Times New Roman" w:cs="Times New Roman"/>
                <w:highlight w:val="white"/>
              </w:rPr>
              <w:t>, deoarece dreptul salariatei gravide trebuie raportat la necesitatea medicală reală, nu la un plafon arbitrar stabilit de lege. Frecvența consultațiilor prenatale diferă în funcție de evoluția sarcinii și de recomandarea medicului, iar o limitare rigidă ar putea lipsi de efect util însăși protecția acordată. În plus, art. 9 din Directiva 92/85/CEE are în vedere acordarea timpului necesar pentru efectuarea consultațiilor prenatale atunci când acestea au loc în timpul programului de muncă, nu restrângerea acestui drept la un număr fix de prezentări lunar.</w:t>
            </w:r>
          </w:p>
          <w:p w14:paraId="62C77216" w14:textId="77777777" w:rsidR="0091081E" w:rsidRDefault="00000000">
            <w:pPr>
              <w:spacing w:line="240" w:lineRule="auto"/>
              <w:jc w:val="both"/>
              <w:rPr>
                <w:rFonts w:ascii="Times New Roman" w:eastAsia="Times New Roman" w:hAnsi="Times New Roman" w:cs="Times New Roman"/>
                <w:highlight w:val="white"/>
              </w:rPr>
            </w:pPr>
            <w:r>
              <w:pict w14:anchorId="432267A6">
                <v:rect id="_x0000_i1034" style="width:0;height:1.5pt" o:hralign="center" o:hrstd="t" o:hr="t" fillcolor="#a0a0a0" stroked="f"/>
              </w:pict>
            </w:r>
          </w:p>
          <w:p w14:paraId="1870ACE8" w14:textId="77777777" w:rsidR="0091081E"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Se acceptă:</w:t>
            </w:r>
          </w:p>
          <w:p w14:paraId="35A5FDE0" w14:textId="77777777" w:rsidR="0091081E" w:rsidRDefault="0091081E">
            <w:pPr>
              <w:spacing w:line="240" w:lineRule="auto"/>
              <w:jc w:val="both"/>
              <w:rPr>
                <w:rFonts w:ascii="Times New Roman" w:eastAsia="Times New Roman" w:hAnsi="Times New Roman" w:cs="Times New Roman"/>
                <w:highlight w:val="white"/>
              </w:rPr>
            </w:pPr>
          </w:p>
          <w:p w14:paraId="3C0939B1"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247¹ alin. (3) va avea următoarea redacție:</w:t>
            </w:r>
          </w:p>
          <w:p w14:paraId="48F7016F" w14:textId="77777777" w:rsidR="0091081E"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highlight w:val="white"/>
              </w:rPr>
              <w:t>(3) Pentru a beneficia de dispensa prevăzută la alin. (1), femeia gravidă informează în prealabil angajatorul, inclusiv prin mijloace de comunicare electronică, și prezintă o confirmare eliberată de instituția medico-sanitară competentă privind necesitatea prezentării la consultația prenatală.</w:t>
            </w:r>
            <w:r>
              <w:pict w14:anchorId="19EF2A8B">
                <v:rect id="_x0000_i1035" style="width:0;height:1.5pt" o:hralign="center" o:hrstd="t" o:hr="t" fillcolor="#a0a0a0" stroked="f"/>
              </w:pict>
            </w:r>
          </w:p>
          <w:p w14:paraId="46FED9C3"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39F4F0E5"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Din punct de vedere normativ, formularea acoperă garanția menținerii remunerației și este compatibilă cu scopul de protecție urmărit de Directiva 92/85/CEE, fără a fi necesară o reformulare suplimentară.</w:t>
            </w:r>
          </w:p>
          <w:p w14:paraId="04CA5FFB"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articolului 247¹ alin (4) din proiect prevede expres că:</w:t>
            </w:r>
          </w:p>
          <w:p w14:paraId="62D0CB0A"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Acordarea dispenselor pentru consultații prenatale nu poate constitui temei pentru reducerea drepturilor salariale</w:t>
            </w:r>
            <w:r>
              <w:rPr>
                <w:rFonts w:ascii="Times New Roman" w:eastAsia="Times New Roman" w:hAnsi="Times New Roman" w:cs="Times New Roman"/>
                <w:highlight w:val="white"/>
              </w:rPr>
              <w:t>, modificarea condițiilor de muncă, aplicarea măsurilor disciplinare sau producerea altor consecințe nefavorabile pentru femeile gravide.</w:t>
            </w:r>
          </w:p>
          <w:p w14:paraId="7F0A3AEF"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pict w14:anchorId="073FC4CE">
                <v:rect id="_x0000_i1036" style="width:0;height:1.5pt" o:hralign="center" o:hrstd="t" o:hr="t" fillcolor="#a0a0a0" stroked="f"/>
              </w:pict>
            </w:r>
          </w:p>
          <w:p w14:paraId="4683F02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Nu se acceptă: </w:t>
            </w:r>
          </w:p>
          <w:p w14:paraId="4EA05EBB"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Conform proiectului de lege, femeile gravide beneficiază de dispense pentru efectuarea consultațiilor prenatale, </w:t>
            </w:r>
            <w:r>
              <w:rPr>
                <w:rFonts w:ascii="Times New Roman" w:eastAsia="Times New Roman" w:hAnsi="Times New Roman" w:cs="Times New Roman"/>
                <w:b/>
                <w:bCs/>
                <w:highlight w:val="white"/>
              </w:rPr>
              <w:t>în cazul în care acestea au loc în timpul programului de muncă</w:t>
            </w:r>
            <w:r>
              <w:rPr>
                <w:rFonts w:ascii="Times New Roman" w:eastAsia="Times New Roman" w:hAnsi="Times New Roman" w:cs="Times New Roman"/>
                <w:highlight w:val="white"/>
              </w:rPr>
              <w:t>.</w:t>
            </w:r>
          </w:p>
          <w:p w14:paraId="795F1AF9" w14:textId="77777777" w:rsidR="0091081E" w:rsidRDefault="00000000">
            <w:pPr>
              <w:spacing w:line="240" w:lineRule="auto"/>
              <w:jc w:val="both"/>
              <w:rPr>
                <w:rFonts w:ascii="Times New Roman" w:eastAsia="Times New Roman" w:hAnsi="Times New Roman" w:cs="Times New Roman"/>
                <w:b/>
                <w:bCs/>
                <w:highlight w:val="white"/>
              </w:rPr>
            </w:pPr>
            <w:r>
              <w:pict w14:anchorId="346DD00E">
                <v:rect id="_x0000_i1037" style="width:0;height:1.5pt" o:hralign="center" o:hrstd="t" o:hr="t" fillcolor="#a0a0a0" stroked="f"/>
              </w:pict>
            </w:r>
          </w:p>
          <w:p w14:paraId="509ACA00"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Nu se acceptă:</w:t>
            </w:r>
          </w:p>
          <w:p w14:paraId="5D445277" w14:textId="77777777" w:rsidR="0091081E" w:rsidRDefault="00000000">
            <w:pPr>
              <w:spacing w:line="240" w:lineRule="auto"/>
              <w:jc w:val="both"/>
              <w:rPr>
                <w:rFonts w:ascii="Times New Roman" w:eastAsia="Times New Roman" w:hAnsi="Times New Roman" w:cs="Times New Roman"/>
                <w:b/>
                <w:bCs/>
                <w:i/>
                <w:iCs/>
                <w:highlight w:val="white"/>
              </w:rPr>
            </w:pPr>
            <w:r>
              <w:rPr>
                <w:rFonts w:ascii="Times New Roman" w:eastAsia="Times New Roman" w:hAnsi="Times New Roman" w:cs="Times New Roman"/>
                <w:highlight w:val="white"/>
              </w:rPr>
              <w:t>Se va menține obligația de informare prealabilă a angajatorului, însă fără instituirea unui termen expres, deoarece consultațiile prenatale pot interveni și în regim urgent ori pot fi programate într-un interval scurt, iar stabilirea unui termen rigid ar putea genera situații formale de nerespectare a normei.</w:t>
            </w:r>
          </w:p>
          <w:p w14:paraId="211C91B9" w14:textId="77777777" w:rsidR="0091081E" w:rsidRDefault="00000000">
            <w:pPr>
              <w:spacing w:line="240" w:lineRule="auto"/>
              <w:jc w:val="both"/>
              <w:rPr>
                <w:rFonts w:ascii="Times New Roman" w:eastAsia="Times New Roman" w:hAnsi="Times New Roman" w:cs="Times New Roman"/>
                <w:b/>
                <w:bCs/>
                <w:i/>
                <w:iCs/>
                <w:highlight w:val="white"/>
              </w:rPr>
            </w:pPr>
            <w:r>
              <w:pict w14:anchorId="73D36BEB">
                <v:rect id="_x0000_i1038" style="width:0;height:1.5pt" o:hralign="center" o:hrstd="t" o:hr="t" fillcolor="#a0a0a0" stroked="f"/>
              </w:pict>
            </w:r>
          </w:p>
          <w:p w14:paraId="600F2EA9"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w:t>
            </w:r>
          </w:p>
          <w:p w14:paraId="417DFC09"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247¹ alin. (3) va avea următoarea redacție:</w:t>
            </w:r>
          </w:p>
          <w:p w14:paraId="193ABBAA"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i/>
                <w:iCs/>
                <w:highlight w:val="white"/>
              </w:rPr>
            </w:pPr>
            <w:r>
              <w:rPr>
                <w:rFonts w:ascii="Times New Roman" w:eastAsia="Times New Roman" w:hAnsi="Times New Roman" w:cs="Times New Roman"/>
                <w:highlight w:val="white"/>
              </w:rPr>
              <w:t>“Pentru a beneficia de dispensa prevăzută la alin. (1), f</w:t>
            </w:r>
            <w:r>
              <w:rPr>
                <w:rFonts w:ascii="Times New Roman" w:eastAsia="Times New Roman" w:hAnsi="Times New Roman" w:cs="Times New Roman"/>
                <w:b/>
                <w:bCs/>
                <w:highlight w:val="white"/>
              </w:rPr>
              <w:t>emeia gravidă informează în prealabil angajatorul, inclusiv prin mijloace de comunicare electronică</w:t>
            </w:r>
            <w:r>
              <w:rPr>
                <w:rFonts w:ascii="Times New Roman" w:eastAsia="Times New Roman" w:hAnsi="Times New Roman" w:cs="Times New Roman"/>
                <w:highlight w:val="white"/>
              </w:rPr>
              <w:t>, și prezintă o confirmare eliberată de instituția medico-sanitară competentă privind necesitatea prezentării la consultația prenatală.”</w:t>
            </w:r>
          </w:p>
          <w:p w14:paraId="7D3E2CCA" w14:textId="77777777" w:rsidR="0091081E" w:rsidRDefault="00000000">
            <w:pPr>
              <w:spacing w:line="240" w:lineRule="auto"/>
              <w:jc w:val="both"/>
              <w:rPr>
                <w:rFonts w:ascii="Times New Roman" w:eastAsia="Times New Roman" w:hAnsi="Times New Roman" w:cs="Times New Roman"/>
                <w:highlight w:val="white"/>
              </w:rPr>
            </w:pPr>
            <w:r>
              <w:pict w14:anchorId="10E0177A">
                <v:rect id="_x0000_i1039" style="width:0;height:1.5pt" o:hralign="center" o:hrstd="t" o:hr="t" fillcolor="#a0a0a0" stroked="f"/>
              </w:pict>
            </w:r>
          </w:p>
          <w:p w14:paraId="55493EE3"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Se acceptă parțial:</w:t>
            </w:r>
          </w:p>
          <w:p w14:paraId="75FE6DE4"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 247¹ alin. (3) va avea următoarea redacție:</w:t>
            </w:r>
          </w:p>
          <w:p w14:paraId="3CCAC57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“Pentru a beneficia de dispensa prevăzută la alin. (1), femeia gravidă informează în prealabil angajatorul, inclusiv prin mijloace de comunicare electronică, și </w:t>
            </w:r>
            <w:r>
              <w:rPr>
                <w:rFonts w:ascii="Times New Roman" w:eastAsia="Times New Roman" w:hAnsi="Times New Roman" w:cs="Times New Roman"/>
                <w:b/>
                <w:bCs/>
                <w:highlight w:val="white"/>
              </w:rPr>
              <w:t>prezintă o confirmare eliberată de instituția medico-sanitară competentă privind necesitatea prezentării la consultația prenatală</w:t>
            </w:r>
            <w:r>
              <w:rPr>
                <w:rFonts w:ascii="Times New Roman" w:eastAsia="Times New Roman" w:hAnsi="Times New Roman" w:cs="Times New Roman"/>
                <w:highlight w:val="white"/>
              </w:rPr>
              <w:t>.”</w:t>
            </w:r>
          </w:p>
          <w:p w14:paraId="4A05D645" w14:textId="77777777" w:rsidR="0091081E" w:rsidRDefault="00000000">
            <w:pPr>
              <w:spacing w:line="240" w:lineRule="auto"/>
              <w:jc w:val="both"/>
              <w:rPr>
                <w:rFonts w:ascii="Times New Roman" w:eastAsia="Times New Roman" w:hAnsi="Times New Roman" w:cs="Times New Roman"/>
                <w:highlight w:val="white"/>
              </w:rPr>
            </w:pPr>
            <w:r>
              <w:pict w14:anchorId="7FF15598">
                <v:rect id="_x0000_i1040" style="width:0;height:1.5pt" o:hralign="center" o:hrstd="t" o:hr="t" fillcolor="#a0a0a0" stroked="f"/>
              </w:pict>
            </w:r>
          </w:p>
          <w:p w14:paraId="5CF9FAD1" w14:textId="77777777" w:rsidR="0091081E"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7D181763"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Periodicitatea consultațiilor prenatale ține de recomandarea medicală și de particularitățile fiecărei sarcini, motiv pentru care nu se consideră oportună stabilirea prin lege a unor repere rigide privind frecvența dispenselor. O asemenea soluție ar putea limita nejustificat aplicarea normei în situațiile în care consultațiile sunt necesare mai frecvent.</w:t>
            </w:r>
          </w:p>
          <w:p w14:paraId="20462DA6" w14:textId="77777777" w:rsidR="0091081E" w:rsidRDefault="0091081E">
            <w:pPr>
              <w:spacing w:line="240" w:lineRule="auto"/>
              <w:jc w:val="both"/>
              <w:rPr>
                <w:rFonts w:ascii="Times New Roman" w:eastAsia="Times New Roman" w:hAnsi="Times New Roman" w:cs="Times New Roman"/>
                <w:highlight w:val="white"/>
              </w:rPr>
            </w:pPr>
          </w:p>
          <w:p w14:paraId="3F51F65F" w14:textId="77777777" w:rsidR="0091081E" w:rsidRDefault="0091081E">
            <w:pPr>
              <w:spacing w:line="240" w:lineRule="auto"/>
              <w:jc w:val="both"/>
              <w:rPr>
                <w:rFonts w:ascii="Times New Roman" w:eastAsia="Times New Roman" w:hAnsi="Times New Roman" w:cs="Times New Roman"/>
                <w:highlight w:val="white"/>
              </w:rPr>
            </w:pPr>
          </w:p>
          <w:p w14:paraId="466575C6" w14:textId="77777777" w:rsidR="0091081E" w:rsidRDefault="0091081E">
            <w:pPr>
              <w:spacing w:line="240" w:lineRule="auto"/>
              <w:jc w:val="both"/>
              <w:rPr>
                <w:rFonts w:ascii="Times New Roman" w:eastAsia="Times New Roman" w:hAnsi="Times New Roman" w:cs="Times New Roman"/>
                <w:highlight w:val="white"/>
              </w:rPr>
            </w:pPr>
          </w:p>
          <w:p w14:paraId="3D640FE9" w14:textId="77777777" w:rsidR="0091081E" w:rsidRDefault="00000000">
            <w:pPr>
              <w:spacing w:line="240" w:lineRule="auto"/>
              <w:jc w:val="both"/>
              <w:rPr>
                <w:rFonts w:ascii="Times New Roman" w:eastAsia="Times New Roman" w:hAnsi="Times New Roman" w:cs="Times New Roman"/>
                <w:highlight w:val="white"/>
              </w:rPr>
            </w:pPr>
            <w:r>
              <w:pict w14:anchorId="686DA3D9">
                <v:rect id="_x0000_i1041" style="width:0;height:1.5pt" o:hralign="center" o:hrstd="t" o:hr="t" fillcolor="#a0a0a0" stroked="f"/>
              </w:pict>
            </w:r>
          </w:p>
          <w:p w14:paraId="42C33576" w14:textId="77777777" w:rsidR="0091081E"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55E6C536"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O asemenea redactare ar încărca excesiv norma cu elemente de detaliu ce țin de aplicarea practică și de proba justificativă, nu de conținutul dreptului propriu-zis.</w:t>
            </w:r>
          </w:p>
          <w:p w14:paraId="11287E30"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Este suficient ca legea să consacre dreptul salariatei gravide la dispensă pentru consultațiile prenatale efectuate în timpul programului de muncă, pentru timpul necesar, iar aspectele privind confirmarea medicală și justificarea duratei absenței pot fi soluționate în baza documentelor medicale prezentate, fără a fi necesară reglementarea expresă a fiecărui element în textul normei.</w:t>
            </w:r>
          </w:p>
          <w:p w14:paraId="597DBB8C" w14:textId="77777777" w:rsidR="0091081E" w:rsidRDefault="00000000">
            <w:pPr>
              <w:spacing w:line="240" w:lineRule="auto"/>
              <w:jc w:val="both"/>
              <w:rPr>
                <w:rFonts w:ascii="Times New Roman" w:eastAsia="Times New Roman" w:hAnsi="Times New Roman" w:cs="Times New Roman"/>
                <w:b/>
                <w:bCs/>
                <w:i/>
                <w:iCs/>
                <w:highlight w:val="white"/>
              </w:rPr>
            </w:pPr>
            <w:r>
              <w:pict w14:anchorId="5133B0F2">
                <v:rect id="_x0000_i1042" style="width:0;height:1.5pt" o:hralign="center" o:hrstd="t" o:hr="t" fillcolor="#a0a0a0" stroked="f"/>
              </w:pict>
            </w:r>
          </w:p>
          <w:p w14:paraId="4790C7F8" w14:textId="77777777" w:rsidR="0091081E" w:rsidRDefault="00000000">
            <w:pPr>
              <w:spacing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 Nu se acceptă:</w:t>
            </w:r>
          </w:p>
          <w:p w14:paraId="18545455" w14:textId="77777777" w:rsidR="0091081E"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Delimitarea dintre dispensa pentru consultații prenatale și concediul medical rezultă deja din natura juridică distinctă a celor două instituții, astfel încât o precizare expresă în textul articolului nu se consideră necesară. Introducerea unei asemenea prevederi ar încărca inutil norma.</w:t>
            </w:r>
          </w:p>
          <w:p w14:paraId="7633EF2E"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p>
          <w:p w14:paraId="416BC1A7" w14:textId="77777777" w:rsidR="0091081E" w:rsidRDefault="0091081E">
            <w:pPr>
              <w:spacing w:line="240" w:lineRule="auto"/>
              <w:jc w:val="both"/>
              <w:rPr>
                <w:rFonts w:ascii="Times New Roman" w:eastAsia="Times New Roman" w:hAnsi="Times New Roman" w:cs="Times New Roman"/>
                <w:b/>
                <w:bCs/>
                <w:highlight w:val="white"/>
              </w:rPr>
            </w:pPr>
          </w:p>
          <w:p w14:paraId="5DF10CF1" w14:textId="77777777" w:rsidR="0091081E" w:rsidRDefault="0091081E">
            <w:pPr>
              <w:spacing w:line="240" w:lineRule="auto"/>
              <w:jc w:val="both"/>
              <w:rPr>
                <w:rFonts w:ascii="Times New Roman" w:eastAsia="Times New Roman" w:hAnsi="Times New Roman" w:cs="Times New Roman"/>
                <w:b/>
                <w:bCs/>
                <w:highlight w:val="white"/>
              </w:rPr>
            </w:pPr>
          </w:p>
          <w:p w14:paraId="038A5B43" w14:textId="77777777" w:rsidR="0091081E" w:rsidRDefault="0091081E">
            <w:pPr>
              <w:spacing w:line="240" w:lineRule="auto"/>
              <w:jc w:val="both"/>
              <w:rPr>
                <w:rFonts w:ascii="Times New Roman" w:eastAsia="Times New Roman" w:hAnsi="Times New Roman" w:cs="Times New Roman"/>
                <w:b/>
                <w:bCs/>
                <w:highlight w:val="white"/>
              </w:rPr>
            </w:pPr>
          </w:p>
          <w:p w14:paraId="6DDBC76B" w14:textId="77777777" w:rsidR="0091081E" w:rsidRDefault="0091081E">
            <w:pPr>
              <w:spacing w:line="240" w:lineRule="auto"/>
              <w:jc w:val="both"/>
              <w:rPr>
                <w:rFonts w:ascii="Times New Roman" w:eastAsia="Times New Roman" w:hAnsi="Times New Roman" w:cs="Times New Roman"/>
                <w:b/>
                <w:bCs/>
                <w:highlight w:val="white"/>
              </w:rPr>
            </w:pPr>
          </w:p>
          <w:p w14:paraId="237E48E9" w14:textId="77777777" w:rsidR="0091081E" w:rsidRDefault="0091081E">
            <w:pPr>
              <w:spacing w:line="240" w:lineRule="auto"/>
              <w:jc w:val="both"/>
              <w:rPr>
                <w:rFonts w:ascii="Times New Roman" w:eastAsia="Times New Roman" w:hAnsi="Times New Roman" w:cs="Times New Roman"/>
                <w:b/>
                <w:bCs/>
                <w:highlight w:val="white"/>
              </w:rPr>
            </w:pPr>
          </w:p>
          <w:p w14:paraId="3EBFE1FE" w14:textId="77777777" w:rsidR="0091081E" w:rsidRDefault="0091081E">
            <w:pPr>
              <w:spacing w:line="240" w:lineRule="auto"/>
              <w:jc w:val="both"/>
              <w:rPr>
                <w:rFonts w:ascii="Times New Roman" w:eastAsia="Times New Roman" w:hAnsi="Times New Roman" w:cs="Times New Roman"/>
                <w:b/>
                <w:bCs/>
                <w:highlight w:val="white"/>
              </w:rPr>
            </w:pPr>
          </w:p>
          <w:p w14:paraId="624DB4D3" w14:textId="77777777" w:rsidR="0091081E" w:rsidRDefault="0091081E">
            <w:pPr>
              <w:spacing w:line="240" w:lineRule="auto"/>
              <w:jc w:val="both"/>
              <w:rPr>
                <w:rFonts w:ascii="Times New Roman" w:eastAsia="Times New Roman" w:hAnsi="Times New Roman" w:cs="Times New Roman"/>
                <w:b/>
                <w:bCs/>
                <w:highlight w:val="white"/>
              </w:rPr>
            </w:pPr>
          </w:p>
          <w:p w14:paraId="5A1EDD8A" w14:textId="77777777" w:rsidR="0091081E" w:rsidRDefault="0091081E">
            <w:pPr>
              <w:spacing w:line="240" w:lineRule="auto"/>
              <w:jc w:val="both"/>
              <w:rPr>
                <w:rFonts w:ascii="Times New Roman" w:eastAsia="Times New Roman" w:hAnsi="Times New Roman" w:cs="Times New Roman"/>
                <w:b/>
                <w:bCs/>
                <w:highlight w:val="white"/>
              </w:rPr>
            </w:pPr>
          </w:p>
          <w:p w14:paraId="6D25DDA2" w14:textId="77777777" w:rsidR="0091081E" w:rsidRDefault="0091081E">
            <w:pPr>
              <w:spacing w:line="240" w:lineRule="auto"/>
              <w:jc w:val="both"/>
              <w:rPr>
                <w:rFonts w:ascii="Times New Roman" w:eastAsia="Times New Roman" w:hAnsi="Times New Roman" w:cs="Times New Roman"/>
                <w:b/>
                <w:bCs/>
                <w:highlight w:val="white"/>
              </w:rPr>
            </w:pPr>
          </w:p>
          <w:p w14:paraId="60B47C45" w14:textId="77777777" w:rsidR="0091081E" w:rsidRDefault="0091081E">
            <w:pPr>
              <w:spacing w:line="240" w:lineRule="auto"/>
              <w:jc w:val="both"/>
              <w:rPr>
                <w:rFonts w:ascii="Times New Roman" w:eastAsia="Times New Roman" w:hAnsi="Times New Roman" w:cs="Times New Roman"/>
                <w:b/>
                <w:bCs/>
                <w:highlight w:val="white"/>
              </w:rPr>
            </w:pPr>
          </w:p>
          <w:p w14:paraId="07105CFB" w14:textId="77777777" w:rsidR="0091081E" w:rsidRDefault="0091081E">
            <w:pPr>
              <w:spacing w:line="240" w:lineRule="auto"/>
              <w:jc w:val="both"/>
              <w:rPr>
                <w:rFonts w:ascii="Times New Roman" w:eastAsia="Times New Roman" w:hAnsi="Times New Roman" w:cs="Times New Roman"/>
                <w:b/>
                <w:bCs/>
                <w:highlight w:val="white"/>
              </w:rPr>
            </w:pPr>
          </w:p>
          <w:p w14:paraId="19CBAA9B" w14:textId="77777777" w:rsidR="0091081E" w:rsidRDefault="0091081E">
            <w:pPr>
              <w:spacing w:line="240" w:lineRule="auto"/>
              <w:jc w:val="both"/>
              <w:rPr>
                <w:rFonts w:ascii="Times New Roman" w:eastAsia="Times New Roman" w:hAnsi="Times New Roman" w:cs="Times New Roman"/>
                <w:b/>
                <w:bCs/>
                <w:highlight w:val="white"/>
              </w:rPr>
            </w:pPr>
          </w:p>
          <w:p w14:paraId="355CB03C" w14:textId="77777777" w:rsidR="0091081E" w:rsidRDefault="0091081E">
            <w:pPr>
              <w:spacing w:line="240" w:lineRule="auto"/>
              <w:jc w:val="both"/>
              <w:rPr>
                <w:rFonts w:ascii="Times New Roman" w:eastAsia="Times New Roman" w:hAnsi="Times New Roman" w:cs="Times New Roman"/>
                <w:b/>
                <w:bCs/>
                <w:highlight w:val="white"/>
              </w:rPr>
            </w:pPr>
          </w:p>
          <w:p w14:paraId="3FE1C2EA" w14:textId="77777777" w:rsidR="0091081E" w:rsidRDefault="0091081E">
            <w:pPr>
              <w:spacing w:line="240" w:lineRule="auto"/>
              <w:jc w:val="both"/>
              <w:rPr>
                <w:rFonts w:ascii="Times New Roman" w:eastAsia="Times New Roman" w:hAnsi="Times New Roman" w:cs="Times New Roman"/>
                <w:b/>
                <w:bCs/>
                <w:highlight w:val="white"/>
              </w:rPr>
            </w:pPr>
          </w:p>
          <w:p w14:paraId="52FF7209" w14:textId="77777777" w:rsidR="0091081E" w:rsidRDefault="0091081E">
            <w:pPr>
              <w:spacing w:line="240" w:lineRule="auto"/>
              <w:jc w:val="both"/>
              <w:rPr>
                <w:rFonts w:ascii="Times New Roman" w:eastAsia="Times New Roman" w:hAnsi="Times New Roman" w:cs="Times New Roman"/>
                <w:b/>
                <w:bCs/>
                <w:highlight w:val="white"/>
              </w:rPr>
            </w:pPr>
          </w:p>
          <w:p w14:paraId="2CC693BE" w14:textId="77777777" w:rsidR="0091081E" w:rsidRDefault="0091081E">
            <w:pPr>
              <w:spacing w:line="240" w:lineRule="auto"/>
              <w:jc w:val="both"/>
              <w:rPr>
                <w:rFonts w:ascii="Times New Roman" w:eastAsia="Times New Roman" w:hAnsi="Times New Roman" w:cs="Times New Roman"/>
                <w:b/>
                <w:bCs/>
                <w:highlight w:val="white"/>
              </w:rPr>
            </w:pPr>
          </w:p>
          <w:p w14:paraId="591EBD02" w14:textId="77777777" w:rsidR="0091081E" w:rsidRDefault="0091081E">
            <w:pPr>
              <w:spacing w:line="240" w:lineRule="auto"/>
              <w:jc w:val="both"/>
              <w:rPr>
                <w:rFonts w:ascii="Times New Roman" w:eastAsia="Times New Roman" w:hAnsi="Times New Roman" w:cs="Times New Roman"/>
                <w:b/>
                <w:bCs/>
                <w:highlight w:val="white"/>
              </w:rPr>
            </w:pPr>
          </w:p>
          <w:p w14:paraId="0B45DF87" w14:textId="77777777" w:rsidR="0091081E" w:rsidRDefault="0091081E">
            <w:pPr>
              <w:spacing w:line="240" w:lineRule="auto"/>
              <w:jc w:val="both"/>
              <w:rPr>
                <w:rFonts w:ascii="Times New Roman" w:eastAsia="Times New Roman" w:hAnsi="Times New Roman" w:cs="Times New Roman"/>
                <w:b/>
                <w:bCs/>
                <w:highlight w:val="white"/>
              </w:rPr>
            </w:pPr>
          </w:p>
          <w:p w14:paraId="129D03CE" w14:textId="77777777" w:rsidR="0091081E" w:rsidRDefault="0091081E">
            <w:pPr>
              <w:spacing w:line="240" w:lineRule="auto"/>
              <w:jc w:val="both"/>
              <w:rPr>
                <w:rFonts w:ascii="Times New Roman" w:eastAsia="Times New Roman" w:hAnsi="Times New Roman" w:cs="Times New Roman"/>
                <w:b/>
                <w:bCs/>
                <w:highlight w:val="white"/>
              </w:rPr>
            </w:pPr>
          </w:p>
          <w:p w14:paraId="2CA7AD6F" w14:textId="77777777" w:rsidR="0091081E" w:rsidRDefault="0091081E">
            <w:pPr>
              <w:spacing w:line="240" w:lineRule="auto"/>
              <w:jc w:val="both"/>
              <w:rPr>
                <w:rFonts w:ascii="Times New Roman" w:eastAsia="Times New Roman" w:hAnsi="Times New Roman" w:cs="Times New Roman"/>
                <w:b/>
                <w:bCs/>
                <w:highlight w:val="white"/>
              </w:rPr>
            </w:pPr>
          </w:p>
          <w:p w14:paraId="37B54C9F" w14:textId="77777777" w:rsidR="0091081E" w:rsidRDefault="0091081E">
            <w:pPr>
              <w:spacing w:line="240" w:lineRule="auto"/>
              <w:jc w:val="both"/>
              <w:rPr>
                <w:rFonts w:ascii="Times New Roman" w:eastAsia="Times New Roman" w:hAnsi="Times New Roman" w:cs="Times New Roman"/>
                <w:b/>
                <w:bCs/>
                <w:highlight w:val="white"/>
              </w:rPr>
            </w:pPr>
          </w:p>
          <w:p w14:paraId="41494CAC"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91081E" w14:paraId="3281493D" w14:textId="77777777">
        <w:trPr>
          <w:trHeight w:val="600"/>
        </w:trPr>
        <w:tc>
          <w:tcPr>
            <w:tcW w:w="555" w:type="dxa"/>
            <w:vMerge/>
          </w:tcPr>
          <w:p w14:paraId="48E2FE4E" w14:textId="77777777" w:rsidR="0091081E" w:rsidRDefault="0091081E">
            <w:pPr>
              <w:widowControl w:val="0"/>
              <w:rPr>
                <w:rFonts w:ascii="Times New Roman" w:eastAsia="Times New Roman" w:hAnsi="Times New Roman" w:cs="Times New Roman"/>
                <w:highlight w:val="white"/>
              </w:rPr>
            </w:pPr>
          </w:p>
        </w:tc>
        <w:tc>
          <w:tcPr>
            <w:tcW w:w="2700" w:type="dxa"/>
            <w:vMerge/>
          </w:tcPr>
          <w:p w14:paraId="4742D3EC" w14:textId="77777777" w:rsidR="0091081E" w:rsidRDefault="0091081E">
            <w:pPr>
              <w:widowControl w:val="0"/>
              <w:rPr>
                <w:rFonts w:ascii="Times New Roman" w:eastAsia="Times New Roman" w:hAnsi="Times New Roman" w:cs="Times New Roman"/>
                <w:highlight w:val="white"/>
              </w:rPr>
            </w:pPr>
          </w:p>
        </w:tc>
        <w:tc>
          <w:tcPr>
            <w:tcW w:w="5880" w:type="dxa"/>
          </w:tcPr>
          <w:p w14:paraId="69C8D98D"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Codul contravențional </w:t>
            </w:r>
          </w:p>
          <w:p w14:paraId="594EE7BD" w14:textId="77777777" w:rsidR="0091081E" w:rsidRDefault="00000000">
            <w:pPr>
              <w:spacing w:line="240" w:lineRule="auto"/>
              <w:jc w:val="both"/>
              <w:rPr>
                <w:rFonts w:ascii="Times New Roman" w:eastAsia="Times New Roman" w:hAnsi="Times New Roman" w:cs="Times New Roman"/>
                <w:b/>
                <w:bCs/>
                <w:i/>
                <w:iCs/>
                <w:highlight w:val="white"/>
              </w:rPr>
            </w:pPr>
            <w:r>
              <w:rPr>
                <w:rFonts w:ascii="Times New Roman" w:eastAsia="Times New Roman" w:hAnsi="Times New Roman" w:cs="Times New Roman"/>
                <w:b/>
                <w:bCs/>
                <w:i/>
                <w:iCs/>
                <w:highlight w:val="white"/>
              </w:rPr>
              <w:t xml:space="preserve">Propunere de redactare: </w:t>
            </w:r>
          </w:p>
          <w:p w14:paraId="431D1E9E" w14:textId="77777777" w:rsidR="0091081E" w:rsidRDefault="00000000">
            <w:pPr>
              <w:spacing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Nu suntem de acord cu impunerea incriminării contravenționale în forma propusă. </w:t>
            </w:r>
          </w:p>
          <w:p w14:paraId="4F2C6EE3" w14:textId="77777777" w:rsidR="0091081E" w:rsidRDefault="00000000">
            <w:pPr>
              <w:spacing w:line="24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Articolul 55 alineatul (1) se completează cu litera k) cu următorul cuprins: </w:t>
            </w:r>
          </w:p>
          <w:p w14:paraId="76A6CBFC" w14:textId="77777777" w:rsidR="0091081E" w:rsidRDefault="00000000">
            <w:pPr>
              <w:spacing w:line="24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„k) nerespectarea de către angajator a obligației de informare și consultare a salariaților.” </w:t>
            </w:r>
          </w:p>
          <w:p w14:paraId="77EC745C" w14:textId="77777777" w:rsidR="0091081E" w:rsidRDefault="0091081E">
            <w:pPr>
              <w:spacing w:line="240" w:lineRule="auto"/>
              <w:ind w:firstLine="284"/>
              <w:jc w:val="both"/>
              <w:rPr>
                <w:rFonts w:ascii="Times New Roman" w:eastAsia="Times New Roman" w:hAnsi="Times New Roman" w:cs="Times New Roman"/>
                <w:b/>
                <w:bCs/>
                <w:highlight w:val="white"/>
              </w:rPr>
            </w:pPr>
          </w:p>
          <w:p w14:paraId="4538EA54" w14:textId="77777777" w:rsidR="0091081E" w:rsidRDefault="00000000">
            <w:pPr>
              <w:spacing w:line="240" w:lineRule="auto"/>
              <w:jc w:val="both"/>
              <w:rPr>
                <w:rFonts w:ascii="Times New Roman" w:eastAsia="Times New Roman" w:hAnsi="Times New Roman" w:cs="Times New Roman"/>
                <w:b/>
                <w:bCs/>
                <w:i/>
                <w:iCs/>
                <w:highlight w:val="white"/>
              </w:rPr>
            </w:pPr>
            <w:r>
              <w:rPr>
                <w:rFonts w:ascii="Times New Roman" w:eastAsia="Times New Roman" w:hAnsi="Times New Roman" w:cs="Times New Roman"/>
                <w:b/>
                <w:bCs/>
                <w:i/>
                <w:iCs/>
                <w:highlight w:val="white"/>
              </w:rPr>
              <w:t>Comentariu:</w:t>
            </w:r>
          </w:p>
          <w:p w14:paraId="33826A90"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Introducerea unei contravenții pentru nerespectarea consultării </w:t>
            </w:r>
          </w:p>
          <w:p w14:paraId="2D3EEC2F"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Proiectul propune sancționarea contravențională a angajatorului pentru nerespectarea consultării. Această soluție: </w:t>
            </w:r>
          </w:p>
          <w:p w14:paraId="61F780B1" w14:textId="77777777" w:rsidR="0091081E" w:rsidRDefault="00000000">
            <w:pPr>
              <w:numPr>
                <w:ilvl w:val="0"/>
                <w:numId w:val="1"/>
              </w:num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nu este compatibilă cu natura procedural-evaluativă a obligației de consultare </w:t>
            </w:r>
          </w:p>
          <w:p w14:paraId="6F10FA4A" w14:textId="77777777" w:rsidR="0091081E" w:rsidRDefault="00000000">
            <w:pPr>
              <w:numPr>
                <w:ilvl w:val="0"/>
                <w:numId w:val="1"/>
              </w:num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dublează mecanismul judiciar existent (alin. 10 art. 42¹) </w:t>
            </w:r>
          </w:p>
          <w:p w14:paraId="795EC99D" w14:textId="77777777" w:rsidR="0091081E" w:rsidRDefault="00000000">
            <w:pPr>
              <w:numPr>
                <w:ilvl w:val="0"/>
                <w:numId w:val="1"/>
              </w:num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riscă aplicări abuzive și interpretări excesive în lipsa unor criterii clare </w:t>
            </w:r>
          </w:p>
          <w:p w14:paraId="4469790E"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În baza celor expuse, proiectul, în forma actuală depășește standardele europene în domeniul consultării și dialogului social, creează riscuri semnificative pentru funcționarea organizațională și securitatea juridică, generează ambiguități și incoerențe tehnice în mai multe articole ale Codului muncii și riscă să afecteze negativ competitivitatea mediului de afaceri și climatele sociale interne. </w:t>
            </w:r>
          </w:p>
        </w:tc>
        <w:tc>
          <w:tcPr>
            <w:tcW w:w="5880" w:type="dxa"/>
          </w:tcPr>
          <w:p w14:paraId="1D55F304"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Nu se acceptă.</w:t>
            </w:r>
          </w:p>
          <w:p w14:paraId="0558ADA2"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Includerea lit. k) în cadrul art. 55 este justificată prin faptul că fapta incriminată – nerespectarea obligației de informare și consultare a salariaților – prezintă un pericol social comparabil cu celelalte încălcări prevăzute de același articol, toate afectând buna desfășurare a relațiilor de muncă. Această obligație are un rol esențial în asigurarea echilibrului dintre părți și în garantarea exercitării efective a drepturilor colective ale salariaților.</w:t>
            </w:r>
          </w:p>
          <w:p w14:paraId="3609D6C6" w14:textId="77777777" w:rsidR="0091081E" w:rsidRDefault="0091081E">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p>
        </w:tc>
      </w:tr>
      <w:tr w:rsidR="0091081E" w14:paraId="36C955F5" w14:textId="77777777">
        <w:trPr>
          <w:trHeight w:val="3818"/>
        </w:trPr>
        <w:tc>
          <w:tcPr>
            <w:tcW w:w="555" w:type="dxa"/>
            <w:vMerge/>
          </w:tcPr>
          <w:p w14:paraId="24E384CD" w14:textId="77777777" w:rsidR="0091081E" w:rsidRDefault="0091081E">
            <w:pPr>
              <w:widowControl w:val="0"/>
              <w:rPr>
                <w:rFonts w:ascii="Times New Roman" w:eastAsia="Times New Roman" w:hAnsi="Times New Roman" w:cs="Times New Roman"/>
                <w:highlight w:val="white"/>
              </w:rPr>
            </w:pPr>
          </w:p>
        </w:tc>
        <w:tc>
          <w:tcPr>
            <w:tcW w:w="2700" w:type="dxa"/>
          </w:tcPr>
          <w:p w14:paraId="476A6591" w14:textId="77777777" w:rsidR="0091081E" w:rsidRDefault="0091081E">
            <w:pPr>
              <w:spacing w:line="240" w:lineRule="auto"/>
              <w:jc w:val="center"/>
              <w:rPr>
                <w:rFonts w:ascii="Times New Roman" w:eastAsia="Times New Roman" w:hAnsi="Times New Roman" w:cs="Times New Roman"/>
              </w:rPr>
            </w:pPr>
          </w:p>
        </w:tc>
        <w:tc>
          <w:tcPr>
            <w:tcW w:w="5880" w:type="dxa"/>
          </w:tcPr>
          <w:p w14:paraId="57C75540" w14:textId="77777777" w:rsidR="0091081E" w:rsidRDefault="00000000">
            <w:pPr>
              <w:spacing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Cu privire la modificările propuse la Legea securității și sănătății în muncă nr. 186/2008 </w:t>
            </w:r>
          </w:p>
          <w:p w14:paraId="151E4F78" w14:textId="77777777" w:rsidR="0091081E" w:rsidRDefault="00000000">
            <w:pPr>
              <w:spacing w:line="240" w:lineRule="auto"/>
              <w:ind w:firstLine="284"/>
              <w:jc w:val="both"/>
              <w:rPr>
                <w:rFonts w:ascii="Times New Roman" w:eastAsia="Times New Roman" w:hAnsi="Times New Roman" w:cs="Times New Roman"/>
                <w:b/>
                <w:bCs/>
                <w:i/>
                <w:iCs/>
                <w:highlight w:val="white"/>
              </w:rPr>
            </w:pPr>
            <w:r>
              <w:rPr>
                <w:rFonts w:ascii="Times New Roman" w:eastAsia="Times New Roman" w:hAnsi="Times New Roman" w:cs="Times New Roman"/>
                <w:b/>
                <w:bCs/>
                <w:i/>
                <w:iCs/>
                <w:highlight w:val="white"/>
              </w:rPr>
              <w:t>Propunere de redactare:</w:t>
            </w:r>
          </w:p>
          <w:p w14:paraId="46DB728E" w14:textId="77777777" w:rsidR="0091081E" w:rsidRDefault="00000000">
            <w:pPr>
              <w:spacing w:line="240" w:lineRule="auto"/>
              <w:jc w:val="both"/>
              <w:rPr>
                <w:rFonts w:ascii="Times New Roman" w:eastAsia="Times New Roman" w:hAnsi="Times New Roman" w:cs="Times New Roman"/>
                <w:b/>
                <w:bCs/>
                <w:i/>
                <w:iCs/>
                <w:highlight w:val="white"/>
              </w:rPr>
            </w:pPr>
            <w:r>
              <w:rPr>
                <w:rFonts w:ascii="Caudex" w:eastAsia="Caudex" w:hAnsi="Caudex" w:cs="Caudex"/>
              </w:rPr>
              <w:t xml:space="preserve">− Excluderea sintagmei „profesional” din conținutul art. 10 alin. (3) lit. a), b), c) și alin. (4) lit. a) precum și din art. 13 lit. a) și f), art. 14 lit. a) </w:t>
            </w:r>
          </w:p>
          <w:p w14:paraId="6BC681C2" w14:textId="77777777" w:rsidR="0091081E" w:rsidRDefault="00000000">
            <w:pPr>
              <w:spacing w:line="240" w:lineRule="auto"/>
              <w:ind w:firstLine="284"/>
              <w:jc w:val="both"/>
              <w:rPr>
                <w:rFonts w:ascii="Times New Roman" w:eastAsia="Times New Roman" w:hAnsi="Times New Roman" w:cs="Times New Roman"/>
                <w:b/>
                <w:bCs/>
                <w:i/>
                <w:iCs/>
                <w:highlight w:val="white"/>
              </w:rPr>
            </w:pPr>
            <w:r>
              <w:rPr>
                <w:rFonts w:ascii="Times New Roman" w:eastAsia="Times New Roman" w:hAnsi="Times New Roman" w:cs="Times New Roman"/>
                <w:b/>
                <w:bCs/>
                <w:i/>
                <w:iCs/>
                <w:highlight w:val="white"/>
              </w:rPr>
              <w:t>Comentariu:</w:t>
            </w:r>
          </w:p>
          <w:p w14:paraId="396CD6F4"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Se constată că modificarea propusă la art. 10 alin. (3) lit. a), b), c) și alin. (4) lit. a), prin care se exclude cuvântul „profesionale”, afectează claritatea și coerența normei, precum și corelarea acesteia cu cadrul normativ existent în domeniul securității și sănătății în muncă. </w:t>
            </w:r>
          </w:p>
          <w:p w14:paraId="1F7F22A3" w14:textId="77777777" w:rsidR="0091081E"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rPr>
              <w:t xml:space="preserve">Astfel, Legea nr. 186/2008 definește în mod expres noțiunea de „risc profesional” ca reprezentând riscul de accidentare sau de îmbolnăvire profesională, determinat de factorii specifici procesului de muncă. În acest context, utilizarea constantă a sintagmei „riscuri profesionale” în cuprinsul legii are rolul de a delimita sfera obligațiilor angajatorului la acele riscuri care decurg din activitatea profesională și mediul de muncă. </w:t>
            </w:r>
          </w:p>
          <w:p w14:paraId="6B609271"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Excluderea cuvântului „profesionale” conduce la utilizarea generală a noțiunii de „riscuri”, fără a mai fi clar dacă aceasta se referă exclusiv la riscurile legate de activitatea de muncă sau ar putea include, în mod extensiv, orice tip de risc, inclusiv riscuri care nu se află sub controlul angajatorului și nu derivă din procesul de muncă. O asemenea formulare creează incertitudine juridică și poate genera dificultăți în determinarea întinderii obligațiilor angajatorului. </w:t>
            </w:r>
          </w:p>
          <w:p w14:paraId="72DEE0F9" w14:textId="77777777" w:rsidR="0091081E"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Totodată, această modificare afectează coerența terminologică legii, întrucât noțiunea de „risc profesional” este deja definită și utilizată în mod consecvent în alte dispoziții ale aceluiași act normativ. </w:t>
            </w:r>
          </w:p>
          <w:p w14:paraId="6B69AE42" w14:textId="77777777" w:rsidR="0091081E" w:rsidRDefault="00000000">
            <w:pPr>
              <w:spacing w:line="240" w:lineRule="auto"/>
              <w:ind w:firstLine="284"/>
              <w:jc w:val="both"/>
              <w:rPr>
                <w:rFonts w:ascii="Times New Roman" w:eastAsia="Times New Roman" w:hAnsi="Times New Roman" w:cs="Times New Roman"/>
                <w:b/>
                <w:bCs/>
                <w:highlight w:val="white"/>
              </w:rPr>
            </w:pPr>
            <w:r>
              <w:rPr>
                <w:rFonts w:ascii="Times New Roman" w:eastAsia="Times New Roman" w:hAnsi="Times New Roman" w:cs="Times New Roman"/>
              </w:rPr>
              <w:t xml:space="preserve">În aceste condiții, excluderea cuvântului „profesionale” nu este justificată și conduce la o diminuare a preciziei reglementării. </w:t>
            </w:r>
          </w:p>
        </w:tc>
        <w:tc>
          <w:tcPr>
            <w:tcW w:w="5880" w:type="dxa"/>
          </w:tcPr>
          <w:p w14:paraId="504F1947"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Nu se acceptă</w:t>
            </w:r>
          </w:p>
          <w:p w14:paraId="0589AA03"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Articolul 2 din Legea nr 186/2008 securității și sănătății în muncă </w:t>
            </w:r>
            <w:proofErr w:type="spellStart"/>
            <w:r>
              <w:rPr>
                <w:rFonts w:ascii="Times New Roman" w:eastAsia="Times New Roman" w:hAnsi="Times New Roman" w:cs="Times New Roman"/>
                <w:highlight w:val="white"/>
              </w:rPr>
              <w:t>stabileşte</w:t>
            </w:r>
            <w:proofErr w:type="spellEnd"/>
            <w:r>
              <w:rPr>
                <w:rFonts w:ascii="Times New Roman" w:eastAsia="Times New Roman" w:hAnsi="Times New Roman" w:cs="Times New Roman"/>
                <w:highlight w:val="white"/>
              </w:rPr>
              <w:t xml:space="preserve"> principiile generale privind prevenirea </w:t>
            </w:r>
            <w:r>
              <w:rPr>
                <w:rFonts w:ascii="Times New Roman" w:eastAsia="Times New Roman" w:hAnsi="Times New Roman" w:cs="Times New Roman"/>
                <w:b/>
                <w:bCs/>
                <w:highlight w:val="white"/>
              </w:rPr>
              <w:t>riscurilor profesionale,</w:t>
            </w:r>
            <w:r>
              <w:rPr>
                <w:rFonts w:ascii="Times New Roman" w:eastAsia="Times New Roman" w:hAnsi="Times New Roman" w:cs="Times New Roman"/>
                <w:highlight w:val="white"/>
              </w:rPr>
              <w:t xml:space="preserve"> protecția lucrătorilor și a lucrătorilor independenți la locul de muncă, </w:t>
            </w:r>
            <w:r>
              <w:rPr>
                <w:rFonts w:ascii="Times New Roman" w:eastAsia="Times New Roman" w:hAnsi="Times New Roman" w:cs="Times New Roman"/>
                <w:b/>
                <w:bCs/>
                <w:highlight w:val="white"/>
              </w:rPr>
              <w:t>eli­minarea factorilor de risc</w:t>
            </w:r>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de accidentare, informarea, consultarea, participarea echilibrată, instruirea lucrătorilor, a lucrătorilor independenți și a reprezentanților acestora, precum </w:t>
            </w:r>
            <w:proofErr w:type="spellStart"/>
            <w:r>
              <w:rPr>
                <w:rFonts w:ascii="Times New Roman" w:eastAsia="Times New Roman" w:hAnsi="Times New Roman" w:cs="Times New Roman"/>
                <w:highlight w:val="white"/>
              </w:rPr>
              <w:t>şi</w:t>
            </w:r>
            <w:proofErr w:type="spellEnd"/>
            <w:r>
              <w:rPr>
                <w:rFonts w:ascii="Times New Roman" w:eastAsia="Times New Roman" w:hAnsi="Times New Roman" w:cs="Times New Roman"/>
                <w:highlight w:val="white"/>
              </w:rPr>
              <w:t xml:space="preserve"> liniile directoare generale privind aplicarea principiilor </w:t>
            </w:r>
            <w:proofErr w:type="spellStart"/>
            <w:r>
              <w:rPr>
                <w:rFonts w:ascii="Times New Roman" w:eastAsia="Times New Roman" w:hAnsi="Times New Roman" w:cs="Times New Roman"/>
                <w:highlight w:val="white"/>
              </w:rPr>
              <w:t>menţionate</w:t>
            </w:r>
            <w:proofErr w:type="spellEnd"/>
            <w:r>
              <w:rPr>
                <w:rFonts w:ascii="Times New Roman" w:eastAsia="Times New Roman" w:hAnsi="Times New Roman" w:cs="Times New Roman"/>
                <w:highlight w:val="white"/>
              </w:rPr>
              <w:t>.</w:t>
            </w:r>
          </w:p>
          <w:p w14:paraId="0D4BFA2D" w14:textId="77777777" w:rsidR="0091081E"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 acest context excluderea cuvântului „profesionale” nu va conduce la abordarea altor riscuri </w:t>
            </w:r>
            <w:proofErr w:type="spellStart"/>
            <w:r>
              <w:rPr>
                <w:rFonts w:ascii="Times New Roman" w:eastAsia="Times New Roman" w:hAnsi="Times New Roman" w:cs="Times New Roman"/>
                <w:highlight w:val="white"/>
              </w:rPr>
              <w:t>riscuri</w:t>
            </w:r>
            <w:proofErr w:type="spellEnd"/>
            <w:r>
              <w:rPr>
                <w:rFonts w:ascii="Times New Roman" w:eastAsia="Times New Roman" w:hAnsi="Times New Roman" w:cs="Times New Roman"/>
                <w:highlight w:val="white"/>
              </w:rPr>
              <w:t xml:space="preserve"> decât a celor generate de sistemul de lucru (om - sarcină de muncă - mediu de lucru - echipament de muncă), la care salariatul poate fi expus în afara exercitării profesiei sale.  Spre exemplu un lucrător poate fi expus riscului comportamental generat de alt lucrător, sau poate fi expus unor riscuri generate de echipamente care nu sunt utilizate nemijlocit de un lucrător concret. În această situație, pentru a lua în considerare și interferența riscurilor care pentru unii salariați nu sunt generate de propria lor profesie, excluderea cuvântului „profesionale” din  articolele menționate este justificată.</w:t>
            </w:r>
          </w:p>
        </w:tc>
      </w:tr>
    </w:tbl>
    <w:p w14:paraId="64F36807" w14:textId="77777777" w:rsidR="0091081E" w:rsidRDefault="0091081E">
      <w:pPr>
        <w:rPr>
          <w:rFonts w:ascii="Times New Roman" w:eastAsia="Times New Roman" w:hAnsi="Times New Roman" w:cs="Times New Roman"/>
          <w:b/>
          <w:bCs/>
        </w:rPr>
      </w:pPr>
    </w:p>
    <w:sectPr w:rsidR="0091081E">
      <w:headerReference w:type="default" r:id="rId11"/>
      <w:footerReference w:type="default" r:id="rId12"/>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9CB4F" w14:textId="77777777" w:rsidR="003369DE" w:rsidRDefault="003369DE">
      <w:pPr>
        <w:spacing w:line="240" w:lineRule="auto"/>
      </w:pPr>
      <w:r>
        <w:separator/>
      </w:r>
    </w:p>
  </w:endnote>
  <w:endnote w:type="continuationSeparator" w:id="0">
    <w:p w14:paraId="3262B7CC" w14:textId="77777777" w:rsidR="003369DE" w:rsidRDefault="003369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8618D19F-9F6E-421C-8B69-2289481DF032}"/>
    <w:embedBold r:id="rId2" w:fontKey="{A5FB97D0-9304-4206-B1CE-E76ACDC5429B}"/>
  </w:font>
  <w:font w:name="Caudex">
    <w:charset w:val="00"/>
    <w:family w:val="auto"/>
    <w:pitch w:val="default"/>
    <w:embedRegular r:id="rId3" w:fontKey="{6EA5EDCE-AC3D-4220-A0E1-137EE78DDDB5}"/>
  </w:font>
  <w:font w:name="Calibri">
    <w:panose1 w:val="020F0502020204030204"/>
    <w:charset w:val="00"/>
    <w:family w:val="swiss"/>
    <w:pitch w:val="variable"/>
    <w:sig w:usb0="E4002EFF" w:usb1="C200247B" w:usb2="00000009" w:usb3="00000000" w:csb0="000001FF" w:csb1="00000000"/>
    <w:embedRegular r:id="rId4" w:fontKey="{9E305164-38DE-44B4-888C-4ABEF8A4589E}"/>
  </w:font>
  <w:font w:name="Cambria">
    <w:panose1 w:val="02040503050406030204"/>
    <w:charset w:val="00"/>
    <w:family w:val="roman"/>
    <w:pitch w:val="variable"/>
    <w:sig w:usb0="E00006FF" w:usb1="420024FF" w:usb2="02000000" w:usb3="00000000" w:csb0="0000019F" w:csb1="00000000"/>
    <w:embedRegular r:id="rId5" w:fontKey="{8572A0DC-B281-47F6-A00C-54AE2B1CAE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8F618" w14:textId="77777777" w:rsidR="0091081E" w:rsidRDefault="0091081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B0E58" w14:textId="77777777" w:rsidR="003369DE" w:rsidRDefault="003369DE">
      <w:pPr>
        <w:spacing w:line="240" w:lineRule="auto"/>
      </w:pPr>
      <w:r>
        <w:separator/>
      </w:r>
    </w:p>
  </w:footnote>
  <w:footnote w:type="continuationSeparator" w:id="0">
    <w:p w14:paraId="05DD72F7" w14:textId="77777777" w:rsidR="003369DE" w:rsidRDefault="003369DE">
      <w:pPr>
        <w:spacing w:line="240" w:lineRule="auto"/>
      </w:pPr>
      <w:r>
        <w:continuationSeparator/>
      </w:r>
    </w:p>
  </w:footnote>
  <w:footnote w:id="1">
    <w:p w14:paraId="3ED7E4D6" w14:textId="77777777" w:rsidR="0091081E" w:rsidRDefault="00000000">
      <w:pPr>
        <w:spacing w:line="240" w:lineRule="auto"/>
        <w:rPr>
          <w:rFonts w:ascii="Georgia" w:eastAsia="Georgia" w:hAnsi="Georgia" w:cs="Georgia"/>
          <w:sz w:val="18"/>
          <w:szCs w:val="18"/>
        </w:rPr>
      </w:pPr>
      <w:r>
        <w:rPr>
          <w:vertAlign w:val="superscript"/>
        </w:rPr>
        <w:footnoteRef/>
      </w:r>
      <w:r>
        <w:rPr>
          <w:rFonts w:ascii="Georgia" w:eastAsia="Georgia" w:hAnsi="Georgia" w:cs="Georgia"/>
          <w:sz w:val="24"/>
          <w:szCs w:val="24"/>
        </w:rPr>
        <w:t xml:space="preserve"> </w:t>
      </w:r>
      <w:r>
        <w:rPr>
          <w:rFonts w:ascii="Georgia" w:eastAsia="Georgia" w:hAnsi="Georgia" w:cs="Georgia"/>
          <w:sz w:val="18"/>
          <w:szCs w:val="18"/>
        </w:rPr>
        <w:t xml:space="preserve">Drept urmare, nu rezultă din Directiva obligația de a consulta reprezentanții salariaților asupra: </w:t>
      </w:r>
    </w:p>
    <w:p w14:paraId="7B72AEDE" w14:textId="77777777" w:rsidR="0091081E" w:rsidRDefault="00000000">
      <w:pPr>
        <w:spacing w:line="240" w:lineRule="auto"/>
        <w:rPr>
          <w:sz w:val="20"/>
          <w:szCs w:val="20"/>
        </w:rPr>
      </w:pPr>
      <w:r>
        <w:rPr>
          <w:sz w:val="18"/>
          <w:szCs w:val="18"/>
        </w:rPr>
        <w:t xml:space="preserve">- evoluţiei probabile a activităţilor şi situaţiei economice a unităţii [lit. a) din alineatul (2) art. 421 Codul muncii] </w:t>
      </w:r>
    </w:p>
  </w:footnote>
  <w:footnote w:id="2">
    <w:p w14:paraId="79AB85A3" w14:textId="77777777" w:rsidR="0091081E" w:rsidRDefault="00000000">
      <w:pPr>
        <w:spacing w:line="240" w:lineRule="auto"/>
        <w:rPr>
          <w:rFonts w:ascii="Georgia" w:eastAsia="Georgia" w:hAnsi="Georgia" w:cs="Georgia"/>
          <w:sz w:val="24"/>
          <w:szCs w:val="24"/>
        </w:rPr>
      </w:pPr>
      <w:r>
        <w:rPr>
          <w:vertAlign w:val="superscript"/>
        </w:rPr>
        <w:footnoteRef/>
      </w:r>
      <w:r>
        <w:rPr>
          <w:rFonts w:ascii="Georgia" w:eastAsia="Georgia" w:hAnsi="Georgia" w:cs="Georgia"/>
          <w:sz w:val="24"/>
          <w:szCs w:val="24"/>
        </w:rPr>
        <w:t xml:space="preserve"> </w:t>
      </w:r>
      <w:r>
        <w:rPr>
          <w:rFonts w:ascii="Georgia" w:eastAsia="Georgia" w:hAnsi="Georgia" w:cs="Georgia"/>
          <w:sz w:val="18"/>
          <w:szCs w:val="18"/>
        </w:rPr>
        <w:t xml:space="preserve">Conform definițiilor din dicționarele explicative ale limbii române, termenul „acord” are o conotație juridică pronunțată, desemnând, de regulă, o convenție sau un act de voință formalizat. În schimb, „consens” exprimă mai degrabă o convergență de opinii, o adeziune comună sau ajungerea la o înțelegere asupra unei chestiuni, fără a implica, în mod necesar, existența unei convenții ori a unui act juridic formalizat. </w:t>
      </w:r>
    </w:p>
    <w:p w14:paraId="4432BC52" w14:textId="77777777" w:rsidR="0091081E" w:rsidRDefault="0091081E">
      <w:pPr>
        <w:spacing w:line="240" w:lineRule="auto"/>
        <w:rPr>
          <w:sz w:val="20"/>
          <w:szCs w:val="20"/>
        </w:rPr>
      </w:pPr>
    </w:p>
  </w:footnote>
  <w:footnote w:id="3">
    <w:p w14:paraId="696F643D" w14:textId="77777777" w:rsidR="0091081E" w:rsidRDefault="00000000">
      <w:pPr>
        <w:spacing w:line="240" w:lineRule="auto"/>
        <w:rPr>
          <w:rFonts w:ascii="Georgia" w:eastAsia="Georgia" w:hAnsi="Georgia" w:cs="Georgia"/>
          <w:sz w:val="24"/>
          <w:szCs w:val="24"/>
        </w:rPr>
      </w:pPr>
      <w:r>
        <w:rPr>
          <w:vertAlign w:val="superscript"/>
        </w:rPr>
        <w:footnoteRef/>
      </w:r>
      <w:r>
        <w:rPr>
          <w:rFonts w:ascii="Georgia" w:eastAsia="Georgia" w:hAnsi="Georgia" w:cs="Georgia"/>
          <w:sz w:val="24"/>
          <w:szCs w:val="24"/>
        </w:rPr>
        <w:t xml:space="preserve"> </w:t>
      </w:r>
      <w:r>
        <w:rPr>
          <w:rFonts w:ascii="Georgia" w:eastAsia="Georgia" w:hAnsi="Georgia" w:cs="Georgia"/>
          <w:sz w:val="18"/>
          <w:szCs w:val="18"/>
        </w:rPr>
        <w:t xml:space="preserve">Metodologia de efectuare a expertizei de comptabilitate a legislației RM cu legislația Uniunii Europene a fost aprobară prin Ordinul Cancelariei de Stat nr. 1 din 9 ianuarie 2023. </w:t>
      </w:r>
    </w:p>
  </w:footnote>
  <w:footnote w:id="4">
    <w:p w14:paraId="716558D1" w14:textId="77777777" w:rsidR="0091081E" w:rsidRDefault="00000000">
      <w:pPr>
        <w:spacing w:line="240" w:lineRule="auto"/>
        <w:rPr>
          <w:rFonts w:ascii="Georgia" w:eastAsia="Georgia" w:hAnsi="Georgia" w:cs="Georgia"/>
          <w:sz w:val="24"/>
          <w:szCs w:val="24"/>
        </w:rPr>
      </w:pPr>
      <w:r>
        <w:rPr>
          <w:vertAlign w:val="superscript"/>
        </w:rPr>
        <w:footnoteRef/>
      </w:r>
      <w:r>
        <w:rPr>
          <w:rFonts w:ascii="Georgia" w:eastAsia="Georgia" w:hAnsi="Georgia" w:cs="Georgia"/>
          <w:sz w:val="24"/>
          <w:szCs w:val="24"/>
        </w:rPr>
        <w:t xml:space="preserve"> </w:t>
      </w:r>
      <w:r>
        <w:rPr>
          <w:rFonts w:ascii="Georgia" w:eastAsia="Georgia" w:hAnsi="Georgia" w:cs="Georgia"/>
          <w:sz w:val="18"/>
          <w:szCs w:val="18"/>
        </w:rPr>
        <w:t xml:space="preserve">Conform secțiunii 3.4.8 a Metodologiei de efectuare a expertizei de comptabilitate a legislației RM cu legislația Uniunii Europene, supra-reglementarea („gold plating”) are loc atunci când transpunerea actului UE se realizează prin depășirea limitelor stabilite de o directivă, respectiv, a minimului necesar pentru a se conforma cu directiva. Acest fapt se realizează prin … extinderea domeniului de aplicare, completarea într-un anumit mod a cerințelor esențiale sau … aplicarea sancțiunilor, a unor mecanisme de executare și a altor aspecte, cum ar fi sarcina probei, impunând astfel o povară mai mare asupra mediului de afaceri decât o cere directiva. </w:t>
      </w:r>
    </w:p>
    <w:p w14:paraId="580D2FE7" w14:textId="77777777" w:rsidR="0091081E" w:rsidRDefault="0091081E">
      <w:pPr>
        <w:spacing w:line="240" w:lineRule="auto"/>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8CD8E" w14:textId="77777777" w:rsidR="0091081E" w:rsidRDefault="0091081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C5B7D"/>
    <w:multiLevelType w:val="multilevel"/>
    <w:tmpl w:val="27146C94"/>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1" w15:restartNumberingAfterBreak="0">
    <w:nsid w:val="0D146CCB"/>
    <w:multiLevelType w:val="multilevel"/>
    <w:tmpl w:val="D7F21BC0"/>
    <w:lvl w:ilvl="0">
      <w:start w:val="1"/>
      <w:numFmt w:val="decimal"/>
      <w:lvlText w:val="%1."/>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2" w15:restartNumberingAfterBreak="0">
    <w:nsid w:val="119829CF"/>
    <w:multiLevelType w:val="multilevel"/>
    <w:tmpl w:val="2D70779A"/>
    <w:lvl w:ilvl="0">
      <w:start w:val="1"/>
      <w:numFmt w:val="decimal"/>
      <w:lvlText w:val="%1."/>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3" w15:restartNumberingAfterBreak="0">
    <w:nsid w:val="205F0F2C"/>
    <w:multiLevelType w:val="multilevel"/>
    <w:tmpl w:val="8618D46A"/>
    <w:lvl w:ilvl="0">
      <w:start w:val="2"/>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DB949C7"/>
    <w:multiLevelType w:val="multilevel"/>
    <w:tmpl w:val="4EE40242"/>
    <w:lvl w:ilvl="0">
      <w:start w:val="1"/>
      <w:numFmt w:val="decimal"/>
      <w:lvlText w:val="%1."/>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5" w15:restartNumberingAfterBreak="0">
    <w:nsid w:val="3C280E3D"/>
    <w:multiLevelType w:val="multilevel"/>
    <w:tmpl w:val="E78C6EB2"/>
    <w:lvl w:ilvl="0">
      <w:start w:val="1"/>
      <w:numFmt w:val="bullet"/>
      <w:lvlText w:val="•"/>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6" w15:restartNumberingAfterBreak="0">
    <w:nsid w:val="3F6E0DD2"/>
    <w:multiLevelType w:val="multilevel"/>
    <w:tmpl w:val="E6EA4E5E"/>
    <w:lvl w:ilvl="0">
      <w:start w:val="1"/>
      <w:numFmt w:val="decimal"/>
      <w:lvlText w:val="%1."/>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7" w15:restartNumberingAfterBreak="0">
    <w:nsid w:val="4BC75C38"/>
    <w:multiLevelType w:val="multilevel"/>
    <w:tmpl w:val="4E5CABC8"/>
    <w:lvl w:ilvl="0">
      <w:start w:val="1"/>
      <w:numFmt w:val="bullet"/>
      <w:lvlText w:val="•"/>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8" w15:restartNumberingAfterBreak="0">
    <w:nsid w:val="4E9D1221"/>
    <w:multiLevelType w:val="multilevel"/>
    <w:tmpl w:val="7CC4D8AC"/>
    <w:lvl w:ilvl="0">
      <w:start w:val="1"/>
      <w:numFmt w:val="decimal"/>
      <w:lvlText w:val="%1."/>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9" w15:restartNumberingAfterBreak="0">
    <w:nsid w:val="541C7CE0"/>
    <w:multiLevelType w:val="multilevel"/>
    <w:tmpl w:val="D4648338"/>
    <w:lvl w:ilvl="0">
      <w:start w:val="1"/>
      <w:numFmt w:val="decimal"/>
      <w:lvlText w:val="."/>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10" w15:restartNumberingAfterBreak="0">
    <w:nsid w:val="68D15956"/>
    <w:multiLevelType w:val="multilevel"/>
    <w:tmpl w:val="25BA9EB4"/>
    <w:lvl w:ilvl="0">
      <w:start w:val="1"/>
      <w:numFmt w:val="bullet"/>
      <w:lvlText w:val="•"/>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11" w15:restartNumberingAfterBreak="0">
    <w:nsid w:val="69B21DF9"/>
    <w:multiLevelType w:val="multilevel"/>
    <w:tmpl w:val="36D4E0F4"/>
    <w:lvl w:ilvl="0">
      <w:start w:val="1"/>
      <w:numFmt w:val="bullet"/>
      <w:lvlText w:val="•"/>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12" w15:restartNumberingAfterBreak="0">
    <w:nsid w:val="7B7A3924"/>
    <w:multiLevelType w:val="multilevel"/>
    <w:tmpl w:val="9606E6F8"/>
    <w:lvl w:ilvl="0">
      <w:start w:val="1"/>
      <w:numFmt w:val="bullet"/>
      <w:lvlText w:val="•"/>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num w:numId="1" w16cid:durableId="1611401654">
    <w:abstractNumId w:val="11"/>
  </w:num>
  <w:num w:numId="2" w16cid:durableId="168065117">
    <w:abstractNumId w:val="5"/>
  </w:num>
  <w:num w:numId="3" w16cid:durableId="1685093363">
    <w:abstractNumId w:val="9"/>
  </w:num>
  <w:num w:numId="4" w16cid:durableId="1673141322">
    <w:abstractNumId w:val="0"/>
  </w:num>
  <w:num w:numId="5" w16cid:durableId="1632516044">
    <w:abstractNumId w:val="3"/>
  </w:num>
  <w:num w:numId="6" w16cid:durableId="562495700">
    <w:abstractNumId w:val="2"/>
  </w:num>
  <w:num w:numId="7" w16cid:durableId="54090139">
    <w:abstractNumId w:val="4"/>
  </w:num>
  <w:num w:numId="8" w16cid:durableId="1896815503">
    <w:abstractNumId w:val="1"/>
  </w:num>
  <w:num w:numId="9" w16cid:durableId="37049811">
    <w:abstractNumId w:val="10"/>
  </w:num>
  <w:num w:numId="10" w16cid:durableId="393817704">
    <w:abstractNumId w:val="7"/>
  </w:num>
  <w:num w:numId="11" w16cid:durableId="503979851">
    <w:abstractNumId w:val="6"/>
  </w:num>
  <w:num w:numId="12" w16cid:durableId="1848204767">
    <w:abstractNumId w:val="12"/>
  </w:num>
  <w:num w:numId="13" w16cid:durableId="13059360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81E"/>
    <w:rsid w:val="003369DE"/>
    <w:rsid w:val="00510940"/>
    <w:rsid w:val="009108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D392C"/>
  <w15:docId w15:val="{94A16602-3E2A-47BC-8B0E-17AE8BFD7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particip.gov.md/ro/document/stages/*/1608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articip.gov.md"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social.gov.md/comunicare/comunicate/consultari-initiate-pentru-transpunerea-directivelor-ue-in-domeniul-detasarii-transnationale-a-lucratorilor-in-cadrul-prestarii-de-servicii/" TargetMode="External"/><Relationship Id="rId4" Type="http://schemas.openxmlformats.org/officeDocument/2006/relationships/webSettings" Target="webSettings.xml"/><Relationship Id="rId9" Type="http://schemas.openxmlformats.org/officeDocument/2006/relationships/hyperlink" Target="https://social.gov.md/comunicare/comunicate/discutii-prealabile-asupra-initiativei-de-transpunere-a-mai-multor-acte-ue-din-domeniul-muncii-securitatii-si-sanatatii-in-munca-si-egalitatii-de-tratament/"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49</Pages>
  <Words>32583</Words>
  <Characters>185728</Characters>
  <Application>Microsoft Office Word</Application>
  <DocSecurity>0</DocSecurity>
  <Lines>1547</Lines>
  <Paragraphs>435</Paragraphs>
  <ScaleCrop>false</ScaleCrop>
  <Company/>
  <LinksUpToDate>false</LinksUpToDate>
  <CharactersWithSpaces>217876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Bacalim</dc:creator>
  <cp:lastModifiedBy>Direcția Politici în Domeniul Raporturi de Muncă</cp:lastModifiedBy>
  <cp:revision>2</cp:revision>
  <dcterms:created xsi:type="dcterms:W3CDTF">2026-04-02T10:55:00Z</dcterms:created>
  <dcterms:modified xsi:type="dcterms:W3CDTF">2026-04-02T10:55:00Z</dcterms:modified>
</cp:coreProperties>
</file>