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A76E" w14:textId="0C3C53E6" w:rsidR="008B4BE6" w:rsidRPr="00B10626" w:rsidRDefault="006933C3" w:rsidP="00B035BC">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B10626">
        <w:rPr>
          <w:sz w:val="24"/>
          <w:szCs w:val="24"/>
          <w:lang w:val="ro-RO"/>
        </w:rPr>
        <w:t>Anexa</w:t>
      </w:r>
      <w:r w:rsidR="00032B46" w:rsidRPr="00B10626">
        <w:rPr>
          <w:sz w:val="24"/>
          <w:szCs w:val="24"/>
          <w:lang w:val="ro-RO"/>
        </w:rPr>
        <w:t xml:space="preserve"> </w:t>
      </w:r>
      <w:r w:rsidRPr="00B10626">
        <w:rPr>
          <w:sz w:val="24"/>
          <w:szCs w:val="24"/>
          <w:lang w:val="ro-RO"/>
        </w:rPr>
        <w:t>nr.</w:t>
      </w:r>
      <w:r w:rsidR="00032B46" w:rsidRPr="00B10626">
        <w:rPr>
          <w:sz w:val="24"/>
          <w:szCs w:val="24"/>
          <w:lang w:val="ro-RO"/>
        </w:rPr>
        <w:t xml:space="preserve"> </w:t>
      </w:r>
      <w:r w:rsidRPr="00B10626">
        <w:rPr>
          <w:sz w:val="24"/>
          <w:szCs w:val="24"/>
          <w:lang w:val="ro-RO"/>
        </w:rPr>
        <w:t>2</w:t>
      </w:r>
    </w:p>
    <w:p w14:paraId="31F22782" w14:textId="39835C91" w:rsidR="00CA2822" w:rsidRPr="00B10626" w:rsidRDefault="00CA2822" w:rsidP="00B42DDB">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B10626">
        <w:rPr>
          <w:sz w:val="24"/>
          <w:szCs w:val="24"/>
          <w:lang w:val="ro-RO"/>
        </w:rPr>
        <w:t>Modelul</w:t>
      </w:r>
      <w:r w:rsidR="00032B46" w:rsidRPr="00B10626">
        <w:rPr>
          <w:sz w:val="24"/>
          <w:szCs w:val="24"/>
          <w:lang w:val="ro-RO"/>
        </w:rPr>
        <w:t xml:space="preserve"> </w:t>
      </w:r>
      <w:r w:rsidRPr="00B10626">
        <w:rPr>
          <w:sz w:val="24"/>
          <w:szCs w:val="24"/>
          <w:lang w:val="ro-RO"/>
        </w:rPr>
        <w:t>1</w:t>
      </w:r>
    </w:p>
    <w:p w14:paraId="3D36F6C3" w14:textId="7778EF5B" w:rsidR="008B4BE6" w:rsidRPr="00B10626"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0A55B7A" w14:textId="77777777" w:rsidR="008B4BE6" w:rsidRPr="00B1062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10626">
        <w:rPr>
          <w:b/>
          <w:sz w:val="24"/>
          <w:szCs w:val="24"/>
          <w:lang w:val="ro-RO"/>
        </w:rPr>
        <w:t>SINTEZA</w:t>
      </w:r>
    </w:p>
    <w:p w14:paraId="62B3197B" w14:textId="1136D91D" w:rsidR="008B4BE6" w:rsidRPr="00B1062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10626">
        <w:rPr>
          <w:b/>
          <w:sz w:val="24"/>
          <w:szCs w:val="24"/>
          <w:lang w:val="ro-RO"/>
        </w:rPr>
        <w:t>la</w:t>
      </w:r>
      <w:r w:rsidR="00032B46" w:rsidRPr="00B10626">
        <w:rPr>
          <w:b/>
          <w:sz w:val="24"/>
          <w:szCs w:val="24"/>
          <w:lang w:val="ro-RO"/>
        </w:rPr>
        <w:t xml:space="preserve"> </w:t>
      </w:r>
      <w:r w:rsidRPr="00B10626">
        <w:rPr>
          <w:b/>
          <w:sz w:val="24"/>
          <w:szCs w:val="24"/>
          <w:lang w:val="ro-RO"/>
        </w:rPr>
        <w:t>proiectul</w:t>
      </w:r>
      <w:r w:rsidR="0021368F" w:rsidRPr="00B10626">
        <w:rPr>
          <w:b/>
          <w:sz w:val="24"/>
          <w:szCs w:val="24"/>
          <w:lang w:val="ro-RO"/>
        </w:rPr>
        <w:t xml:space="preserve"> (avizarea II)</w:t>
      </w:r>
    </w:p>
    <w:p w14:paraId="1C1C9DC9" w14:textId="0D80C9E4" w:rsidR="00800A18" w:rsidRPr="00B10626" w:rsidRDefault="00800A18" w:rsidP="00800A18">
      <w:pPr>
        <w:pBdr>
          <w:left w:val="none" w:sz="4" w:space="0" w:color="000000"/>
          <w:bottom w:val="none" w:sz="4" w:space="0" w:color="000000"/>
          <w:right w:val="none" w:sz="4" w:space="0" w:color="000000"/>
        </w:pBdr>
        <w:tabs>
          <w:tab w:val="left" w:pos="884"/>
          <w:tab w:val="left" w:pos="1196"/>
        </w:tabs>
        <w:jc w:val="center"/>
        <w:rPr>
          <w:sz w:val="24"/>
          <w:szCs w:val="24"/>
          <w:lang w:val="ro-RO"/>
        </w:rPr>
      </w:pPr>
      <w:r w:rsidRPr="00B10626">
        <w:rPr>
          <w:sz w:val="24"/>
          <w:szCs w:val="24"/>
          <w:lang w:val="ro-RO"/>
        </w:rPr>
        <w:t xml:space="preserve"> </w:t>
      </w:r>
    </w:p>
    <w:p w14:paraId="3699CB08" w14:textId="6DE0C498" w:rsidR="00C7184D" w:rsidRPr="00B10626" w:rsidRDefault="00E33CAA" w:rsidP="00E33CAA">
      <w:pPr>
        <w:pBdr>
          <w:left w:val="none" w:sz="4" w:space="0" w:color="000000"/>
          <w:bottom w:val="none" w:sz="4" w:space="0" w:color="000000"/>
          <w:right w:val="none" w:sz="4" w:space="0" w:color="000000"/>
        </w:pBdr>
        <w:tabs>
          <w:tab w:val="left" w:pos="884"/>
          <w:tab w:val="left" w:pos="1196"/>
        </w:tabs>
        <w:spacing w:line="276" w:lineRule="auto"/>
        <w:jc w:val="center"/>
        <w:rPr>
          <w:b/>
          <w:bCs/>
          <w:sz w:val="24"/>
          <w:szCs w:val="24"/>
          <w:u w:val="single"/>
          <w:lang w:val="ro-RO"/>
        </w:rPr>
      </w:pPr>
      <w:r w:rsidRPr="00B10626">
        <w:rPr>
          <w:b/>
          <w:bCs/>
          <w:sz w:val="24"/>
          <w:szCs w:val="24"/>
          <w:u w:val="single"/>
          <w:lang w:val="ro-RO"/>
        </w:rPr>
        <w:t xml:space="preserve">de </w:t>
      </w:r>
      <w:r w:rsidR="00CF391C">
        <w:rPr>
          <w:b/>
          <w:bCs/>
          <w:sz w:val="24"/>
          <w:szCs w:val="24"/>
          <w:u w:val="single"/>
          <w:lang w:val="ro-RO"/>
        </w:rPr>
        <w:t>l</w:t>
      </w:r>
      <w:r w:rsidR="00800A18" w:rsidRPr="00B10626">
        <w:rPr>
          <w:b/>
          <w:bCs/>
          <w:sz w:val="24"/>
          <w:szCs w:val="24"/>
          <w:u w:val="single"/>
          <w:lang w:val="ro-RO"/>
        </w:rPr>
        <w:t xml:space="preserve">ege </w:t>
      </w:r>
      <w:r w:rsidR="00C7184D" w:rsidRPr="00B10626">
        <w:rPr>
          <w:b/>
          <w:bCs/>
          <w:sz w:val="24"/>
          <w:szCs w:val="24"/>
          <w:u w:val="single"/>
          <w:lang w:val="ro-RO"/>
        </w:rPr>
        <w:t xml:space="preserve">privind declararea utilității publice de interes național pentru lucrările de dezvoltare </w:t>
      </w:r>
    </w:p>
    <w:p w14:paraId="0863E760" w14:textId="59D9E98F" w:rsidR="00C7184D" w:rsidRPr="00B10626" w:rsidRDefault="00C7184D" w:rsidP="00E33CAA">
      <w:pPr>
        <w:pBdr>
          <w:left w:val="none" w:sz="4" w:space="0" w:color="000000"/>
          <w:bottom w:val="none" w:sz="4" w:space="0" w:color="000000"/>
          <w:right w:val="none" w:sz="4" w:space="0" w:color="000000"/>
        </w:pBdr>
        <w:tabs>
          <w:tab w:val="left" w:pos="884"/>
          <w:tab w:val="left" w:pos="1196"/>
        </w:tabs>
        <w:spacing w:line="276" w:lineRule="auto"/>
        <w:jc w:val="center"/>
        <w:rPr>
          <w:b/>
          <w:bCs/>
          <w:sz w:val="24"/>
          <w:szCs w:val="24"/>
          <w:u w:val="single"/>
          <w:lang w:val="ro-RO"/>
        </w:rPr>
      </w:pPr>
      <w:r w:rsidRPr="00B10626">
        <w:rPr>
          <w:b/>
          <w:bCs/>
          <w:sz w:val="24"/>
          <w:szCs w:val="24"/>
          <w:u w:val="single"/>
          <w:lang w:val="ro-RO"/>
        </w:rPr>
        <w:t xml:space="preserve">a infrastructurii regionale de gestionare a deșeurilor </w:t>
      </w:r>
    </w:p>
    <w:p w14:paraId="7B7DC114" w14:textId="35B87AA3" w:rsidR="008B4BE6" w:rsidRPr="00B10626" w:rsidRDefault="00E33CAA" w:rsidP="00A43E50">
      <w:pPr>
        <w:pBdr>
          <w:left w:val="none" w:sz="4" w:space="0" w:color="000000"/>
          <w:bottom w:val="none" w:sz="4" w:space="0" w:color="000000"/>
          <w:right w:val="none" w:sz="4" w:space="0" w:color="000000"/>
        </w:pBdr>
        <w:tabs>
          <w:tab w:val="left" w:pos="884"/>
          <w:tab w:val="left" w:pos="1196"/>
        </w:tabs>
        <w:spacing w:line="276" w:lineRule="auto"/>
        <w:ind w:firstLine="0"/>
        <w:jc w:val="center"/>
        <w:rPr>
          <w:b/>
          <w:bCs/>
          <w:i/>
          <w:sz w:val="24"/>
          <w:szCs w:val="24"/>
          <w:u w:val="single"/>
          <w:lang w:val="ro-RO"/>
        </w:rPr>
      </w:pPr>
      <w:r w:rsidRPr="00B10626">
        <w:rPr>
          <w:b/>
          <w:bCs/>
          <w:i/>
          <w:sz w:val="24"/>
          <w:szCs w:val="24"/>
          <w:u w:val="single"/>
          <w:lang w:val="ro-RO"/>
        </w:rPr>
        <w:t>numărul unic 107/MM2026</w:t>
      </w:r>
    </w:p>
    <w:p w14:paraId="31E2E3AA" w14:textId="77777777" w:rsidR="00482164" w:rsidRPr="00B10626" w:rsidRDefault="00482164" w:rsidP="00A43E50">
      <w:pPr>
        <w:pBdr>
          <w:left w:val="none" w:sz="4" w:space="0" w:color="000000"/>
          <w:bottom w:val="none" w:sz="4" w:space="0" w:color="000000"/>
          <w:right w:val="none" w:sz="4" w:space="0" w:color="000000"/>
        </w:pBdr>
        <w:tabs>
          <w:tab w:val="left" w:pos="884"/>
          <w:tab w:val="left" w:pos="1196"/>
        </w:tabs>
        <w:spacing w:line="276" w:lineRule="auto"/>
        <w:ind w:firstLine="0"/>
        <w:jc w:val="center"/>
        <w:rPr>
          <w:b/>
          <w:bCs/>
          <w:i/>
          <w:sz w:val="24"/>
          <w:szCs w:val="24"/>
          <w:u w:val="single"/>
          <w:lang w:val="ro-RO"/>
        </w:rPr>
      </w:pPr>
    </w:p>
    <w:tbl>
      <w:tblPr>
        <w:tblStyle w:val="Tabelgril"/>
        <w:tblW w:w="1459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92"/>
        <w:gridCol w:w="851"/>
        <w:gridCol w:w="6095"/>
        <w:gridCol w:w="4253"/>
      </w:tblGrid>
      <w:tr w:rsidR="00482164" w:rsidRPr="00B10626" w14:paraId="72501769"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5911F" w14:textId="77777777" w:rsidR="00482164" w:rsidRPr="00B10626" w:rsidRDefault="00482164" w:rsidP="0012203F">
            <w:pPr>
              <w:pBdr>
                <w:top w:val="none" w:sz="4" w:space="0" w:color="000000"/>
                <w:left w:val="none" w:sz="4" w:space="0" w:color="000000"/>
                <w:bottom w:val="none" w:sz="4" w:space="0" w:color="000000"/>
                <w:right w:val="none" w:sz="4" w:space="0" w:color="000000"/>
              </w:pBdr>
              <w:ind w:left="-120" w:firstLine="0"/>
              <w:jc w:val="center"/>
              <w:rPr>
                <w:rFonts w:ascii="Times New Roman" w:hAnsi="Times New Roman"/>
                <w:sz w:val="24"/>
                <w:szCs w:val="24"/>
                <w:lang w:val="ro-RO"/>
              </w:rPr>
            </w:pPr>
            <w:r w:rsidRPr="00B10626">
              <w:rPr>
                <w:rFonts w:ascii="Times New Roman" w:hAnsi="Times New Roman"/>
                <w:b/>
                <w:sz w:val="24"/>
                <w:szCs w:val="24"/>
                <w:lang w:val="ro-RO"/>
              </w:rPr>
              <w:t>Participantul la avizare, consultare publică, expertizare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BD232E" w14:textId="77777777" w:rsidR="00482164" w:rsidRPr="00B10626" w:rsidRDefault="00482164" w:rsidP="0012203F">
            <w:pPr>
              <w:pBdr>
                <w:top w:val="none" w:sz="4" w:space="0" w:color="000000"/>
                <w:left w:val="none" w:sz="4" w:space="0" w:color="000000"/>
                <w:bottom w:val="none" w:sz="4" w:space="0" w:color="000000"/>
                <w:right w:val="none" w:sz="4" w:space="0" w:color="000000"/>
              </w:pBdr>
              <w:ind w:left="-107" w:right="-113" w:firstLine="0"/>
              <w:jc w:val="center"/>
              <w:rPr>
                <w:rFonts w:ascii="Times New Roman" w:hAnsi="Times New Roman"/>
                <w:sz w:val="24"/>
                <w:szCs w:val="24"/>
                <w:lang w:val="ro-RO"/>
              </w:rPr>
            </w:pPr>
            <w:r w:rsidRPr="00B10626">
              <w:rPr>
                <w:rFonts w:ascii="Times New Roman" w:hAnsi="Times New Roman"/>
                <w:b/>
                <w:sz w:val="24"/>
                <w:szCs w:val="24"/>
                <w:lang w:val="ro-RO"/>
              </w:rPr>
              <w:t>Nr. crt.</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CFBA281" w14:textId="77777777" w:rsidR="00482164" w:rsidRPr="00B10626" w:rsidRDefault="00482164" w:rsidP="0012203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10626">
              <w:rPr>
                <w:rFonts w:ascii="Times New Roman" w:hAnsi="Times New Roman"/>
                <w:b/>
                <w:sz w:val="24"/>
                <w:szCs w:val="24"/>
                <w:lang w:val="ro-RO"/>
              </w:rPr>
              <w:t>Conținutul obiecției,</w:t>
            </w:r>
          </w:p>
          <w:p w14:paraId="3C962660"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b/>
                <w:sz w:val="24"/>
                <w:szCs w:val="24"/>
                <w:lang w:val="ro-RO"/>
              </w:rPr>
              <w:t>propunerii, recomandării, 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AFFD9" w14:textId="77777777" w:rsidR="00482164" w:rsidRPr="00B10626" w:rsidRDefault="00482164" w:rsidP="0012203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10626">
              <w:rPr>
                <w:rFonts w:ascii="Times New Roman" w:hAnsi="Times New Roman"/>
                <w:b/>
                <w:sz w:val="24"/>
                <w:szCs w:val="24"/>
                <w:lang w:val="ro-RO"/>
              </w:rPr>
              <w:t>Argumentarea</w:t>
            </w:r>
          </w:p>
          <w:p w14:paraId="434612E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b/>
                <w:sz w:val="24"/>
                <w:szCs w:val="24"/>
                <w:lang w:val="ro-RO"/>
              </w:rPr>
              <w:t>autorului proiectului</w:t>
            </w:r>
          </w:p>
        </w:tc>
      </w:tr>
      <w:tr w:rsidR="00482164" w:rsidRPr="00B10626" w14:paraId="3F2DB2AC" w14:textId="77777777" w:rsidTr="0012203F">
        <w:tc>
          <w:tcPr>
            <w:tcW w:w="14591"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EFBC7"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eastAsia="Times New Roman" w:hAnsi="Times New Roman"/>
                <w:sz w:val="24"/>
                <w:szCs w:val="24"/>
                <w:lang w:val="ro-RO"/>
              </w:rPr>
              <w:t xml:space="preserve">Avizare </w:t>
            </w:r>
            <w:r w:rsidRPr="00B10626">
              <w:rPr>
                <w:rFonts w:ascii="Times New Roman" w:hAnsi="Times New Roman"/>
                <w:sz w:val="24"/>
                <w:szCs w:val="24"/>
                <w:lang w:val="ro-RO"/>
              </w:rPr>
              <w:t>și consultare publică</w:t>
            </w:r>
          </w:p>
        </w:tc>
      </w:tr>
      <w:tr w:rsidR="00D826AC" w:rsidRPr="00B10626" w14:paraId="65CAB644" w14:textId="77777777" w:rsidTr="00137DBA">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7D6FAB" w14:textId="2D12EA42" w:rsidR="00D826AC" w:rsidRPr="00B10626" w:rsidRDefault="00D826AC" w:rsidP="00D826AC">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Ministerul Justiției (04/2-1747 din 18.02.2026)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E31CAA4" w14:textId="466B2131" w:rsidR="00D826AC" w:rsidRPr="00B10626" w:rsidRDefault="00B10626" w:rsidP="00D826AC">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37AF0C" w14:textId="49B1A4D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hAnsi="Times New Roman"/>
                <w:sz w:val="24"/>
                <w:szCs w:val="24"/>
                <w:lang w:val="ro-MD"/>
              </w:rPr>
              <w:t>Opinia MJ „</w:t>
            </w:r>
            <w:r w:rsidRPr="00B10626">
              <w:rPr>
                <w:rFonts w:ascii="Times New Roman" w:hAnsi="Times New Roman"/>
                <w:sz w:val="24"/>
                <w:szCs w:val="24"/>
                <w:lang w:val="pt-BR"/>
              </w:rPr>
              <w:t>proiectul prezentat spre avizare nu are tangență cu domeniile de activitate ale Ministerului Justiției”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43456A" w14:textId="1217F57A" w:rsidR="00D826AC" w:rsidRPr="00B10626" w:rsidRDefault="00D826AC" w:rsidP="00D826AC">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pt-BR"/>
              </w:rPr>
              <w:t xml:space="preserve">Se </w:t>
            </w:r>
            <w:r w:rsidR="00B005EF">
              <w:rPr>
                <w:rFonts w:ascii="Times New Roman" w:hAnsi="Times New Roman"/>
                <w:sz w:val="24"/>
                <w:szCs w:val="24"/>
                <w:lang w:val="pt-BR"/>
              </w:rPr>
              <w:t>i</w:t>
            </w:r>
            <w:r w:rsidRPr="00B10626">
              <w:rPr>
                <w:rFonts w:ascii="Times New Roman" w:hAnsi="Times New Roman"/>
                <w:sz w:val="24"/>
                <w:szCs w:val="24"/>
                <w:lang w:val="pt-BR"/>
              </w:rPr>
              <w:t>a act.</w:t>
            </w:r>
          </w:p>
        </w:tc>
      </w:tr>
      <w:tr w:rsidR="00482164" w:rsidRPr="00B10626" w14:paraId="6323AA00" w14:textId="77777777" w:rsidTr="0012203F">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2C3EDC" w14:textId="7710227C"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B10626">
              <w:rPr>
                <w:rFonts w:ascii="Times New Roman" w:eastAsia="Times New Roman" w:hAnsi="Times New Roman"/>
                <w:sz w:val="24"/>
                <w:szCs w:val="24"/>
                <w:lang w:val="ro-MD"/>
              </w:rPr>
              <w:t xml:space="preserve">Agenția Geodezie, Cartografie și Cadastru (scrisoarea nr. 36/01-06/212 din </w:t>
            </w:r>
            <w:r w:rsidR="00D826AC" w:rsidRPr="00B10626">
              <w:rPr>
                <w:rFonts w:ascii="Times New Roman" w:eastAsia="Times New Roman" w:hAnsi="Times New Roman"/>
                <w:sz w:val="24"/>
                <w:szCs w:val="24"/>
                <w:lang w:val="ro-MD"/>
              </w:rPr>
              <w:t>20</w:t>
            </w:r>
            <w:r w:rsidRPr="00B10626">
              <w:rPr>
                <w:rFonts w:ascii="Times New Roman" w:eastAsia="Times New Roman" w:hAnsi="Times New Roman"/>
                <w:sz w:val="24"/>
                <w:szCs w:val="24"/>
                <w:lang w:val="ro-MD"/>
              </w:rPr>
              <w:t>.02.2026)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74579C" w14:textId="72F2E776" w:rsidR="00482164" w:rsidRPr="00B10626" w:rsidRDefault="00B10626" w:rsidP="0012203F">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51E5C6" w14:textId="77777777" w:rsidR="00482164" w:rsidRPr="00B10626" w:rsidRDefault="00482164" w:rsidP="0012203F">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RO"/>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E89832"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B10626">
              <w:rPr>
                <w:rFonts w:ascii="Times New Roman" w:eastAsia="Times New Roman" w:hAnsi="Times New Roman"/>
                <w:sz w:val="24"/>
                <w:szCs w:val="24"/>
                <w:lang w:val="ro-MD"/>
              </w:rPr>
              <w:t>Se ia act.</w:t>
            </w:r>
          </w:p>
        </w:tc>
      </w:tr>
      <w:tr w:rsidR="00482164" w:rsidRPr="00B005EF" w14:paraId="2542A90C"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DBB2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Congresul Autorităților Locale din Moldova – CALM</w:t>
            </w:r>
          </w:p>
          <w:p w14:paraId="5D41E2B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 xml:space="preserve"> (aviz nr. 50 din 20.02.2026)</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A389FB" w14:textId="6EDF33F9" w:rsidR="00482164" w:rsidRPr="00B10626" w:rsidRDefault="00B10626" w:rsidP="0012203F">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3</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3F1338E"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Art. 1: substituirea sintagmei „de utilitate publică de interes național pentru” cu „utilitatea publică de interes național pentru” (sau alternativ „de utilitate publică de interes național”).</w:t>
            </w:r>
          </w:p>
          <w:p w14:paraId="0753B27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p>
          <w:p w14:paraId="30F25E04"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B10626">
              <w:rPr>
                <w:rFonts w:ascii="Times New Roman" w:hAnsi="Times New Roman"/>
                <w:sz w:val="24"/>
                <w:szCs w:val="24"/>
                <w:lang w:val="ro-RO"/>
              </w:rPr>
              <w:t>Art. 2: expunerea denumirilor unităților administrativ-teritoriale conform statutului legal (Legea nr. 764/2001 privind organizarea administrativ-teritorială).</w:t>
            </w:r>
          </w:p>
          <w:p w14:paraId="5D0D90AD"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6C7412CA"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B10626">
              <w:rPr>
                <w:rFonts w:ascii="Times New Roman" w:hAnsi="Times New Roman"/>
                <w:sz w:val="24"/>
                <w:szCs w:val="24"/>
                <w:lang w:val="ro-RO"/>
              </w:rPr>
              <w:t>Unificarea art. 3 și art. 4 (cu renumerotare), având în vedere că aceeași instituție emite certificatul de urbanism și autorizația de construire (Codul urbanismului și construcțiilor nr. 434/2023).</w:t>
            </w:r>
          </w:p>
          <w:p w14:paraId="3C01B656"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28BCCAE6"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6DC0A23C"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RO"/>
              </w:rPr>
              <w:t xml:space="preserve">Art. 14 lit. c) și d): stabilirea unui termen pentru instituirea interdicției de înstrăinare în Registrul bunurilor imobile și </w:t>
            </w:r>
            <w:r w:rsidRPr="00B10626">
              <w:rPr>
                <w:rFonts w:ascii="Times New Roman" w:hAnsi="Times New Roman"/>
                <w:sz w:val="24"/>
                <w:szCs w:val="24"/>
                <w:lang w:val="ro-RO"/>
              </w:rPr>
              <w:lastRenderedPageBreak/>
              <w:t>pentru notificarea APL (ex.: 30 zile de la intrarea în vigoare).</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CB8FB" w14:textId="3A9F993A"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lastRenderedPageBreak/>
              <w:t>Se acceptă. Se ajust</w:t>
            </w:r>
            <w:r w:rsidR="00B005EF">
              <w:rPr>
                <w:rFonts w:ascii="Times New Roman" w:eastAsia="Times New Roman" w:hAnsi="Times New Roman"/>
                <w:sz w:val="24"/>
                <w:szCs w:val="24"/>
                <w:lang w:val="ro-MD"/>
              </w:rPr>
              <w:t>ează</w:t>
            </w:r>
            <w:r w:rsidRPr="00B10626">
              <w:rPr>
                <w:rFonts w:ascii="Times New Roman" w:eastAsia="Times New Roman" w:hAnsi="Times New Roman"/>
                <w:sz w:val="24"/>
                <w:szCs w:val="24"/>
                <w:lang w:val="ro-MD"/>
              </w:rPr>
              <w:t xml:space="preserve"> formularea pentru coerență lingvistică și corectitudine juridico-tehnică.</w:t>
            </w:r>
          </w:p>
          <w:p w14:paraId="72F13F49"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p w14:paraId="2C15C603"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p w14:paraId="5A5A298B" w14:textId="33752102"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Se acceptă. Se corect</w:t>
            </w:r>
            <w:r w:rsidR="00B005EF">
              <w:rPr>
                <w:rFonts w:ascii="Times New Roman" w:eastAsia="Times New Roman" w:hAnsi="Times New Roman"/>
                <w:sz w:val="24"/>
                <w:szCs w:val="24"/>
                <w:lang w:val="ro-MD"/>
              </w:rPr>
              <w:t>ează</w:t>
            </w:r>
            <w:r w:rsidRPr="00B10626">
              <w:rPr>
                <w:rFonts w:ascii="Times New Roman" w:eastAsia="Times New Roman" w:hAnsi="Times New Roman"/>
                <w:sz w:val="24"/>
                <w:szCs w:val="24"/>
                <w:lang w:val="ro-MD"/>
              </w:rPr>
              <w:t xml:space="preserve"> denumirile UAT (municipiu/oraș/comună/sat) în conformitate cu Legea nr. 764/2001.</w:t>
            </w:r>
          </w:p>
          <w:p w14:paraId="4FF8AC23"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p w14:paraId="11F0911C" w14:textId="3F748ECD"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B10626">
              <w:rPr>
                <w:rFonts w:ascii="Times New Roman" w:hAnsi="Times New Roman"/>
                <w:sz w:val="24"/>
                <w:szCs w:val="24"/>
                <w:lang w:val="ro-RO"/>
              </w:rPr>
              <w:t xml:space="preserve">Se acceptă în principiu. Se </w:t>
            </w:r>
            <w:r w:rsidR="005730F6">
              <w:rPr>
                <w:rFonts w:ascii="Times New Roman" w:hAnsi="Times New Roman"/>
                <w:sz w:val="24"/>
                <w:szCs w:val="24"/>
                <w:lang w:val="ro-RO"/>
              </w:rPr>
              <w:t>revizuiește</w:t>
            </w:r>
            <w:r w:rsidRPr="00B10626">
              <w:rPr>
                <w:rFonts w:ascii="Times New Roman" w:hAnsi="Times New Roman"/>
                <w:sz w:val="24"/>
                <w:szCs w:val="24"/>
                <w:lang w:val="ro-RO"/>
              </w:rPr>
              <w:t xml:space="preserve"> structura articolelor pentru a evita dublările și </w:t>
            </w:r>
            <w:r w:rsidR="00B005EF">
              <w:rPr>
                <w:rFonts w:ascii="Times New Roman" w:hAnsi="Times New Roman"/>
                <w:sz w:val="24"/>
                <w:szCs w:val="24"/>
                <w:lang w:val="ro-RO"/>
              </w:rPr>
              <w:t xml:space="preserve">să </w:t>
            </w:r>
            <w:r w:rsidRPr="00B10626">
              <w:rPr>
                <w:rFonts w:ascii="Times New Roman" w:hAnsi="Times New Roman"/>
                <w:sz w:val="24"/>
                <w:szCs w:val="24"/>
                <w:lang w:val="ro-RO"/>
              </w:rPr>
              <w:t>asigura coerența competențelor instituționale, cu renumerotarea corespunzătoare.</w:t>
            </w:r>
          </w:p>
          <w:p w14:paraId="54FBA33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p w14:paraId="54B0FF65" w14:textId="5126CC69" w:rsidR="00482164" w:rsidRPr="00B10626" w:rsidRDefault="00482164" w:rsidP="0012203F">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RO"/>
              </w:rPr>
              <w:t xml:space="preserve">Se acceptă. Se introduce un termen procedural pentru asigurarea </w:t>
            </w:r>
            <w:r w:rsidRPr="00B10626">
              <w:rPr>
                <w:rFonts w:ascii="Times New Roman" w:hAnsi="Times New Roman"/>
                <w:sz w:val="24"/>
                <w:szCs w:val="24"/>
                <w:lang w:val="ro-RO"/>
              </w:rPr>
              <w:lastRenderedPageBreak/>
              <w:t>previzibilității și executării efective a măsurilor.</w:t>
            </w:r>
          </w:p>
        </w:tc>
      </w:tr>
      <w:tr w:rsidR="00482164" w:rsidRPr="00B10626" w14:paraId="2A5CB708"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5C05A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10626">
              <w:rPr>
                <w:rFonts w:ascii="Times New Roman" w:eastAsia="Times New Roman" w:hAnsi="Times New Roman"/>
                <w:sz w:val="24"/>
                <w:szCs w:val="24"/>
                <w:lang w:val="ro-RO"/>
              </w:rPr>
              <w:lastRenderedPageBreak/>
              <w:t xml:space="preserve"> Ministerul Sănătății (scrisoarea nr. 09/603 din 24.02.2026)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1BEC5" w14:textId="56EE433E" w:rsidR="00482164" w:rsidRPr="00B10626" w:rsidRDefault="00B10626"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4</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06303"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eastAsia="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B31C9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eastAsia="Times New Roman" w:hAnsi="Times New Roman"/>
                <w:sz w:val="24"/>
                <w:szCs w:val="24"/>
                <w:lang w:val="ro-MD"/>
              </w:rPr>
              <w:t>Se ia act.</w:t>
            </w:r>
          </w:p>
        </w:tc>
      </w:tr>
      <w:tr w:rsidR="00482164" w:rsidRPr="00CF391C" w14:paraId="459DF966"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6702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eastAsia="Times New Roman" w:hAnsi="Times New Roman"/>
                <w:sz w:val="24"/>
                <w:szCs w:val="24"/>
                <w:lang w:val="ro-MD"/>
              </w:rPr>
              <w:t>Ministerul Infrastructurii și Dezvoltării Regionale – MIDR (scrisoarea nr. 21-922 din 26.02.2026)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6904CC" w14:textId="65545EEC" w:rsidR="00482164" w:rsidRPr="00B10626" w:rsidRDefault="00B10626"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5</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E9D94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eastAsia="Times New Roman" w:hAnsi="Times New Roman"/>
                <w:sz w:val="24"/>
                <w:szCs w:val="24"/>
                <w:lang w:val="ro-MD"/>
              </w:rPr>
              <w:t>Nota de fundamentare: justificarea temeinică a necesității derogărilor (art. 3 și 4) și clarificarea urgenței aplicării acestora</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416A77" w14:textId="4F9B8A85"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eastAsia="Times New Roman" w:hAnsi="Times New Roman"/>
                <w:sz w:val="24"/>
                <w:szCs w:val="24"/>
                <w:lang w:val="ro-MD"/>
              </w:rPr>
              <w:t xml:space="preserve">Se acceptă. </w:t>
            </w:r>
            <w:r w:rsidR="00971BD6" w:rsidRPr="00971BD6">
              <w:rPr>
                <w:rFonts w:ascii="Times New Roman" w:eastAsia="Times New Roman" w:hAnsi="Times New Roman"/>
                <w:sz w:val="24"/>
                <w:szCs w:val="24"/>
                <w:lang w:val="ro-MD"/>
              </w:rPr>
              <w:t>Nota de fundamentare se completează cu argumente care justifică necesitatea derogărilor în raport cu termenele de executare a lucrărilor, precum și urgența intervenției legislative</w:t>
            </w:r>
            <w:r w:rsidRPr="00B10626">
              <w:rPr>
                <w:rFonts w:ascii="Times New Roman" w:eastAsia="Times New Roman" w:hAnsi="Times New Roman"/>
                <w:sz w:val="24"/>
                <w:szCs w:val="24"/>
                <w:lang w:val="ro-MD"/>
              </w:rPr>
              <w:t>.</w:t>
            </w:r>
          </w:p>
        </w:tc>
      </w:tr>
      <w:tr w:rsidR="00D826AC" w:rsidRPr="00CF391C" w14:paraId="5F2F199D"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441CC"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 xml:space="preserve">Ministerul Finanțelor </w:t>
            </w:r>
          </w:p>
          <w:p w14:paraId="71092AFB" w14:textId="0EB2F913"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RO"/>
              </w:rPr>
              <w:t>(scrisoarea nr. 09/2-03/112/240, la nr. DGPȘG-1994-18-69-664 din 16.02.2026, plasat pe 02.03.2026)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C2DF17" w14:textId="23514A14" w:rsidR="00D826AC" w:rsidRPr="00B10626" w:rsidRDefault="00B10626" w:rsidP="00D826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6</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8AAEFF"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Completarea/ajustarea Notei de fundamentare (pct. 4.2) cu o estimare prealabilă a impactului financiar, inclusiv a mijloacelor necesare pentru despăgubirile aferente exproprierii bunurilor imobile.</w:t>
            </w:r>
          </w:p>
          <w:p w14:paraId="136869B2"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7AB8B49"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B0B3D24"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9F52B3A" w14:textId="7935952C"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Prezentarea solicitărilor de mijloace financiare în procesul de elaborare a Cadrului Bugetar pe Termen Mediu 2027–2029.</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8A602" w14:textId="04CC1B82"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 xml:space="preserve">Se acceptă. Nota de fundamentare </w:t>
            </w:r>
            <w:r w:rsidR="00971BD6">
              <w:rPr>
                <w:rFonts w:ascii="Times New Roman" w:eastAsia="Times New Roman" w:hAnsi="Times New Roman"/>
                <w:sz w:val="24"/>
                <w:szCs w:val="24"/>
                <w:lang w:val="ro-MD"/>
              </w:rPr>
              <w:t>se</w:t>
            </w:r>
            <w:r w:rsidRPr="00B10626">
              <w:rPr>
                <w:rFonts w:ascii="Times New Roman" w:eastAsia="Times New Roman" w:hAnsi="Times New Roman"/>
                <w:sz w:val="24"/>
                <w:szCs w:val="24"/>
                <w:lang w:val="ro-MD"/>
              </w:rPr>
              <w:t xml:space="preserve"> complet</w:t>
            </w:r>
            <w:r w:rsidR="00971BD6">
              <w:rPr>
                <w:rFonts w:ascii="Times New Roman" w:eastAsia="Times New Roman" w:hAnsi="Times New Roman"/>
                <w:sz w:val="24"/>
                <w:szCs w:val="24"/>
                <w:lang w:val="ro-MD"/>
              </w:rPr>
              <w:t>ează</w:t>
            </w:r>
            <w:r w:rsidRPr="00B10626">
              <w:rPr>
                <w:rFonts w:ascii="Times New Roman" w:eastAsia="Times New Roman" w:hAnsi="Times New Roman"/>
                <w:sz w:val="24"/>
                <w:szCs w:val="24"/>
                <w:lang w:val="ro-MD"/>
              </w:rPr>
              <w:t xml:space="preserve"> cu estimări/scenarii privind despăgubirile (minim/mediu/maxim) și cu prezentarea premiselor de calcul, astfel încât impactul bugetar să fie transparent și cuantificabil.</w:t>
            </w:r>
          </w:p>
          <w:p w14:paraId="3BF5594B"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D8840EA" w14:textId="7B67D4F5"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Se acceptă. Se</w:t>
            </w:r>
            <w:r w:rsidR="00971BD6">
              <w:rPr>
                <w:rFonts w:ascii="Times New Roman" w:hAnsi="Times New Roman"/>
                <w:sz w:val="24"/>
                <w:szCs w:val="24"/>
                <w:lang w:val="ro-MD"/>
              </w:rPr>
              <w:t xml:space="preserve"> </w:t>
            </w:r>
            <w:r w:rsidRPr="00B10626">
              <w:rPr>
                <w:rFonts w:ascii="Times New Roman" w:hAnsi="Times New Roman"/>
                <w:sz w:val="24"/>
                <w:szCs w:val="24"/>
                <w:lang w:val="ro-MD"/>
              </w:rPr>
              <w:t xml:space="preserve">indica în nota de fundamentare că necesarul de mijloace </w:t>
            </w:r>
            <w:r w:rsidR="00971BD6">
              <w:rPr>
                <w:rFonts w:ascii="Times New Roman" w:hAnsi="Times New Roman"/>
                <w:sz w:val="24"/>
                <w:szCs w:val="24"/>
                <w:lang w:val="ro-MD"/>
              </w:rPr>
              <w:t xml:space="preserve">sunt incluse </w:t>
            </w:r>
            <w:r w:rsidRPr="00B10626">
              <w:rPr>
                <w:rFonts w:ascii="Times New Roman" w:hAnsi="Times New Roman"/>
                <w:sz w:val="24"/>
                <w:szCs w:val="24"/>
                <w:lang w:val="ro-MD"/>
              </w:rPr>
              <w:t>în CBMT 2027–2029 și bugetele anuale</w:t>
            </w:r>
            <w:r w:rsidR="00971BD6">
              <w:rPr>
                <w:rFonts w:ascii="Times New Roman" w:hAnsi="Times New Roman"/>
                <w:sz w:val="24"/>
                <w:szCs w:val="24"/>
                <w:lang w:val="ro-MD"/>
              </w:rPr>
              <w:t xml:space="preserve">,  și transmise spre </w:t>
            </w:r>
            <w:r w:rsidRPr="00B10626">
              <w:rPr>
                <w:rFonts w:ascii="Times New Roman" w:hAnsi="Times New Roman"/>
                <w:sz w:val="24"/>
                <w:szCs w:val="24"/>
                <w:lang w:val="ro-MD"/>
              </w:rPr>
              <w:t>în coordonare</w:t>
            </w:r>
            <w:r w:rsidR="00971BD6">
              <w:rPr>
                <w:rFonts w:ascii="Times New Roman" w:hAnsi="Times New Roman"/>
                <w:sz w:val="24"/>
                <w:szCs w:val="24"/>
                <w:lang w:val="ro-MD"/>
              </w:rPr>
              <w:t xml:space="preserve"> </w:t>
            </w:r>
            <w:r w:rsidRPr="00B10626">
              <w:rPr>
                <w:rFonts w:ascii="Times New Roman" w:hAnsi="Times New Roman"/>
                <w:sz w:val="24"/>
                <w:szCs w:val="24"/>
                <w:lang w:val="ro-MD"/>
              </w:rPr>
              <w:t>Ministerul Finanțelor, în limita resurselor aprobate.</w:t>
            </w:r>
          </w:p>
        </w:tc>
      </w:tr>
      <w:tr w:rsidR="00D826AC" w:rsidRPr="00CF391C" w14:paraId="72379AD5"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346D8"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 xml:space="preserve">Ministerul Energiei </w:t>
            </w:r>
          </w:p>
          <w:p w14:paraId="5BAAB63E" w14:textId="3121A8DB"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(scrisoarea nr. 05-460 din 02.03.2026)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1E41FE" w14:textId="3B7B6F24" w:rsidR="00D826AC" w:rsidRPr="00B10626" w:rsidRDefault="00B10626" w:rsidP="00D826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7</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538430"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Art. 8: definirea noțiunii „act de expropriere” și corelarea acesteia cu etapele/actele procedurii de expropriere (Legea nr. 488/1999).</w:t>
            </w:r>
          </w:p>
          <w:p w14:paraId="0176589D"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p w14:paraId="34323CDA"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p w14:paraId="06554B6B"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Art. 6: revizuirea prevederilor privind „procedura de expropriere” și clarificarea formulării potrivit căreia lucrările ar preceda și/sau s-ar desfășura concomitent cu exproprierea.</w:t>
            </w:r>
          </w:p>
          <w:p w14:paraId="113B0D25"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p>
          <w:p w14:paraId="06D6731C" w14:textId="2174084B"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eastAsia="Times New Roman" w:hAnsi="Times New Roman"/>
                <w:sz w:val="24"/>
                <w:szCs w:val="24"/>
                <w:lang w:val="ro-MD"/>
              </w:rPr>
              <w:t xml:space="preserve">Evitarea conflictului normativ cu art. 1 din Legea nr. 488/1999 (despăgubire dreaptă și prealabilă); dacă se urmărește execuția lucrărilor concomitent cu exproprierea – instituirea expresă a unei proceduri speciale, cu garanții </w:t>
            </w:r>
            <w:r w:rsidRPr="00B10626">
              <w:rPr>
                <w:rFonts w:ascii="Times New Roman" w:eastAsia="Times New Roman" w:hAnsi="Times New Roman"/>
                <w:sz w:val="24"/>
                <w:szCs w:val="24"/>
                <w:lang w:val="ro-MD"/>
              </w:rPr>
              <w:lastRenderedPageBreak/>
              <w:t>(despăgubiri, consemnare/plată, înregistrare Registrul bunurilor imobile etc.).</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6ED7C8" w14:textId="15A633F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Se acceptă. Se defin</w:t>
            </w:r>
            <w:r w:rsidR="005730F6">
              <w:rPr>
                <w:rFonts w:ascii="Times New Roman" w:hAnsi="Times New Roman"/>
                <w:sz w:val="24"/>
                <w:szCs w:val="24"/>
                <w:lang w:val="ro-MD"/>
              </w:rPr>
              <w:t>ește expres noțiunea actului exproprierii</w:t>
            </w:r>
            <w:r w:rsidRPr="00B10626">
              <w:rPr>
                <w:rFonts w:ascii="Times New Roman" w:hAnsi="Times New Roman"/>
                <w:sz w:val="24"/>
                <w:szCs w:val="24"/>
                <w:lang w:val="ro-MD"/>
              </w:rPr>
              <w:t>, pentru a evita ambiguitățile și necorelările cu Legea nr. 488/1999.</w:t>
            </w:r>
          </w:p>
          <w:p w14:paraId="6659147E"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2741F89" w14:textId="48D35545"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Se acceptă parțial. Se clarifica succesiunea etapelor astfel încât să fie respectate garanțiile exproprierii și să fie eliminat riscul de interpretare contrară cadrului general.</w:t>
            </w:r>
          </w:p>
          <w:p w14:paraId="3BEA849D"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C0AB7BC" w14:textId="7149595A"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Se acceptă. Se complet</w:t>
            </w:r>
            <w:r w:rsidR="005730F6">
              <w:rPr>
                <w:rFonts w:ascii="Times New Roman" w:hAnsi="Times New Roman"/>
                <w:sz w:val="24"/>
                <w:szCs w:val="24"/>
                <w:lang w:val="ro-MD"/>
              </w:rPr>
              <w:t>ează</w:t>
            </w:r>
            <w:r w:rsidRPr="00B10626">
              <w:rPr>
                <w:rFonts w:ascii="Times New Roman" w:hAnsi="Times New Roman"/>
                <w:sz w:val="24"/>
                <w:szCs w:val="24"/>
                <w:lang w:val="ro-MD"/>
              </w:rPr>
              <w:t xml:space="preserve"> proiectul </w:t>
            </w:r>
            <w:r w:rsidR="005730F6">
              <w:rPr>
                <w:rFonts w:ascii="Times New Roman" w:hAnsi="Times New Roman"/>
                <w:sz w:val="24"/>
                <w:szCs w:val="24"/>
                <w:lang w:val="ro-MD"/>
              </w:rPr>
              <w:t xml:space="preserve">cu </w:t>
            </w:r>
            <w:r w:rsidRPr="00B10626">
              <w:rPr>
                <w:rFonts w:ascii="Times New Roman" w:hAnsi="Times New Roman"/>
                <w:sz w:val="24"/>
                <w:szCs w:val="24"/>
                <w:lang w:val="ro-MD"/>
              </w:rPr>
              <w:t xml:space="preserve">reguli speciale și garanții procedurale (determinarea despăgubirilor, mecanism </w:t>
            </w:r>
            <w:r w:rsidRPr="00B10626">
              <w:rPr>
                <w:rFonts w:ascii="Times New Roman" w:hAnsi="Times New Roman"/>
                <w:sz w:val="24"/>
                <w:szCs w:val="24"/>
                <w:lang w:val="ro-MD"/>
              </w:rPr>
              <w:lastRenderedPageBreak/>
              <w:t>de consemnare/plată, înregistrarea transferului dreptului de proprietate), pentru compatibilitate cu Legea nr. 488/1999 și pentru reducerea riscului litigios.</w:t>
            </w:r>
          </w:p>
        </w:tc>
      </w:tr>
      <w:tr w:rsidR="00482164" w:rsidRPr="00CF391C" w14:paraId="40E45A36"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75914D" w14:textId="77777777" w:rsidR="00482164" w:rsidRPr="00B10626" w:rsidRDefault="00482164" w:rsidP="0012203F">
            <w:pPr>
              <w:pBdr>
                <w:top w:val="none" w:sz="4" w:space="0" w:color="000000"/>
                <w:left w:val="none" w:sz="4" w:space="0" w:color="000000"/>
                <w:bottom w:val="none" w:sz="4" w:space="0" w:color="000000"/>
                <w:right w:val="none" w:sz="4" w:space="0" w:color="000000"/>
              </w:pBdr>
              <w:tabs>
                <w:tab w:val="left" w:pos="25"/>
              </w:tabs>
              <w:ind w:firstLine="0"/>
              <w:rPr>
                <w:rFonts w:ascii="Times New Roman" w:hAnsi="Times New Roman"/>
                <w:sz w:val="24"/>
                <w:szCs w:val="24"/>
                <w:lang w:val="ro-RO"/>
              </w:rPr>
            </w:pPr>
            <w:r w:rsidRPr="00B10626">
              <w:rPr>
                <w:rFonts w:ascii="Times New Roman" w:hAnsi="Times New Roman"/>
                <w:sz w:val="24"/>
                <w:szCs w:val="24"/>
                <w:lang w:val="ro-RO"/>
              </w:rPr>
              <w:lastRenderedPageBreak/>
              <w:tab/>
            </w:r>
            <w:r w:rsidRPr="00B10626">
              <w:rPr>
                <w:rFonts w:ascii="Times New Roman" w:eastAsia="Times New Roman" w:hAnsi="Times New Roman"/>
                <w:sz w:val="24"/>
                <w:szCs w:val="24"/>
                <w:lang w:val="ro-MD"/>
              </w:rPr>
              <w:t>Ministerul Agriculturii și Industriei Alimentare – MAIA (aviz nr. 2026</w:t>
            </w:r>
            <w:r w:rsidRPr="00B10626">
              <w:rPr>
                <w:rFonts w:ascii="Times New Roman" w:hAnsi="Times New Roman"/>
                <w:sz w:val="24"/>
                <w:szCs w:val="24"/>
              </w:rPr>
              <w:t xml:space="preserve"> </w:t>
            </w:r>
            <w:r w:rsidRPr="00B10626">
              <w:rPr>
                <w:rFonts w:ascii="Times New Roman" w:eastAsia="Times New Roman" w:hAnsi="Times New Roman"/>
                <w:sz w:val="24"/>
                <w:szCs w:val="24"/>
                <w:lang w:val="ro-MD"/>
              </w:rPr>
              <w:t>PLP-597, semnat la 02.03.2026)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414B6" w14:textId="4A9A1040" w:rsidR="00482164" w:rsidRPr="00B10626" w:rsidRDefault="00B10626"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8</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AB4683"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Recomandare: includerea în nota de fundamentare a unei justificări clare a derogărilor (art. 5) și a urgenței aplicării lor, raportat la termene și angajamente.</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CD281" w14:textId="15F0BB16"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 xml:space="preserve">Se acceptă. Nota de fundamentare </w:t>
            </w:r>
            <w:r w:rsidR="005730F6">
              <w:rPr>
                <w:rFonts w:ascii="Times New Roman" w:hAnsi="Times New Roman"/>
                <w:sz w:val="24"/>
                <w:szCs w:val="24"/>
                <w:lang w:val="ro-MD"/>
              </w:rPr>
              <w:t>este</w:t>
            </w:r>
            <w:r w:rsidRPr="00B10626">
              <w:rPr>
                <w:rFonts w:ascii="Times New Roman" w:hAnsi="Times New Roman"/>
                <w:sz w:val="24"/>
                <w:szCs w:val="24"/>
                <w:lang w:val="ro-MD"/>
              </w:rPr>
              <w:t xml:space="preserve"> completată cu justificarea derogărilor și cu motivarea urgenței, inclusiv în raport cu calendarul de implementare și angajamentele asumate.</w:t>
            </w:r>
          </w:p>
        </w:tc>
      </w:tr>
      <w:tr w:rsidR="00D826AC" w:rsidRPr="00CF391C" w14:paraId="3F830122"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C6C589"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B10626">
              <w:rPr>
                <w:rFonts w:ascii="Times New Roman" w:hAnsi="Times New Roman"/>
                <w:sz w:val="24"/>
                <w:szCs w:val="24"/>
                <w:lang w:val="ro-RO"/>
              </w:rPr>
              <w:t xml:space="preserve">Ministerul Dezvoltării Economice și Digitalizării </w:t>
            </w:r>
          </w:p>
          <w:p w14:paraId="27CD9FCF" w14:textId="1A94E5B9" w:rsidR="00D826AC" w:rsidRPr="00B10626" w:rsidRDefault="00D826AC" w:rsidP="00D826AC">
            <w:pPr>
              <w:pBdr>
                <w:top w:val="none" w:sz="4" w:space="0" w:color="000000"/>
                <w:left w:val="none" w:sz="4" w:space="0" w:color="000000"/>
                <w:bottom w:val="none" w:sz="4" w:space="0" w:color="000000"/>
                <w:right w:val="none" w:sz="4" w:space="0" w:color="000000"/>
              </w:pBdr>
              <w:tabs>
                <w:tab w:val="left" w:pos="25"/>
              </w:tabs>
              <w:ind w:firstLine="0"/>
              <w:rPr>
                <w:rFonts w:ascii="Times New Roman" w:hAnsi="Times New Roman"/>
                <w:sz w:val="24"/>
                <w:szCs w:val="24"/>
                <w:lang w:val="ro-RO"/>
              </w:rPr>
            </w:pPr>
            <w:r w:rsidRPr="00B10626">
              <w:rPr>
                <w:rFonts w:ascii="Times New Roman" w:hAnsi="Times New Roman"/>
                <w:sz w:val="24"/>
                <w:szCs w:val="24"/>
                <w:lang w:val="ro-RO"/>
              </w:rPr>
              <w:t>(scrisoarea nr. 03-703 din 03.03.2026)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78A051" w14:textId="07E93F5A" w:rsidR="00D826AC" w:rsidRPr="00B10626" w:rsidRDefault="00B10626" w:rsidP="00D826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9</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9102B"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Nota de fundamentare pct. 4.3: completarea analizei impactului asupra sectorului privat cu estimarea și cuantificarea expresă a costurilor în raport cu beneficiile potențiale.</w:t>
            </w:r>
          </w:p>
          <w:p w14:paraId="47EDF5C5"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Estimarea valorii totale a exproprierilor (scenariu minim/mediu/maxim).</w:t>
            </w:r>
          </w:p>
          <w:p w14:paraId="2CAB0E48" w14:textId="0EFA7098"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Analiză comparativă între procedura generală și cea derogatorie; estimarea economiilor de timp și cost; analiza de risc financiar și juridic.</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BE2B85" w14:textId="47FCDB5E"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 xml:space="preserve">Se acceptă. Nota de fundamentare </w:t>
            </w:r>
            <w:r w:rsidR="005730F6">
              <w:rPr>
                <w:rFonts w:ascii="Times New Roman" w:eastAsia="Times New Roman" w:hAnsi="Times New Roman"/>
                <w:sz w:val="24"/>
                <w:szCs w:val="24"/>
                <w:lang w:val="ro-MD"/>
              </w:rPr>
              <w:t>completată cu</w:t>
            </w:r>
            <w:r w:rsidRPr="00B10626">
              <w:rPr>
                <w:rFonts w:ascii="Times New Roman" w:eastAsia="Times New Roman" w:hAnsi="Times New Roman"/>
                <w:sz w:val="24"/>
                <w:szCs w:val="24"/>
                <w:lang w:val="ro-MD"/>
              </w:rPr>
              <w:t xml:space="preserve"> estimări cuantificate ale costurilor și beneficiilor, cu indicarea metodologiei și a datelor utilizate.</w:t>
            </w:r>
          </w:p>
          <w:p w14:paraId="72985EE9" w14:textId="7C776349"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Se acceptă</w:t>
            </w:r>
            <w:r w:rsidR="00D928C8">
              <w:rPr>
                <w:rFonts w:ascii="Times New Roman" w:hAnsi="Times New Roman"/>
                <w:sz w:val="24"/>
                <w:szCs w:val="24"/>
                <w:lang w:val="ro-MD"/>
              </w:rPr>
              <w:t>. Elaborat scenariu recomandat.</w:t>
            </w:r>
            <w:r w:rsidRPr="00B10626">
              <w:rPr>
                <w:rFonts w:ascii="Times New Roman" w:hAnsi="Times New Roman"/>
                <w:sz w:val="24"/>
                <w:szCs w:val="24"/>
                <w:lang w:val="ro-MD"/>
              </w:rPr>
              <w:t xml:space="preserve"> </w:t>
            </w:r>
          </w:p>
          <w:p w14:paraId="394FA53E" w14:textId="1BDA387B"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Se acceptă. Nota de fundamentare complet</w:t>
            </w:r>
            <w:r w:rsidR="00D928C8">
              <w:rPr>
                <w:rFonts w:ascii="Times New Roman" w:hAnsi="Times New Roman"/>
                <w:sz w:val="24"/>
                <w:szCs w:val="24"/>
                <w:lang w:val="ro-MD"/>
              </w:rPr>
              <w:t>ată</w:t>
            </w:r>
            <w:r w:rsidRPr="00B10626">
              <w:rPr>
                <w:rFonts w:ascii="Times New Roman" w:hAnsi="Times New Roman"/>
                <w:sz w:val="24"/>
                <w:szCs w:val="24"/>
                <w:lang w:val="ro-MD"/>
              </w:rPr>
              <w:t xml:space="preserve"> cu analiză comparativă și matrice de riscuri, inclusiv estimări privind economiile de timp/cost și riscurile juridice/financiare.</w:t>
            </w:r>
          </w:p>
        </w:tc>
      </w:tr>
      <w:tr w:rsidR="00D826AC" w:rsidRPr="00B10626" w14:paraId="06C05392"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630A29" w14:textId="430EF2B5" w:rsidR="00D826AC" w:rsidRPr="00B10626" w:rsidRDefault="00D826AC" w:rsidP="00D826A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B10626">
              <w:rPr>
                <w:rFonts w:ascii="Times New Roman" w:eastAsia="Times New Roman" w:hAnsi="Times New Roman"/>
                <w:sz w:val="24"/>
                <w:szCs w:val="24"/>
                <w:lang w:val="ro-MD"/>
              </w:rPr>
              <w:t>Agenția Proprietății Publice (scrisoarea nr. 05-04-1424 din 03.03.2026)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89AE26" w14:textId="2F81F281" w:rsidR="00D826AC" w:rsidRPr="00B10626" w:rsidRDefault="00D826AC" w:rsidP="00D826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sz w:val="24"/>
                <w:szCs w:val="24"/>
                <w:lang w:val="ro-RO"/>
              </w:rPr>
              <w:t>10</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EAA6D2" w14:textId="27411628"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0E96E9" w14:textId="06FBC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D826AC" w:rsidRPr="00093853" w14:paraId="62D77674"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8C2728"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 xml:space="preserve">Ministerul Muncii și Protecției Sociale </w:t>
            </w:r>
          </w:p>
          <w:p w14:paraId="52032C92" w14:textId="603C1AF8" w:rsidR="00D826AC" w:rsidRPr="00B10626" w:rsidRDefault="00D826AC" w:rsidP="00D826A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(scrisoarea nr. 25/1046 din 27.02.2026</w:t>
            </w:r>
            <w:r w:rsidRPr="00B10626">
              <w:rPr>
                <w:rFonts w:ascii="Times New Roman" w:hAnsi="Times New Roman"/>
                <w:sz w:val="24"/>
                <w:szCs w:val="24"/>
              </w:rPr>
              <w:t xml:space="preserve"> </w:t>
            </w:r>
            <w:r w:rsidRPr="00B10626">
              <w:rPr>
                <w:rFonts w:ascii="Times New Roman" w:hAnsi="Times New Roman"/>
                <w:sz w:val="24"/>
                <w:szCs w:val="24"/>
                <w:lang w:val="ro-MD"/>
              </w:rPr>
              <w:t>plasat pe 04.03.2026)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D1C8C9" w14:textId="0F5B2D68" w:rsidR="00D826AC" w:rsidRPr="00B10626" w:rsidRDefault="00D826AC" w:rsidP="00D826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sz w:val="24"/>
                <w:szCs w:val="24"/>
                <w:lang w:val="ro-RO"/>
              </w:rPr>
              <w:t>11</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9B178"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 xml:space="preserve">În tot cuprinsul textului proiectului se propune substituirea abrevierii „Art.” cu denumirea completă „Articolul”, conform prevederilor art. 51 alin. (2) din Legea nr. 100/2017 privind actele normative. </w:t>
            </w:r>
          </w:p>
          <w:p w14:paraId="1B4A1566" w14:textId="77777777" w:rsidR="00D826AC" w:rsidRPr="00B10626" w:rsidRDefault="00D826AC" w:rsidP="00D826AC">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B10626">
              <w:rPr>
                <w:rFonts w:ascii="Times New Roman" w:hAnsi="Times New Roman"/>
                <w:sz w:val="24"/>
                <w:szCs w:val="24"/>
                <w:lang w:val="ro-MD"/>
              </w:rPr>
              <w:t xml:space="preserve">                                                                                                                 A se asigura numerotarea consecutivă a articolelor din proiect, așa cum prevede art. 51 alin. (3) din Legea nr. 100/2017.</w:t>
            </w:r>
          </w:p>
          <w:p w14:paraId="0423A481"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66A900C"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Se recomandă a se revizui denumirea proiectului de lege, fără a o corela cu denumirea programului „Deșeuri solide în Republica Moldova”, deoarece, potrivit art. 42 alin. (1) și (2) din Legea nr. 100/2017, denumirea actului normativ trebuie să fie laconică și să exprime cu claritate obiectul reglementării, iar denumirea programului de implementare poate fi menționată în Nota de fundamentare.</w:t>
            </w:r>
          </w:p>
          <w:p w14:paraId="21251C7D"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110A881" w14:textId="27C2B21E" w:rsidR="00D826AC" w:rsidRPr="00B10626" w:rsidRDefault="00D826AC"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B10626">
              <w:rPr>
                <w:rFonts w:ascii="Times New Roman" w:hAnsi="Times New Roman"/>
                <w:sz w:val="24"/>
                <w:szCs w:val="24"/>
                <w:lang w:val="ro-MD"/>
              </w:rPr>
              <w:t>Se recomandă a se analiza termenul de intrare în vigoare a proiectului respectiv prin prisma art. 56 alin. (2) din Legea nr. 100/2017.</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37E00B" w14:textId="524F2BC5"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 xml:space="preserve">Se acceptă. Textul proiectului </w:t>
            </w:r>
            <w:r w:rsidR="005730F6">
              <w:rPr>
                <w:rFonts w:ascii="Times New Roman" w:hAnsi="Times New Roman"/>
                <w:sz w:val="24"/>
                <w:szCs w:val="24"/>
                <w:lang w:val="ro-MD"/>
              </w:rPr>
              <w:t>este</w:t>
            </w:r>
            <w:r w:rsidRPr="00B10626">
              <w:rPr>
                <w:rFonts w:ascii="Times New Roman" w:hAnsi="Times New Roman"/>
                <w:sz w:val="24"/>
                <w:szCs w:val="24"/>
                <w:lang w:val="ro-MD"/>
              </w:rPr>
              <w:t xml:space="preserve"> ajustat prin substituirea abrevierii „Art.” cu denumirea completă „Articolul”, în conformitate cu art. 51 alin. (2) din Legea nr. 100/2017.</w:t>
            </w:r>
          </w:p>
          <w:p w14:paraId="419AFA36"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17DB8F7" w14:textId="2B09A4C3"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 xml:space="preserve">Se acceptă. Numerotarea articolelor din proiect </w:t>
            </w:r>
            <w:r w:rsidR="005730F6">
              <w:rPr>
                <w:rFonts w:ascii="Times New Roman" w:hAnsi="Times New Roman"/>
                <w:sz w:val="24"/>
                <w:szCs w:val="24"/>
                <w:lang w:val="ro-MD"/>
              </w:rPr>
              <w:t>este</w:t>
            </w:r>
            <w:r w:rsidRPr="00B10626">
              <w:rPr>
                <w:rFonts w:ascii="Times New Roman" w:hAnsi="Times New Roman"/>
                <w:sz w:val="24"/>
                <w:szCs w:val="24"/>
                <w:lang w:val="ro-MD"/>
              </w:rPr>
              <w:t xml:space="preserve"> corectată, cu respectarea cerinței de consecutivitate prevăzute la art. 51 alin. (3) din Legea nr. 100/2017.</w:t>
            </w:r>
          </w:p>
          <w:p w14:paraId="7F2DC347"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9A97C32" w14:textId="2A636A4F"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 xml:space="preserve">Se acceptă. Denumirea proiectului </w:t>
            </w:r>
            <w:r w:rsidR="005730F6">
              <w:rPr>
                <w:rFonts w:ascii="Times New Roman" w:hAnsi="Times New Roman"/>
                <w:sz w:val="24"/>
                <w:szCs w:val="24"/>
                <w:lang w:val="ro-MD"/>
              </w:rPr>
              <w:t>este</w:t>
            </w:r>
            <w:r w:rsidRPr="00B10626">
              <w:rPr>
                <w:rFonts w:ascii="Times New Roman" w:hAnsi="Times New Roman"/>
                <w:sz w:val="24"/>
                <w:szCs w:val="24"/>
                <w:lang w:val="ro-MD"/>
              </w:rPr>
              <w:t xml:space="preserve"> revizuită astfel încât să exprime clar obiectul reglementării, iar referirea la programul „Deșeuri solide în Republica Moldova” </w:t>
            </w:r>
            <w:r w:rsidR="005730F6">
              <w:rPr>
                <w:rFonts w:ascii="Times New Roman" w:hAnsi="Times New Roman"/>
                <w:sz w:val="24"/>
                <w:szCs w:val="24"/>
                <w:lang w:val="ro-MD"/>
              </w:rPr>
              <w:t xml:space="preserve">se </w:t>
            </w:r>
            <w:r w:rsidRPr="00B10626">
              <w:rPr>
                <w:rFonts w:ascii="Times New Roman" w:hAnsi="Times New Roman"/>
                <w:sz w:val="24"/>
                <w:szCs w:val="24"/>
                <w:lang w:val="ro-MD"/>
              </w:rPr>
              <w:t>mențin</w:t>
            </w:r>
            <w:r w:rsidR="005730F6">
              <w:rPr>
                <w:rFonts w:ascii="Times New Roman" w:hAnsi="Times New Roman"/>
                <w:sz w:val="24"/>
                <w:szCs w:val="24"/>
                <w:lang w:val="ro-MD"/>
              </w:rPr>
              <w:t>e</w:t>
            </w:r>
            <w:r w:rsidRPr="00B10626">
              <w:rPr>
                <w:rFonts w:ascii="Times New Roman" w:hAnsi="Times New Roman"/>
                <w:sz w:val="24"/>
                <w:szCs w:val="24"/>
                <w:lang w:val="ro-MD"/>
              </w:rPr>
              <w:t xml:space="preserve"> în Nota de fundamentare.</w:t>
            </w:r>
          </w:p>
          <w:p w14:paraId="160E5851"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F5EE036" w14:textId="77777777" w:rsidR="00D826AC" w:rsidRPr="00B10626" w:rsidRDefault="00D826AC" w:rsidP="00D826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71D1C67" w14:textId="1C71F19A" w:rsidR="00D826AC" w:rsidRPr="00B10626" w:rsidRDefault="005730F6" w:rsidP="00D826AC">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Pr>
                <w:rFonts w:ascii="Times New Roman" w:hAnsi="Times New Roman"/>
                <w:sz w:val="24"/>
                <w:szCs w:val="24"/>
                <w:lang w:val="ro-MD"/>
              </w:rPr>
              <w:t>Nu s</w:t>
            </w:r>
            <w:r w:rsidR="00D826AC" w:rsidRPr="00B10626">
              <w:rPr>
                <w:rFonts w:ascii="Times New Roman" w:hAnsi="Times New Roman"/>
                <w:sz w:val="24"/>
                <w:szCs w:val="24"/>
                <w:lang w:val="ro-MD"/>
              </w:rPr>
              <w:t>e acceptă.</w:t>
            </w:r>
            <w:r>
              <w:rPr>
                <w:rFonts w:ascii="Times New Roman" w:hAnsi="Times New Roman"/>
                <w:sz w:val="24"/>
                <w:szCs w:val="24"/>
                <w:lang w:val="ro-MD"/>
              </w:rPr>
              <w:t xml:space="preserve"> Ținând cont de impactul lucrărilor menționate, termenul propus nu poate fi aplicat.</w:t>
            </w:r>
          </w:p>
        </w:tc>
      </w:tr>
      <w:tr w:rsidR="00482164" w:rsidRPr="00CF391C" w14:paraId="1D8A5DFE" w14:textId="77777777" w:rsidTr="0012203F">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D5E0B"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lastRenderedPageBreak/>
              <w:t xml:space="preserve">Primăria orașului Ialoveni </w:t>
            </w:r>
          </w:p>
          <w:p w14:paraId="14ED9401" w14:textId="1095C2BA"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(aviz nr. 380 din 27.01.2026</w:t>
            </w:r>
            <w:r w:rsidR="00D826AC" w:rsidRPr="00B10626">
              <w:rPr>
                <w:rFonts w:ascii="Times New Roman" w:hAnsi="Times New Roman"/>
                <w:sz w:val="24"/>
                <w:szCs w:val="24"/>
                <w:lang w:val="ro-RO"/>
              </w:rPr>
              <w:t>, plasat pe 04.03.2026</w:t>
            </w:r>
            <w:r w:rsidRPr="00B10626">
              <w:rPr>
                <w:rFonts w:ascii="Times New Roman" w:hAnsi="Times New Roman"/>
                <w:sz w:val="24"/>
                <w:szCs w:val="24"/>
                <w:lang w:val="ro-RO"/>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53B331" w14:textId="0612A347" w:rsidR="00482164" w:rsidRPr="00B10626" w:rsidRDefault="00B10626" w:rsidP="001220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12</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E4DEC"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Analizarea impactului economic și logistic asupra localităților din raionul Ialoveni în cadrul RMD 4, în cazul transportării deșeurilor către infrastructura regională din Hîncești.</w:t>
            </w:r>
          </w:p>
          <w:p w14:paraId="0ED0189A"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04C727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FCFDA47"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3F5C597"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6A9E5A1"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EDB3F0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C0E052D"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Identificarea și planificarea unui punct de transfer amplasat mai aproape de orașul Ialoveni (zona metropolitană Chișinău) pentru reducerea costurilor de transport și a impactului de mediu.</w:t>
            </w:r>
          </w:p>
          <w:p w14:paraId="50E95F12"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3F11992"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36EBC52"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A3B7E29"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763EC2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F672E0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Consultarea autorităților publice locale înainte de stabilirea finală a fluxurilor de transport al deșeurilor.</w:t>
            </w:r>
          </w:p>
          <w:p w14:paraId="245D42D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8DA27D2"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436647A"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5B97735"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71F12C1"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E1F628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Evaluarea impactului tarifar asupra populației și elaborarea unor mecanisme de compensare.</w:t>
            </w:r>
          </w:p>
          <w:p w14:paraId="1513F551"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9B6EC48"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Integrarea măsurilor de prevenire a depozitării ilegale a deșeurilor în planurile regionale.</w:t>
            </w:r>
          </w:p>
          <w:p w14:paraId="3993676A"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F31E81"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Se ia act. Aspectele logistice (fluxuri/distanțe) sunt determinate în baza studiilor de fezabilitate și vor fi validate prin consultarea APL în etapa de proiectare/implementare. Nota de fundamentare și documentațiile de proiect vor include, după caz, evaluarea costurilor logistice.</w:t>
            </w:r>
          </w:p>
          <w:p w14:paraId="17E62244"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2BD57A7"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Se ia act. Proiectul de lege declară utilitatea publică și nu stabilește amplasamente/fluxuri detaliate; acestea se definitivează prin studiile de fezabilitate și deciziile de implementare ale proiectului. Propunerea va fi transmisă pentru analiză tehnico-economică în cadrul implementării.</w:t>
            </w:r>
          </w:p>
          <w:p w14:paraId="64D89069"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328F7F7"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 xml:space="preserve">Se ia act. Managementul deșeurilor la nivel regional va fi exercitat de un operator regional, iar APL va avea rol de fondator al acestuia, respectiv va fi în drept să participe la stabilirea finală a fluxului de transport al deșeurilor. </w:t>
            </w:r>
          </w:p>
          <w:p w14:paraId="35BDA72E"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7C3717E"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lastRenderedPageBreak/>
              <w:t>Se ia act. Impactul tarifar va fi elaborat în cadrul studiului de fezabilitate, care în prezent este în derulare.</w:t>
            </w:r>
          </w:p>
          <w:p w14:paraId="2FE5CA30" w14:textId="77777777" w:rsidR="00482164" w:rsidRPr="00B10626" w:rsidRDefault="00482164" w:rsidP="001220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MD"/>
              </w:rPr>
              <w:t xml:space="preserve">Se ia act. Scopul și rolul proiectului este în crearea infrastructurii de management al deșeurilor. Pentru depozitări ilegale există alte mecanisme, care sunt valabile și pasibile aplicării de către APL, inclusiv prin includerea măsurilor în Programele locale de gestionare a deșeurilor. </w:t>
            </w:r>
          </w:p>
        </w:tc>
      </w:tr>
    </w:tbl>
    <w:p w14:paraId="2265058B" w14:textId="78E817FC" w:rsidR="008B4BE6" w:rsidRPr="00B10626" w:rsidRDefault="008B4BE6" w:rsidP="00DB147C">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elgril"/>
        <w:tblW w:w="2735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92"/>
        <w:gridCol w:w="851"/>
        <w:gridCol w:w="6095"/>
        <w:gridCol w:w="4253"/>
        <w:gridCol w:w="4253"/>
        <w:gridCol w:w="4253"/>
        <w:gridCol w:w="4253"/>
      </w:tblGrid>
      <w:tr w:rsidR="006D3EB7" w:rsidRPr="00B10626" w14:paraId="165C98F0"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10626"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b/>
                <w:sz w:val="24"/>
                <w:szCs w:val="24"/>
                <w:lang w:val="ro-RO"/>
              </w:rPr>
              <w:t>Participantul</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la</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avizare,</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consultare</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publică,</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expertizare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10626" w:rsidRDefault="006933C3" w:rsidP="00E61A1B">
            <w:pPr>
              <w:pBdr>
                <w:top w:val="none" w:sz="4" w:space="0" w:color="000000"/>
                <w:left w:val="none" w:sz="4" w:space="0" w:color="000000"/>
                <w:bottom w:val="none" w:sz="4" w:space="0" w:color="000000"/>
                <w:right w:val="none" w:sz="4" w:space="0" w:color="000000"/>
              </w:pBdr>
              <w:ind w:left="-107" w:right="-113" w:firstLine="0"/>
              <w:jc w:val="center"/>
              <w:rPr>
                <w:rFonts w:ascii="Times New Roman" w:hAnsi="Times New Roman"/>
                <w:sz w:val="24"/>
                <w:szCs w:val="24"/>
                <w:lang w:val="ro-RO"/>
              </w:rPr>
            </w:pPr>
            <w:r w:rsidRPr="00B10626">
              <w:rPr>
                <w:rFonts w:ascii="Times New Roman" w:hAnsi="Times New Roman"/>
                <w:b/>
                <w:sz w:val="24"/>
                <w:szCs w:val="24"/>
                <w:lang w:val="ro-RO"/>
              </w:rPr>
              <w:t>Nr.</w:t>
            </w:r>
            <w:r w:rsidR="00032B46" w:rsidRPr="00B10626">
              <w:rPr>
                <w:rFonts w:ascii="Times New Roman" w:hAnsi="Times New Roman"/>
                <w:b/>
                <w:sz w:val="24"/>
                <w:szCs w:val="24"/>
                <w:lang w:val="ro-RO"/>
              </w:rPr>
              <w:t xml:space="preserve"> </w:t>
            </w:r>
            <w:r w:rsidR="00BA5B5B" w:rsidRPr="00B10626">
              <w:rPr>
                <w:rFonts w:ascii="Times New Roman" w:hAnsi="Times New Roman"/>
                <w:b/>
                <w:sz w:val="24"/>
                <w:szCs w:val="24"/>
                <w:lang w:val="ro-RO"/>
              </w:rPr>
              <w:t>crt.</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10626"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10626">
              <w:rPr>
                <w:rFonts w:ascii="Times New Roman" w:hAnsi="Times New Roman"/>
                <w:b/>
                <w:sz w:val="24"/>
                <w:szCs w:val="24"/>
                <w:lang w:val="ro-RO"/>
              </w:rPr>
              <w:t>Con</w:t>
            </w:r>
            <w:r w:rsidR="00863417" w:rsidRPr="00B10626">
              <w:rPr>
                <w:rFonts w:ascii="Times New Roman" w:hAnsi="Times New Roman"/>
                <w:b/>
                <w:sz w:val="24"/>
                <w:szCs w:val="24"/>
                <w:lang w:val="ro-RO"/>
              </w:rPr>
              <w:t>ț</w:t>
            </w:r>
            <w:r w:rsidRPr="00B10626">
              <w:rPr>
                <w:rFonts w:ascii="Times New Roman" w:hAnsi="Times New Roman"/>
                <w:b/>
                <w:sz w:val="24"/>
                <w:szCs w:val="24"/>
                <w:lang w:val="ro-RO"/>
              </w:rPr>
              <w:t>inutul</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obiec</w:t>
            </w:r>
            <w:r w:rsidR="00863417" w:rsidRPr="00B10626">
              <w:rPr>
                <w:rFonts w:ascii="Times New Roman" w:hAnsi="Times New Roman"/>
                <w:b/>
                <w:sz w:val="24"/>
                <w:szCs w:val="24"/>
                <w:lang w:val="ro-RO"/>
              </w:rPr>
              <w:t>ț</w:t>
            </w:r>
            <w:r w:rsidRPr="00B10626">
              <w:rPr>
                <w:rFonts w:ascii="Times New Roman" w:hAnsi="Times New Roman"/>
                <w:b/>
                <w:sz w:val="24"/>
                <w:szCs w:val="24"/>
                <w:lang w:val="ro-RO"/>
              </w:rPr>
              <w:t>iei,</w:t>
            </w:r>
          </w:p>
          <w:p w14:paraId="055FB5F6" w14:textId="56D3CBFA" w:rsidR="008B4BE6" w:rsidRPr="00B10626"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b/>
                <w:sz w:val="24"/>
                <w:szCs w:val="24"/>
                <w:lang w:val="ro-RO"/>
              </w:rPr>
              <w:t>propunerii,</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recomandării,</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10626"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10626">
              <w:rPr>
                <w:rFonts w:ascii="Times New Roman" w:hAnsi="Times New Roman"/>
                <w:b/>
                <w:sz w:val="24"/>
                <w:szCs w:val="24"/>
                <w:lang w:val="ro-RO"/>
              </w:rPr>
              <w:t>Argumentarea</w:t>
            </w:r>
          </w:p>
          <w:p w14:paraId="42C4E39B" w14:textId="729BF662" w:rsidR="008B4BE6" w:rsidRPr="00B10626"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hAnsi="Times New Roman"/>
                <w:b/>
                <w:sz w:val="24"/>
                <w:szCs w:val="24"/>
                <w:lang w:val="ro-RO"/>
              </w:rPr>
              <w:t>autorului</w:t>
            </w:r>
            <w:r w:rsidR="00032B46" w:rsidRPr="00B10626">
              <w:rPr>
                <w:rFonts w:ascii="Times New Roman" w:hAnsi="Times New Roman"/>
                <w:b/>
                <w:sz w:val="24"/>
                <w:szCs w:val="24"/>
                <w:lang w:val="ro-RO"/>
              </w:rPr>
              <w:t xml:space="preserve"> </w:t>
            </w:r>
            <w:r w:rsidRPr="00B10626">
              <w:rPr>
                <w:rFonts w:ascii="Times New Roman" w:hAnsi="Times New Roman"/>
                <w:b/>
                <w:sz w:val="24"/>
                <w:szCs w:val="24"/>
                <w:lang w:val="ro-RO"/>
              </w:rPr>
              <w:t>proiectului</w:t>
            </w:r>
          </w:p>
        </w:tc>
      </w:tr>
      <w:tr w:rsidR="006D3EB7" w:rsidRPr="00B10626" w14:paraId="092EF798" w14:textId="77777777" w:rsidTr="00B10626">
        <w:trPr>
          <w:gridAfter w:val="3"/>
          <w:wAfter w:w="12759" w:type="dxa"/>
        </w:trPr>
        <w:tc>
          <w:tcPr>
            <w:tcW w:w="14591"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B10626"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10626">
              <w:rPr>
                <w:rFonts w:ascii="Times New Roman" w:eastAsia="Times New Roman" w:hAnsi="Times New Roman"/>
                <w:sz w:val="24"/>
                <w:szCs w:val="24"/>
                <w:lang w:val="ro-RO"/>
              </w:rPr>
              <w:t>Avizare</w:t>
            </w:r>
            <w:r w:rsidR="00032B46" w:rsidRPr="00B10626">
              <w:rPr>
                <w:rFonts w:ascii="Times New Roman" w:eastAsia="Times New Roman" w:hAnsi="Times New Roman"/>
                <w:sz w:val="24"/>
                <w:szCs w:val="24"/>
                <w:lang w:val="ro-RO"/>
              </w:rPr>
              <w:t xml:space="preserve"> </w:t>
            </w:r>
            <w:r w:rsidR="00863417" w:rsidRPr="00B10626">
              <w:rPr>
                <w:rFonts w:ascii="Times New Roman" w:hAnsi="Times New Roman"/>
                <w:sz w:val="24"/>
                <w:szCs w:val="24"/>
                <w:lang w:val="ro-RO"/>
              </w:rPr>
              <w:t>ș</w:t>
            </w:r>
            <w:r w:rsidRPr="00B10626">
              <w:rPr>
                <w:rFonts w:ascii="Times New Roman" w:hAnsi="Times New Roman"/>
                <w:sz w:val="24"/>
                <w:szCs w:val="24"/>
                <w:lang w:val="ro-RO"/>
              </w:rPr>
              <w:t>i</w:t>
            </w:r>
            <w:r w:rsidR="00032B46" w:rsidRPr="00B10626">
              <w:rPr>
                <w:rFonts w:ascii="Times New Roman" w:hAnsi="Times New Roman"/>
                <w:sz w:val="24"/>
                <w:szCs w:val="24"/>
                <w:lang w:val="ro-RO"/>
              </w:rPr>
              <w:t xml:space="preserve"> </w:t>
            </w:r>
            <w:r w:rsidRPr="00B10626">
              <w:rPr>
                <w:rFonts w:ascii="Times New Roman" w:hAnsi="Times New Roman"/>
                <w:sz w:val="24"/>
                <w:szCs w:val="24"/>
                <w:lang w:val="ro-RO"/>
              </w:rPr>
              <w:t>consultare</w:t>
            </w:r>
            <w:r w:rsidR="00032B46" w:rsidRPr="00B10626">
              <w:rPr>
                <w:rFonts w:ascii="Times New Roman" w:hAnsi="Times New Roman"/>
                <w:sz w:val="24"/>
                <w:szCs w:val="24"/>
                <w:lang w:val="ro-RO"/>
              </w:rPr>
              <w:t xml:space="preserve"> </w:t>
            </w:r>
            <w:r w:rsidRPr="00B10626">
              <w:rPr>
                <w:rFonts w:ascii="Times New Roman" w:hAnsi="Times New Roman"/>
                <w:sz w:val="24"/>
                <w:szCs w:val="24"/>
                <w:lang w:val="ro-RO"/>
              </w:rPr>
              <w:t>publică</w:t>
            </w:r>
          </w:p>
        </w:tc>
      </w:tr>
      <w:tr w:rsidR="00B10626" w:rsidRPr="00B10626" w14:paraId="39A903E9" w14:textId="6FDFE7A2" w:rsidTr="00B10626">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E1C93C" w14:textId="02870CC1"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Agenția Geodezie, Cartografie și Cadastru (scrisoarea nr. 36/01-06/344 din 19.03.2026)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1BF7D" w14:textId="140E8116"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sidRPr="00B10626">
              <w:rPr>
                <w:rFonts w:ascii="Times New Roman" w:hAnsi="Times New Roman"/>
                <w:sz w:val="24"/>
                <w:szCs w:val="24"/>
                <w:lang w:val="ro-RO"/>
              </w:rPr>
              <w:t>1</w:t>
            </w:r>
            <w:r>
              <w:rPr>
                <w:rFonts w:ascii="Times New Roman" w:hAnsi="Times New Roman"/>
                <w:sz w:val="24"/>
                <w:szCs w:val="24"/>
                <w:lang w:val="ro-RO"/>
              </w:rPr>
              <w:t>3</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4BFD32" w14:textId="783A0FFF"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3D3864" w14:textId="2EAD1508"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Agenția Geodezie, Cartografie și Cadastru (scrisoarea nr. 36/01-06/212 din 20.02.2026)</w:t>
            </w:r>
          </w:p>
        </w:tc>
        <w:tc>
          <w:tcPr>
            <w:tcW w:w="4253" w:type="dxa"/>
          </w:tcPr>
          <w:p w14:paraId="7BC62430" w14:textId="410CA341" w:rsidR="00B10626" w:rsidRPr="00B10626" w:rsidRDefault="00B10626" w:rsidP="00B10626">
            <w:pPr>
              <w:rPr>
                <w:rFonts w:ascii="Times New Roman" w:hAnsi="Times New Roman"/>
                <w:sz w:val="24"/>
                <w:szCs w:val="24"/>
              </w:rPr>
            </w:pPr>
            <w:r w:rsidRPr="00B10626">
              <w:rPr>
                <w:rFonts w:ascii="Times New Roman" w:hAnsi="Times New Roman"/>
                <w:sz w:val="24"/>
                <w:szCs w:val="24"/>
                <w:lang w:val="ro-RO"/>
              </w:rPr>
              <w:t>1</w:t>
            </w:r>
          </w:p>
        </w:tc>
        <w:tc>
          <w:tcPr>
            <w:tcW w:w="4253" w:type="dxa"/>
          </w:tcPr>
          <w:p w14:paraId="7B674CD4" w14:textId="1CDFDC2B" w:rsidR="00B10626" w:rsidRPr="00B10626" w:rsidRDefault="00B10626" w:rsidP="00B10626">
            <w:pPr>
              <w:rPr>
                <w:rFonts w:ascii="Times New Roman" w:hAnsi="Times New Roman"/>
                <w:sz w:val="24"/>
                <w:szCs w:val="24"/>
              </w:rPr>
            </w:pPr>
            <w:r w:rsidRPr="00B10626">
              <w:rPr>
                <w:rFonts w:ascii="Times New Roman" w:eastAsia="Times New Roman" w:hAnsi="Times New Roman"/>
                <w:sz w:val="24"/>
                <w:szCs w:val="24"/>
                <w:lang w:val="ro-MD"/>
              </w:rPr>
              <w:t>Lipsa obiecțiilor și propunerilor.</w:t>
            </w:r>
          </w:p>
        </w:tc>
        <w:tc>
          <w:tcPr>
            <w:tcW w:w="4253" w:type="dxa"/>
          </w:tcPr>
          <w:p w14:paraId="44FB69E9" w14:textId="530E1225" w:rsidR="00B10626" w:rsidRPr="00B10626" w:rsidRDefault="00B10626" w:rsidP="00B10626">
            <w:pPr>
              <w:rPr>
                <w:rFonts w:ascii="Times New Roman" w:hAnsi="Times New Roman"/>
                <w:sz w:val="24"/>
                <w:szCs w:val="24"/>
              </w:rPr>
            </w:pPr>
            <w:r w:rsidRPr="00B10626">
              <w:rPr>
                <w:rFonts w:ascii="Times New Roman" w:eastAsia="Times New Roman" w:hAnsi="Times New Roman"/>
                <w:sz w:val="24"/>
                <w:szCs w:val="24"/>
                <w:lang w:val="ro-MD"/>
              </w:rPr>
              <w:t>Se ia act.</w:t>
            </w:r>
          </w:p>
        </w:tc>
      </w:tr>
      <w:tr w:rsidR="00B10626" w:rsidRPr="00CF391C" w14:paraId="5B9A282E" w14:textId="77777777" w:rsidTr="00B10626">
        <w:trPr>
          <w:gridAfter w:val="3"/>
          <w:wAfter w:w="12759" w:type="dxa"/>
        </w:trPr>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04D742" w14:textId="115DA1FA"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Ministerul Finanțelor</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C2D60B" w14:textId="025D654C"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14</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9A4061" w14:textId="09D75927" w:rsidR="00B10626" w:rsidRPr="00B10626" w:rsidRDefault="00E95398"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Pr>
                <w:rFonts w:ascii="Times New Roman" w:hAnsi="Times New Roman"/>
                <w:sz w:val="24"/>
                <w:szCs w:val="24"/>
                <w:lang w:val="ro-MD"/>
              </w:rPr>
              <w:t>Ministerul Finanțelor c</w:t>
            </w:r>
            <w:r w:rsidR="00B10626" w:rsidRPr="00B10626">
              <w:rPr>
                <w:rFonts w:ascii="Times New Roman" w:hAnsi="Times New Roman"/>
                <w:sz w:val="24"/>
                <w:szCs w:val="24"/>
                <w:lang w:val="ro-MD"/>
              </w:rPr>
              <w:t>omunic</w:t>
            </w:r>
            <w:r>
              <w:rPr>
                <w:rFonts w:ascii="Times New Roman" w:hAnsi="Times New Roman"/>
                <w:sz w:val="24"/>
                <w:szCs w:val="24"/>
                <w:lang w:val="ro-MD"/>
              </w:rPr>
              <w:t>ă</w:t>
            </w:r>
            <w:r w:rsidR="00B10626" w:rsidRPr="00B10626">
              <w:rPr>
                <w:rFonts w:ascii="Times New Roman" w:hAnsi="Times New Roman"/>
                <w:sz w:val="24"/>
                <w:szCs w:val="24"/>
                <w:lang w:val="ro-MD"/>
              </w:rPr>
              <w:t xml:space="preserve"> neprezentarea  propunerilor CBTM 2027 – 2027 menționate în nota de fundamentare ajustată</w:t>
            </w:r>
            <w:r>
              <w:rPr>
                <w:rFonts w:ascii="Times New Roman" w:hAnsi="Times New Roman"/>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A4C804" w14:textId="4F0FDB45" w:rsidR="00B10626" w:rsidRPr="00B10626" w:rsidRDefault="005730F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Pr>
                <w:rFonts w:ascii="Times New Roman" w:eastAsia="Times New Roman" w:hAnsi="Times New Roman"/>
                <w:sz w:val="24"/>
                <w:szCs w:val="24"/>
                <w:lang w:val="ro-MD"/>
              </w:rPr>
              <w:t xml:space="preserve">Ministerul Mediului </w:t>
            </w:r>
            <w:r w:rsidR="00E95398">
              <w:rPr>
                <w:rFonts w:ascii="Times New Roman" w:eastAsia="Times New Roman" w:hAnsi="Times New Roman"/>
                <w:sz w:val="24"/>
                <w:szCs w:val="24"/>
                <w:lang w:val="ro-MD"/>
              </w:rPr>
              <w:t>a transmis propunerile CBTM 2027 – 2029 prin scrisoarea nr</w:t>
            </w:r>
            <w:r w:rsidR="00E95398" w:rsidRPr="00E95398">
              <w:rPr>
                <w:rFonts w:ascii="Times New Roman" w:eastAsia="Times New Roman" w:hAnsi="Times New Roman"/>
                <w:sz w:val="24"/>
                <w:szCs w:val="24"/>
                <w:lang w:val="ro-MD"/>
              </w:rPr>
              <w:t>.02-07/796 din 16.03.2026</w:t>
            </w:r>
            <w:r w:rsidR="00E95398">
              <w:rPr>
                <w:rFonts w:ascii="Times New Roman" w:eastAsia="Times New Roman" w:hAnsi="Times New Roman"/>
                <w:sz w:val="24"/>
                <w:szCs w:val="24"/>
                <w:lang w:val="ro-MD"/>
              </w:rPr>
              <w:t xml:space="preserve"> spre coordonare Ministerului Finanțelor.</w:t>
            </w:r>
          </w:p>
        </w:tc>
      </w:tr>
      <w:tr w:rsidR="00B10626" w:rsidRPr="00B10626" w14:paraId="4684E5A2" w14:textId="77777777" w:rsidTr="00B10626">
        <w:trPr>
          <w:gridAfter w:val="3"/>
          <w:wAfter w:w="12759" w:type="dxa"/>
        </w:trPr>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58009"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Ministerul Infrastructurii și Dezvoltării Regionale – MIDR</w:t>
            </w:r>
          </w:p>
          <w:p w14:paraId="67B52850" w14:textId="4968D90E"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(24.03.2026)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BD86798" w14:textId="10E86E5B"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15</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0B0697" w14:textId="78952EB6"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089690" w14:textId="7FC0F4E6"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231987BE" w14:textId="77777777" w:rsidTr="00B10626">
        <w:trPr>
          <w:gridAfter w:val="3"/>
          <w:wAfter w:w="12759" w:type="dxa"/>
        </w:trPr>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524859" w14:textId="77777777" w:rsidR="00B10626" w:rsidRPr="00B10626" w:rsidRDefault="00B10626" w:rsidP="00B10626">
            <w:pPr>
              <w:pBdr>
                <w:top w:val="none" w:sz="4" w:space="0" w:color="000000"/>
                <w:left w:val="none" w:sz="4" w:space="0" w:color="000000"/>
                <w:bottom w:val="none" w:sz="4" w:space="0" w:color="000000"/>
                <w:right w:val="none" w:sz="4" w:space="0" w:color="000000"/>
              </w:pBdr>
              <w:ind w:right="-102" w:firstLine="0"/>
              <w:rPr>
                <w:rFonts w:ascii="Times New Roman" w:hAnsi="Times New Roman"/>
                <w:sz w:val="24"/>
                <w:szCs w:val="24"/>
                <w:lang w:val="ro-RO"/>
              </w:rPr>
            </w:pPr>
            <w:r w:rsidRPr="00B10626">
              <w:rPr>
                <w:rFonts w:ascii="Times New Roman" w:hAnsi="Times New Roman"/>
                <w:sz w:val="24"/>
                <w:szCs w:val="24"/>
                <w:lang w:val="ro-RO"/>
              </w:rPr>
              <w:t>Ministerul Dezvoltării Economice și Digitalizării  - MDED</w:t>
            </w:r>
          </w:p>
          <w:p w14:paraId="52976FC4" w14:textId="2DAE6BE1"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RO"/>
              </w:rPr>
              <w:t>(26.03.2026)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6A794E3" w14:textId="58DFA7A6"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16</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078469" w14:textId="59FB0CAA"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6F6F9C" w14:textId="0F21B9CA"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6DEB8B09" w14:textId="77777777" w:rsidTr="00946B33">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16CED" w14:textId="57A0E945" w:rsidR="00B10626" w:rsidRPr="00B10626" w:rsidRDefault="00B10626" w:rsidP="00B10626">
            <w:pPr>
              <w:pBdr>
                <w:top w:val="none" w:sz="4" w:space="0" w:color="000000"/>
                <w:left w:val="none" w:sz="4" w:space="0" w:color="000000"/>
                <w:bottom w:val="none" w:sz="4" w:space="0" w:color="000000"/>
                <w:right w:val="none" w:sz="4" w:space="0" w:color="000000"/>
              </w:pBdr>
              <w:ind w:right="-102" w:firstLine="0"/>
              <w:rPr>
                <w:rFonts w:ascii="Times New Roman" w:hAnsi="Times New Roman"/>
                <w:sz w:val="24"/>
                <w:szCs w:val="24"/>
                <w:lang w:val="ro-RO"/>
              </w:rPr>
            </w:pPr>
            <w:r w:rsidRPr="00B10626">
              <w:rPr>
                <w:rFonts w:ascii="Times New Roman" w:eastAsia="Times New Roman" w:hAnsi="Times New Roman"/>
                <w:sz w:val="24"/>
                <w:szCs w:val="24"/>
                <w:lang w:val="ro-MD"/>
              </w:rPr>
              <w:t>Agenția Proprietății Publice (26.03.2026)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4C9332" w14:textId="3CC8B9E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17</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B7A980" w14:textId="54D5AE6B"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E6026" w14:textId="249114D1"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7A3BE8B9" w14:textId="77777777" w:rsidTr="00B10626">
        <w:trPr>
          <w:gridAfter w:val="3"/>
          <w:wAfter w:w="12759" w:type="dxa"/>
        </w:trPr>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D2242" w14:textId="09FEEDAB"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Ministerul Agriculturii și Industriei Alimentare – MAIA (26.03.2026)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057EDB5" w14:textId="15BBF812"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18</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470747" w14:textId="19FC3E43"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EF166C" w14:textId="7CED42FD"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021DBB29"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0A5042" w14:textId="5FE64BA9"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RO"/>
              </w:rPr>
              <w:t>Ministerul Sănătății (scrisoarea nr. 09/</w:t>
            </w:r>
            <w:r w:rsidR="00B9304C">
              <w:rPr>
                <w:rFonts w:ascii="Times New Roman" w:eastAsia="Times New Roman" w:hAnsi="Times New Roman"/>
                <w:sz w:val="24"/>
                <w:szCs w:val="24"/>
                <w:lang w:val="ro-RO"/>
              </w:rPr>
              <w:t>603</w:t>
            </w:r>
            <w:r w:rsidRPr="00B10626">
              <w:rPr>
                <w:rFonts w:ascii="Times New Roman" w:eastAsia="Times New Roman" w:hAnsi="Times New Roman"/>
                <w:sz w:val="24"/>
                <w:szCs w:val="24"/>
                <w:lang w:val="ro-RO"/>
              </w:rPr>
              <w:t xml:space="preserve"> din </w:t>
            </w:r>
            <w:r w:rsidR="00B9304C">
              <w:rPr>
                <w:rFonts w:ascii="Times New Roman" w:eastAsia="Times New Roman" w:hAnsi="Times New Roman"/>
                <w:sz w:val="24"/>
                <w:szCs w:val="24"/>
                <w:lang w:val="ro-RO"/>
              </w:rPr>
              <w:t>24</w:t>
            </w:r>
            <w:r w:rsidRPr="00B10626">
              <w:rPr>
                <w:rFonts w:ascii="Times New Roman" w:eastAsia="Times New Roman" w:hAnsi="Times New Roman"/>
                <w:sz w:val="24"/>
                <w:szCs w:val="24"/>
                <w:lang w:val="ro-RO"/>
              </w:rPr>
              <w:t>.</w:t>
            </w:r>
            <w:r w:rsidR="00B9304C">
              <w:rPr>
                <w:rFonts w:ascii="Times New Roman" w:eastAsia="Times New Roman" w:hAnsi="Times New Roman"/>
                <w:sz w:val="24"/>
                <w:szCs w:val="24"/>
                <w:lang w:val="ro-RO"/>
              </w:rPr>
              <w:t>02</w:t>
            </w:r>
            <w:r w:rsidRPr="00B10626">
              <w:rPr>
                <w:rFonts w:ascii="Times New Roman" w:eastAsia="Times New Roman" w:hAnsi="Times New Roman"/>
                <w:sz w:val="24"/>
                <w:szCs w:val="24"/>
                <w:lang w:val="ro-RO"/>
              </w:rPr>
              <w:t>.2026)</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B59A32" w14:textId="1765F1E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sidRPr="00B10626">
              <w:rPr>
                <w:rFonts w:ascii="Times New Roman" w:hAnsi="Times New Roman"/>
                <w:sz w:val="24"/>
                <w:szCs w:val="24"/>
                <w:lang w:val="ro-RO"/>
              </w:rPr>
              <w:t>1</w:t>
            </w:r>
            <w:r>
              <w:rPr>
                <w:rFonts w:ascii="Times New Roman" w:hAnsi="Times New Roman"/>
                <w:sz w:val="24"/>
                <w:szCs w:val="24"/>
                <w:lang w:val="ro-RO"/>
              </w:rPr>
              <w:t>9</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8E915B4" w14:textId="5799E013"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F27FCD" w14:textId="4536300A"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2C00F7B7" w14:textId="77777777" w:rsidTr="00B10626">
        <w:trPr>
          <w:gridAfter w:val="3"/>
          <w:wAfter w:w="12759" w:type="dxa"/>
        </w:trPr>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DC2BD"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Ministerul Energiei  - ME</w:t>
            </w:r>
          </w:p>
          <w:p w14:paraId="562FC6D9" w14:textId="3454B124" w:rsidR="00B10626" w:rsidRPr="00B10626" w:rsidRDefault="00B10626" w:rsidP="00B10626">
            <w:pPr>
              <w:pBdr>
                <w:top w:val="none" w:sz="4" w:space="0" w:color="000000"/>
                <w:left w:val="none" w:sz="4" w:space="0" w:color="000000"/>
                <w:bottom w:val="none" w:sz="4" w:space="0" w:color="000000"/>
                <w:right w:val="none" w:sz="4" w:space="0" w:color="000000"/>
              </w:pBdr>
              <w:ind w:right="-102" w:firstLine="0"/>
              <w:rPr>
                <w:rFonts w:ascii="Times New Roman" w:hAnsi="Times New Roman"/>
                <w:sz w:val="24"/>
                <w:szCs w:val="24"/>
                <w:lang w:val="ro-RO"/>
              </w:rPr>
            </w:pPr>
            <w:r w:rsidRPr="00B10626">
              <w:rPr>
                <w:rFonts w:ascii="Times New Roman" w:hAnsi="Times New Roman"/>
                <w:sz w:val="24"/>
                <w:szCs w:val="24"/>
                <w:lang w:val="ro-RO"/>
              </w:rPr>
              <w:t>(27.03.2026)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1EC6673" w14:textId="1DD1BFC0"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20</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2307AB" w14:textId="301C7BCF"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EA0651" w14:textId="4FC683D9"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CF391C" w14:paraId="09813AD0"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F29E7A" w14:textId="5407DA57"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lastRenderedPageBreak/>
              <w:t>Centrul Național Anticorupție</w:t>
            </w:r>
          </w:p>
          <w:p w14:paraId="6E1214A1" w14:textId="2334BEFF"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10626">
              <w:rPr>
                <w:rFonts w:ascii="Times New Roman" w:hAnsi="Times New Roman"/>
                <w:sz w:val="24"/>
                <w:szCs w:val="24"/>
                <w:lang w:val="ro-RO"/>
              </w:rPr>
              <w:t>(scrisoarea nr.06/2/5676 din 27.03.2026)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AE60F2" w14:textId="210E1C1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21</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AD3305" w14:textId="77777777" w:rsidR="00B10626" w:rsidRDefault="00E95398" w:rsidP="00B9304C">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Pr>
                <w:rFonts w:ascii="Times New Roman" w:hAnsi="Times New Roman"/>
                <w:sz w:val="24"/>
                <w:szCs w:val="24"/>
                <w:lang w:val="ro-MD"/>
              </w:rPr>
              <w:t xml:space="preserve">Proiectul corespunde normelor de tehnică legislativă și respectă parțial rigorile de transparență, impuse prin </w:t>
            </w:r>
            <w:r w:rsidR="00B9304C">
              <w:rPr>
                <w:rFonts w:ascii="Times New Roman" w:hAnsi="Times New Roman"/>
                <w:sz w:val="24"/>
                <w:szCs w:val="24"/>
                <w:lang w:val="ro-MD"/>
              </w:rPr>
              <w:t xml:space="preserve">Legea </w:t>
            </w:r>
            <w:r w:rsidR="00B9304C" w:rsidRPr="00B9304C">
              <w:rPr>
                <w:rFonts w:ascii="Times New Roman" w:hAnsi="Times New Roman"/>
                <w:sz w:val="24"/>
                <w:szCs w:val="24"/>
                <w:lang w:val="ro-MD"/>
              </w:rPr>
              <w:t>nr. 239/2008 privind transparența în procesul decizional</w:t>
            </w:r>
            <w:r w:rsidR="00B9304C">
              <w:rPr>
                <w:rFonts w:ascii="Times New Roman" w:hAnsi="Times New Roman"/>
                <w:sz w:val="24"/>
                <w:szCs w:val="24"/>
                <w:lang w:val="ro-MD"/>
              </w:rPr>
              <w:t>.</w:t>
            </w:r>
          </w:p>
          <w:p w14:paraId="2AC9F284" w14:textId="77E49ED4" w:rsidR="00B9304C" w:rsidRPr="00B9304C" w:rsidRDefault="00B9304C" w:rsidP="00B9304C">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9304C">
              <w:rPr>
                <w:rFonts w:ascii="Times New Roman" w:hAnsi="Times New Roman"/>
                <w:sz w:val="24"/>
                <w:szCs w:val="24"/>
                <w:lang w:val="ro-MD"/>
              </w:rPr>
              <w:t>Proiectul corespunde interesului public general.</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697A30" w14:textId="1088BDCB"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Se acceptă</w:t>
            </w:r>
            <w:r w:rsidR="00E95398">
              <w:rPr>
                <w:rFonts w:ascii="Times New Roman" w:hAnsi="Times New Roman"/>
                <w:sz w:val="24"/>
                <w:szCs w:val="24"/>
                <w:lang w:val="ro-MD"/>
              </w:rPr>
              <w:t>. Proiectul de lege însoțit de nota de fundamentare și tabelul de sinteză a</w:t>
            </w:r>
            <w:r w:rsidR="00B9304C">
              <w:rPr>
                <w:rFonts w:ascii="Times New Roman" w:hAnsi="Times New Roman"/>
                <w:sz w:val="24"/>
                <w:szCs w:val="24"/>
                <w:lang w:val="ro-MD"/>
              </w:rPr>
              <w:t>u</w:t>
            </w:r>
            <w:r w:rsidR="00E95398">
              <w:rPr>
                <w:rFonts w:ascii="Times New Roman" w:hAnsi="Times New Roman"/>
                <w:sz w:val="24"/>
                <w:szCs w:val="24"/>
                <w:lang w:val="ro-MD"/>
              </w:rPr>
              <w:t xml:space="preserve"> fost plasat ulterior, astfel fiind asigurat procesul de transparență</w:t>
            </w:r>
            <w:r w:rsidR="00B9304C">
              <w:rPr>
                <w:rFonts w:ascii="Times New Roman" w:hAnsi="Times New Roman"/>
                <w:sz w:val="24"/>
                <w:szCs w:val="24"/>
                <w:lang w:val="ro-MD"/>
              </w:rPr>
              <w:t xml:space="preserve"> pe deplin</w:t>
            </w:r>
            <w:r w:rsidR="00E95398">
              <w:rPr>
                <w:rFonts w:ascii="Times New Roman" w:hAnsi="Times New Roman"/>
                <w:sz w:val="24"/>
                <w:szCs w:val="24"/>
                <w:lang w:val="ro-MD"/>
              </w:rPr>
              <w:t>.</w:t>
            </w:r>
          </w:p>
        </w:tc>
      </w:tr>
      <w:tr w:rsidR="00B10626" w:rsidRPr="00B10626" w14:paraId="237161B9"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921FE" w14:textId="6E23203E"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Ministerul Finanțelor - MF</w:t>
            </w:r>
          </w:p>
          <w:p w14:paraId="357CDB35" w14:textId="3DD61E51"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(30.03.2026)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F25B72" w14:textId="15B55D3E"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22</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ADA11" w14:textId="0BE21EBA"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C73C0" w14:textId="7CC17CCA"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04087936"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830753" w14:textId="60B8711A"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hAnsi="Times New Roman"/>
                <w:sz w:val="24"/>
                <w:szCs w:val="24"/>
                <w:lang w:val="ro-RO"/>
              </w:rPr>
              <w:t>Ministerul Muncii și Protecției Sociale – MMPS (26.03.2026)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CB931" w14:textId="13303A73"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23</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1975ED" w14:textId="5BC15048"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DD8F1" w14:textId="2231AE61"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B10626" w14:paraId="4C2801CE" w14:textId="77777777" w:rsidTr="00B10626">
        <w:trPr>
          <w:gridAfter w:val="3"/>
          <w:wAfter w:w="12759" w:type="dxa"/>
        </w:trPr>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EB4218" w14:textId="731A45B1" w:rsidR="00B10626" w:rsidRPr="00B10626" w:rsidRDefault="00B10626" w:rsidP="00B106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10626">
              <w:rPr>
                <w:rFonts w:ascii="Times New Roman" w:eastAsia="Times New Roman" w:hAnsi="Times New Roman"/>
                <w:sz w:val="24"/>
                <w:szCs w:val="24"/>
                <w:lang w:val="ro-RO"/>
              </w:rPr>
              <w:t>Ministerul Sănătății (scrisoarea nr. 09/1108 din 31.03.2026)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538091" w14:textId="009621C5"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24</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78048E" w14:textId="16EDF63B" w:rsidR="00B10626" w:rsidRPr="00B10626" w:rsidRDefault="00B10626" w:rsidP="00B10626">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53992C" w14:textId="420C0469"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Se ia act.</w:t>
            </w:r>
          </w:p>
        </w:tc>
      </w:tr>
      <w:tr w:rsidR="00B10626" w:rsidRPr="00CF391C" w14:paraId="37D210A5" w14:textId="77777777" w:rsidTr="00B10626">
        <w:trPr>
          <w:gridAfter w:val="3"/>
          <w:wAfter w:w="12759" w:type="dxa"/>
        </w:trPr>
        <w:tc>
          <w:tcPr>
            <w:tcW w:w="33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9F9A3B" w14:textId="24A241B5"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Ministerul Justiției – MJ</w:t>
            </w:r>
          </w:p>
          <w:p w14:paraId="31B6C840" w14:textId="75A5D3CC"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(scrisoarea nr. 04/2-3528 din 31.03.2026)</w:t>
            </w:r>
          </w:p>
        </w:tc>
        <w:tc>
          <w:tcPr>
            <w:tcW w:w="851"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2D0143" w14:textId="693ABC2C"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25</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513FE5"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Formularea art. 1 din proiectul de lege, prin care se </w:t>
            </w:r>
            <w:r w:rsidRPr="00B10626">
              <w:rPr>
                <w:rFonts w:ascii="Times New Roman" w:hAnsi="Times New Roman"/>
                <w:b/>
                <w:bCs/>
                <w:i/>
                <w:iCs/>
                <w:sz w:val="24"/>
                <w:szCs w:val="24"/>
                <w:lang w:val="ro-MD"/>
              </w:rPr>
              <w:t>declară utilitatea publică de interes național pentru lucrările de dezvoltare a infrastructurii regionale de gestionare a deșeurilor</w:t>
            </w:r>
            <w:r w:rsidRPr="00B10626">
              <w:rPr>
                <w:rFonts w:ascii="Times New Roman" w:hAnsi="Times New Roman"/>
                <w:sz w:val="24"/>
                <w:szCs w:val="24"/>
                <w:lang w:val="ro-MD"/>
              </w:rPr>
              <w:t xml:space="preserve">, prezintă o anumită inconsecvență conceptuală între calificarea juridică a interesului și natura lucrărilor descrise. Astfel, utilizarea sintagmei </w:t>
            </w:r>
            <w:r w:rsidRPr="00B10626">
              <w:rPr>
                <w:rFonts w:ascii="Times New Roman" w:hAnsi="Times New Roman"/>
                <w:i/>
                <w:iCs/>
                <w:sz w:val="24"/>
                <w:szCs w:val="24"/>
                <w:lang w:val="ro-MD"/>
              </w:rPr>
              <w:t>„infrastructurii regionale”</w:t>
            </w:r>
            <w:r w:rsidRPr="00B10626">
              <w:rPr>
                <w:rFonts w:ascii="Times New Roman" w:hAnsi="Times New Roman"/>
                <w:sz w:val="24"/>
                <w:szCs w:val="24"/>
                <w:lang w:val="ro-MD"/>
              </w:rPr>
              <w:t xml:space="preserve"> în cadrul unei norme care proclamă explicit </w:t>
            </w:r>
          </w:p>
          <w:p w14:paraId="190CF310"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interesul național al lucrărilor </w:t>
            </w:r>
            <w:r w:rsidRPr="00B10626">
              <w:rPr>
                <w:rFonts w:ascii="Times New Roman" w:hAnsi="Times New Roman"/>
                <w:sz w:val="24"/>
                <w:szCs w:val="24"/>
                <w:u w:val="single"/>
                <w:lang w:val="ro-MD"/>
              </w:rPr>
              <w:t>este de natură să creeze o ambiguitate interpretativă</w:t>
            </w:r>
            <w:r w:rsidRPr="00B10626">
              <w:rPr>
                <w:rFonts w:ascii="Times New Roman" w:hAnsi="Times New Roman"/>
                <w:sz w:val="24"/>
                <w:szCs w:val="24"/>
                <w:lang w:val="ro-MD"/>
              </w:rPr>
              <w:t xml:space="preserve">, sugerând că lucrările vizate ar avea, în esență, un caracter predominant </w:t>
            </w:r>
            <w:r w:rsidRPr="00B10626">
              <w:rPr>
                <w:rFonts w:ascii="Times New Roman" w:hAnsi="Times New Roman"/>
                <w:sz w:val="24"/>
                <w:szCs w:val="24"/>
                <w:u w:val="single"/>
                <w:lang w:val="ro-MD"/>
              </w:rPr>
              <w:t>regional</w:t>
            </w:r>
            <w:r w:rsidRPr="00B10626">
              <w:rPr>
                <w:rFonts w:ascii="Times New Roman" w:hAnsi="Times New Roman"/>
                <w:sz w:val="24"/>
                <w:szCs w:val="24"/>
                <w:lang w:val="ro-MD"/>
              </w:rPr>
              <w:t xml:space="preserve">, </w:t>
            </w:r>
            <w:r w:rsidRPr="00B10626">
              <w:rPr>
                <w:rFonts w:ascii="Times New Roman" w:hAnsi="Times New Roman"/>
                <w:sz w:val="24"/>
                <w:szCs w:val="24"/>
                <w:u w:val="single"/>
                <w:lang w:val="ro-MD"/>
              </w:rPr>
              <w:t>iar nu unul național</w:t>
            </w:r>
            <w:r w:rsidRPr="00B10626">
              <w:rPr>
                <w:rFonts w:ascii="Times New Roman" w:hAnsi="Times New Roman"/>
                <w:sz w:val="24"/>
                <w:szCs w:val="24"/>
                <w:lang w:val="ro-MD"/>
              </w:rPr>
              <w:t xml:space="preserve">, ceea ce poate diminua fundamentarea juridică a intervenției legislative la nivelul Parlamentului. </w:t>
            </w:r>
          </w:p>
          <w:p w14:paraId="20D56022"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Totuși, potrivit notei de fundamentare, lucrările respective sunt parte integrantă a </w:t>
            </w:r>
            <w:r w:rsidRPr="00B10626">
              <w:rPr>
                <w:rFonts w:ascii="Times New Roman" w:hAnsi="Times New Roman"/>
                <w:b/>
                <w:bCs/>
                <w:sz w:val="24"/>
                <w:szCs w:val="24"/>
                <w:lang w:val="ro-MD"/>
              </w:rPr>
              <w:t>Proiectului „Deșeuri solide în Republica Moldova”</w:t>
            </w:r>
            <w:r w:rsidRPr="00B10626">
              <w:rPr>
                <w:rFonts w:ascii="Times New Roman" w:hAnsi="Times New Roman"/>
                <w:sz w:val="24"/>
                <w:szCs w:val="24"/>
                <w:lang w:val="ro-MD"/>
              </w:rPr>
              <w:t xml:space="preserve">, care urmărește </w:t>
            </w:r>
            <w:r w:rsidRPr="00B10626">
              <w:rPr>
                <w:rFonts w:ascii="Times New Roman" w:hAnsi="Times New Roman"/>
                <w:sz w:val="24"/>
                <w:szCs w:val="24"/>
                <w:u w:val="single"/>
                <w:lang w:val="ro-MD"/>
              </w:rPr>
              <w:t>dezvoltarea unei infrastructuri</w:t>
            </w:r>
            <w:r w:rsidRPr="00B10626">
              <w:rPr>
                <w:rFonts w:ascii="Times New Roman" w:hAnsi="Times New Roman"/>
                <w:sz w:val="24"/>
                <w:szCs w:val="24"/>
                <w:lang w:val="ro-MD"/>
              </w:rPr>
              <w:t xml:space="preserve"> </w:t>
            </w:r>
            <w:r w:rsidRPr="00B10626">
              <w:rPr>
                <w:rFonts w:ascii="Times New Roman" w:hAnsi="Times New Roman"/>
                <w:sz w:val="24"/>
                <w:szCs w:val="24"/>
                <w:u w:val="single"/>
                <w:lang w:val="ro-MD"/>
              </w:rPr>
              <w:t>moderne, eficiente și regionalizate</w:t>
            </w:r>
            <w:r w:rsidRPr="00B10626">
              <w:rPr>
                <w:rFonts w:ascii="Times New Roman" w:hAnsi="Times New Roman"/>
                <w:sz w:val="24"/>
                <w:szCs w:val="24"/>
                <w:lang w:val="ro-MD"/>
              </w:rPr>
              <w:t xml:space="preserve">, însă concepută și implementată în vederea realizării unor obiective strategice la nivel național, inclusiv protecția mediului, sănătatea populației și atingerea țintelor de dezvoltare durabilă. </w:t>
            </w:r>
            <w:r w:rsidRPr="00B10626">
              <w:rPr>
                <w:rFonts w:ascii="Times New Roman" w:hAnsi="Times New Roman"/>
                <w:i/>
                <w:iCs/>
                <w:sz w:val="24"/>
                <w:szCs w:val="24"/>
                <w:lang w:val="ro-MD"/>
              </w:rPr>
              <w:t>Caracterul regional</w:t>
            </w:r>
            <w:r w:rsidRPr="00B10626">
              <w:rPr>
                <w:rFonts w:ascii="Times New Roman" w:hAnsi="Times New Roman"/>
                <w:sz w:val="24"/>
                <w:szCs w:val="24"/>
                <w:lang w:val="ro-MD"/>
              </w:rPr>
              <w:t xml:space="preserve"> al organizării infrastructurii </w:t>
            </w:r>
            <w:r w:rsidRPr="00B10626">
              <w:rPr>
                <w:rFonts w:ascii="Times New Roman" w:hAnsi="Times New Roman"/>
                <w:i/>
                <w:iCs/>
                <w:sz w:val="24"/>
                <w:szCs w:val="24"/>
                <w:lang w:val="ro-MD"/>
              </w:rPr>
              <w:t>reprezintă doar un mecanism tehnic de implementare</w:t>
            </w:r>
            <w:r w:rsidRPr="00B10626">
              <w:rPr>
                <w:rFonts w:ascii="Times New Roman" w:hAnsi="Times New Roman"/>
                <w:sz w:val="24"/>
                <w:szCs w:val="24"/>
                <w:lang w:val="ro-MD"/>
              </w:rPr>
              <w:t xml:space="preserve">, fără a afecta natura unitară și națională a </w:t>
            </w:r>
          </w:p>
          <w:p w14:paraId="34D5ACD7"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interesului public urmărit. </w:t>
            </w:r>
          </w:p>
          <w:p w14:paraId="045483F2"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În acest context, accentuarea lucrărilor de „dezvoltare a infrastructurii regionale” la art. 1, fără o corelare expresă cu </w:t>
            </w:r>
            <w:r w:rsidRPr="00B10626">
              <w:rPr>
                <w:rFonts w:ascii="Times New Roman" w:hAnsi="Times New Roman"/>
                <w:sz w:val="24"/>
                <w:szCs w:val="24"/>
                <w:lang w:val="ro-MD"/>
              </w:rPr>
              <w:lastRenderedPageBreak/>
              <w:t xml:space="preserve">dimensiunea națională a proiectului, este susceptibilă să inducă percepția că lucrările sunt de interes regional, ceea ce </w:t>
            </w:r>
          </w:p>
          <w:p w14:paraId="39568FDA"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contravine atât scopului declarat al proiectului, cât și temeiului juridic invocat în baza art. 6 alin. (1) lit. a) din Legea exproprierii pentru cauză de utilitate publică nr. </w:t>
            </w:r>
          </w:p>
          <w:p w14:paraId="48D9717A"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488/1999. Această lipsă de claritate poate genera dificultăți în aplicare și interpretare, inclusiv în ceea ce privește justificarea declarării utilității publice de interes național. </w:t>
            </w:r>
          </w:p>
          <w:p w14:paraId="58E33E38"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Atragem atenția că, potrivit art. 6 alin. (1) lit. c) din Legea nr. 488/1999, pentru lucrările de interes comun al mai multor raioane şi/sau municipii, utilitatea publică se declară de către consiliile lor, iar în caz de divergențe - de către Guvern. </w:t>
            </w:r>
          </w:p>
          <w:p w14:paraId="20D6CF93"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Prin urmare, se impune reformularea dispoziției art. 1 în sensul reflectării explicite a caracterului național al lucrărilor, prin raportare directă la Proiectul „Deșeuri solide în Republica Moldova”, astfel încât să rezulte fără echivoc că infrastructura, deși organizată pe regiuni, constituie parte a unui sistem național integrat. O asemenea precizare ar asigura coerența normei, ar elimina orice interpretare eronată privind nivelul de interes al lucrărilor și ar consolida temeiul </w:t>
            </w:r>
          </w:p>
          <w:p w14:paraId="75964226" w14:textId="6BE5FD16"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hAnsi="Times New Roman"/>
                <w:sz w:val="24"/>
                <w:szCs w:val="24"/>
                <w:lang w:val="ro-MD"/>
              </w:rPr>
              <w:t>juridic al declarării utilității publice de interes național.</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69CB07" w14:textId="1D78AEF8"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lastRenderedPageBreak/>
              <w:t xml:space="preserve">Se acceptă parțial. </w:t>
            </w:r>
          </w:p>
          <w:p w14:paraId="2074B1B4" w14:textId="28BD4386"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 xml:space="preserve">Nu se susține excluderea cuvântului </w:t>
            </w:r>
            <w:r w:rsidRPr="00B10626">
              <w:rPr>
                <w:rFonts w:ascii="Times New Roman" w:hAnsi="Times New Roman"/>
                <w:sz w:val="24"/>
                <w:szCs w:val="24"/>
                <w:lang w:val="ro-RO"/>
              </w:rPr>
              <w:t>„</w:t>
            </w:r>
            <w:r w:rsidRPr="00B10626">
              <w:rPr>
                <w:rFonts w:ascii="Times New Roman" w:hAnsi="Times New Roman"/>
                <w:sz w:val="24"/>
                <w:szCs w:val="24"/>
                <w:lang w:val="ro-MD"/>
              </w:rPr>
              <w:t>regional”, deoarece acesta descrie modelul de organizare teritorială a infrastructurii prevăzut de Programul național pentru gestionarea deșeurilor pe anii 2023–2027, aprobat prin Hotărârea Guvernului nr. 972/2023, care consacră abordarea regională și dezvoltarea sistemelor integrate de management al deșeurilor în șase regiuni de management al deșeurilor. Caracterul regional al infrastructurii nu contravine caracterului național al utilității publice, întrucât lucrările vizează realizarea unui sistem național integrat de gestionare a deșeurilor, în interesul întregii societăți, în sensul art. 5 alin. (3) și art. 6 alin. (1) lit. a) din Legea nr. 488/1999. Pentru înlăturarea oricărui echivoc, art. 1 se reformulează prin menționarea expresă că infrastructura regională constituie parte a sistemului național integrat de gestionare a deșeurilor și a Proiectului „Deșeuri solide în Republica Moldova”.</w:t>
            </w:r>
          </w:p>
        </w:tc>
      </w:tr>
      <w:tr w:rsidR="00B10626" w:rsidRPr="00B10626" w14:paraId="25C99666" w14:textId="77777777" w:rsidTr="00B10626">
        <w:trPr>
          <w:gridAfter w:val="3"/>
          <w:wAfter w:w="12759" w:type="dxa"/>
        </w:trPr>
        <w:tc>
          <w:tcPr>
            <w:tcW w:w="33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DF5205"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tc>
        <w:tc>
          <w:tcPr>
            <w:tcW w:w="851" w:type="dxa"/>
            <w:vMerge/>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A5A66CE"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26B046" w14:textId="119215B9"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Style w:val="fontstyle01"/>
                <w:rFonts w:ascii="Times New Roman" w:hAnsi="Times New Roman"/>
                <w:sz w:val="24"/>
                <w:szCs w:val="24"/>
                <w:lang w:val="ro-MD"/>
              </w:rPr>
              <w:t xml:space="preserve">La </w:t>
            </w:r>
            <w:r w:rsidRPr="00B10626">
              <w:rPr>
                <w:rStyle w:val="fontstyle21"/>
                <w:rFonts w:ascii="Times New Roman" w:hAnsi="Times New Roman"/>
                <w:sz w:val="24"/>
                <w:szCs w:val="24"/>
                <w:lang w:val="ro-MD"/>
              </w:rPr>
              <w:t xml:space="preserve">art. 6 </w:t>
            </w:r>
            <w:r w:rsidRPr="00B10626">
              <w:rPr>
                <w:rStyle w:val="fontstyle01"/>
                <w:rFonts w:ascii="Times New Roman" w:hAnsi="Times New Roman"/>
                <w:sz w:val="24"/>
                <w:szCs w:val="24"/>
                <w:lang w:val="ro-MD"/>
              </w:rPr>
              <w:t>se va indica nu doar notificarea obligatorie a titularilor cu ale căror drepturi este grevat bunul imobil cu privire la expropriere, dar și cu privire la formarea bunurilor imobile.</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C453331" w14:textId="010D7499"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Se acceptă.</w:t>
            </w:r>
          </w:p>
        </w:tc>
      </w:tr>
      <w:tr w:rsidR="00B10626" w:rsidRPr="00B10626" w14:paraId="0CC4D586" w14:textId="77777777" w:rsidTr="00B10626">
        <w:trPr>
          <w:gridAfter w:val="3"/>
          <w:wAfter w:w="12759" w:type="dxa"/>
        </w:trPr>
        <w:tc>
          <w:tcPr>
            <w:tcW w:w="33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63990"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tc>
        <w:tc>
          <w:tcPr>
            <w:tcW w:w="851" w:type="dxa"/>
            <w:vMerge/>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3FB0C4C"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7DFAB8" w14:textId="77777777" w:rsidR="00B10626" w:rsidRPr="00B10626" w:rsidRDefault="00B10626" w:rsidP="00B10626">
            <w:pPr>
              <w:ind w:firstLine="0"/>
              <w:jc w:val="left"/>
              <w:rPr>
                <w:rFonts w:ascii="Times New Roman" w:hAnsi="Times New Roman"/>
                <w:color w:val="000000"/>
                <w:sz w:val="24"/>
                <w:szCs w:val="24"/>
                <w:lang w:val="ro-MD" w:eastAsia="ro-MD"/>
              </w:rPr>
            </w:pPr>
            <w:r w:rsidRPr="00B10626">
              <w:rPr>
                <w:rFonts w:ascii="Times New Roman" w:eastAsia="Times New Roman" w:hAnsi="Times New Roman"/>
                <w:color w:val="000000"/>
                <w:sz w:val="24"/>
                <w:szCs w:val="24"/>
                <w:lang w:val="ro-MD" w:eastAsia="ro-MD"/>
              </w:rPr>
              <w:t xml:space="preserve">La </w:t>
            </w:r>
            <w:r w:rsidRPr="00B10626">
              <w:rPr>
                <w:rFonts w:ascii="Times New Roman" w:eastAsia="Times New Roman" w:hAnsi="Times New Roman"/>
                <w:b/>
                <w:bCs/>
                <w:color w:val="000000"/>
                <w:sz w:val="24"/>
                <w:szCs w:val="24"/>
                <w:lang w:val="ro-MD" w:eastAsia="ro-MD"/>
              </w:rPr>
              <w:t xml:space="preserve">art. 9 </w:t>
            </w:r>
            <w:r w:rsidRPr="00B10626">
              <w:rPr>
                <w:rFonts w:ascii="Times New Roman" w:eastAsia="Times New Roman" w:hAnsi="Times New Roman"/>
                <w:color w:val="000000"/>
                <w:sz w:val="24"/>
                <w:szCs w:val="24"/>
                <w:lang w:val="ro-MD" w:eastAsia="ro-MD"/>
              </w:rPr>
              <w:t>pct. 1) lit. b), care instituie interdicția eliberării actelor permisive pentru executarea lucrărilor de construcție pentru bunurile imobile supuse exproprierii, necesită a fi reexaminată prin prisma corelării sale cu dispozițiile art. 3 alin. (2) din proiect, în vederea evitării unor eventuale blocaje la implementare. În forma actuală, norma instituie o interdicție generală care, prin caracterul său absolut, poate fi interpretată ca aplicabilă inclusiv lucrărilor de utilitate publică de interes național reglementate de acest proiect.</w:t>
            </w:r>
          </w:p>
          <w:p w14:paraId="560823EF" w14:textId="77777777" w:rsidR="00B10626" w:rsidRPr="00B10626" w:rsidRDefault="00B10626" w:rsidP="00B10626">
            <w:pPr>
              <w:ind w:firstLine="0"/>
              <w:jc w:val="left"/>
              <w:rPr>
                <w:rFonts w:ascii="Times New Roman" w:eastAsia="Times New Roman" w:hAnsi="Times New Roman"/>
                <w:color w:val="000000"/>
                <w:sz w:val="24"/>
                <w:szCs w:val="24"/>
                <w:lang w:val="ro-MD" w:eastAsia="ro-MD"/>
              </w:rPr>
            </w:pPr>
            <w:r w:rsidRPr="00B10626">
              <w:rPr>
                <w:rFonts w:ascii="Times New Roman" w:eastAsia="Times New Roman" w:hAnsi="Times New Roman"/>
                <w:color w:val="000000"/>
                <w:sz w:val="24"/>
                <w:szCs w:val="24"/>
                <w:lang w:val="ro-MD" w:eastAsia="ro-MD"/>
              </w:rPr>
              <w:t xml:space="preserve">Or, art. 3 alin. (2) prevede expres posibilitatea emiterii autorizației de construire, în regim derogatoriu, fără acordul autentificat notarial al proprietarilor, tocmai în scopul </w:t>
            </w:r>
            <w:r w:rsidRPr="00B10626">
              <w:rPr>
                <w:rFonts w:ascii="Times New Roman" w:eastAsia="Times New Roman" w:hAnsi="Times New Roman"/>
                <w:color w:val="000000"/>
                <w:sz w:val="24"/>
                <w:szCs w:val="24"/>
                <w:lang w:val="ro-MD" w:eastAsia="ro-MD"/>
              </w:rPr>
              <w:lastRenderedPageBreak/>
              <w:t>asigurării implementării rapide și neîngrădite a lucrărilor de infrastructură prevăzute de lege. În aceste condiții, menținerea unei interdicții generale de eliberare a actelor permisive, fără o delimitare clară a sferei sale de aplicare, este de natură să genereze un conflict normativ intern și să creeze incertitudine juridică în procesul de autorizare a lucrărilor.</w:t>
            </w:r>
          </w:p>
          <w:p w14:paraId="6113A848" w14:textId="11575F6B" w:rsidR="00B10626" w:rsidRPr="00B10626" w:rsidRDefault="00B10626" w:rsidP="00B10626">
            <w:pPr>
              <w:pBdr>
                <w:top w:val="none" w:sz="4" w:space="0" w:color="000000"/>
                <w:left w:val="none" w:sz="4" w:space="0" w:color="000000"/>
                <w:bottom w:val="none" w:sz="4" w:space="0" w:color="000000"/>
                <w:right w:val="none" w:sz="4" w:space="0" w:color="000000"/>
              </w:pBdr>
              <w:ind w:firstLine="25"/>
              <w:rPr>
                <w:rStyle w:val="fontstyle01"/>
                <w:rFonts w:ascii="Times New Roman" w:eastAsia="Arial" w:hAnsi="Times New Roman"/>
                <w:sz w:val="24"/>
                <w:szCs w:val="24"/>
                <w:lang w:val="ro-MD"/>
              </w:rPr>
            </w:pPr>
            <w:r w:rsidRPr="00B10626">
              <w:rPr>
                <w:rFonts w:ascii="Times New Roman" w:eastAsia="Times New Roman" w:hAnsi="Times New Roman"/>
                <w:color w:val="000000"/>
                <w:sz w:val="24"/>
                <w:szCs w:val="24"/>
                <w:lang w:val="ro-MD" w:eastAsia="ro-MD"/>
              </w:rPr>
              <w:t>În acest context, se impune revizuirea dispoziției menționate, astfel încât interdicția să fie formulată în mod clar și limitativ, excluzând explicit lucrările de utilitate publică de interes național prevăzute de proiect.</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2BC8D8" w14:textId="0395A572"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lastRenderedPageBreak/>
              <w:t>Se acceptă.</w:t>
            </w:r>
          </w:p>
        </w:tc>
      </w:tr>
      <w:tr w:rsidR="00B10626" w:rsidRPr="00B10626" w14:paraId="05F045AF" w14:textId="77777777" w:rsidTr="00B10626">
        <w:trPr>
          <w:gridAfter w:val="3"/>
          <w:wAfter w:w="12759" w:type="dxa"/>
        </w:trPr>
        <w:tc>
          <w:tcPr>
            <w:tcW w:w="33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D5334B"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tc>
        <w:tc>
          <w:tcPr>
            <w:tcW w:w="851" w:type="dxa"/>
            <w:vMerge/>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F1D731D"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E99235" w14:textId="77777777" w:rsidR="00B10626" w:rsidRPr="00B10626" w:rsidRDefault="00B10626" w:rsidP="00B10626">
            <w:pPr>
              <w:ind w:firstLine="0"/>
              <w:jc w:val="left"/>
              <w:rPr>
                <w:rFonts w:ascii="Times New Roman" w:hAnsi="Times New Roman"/>
                <w:color w:val="000000"/>
                <w:sz w:val="24"/>
                <w:szCs w:val="24"/>
                <w:lang w:val="ro-MD" w:eastAsia="ro-MD"/>
              </w:rPr>
            </w:pPr>
            <w:r w:rsidRPr="00B10626">
              <w:rPr>
                <w:rFonts w:ascii="Times New Roman" w:hAnsi="Times New Roman"/>
                <w:color w:val="000000"/>
                <w:sz w:val="24"/>
                <w:szCs w:val="24"/>
                <w:lang w:val="ro-MD" w:eastAsia="ro-MD"/>
              </w:rPr>
              <w:t xml:space="preserve">La </w:t>
            </w:r>
            <w:r w:rsidRPr="00B10626">
              <w:rPr>
                <w:rFonts w:ascii="Times New Roman" w:hAnsi="Times New Roman"/>
                <w:b/>
                <w:bCs/>
                <w:color w:val="000000"/>
                <w:sz w:val="24"/>
                <w:szCs w:val="24"/>
                <w:lang w:val="ro-MD" w:eastAsia="ro-MD"/>
              </w:rPr>
              <w:t>art. 10</w:t>
            </w:r>
            <w:r w:rsidRPr="00B10626">
              <w:rPr>
                <w:rFonts w:ascii="Times New Roman" w:hAnsi="Times New Roman"/>
                <w:color w:val="000000"/>
                <w:sz w:val="24"/>
                <w:szCs w:val="24"/>
                <w:lang w:val="ro-MD" w:eastAsia="ro-MD"/>
              </w:rPr>
              <w:t xml:space="preserve"> lit. a) se va indica numărul și anul adoptării Codului urbanismului</w:t>
            </w:r>
          </w:p>
          <w:p w14:paraId="07D5FDD6" w14:textId="759AD0E5" w:rsidR="00B10626" w:rsidRPr="00B10626" w:rsidRDefault="00B10626" w:rsidP="00B10626">
            <w:pPr>
              <w:ind w:firstLine="0"/>
              <w:jc w:val="left"/>
              <w:rPr>
                <w:rFonts w:ascii="Times New Roman" w:hAnsi="Times New Roman"/>
                <w:color w:val="000000"/>
                <w:sz w:val="24"/>
                <w:szCs w:val="24"/>
                <w:lang w:val="ro-MD" w:eastAsia="ro-MD"/>
              </w:rPr>
            </w:pPr>
            <w:r w:rsidRPr="00B10626">
              <w:rPr>
                <w:rFonts w:ascii="Times New Roman" w:hAnsi="Times New Roman"/>
                <w:color w:val="000000"/>
                <w:sz w:val="24"/>
                <w:szCs w:val="24"/>
                <w:lang w:val="ro-MD" w:eastAsia="ro-MD"/>
              </w:rPr>
              <w:t>și construcțiilor, după cum urmează „nr</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777B1E4" w14:textId="1EF8B279"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Se acceptă.</w:t>
            </w:r>
          </w:p>
        </w:tc>
      </w:tr>
      <w:tr w:rsidR="00B10626" w:rsidRPr="00B10626" w14:paraId="1957005D" w14:textId="77777777" w:rsidTr="00B10626">
        <w:trPr>
          <w:gridAfter w:val="3"/>
          <w:wAfter w:w="12759" w:type="dxa"/>
        </w:trPr>
        <w:tc>
          <w:tcPr>
            <w:tcW w:w="33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BAD9DF"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tc>
        <w:tc>
          <w:tcPr>
            <w:tcW w:w="851" w:type="dxa"/>
            <w:vMerge/>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B44FDAD"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C4C27E" w14:textId="4043E48A" w:rsidR="00B10626" w:rsidRPr="00B10626" w:rsidRDefault="00B10626" w:rsidP="00B10626">
            <w:pPr>
              <w:ind w:firstLine="0"/>
              <w:jc w:val="left"/>
              <w:rPr>
                <w:rFonts w:ascii="Times New Roman" w:hAnsi="Times New Roman"/>
                <w:color w:val="000000"/>
                <w:sz w:val="24"/>
                <w:szCs w:val="24"/>
                <w:lang w:val="ro-MD" w:eastAsia="ro-MD"/>
              </w:rPr>
            </w:pPr>
            <w:r w:rsidRPr="00B10626">
              <w:rPr>
                <w:rFonts w:ascii="Times New Roman" w:eastAsia="Times New Roman" w:hAnsi="Times New Roman"/>
                <w:color w:val="000000"/>
                <w:sz w:val="24"/>
                <w:szCs w:val="24"/>
                <w:lang w:val="ro-MD"/>
              </w:rPr>
              <w:t xml:space="preserve">La </w:t>
            </w:r>
            <w:r w:rsidRPr="00B10626">
              <w:rPr>
                <w:rFonts w:ascii="Times New Roman" w:eastAsia="Times New Roman" w:hAnsi="Times New Roman"/>
                <w:b/>
                <w:bCs/>
                <w:color w:val="000000"/>
                <w:sz w:val="24"/>
                <w:szCs w:val="24"/>
                <w:lang w:val="ro-MD"/>
              </w:rPr>
              <w:t xml:space="preserve">art. 11, </w:t>
            </w:r>
            <w:r w:rsidRPr="00B10626">
              <w:rPr>
                <w:rFonts w:ascii="Times New Roman" w:eastAsia="Times New Roman" w:hAnsi="Times New Roman"/>
                <w:color w:val="000000"/>
                <w:sz w:val="24"/>
                <w:szCs w:val="24"/>
                <w:lang w:val="ro-MD"/>
              </w:rPr>
              <w:t xml:space="preserve">pentru indicarea exactă a momentului intrării în vigoare a actului normativ, cuvintele </w:t>
            </w:r>
            <w:r w:rsidRPr="00B10626">
              <w:rPr>
                <w:rFonts w:ascii="Times New Roman" w:eastAsia="Times New Roman" w:hAnsi="Times New Roman"/>
                <w:i/>
                <w:iCs/>
                <w:color w:val="000000"/>
                <w:sz w:val="24"/>
                <w:szCs w:val="24"/>
                <w:lang w:val="ro-MD"/>
              </w:rPr>
              <w:t>„peste o lună”</w:t>
            </w:r>
            <w:r w:rsidRPr="00B10626">
              <w:rPr>
                <w:rFonts w:ascii="Times New Roman" w:eastAsia="Times New Roman" w:hAnsi="Times New Roman"/>
                <w:color w:val="000000"/>
                <w:sz w:val="24"/>
                <w:szCs w:val="24"/>
                <w:lang w:val="ro-MD"/>
              </w:rPr>
              <w:t xml:space="preserve"> se vor substitui cu cuvintele </w:t>
            </w:r>
            <w:r w:rsidRPr="00B10626">
              <w:rPr>
                <w:rFonts w:ascii="Times New Roman" w:eastAsia="Times New Roman" w:hAnsi="Times New Roman"/>
                <w:i/>
                <w:iCs/>
                <w:color w:val="000000"/>
                <w:sz w:val="24"/>
                <w:szCs w:val="24"/>
                <w:lang w:val="ro-MD"/>
              </w:rPr>
              <w:t>„la expirarea termenului de o lună</w:t>
            </w:r>
            <w:r w:rsidRPr="00B10626">
              <w:rPr>
                <w:rFonts w:ascii="Times New Roman" w:eastAsia="Times New Roman" w:hAnsi="Times New Roman"/>
                <w:color w:val="000000"/>
                <w:sz w:val="24"/>
                <w:szCs w:val="24"/>
                <w:lang w:val="ro-MD"/>
              </w:rPr>
              <w:t>”.</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766444D" w14:textId="45E39E4E"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Se acceptă.</w:t>
            </w:r>
          </w:p>
        </w:tc>
      </w:tr>
      <w:tr w:rsidR="00B10626" w:rsidRPr="00093853" w14:paraId="2313B198" w14:textId="77777777" w:rsidTr="00B10626">
        <w:trPr>
          <w:gridAfter w:val="3"/>
          <w:wAfter w:w="12759" w:type="dxa"/>
        </w:trPr>
        <w:tc>
          <w:tcPr>
            <w:tcW w:w="33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C7349"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B10626">
              <w:rPr>
                <w:rFonts w:ascii="Times New Roman" w:eastAsia="Times New Roman" w:hAnsi="Times New Roman"/>
                <w:sz w:val="24"/>
                <w:szCs w:val="24"/>
                <w:lang w:val="ro-MD"/>
              </w:rPr>
              <w:t>Congresul Autorităților Locale din Moldova – CALM</w:t>
            </w:r>
          </w:p>
          <w:p w14:paraId="6626795B" w14:textId="32DF799B"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B10626">
              <w:rPr>
                <w:rFonts w:ascii="Times New Roman" w:eastAsia="Times New Roman" w:hAnsi="Times New Roman"/>
                <w:sz w:val="24"/>
                <w:szCs w:val="24"/>
                <w:lang w:val="ro-MD"/>
              </w:rPr>
              <w:t>(scrisoarea nr. 50 din 20.02.2026)</w:t>
            </w:r>
          </w:p>
        </w:tc>
        <w:tc>
          <w:tcPr>
            <w:tcW w:w="851"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D0A884C" w14:textId="7E45D5EC"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Pr>
                <w:rFonts w:ascii="Times New Roman" w:hAnsi="Times New Roman"/>
                <w:sz w:val="24"/>
                <w:szCs w:val="24"/>
                <w:lang w:val="ro-RO"/>
              </w:rPr>
              <w:t>26</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BDC2F72" w14:textId="79150D1D"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În </w:t>
            </w:r>
            <w:r w:rsidRPr="00B10626">
              <w:rPr>
                <w:rFonts w:ascii="Times New Roman" w:hAnsi="Times New Roman"/>
                <w:b/>
                <w:bCs/>
                <w:sz w:val="24"/>
                <w:szCs w:val="24"/>
                <w:lang w:val="ro-MD"/>
              </w:rPr>
              <w:t>Art. 9</w:t>
            </w:r>
            <w:r w:rsidRPr="00B10626">
              <w:rPr>
                <w:rFonts w:ascii="Times New Roman" w:hAnsi="Times New Roman"/>
                <w:sz w:val="24"/>
                <w:szCs w:val="24"/>
                <w:lang w:val="ro-MD"/>
              </w:rPr>
              <w:t xml:space="preserve"> (La data intrării în vigoare a prezentei legi:                   2) se consideră nule:                                                                              </w:t>
            </w:r>
          </w:p>
          <w:p w14:paraId="2BE27FCA" w14:textId="352BC974"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b) avizele, acordurile, permisele sau autorizațiile eliberate unor terțe persoane pentru bunurile imobile expropriate):</w:t>
            </w:r>
          </w:p>
          <w:p w14:paraId="481BCF8F" w14:textId="06D77E21"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b/>
                <w:bCs/>
                <w:i/>
                <w:iCs/>
                <w:sz w:val="24"/>
                <w:szCs w:val="24"/>
                <w:lang w:val="ro-MD"/>
              </w:rPr>
            </w:pPr>
            <w:r w:rsidRPr="00B10626">
              <w:rPr>
                <w:rFonts w:ascii="Times New Roman" w:hAnsi="Times New Roman"/>
                <w:sz w:val="24"/>
                <w:szCs w:val="24"/>
                <w:lang w:val="ro-MD"/>
              </w:rPr>
              <w:t xml:space="preserve">referitor la sintagma </w:t>
            </w:r>
            <w:r w:rsidRPr="00B10626">
              <w:rPr>
                <w:rFonts w:ascii="Times New Roman" w:hAnsi="Times New Roman"/>
                <w:i/>
                <w:iCs/>
                <w:sz w:val="24"/>
                <w:szCs w:val="24"/>
                <w:lang w:val="ro-MD"/>
              </w:rPr>
              <w:t>„autorizațiile eliberate unor terțe persoane”,</w:t>
            </w:r>
            <w:r w:rsidRPr="00B10626">
              <w:rPr>
                <w:rFonts w:ascii="Times New Roman" w:hAnsi="Times New Roman"/>
                <w:sz w:val="24"/>
                <w:szCs w:val="24"/>
                <w:lang w:val="ro-MD"/>
              </w:rPr>
              <w:t xml:space="preserve"> considerăm că aceasta necesită a fi reformulată cu următorul cuprins: </w:t>
            </w:r>
            <w:r w:rsidRPr="00B10626">
              <w:rPr>
                <w:rFonts w:ascii="Times New Roman" w:hAnsi="Times New Roman"/>
                <w:i/>
                <w:iCs/>
                <w:sz w:val="24"/>
                <w:szCs w:val="24"/>
                <w:lang w:val="ro-MD"/>
              </w:rPr>
              <w:t>„</w:t>
            </w:r>
            <w:r w:rsidRPr="00B10626">
              <w:rPr>
                <w:rFonts w:ascii="Times New Roman" w:hAnsi="Times New Roman"/>
                <w:b/>
                <w:bCs/>
                <w:i/>
                <w:iCs/>
                <w:sz w:val="24"/>
                <w:szCs w:val="24"/>
                <w:lang w:val="ro-MD"/>
              </w:rPr>
              <w:t>autorizațiile, inclusiv eliberate unor terțe persoane”</w:t>
            </w:r>
            <w:r w:rsidRPr="00B10626">
              <w:rPr>
                <w:rFonts w:ascii="Times New Roman" w:hAnsi="Times New Roman"/>
                <w:sz w:val="24"/>
                <w:szCs w:val="24"/>
                <w:lang w:val="ro-MD"/>
              </w:rPr>
              <w:t>, în caz contrar, actele (autorizațiile etc) eliberate titularilor bunurilor expropriate – nu vor cădea sub interdicția prevăzută la Art. 9 alin. 2) lit. b), i.e. nu vor fi considerate nule conform scopului urmărit al normei.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8217AC6" w14:textId="3953B3F6"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MD"/>
              </w:rPr>
              <w:t>Se acceptată</w:t>
            </w:r>
            <w:r w:rsidR="00B9304C">
              <w:rPr>
                <w:rFonts w:ascii="Times New Roman" w:hAnsi="Times New Roman"/>
                <w:sz w:val="24"/>
                <w:szCs w:val="24"/>
                <w:lang w:val="ro-MD"/>
              </w:rPr>
              <w:t xml:space="preserve">. </w:t>
            </w:r>
            <w:r w:rsidRPr="00B10626">
              <w:rPr>
                <w:rFonts w:ascii="Times New Roman" w:hAnsi="Times New Roman"/>
                <w:sz w:val="24"/>
                <w:szCs w:val="24"/>
                <w:lang w:val="ro-MD"/>
              </w:rPr>
              <w:t xml:space="preserve">Problema semnalată </w:t>
            </w:r>
            <w:r w:rsidR="00B9304C">
              <w:rPr>
                <w:rFonts w:ascii="Times New Roman" w:hAnsi="Times New Roman"/>
                <w:sz w:val="24"/>
                <w:szCs w:val="24"/>
                <w:lang w:val="ro-MD"/>
              </w:rPr>
              <w:t>este</w:t>
            </w:r>
            <w:r w:rsidRPr="00B10626">
              <w:rPr>
                <w:rFonts w:ascii="Times New Roman" w:hAnsi="Times New Roman"/>
                <w:sz w:val="24"/>
                <w:szCs w:val="24"/>
                <w:lang w:val="ro-MD"/>
              </w:rPr>
              <w:t xml:space="preserve"> soluționată integral, </w:t>
            </w:r>
            <w:r w:rsidR="00B9304C">
              <w:rPr>
                <w:rFonts w:ascii="Times New Roman" w:hAnsi="Times New Roman"/>
                <w:sz w:val="24"/>
                <w:szCs w:val="24"/>
                <w:lang w:val="ro-MD"/>
              </w:rPr>
              <w:t>fiind reformulat textul articolului 9.</w:t>
            </w:r>
          </w:p>
          <w:p w14:paraId="6DF675D7" w14:textId="076FA220"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hAnsi="Times New Roman"/>
                <w:sz w:val="24"/>
                <w:szCs w:val="24"/>
                <w:lang w:val="ro-RO"/>
              </w:rPr>
              <w:t xml:space="preserve"> </w:t>
            </w:r>
          </w:p>
        </w:tc>
      </w:tr>
      <w:tr w:rsidR="00B10626" w:rsidRPr="00B10626" w14:paraId="28633649" w14:textId="77777777" w:rsidTr="00B10626">
        <w:trPr>
          <w:gridAfter w:val="3"/>
          <w:wAfter w:w="12759" w:type="dxa"/>
        </w:trPr>
        <w:tc>
          <w:tcPr>
            <w:tcW w:w="33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A21909"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tc>
        <w:tc>
          <w:tcPr>
            <w:tcW w:w="851" w:type="dxa"/>
            <w:vMerge/>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AA72B56" w14:textId="77777777" w:rsidR="00B10626" w:rsidRPr="00B10626" w:rsidRDefault="00B10626" w:rsidP="00B10626">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6610FE3" w14:textId="46E21811"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Reieșind din explicațiile autorului din sinteza la proiect, referitoare la propunerile Primăriei or. Ialoveni (aviz nr. 380 din 27.01.2026), solicităm luarea la control a următoarelor măsuri menționate, cu informarea suplimentară a Primăriei or. Ialoveni și a CALM:</w:t>
            </w:r>
          </w:p>
          <w:p w14:paraId="6E7CDE59" w14:textId="535E4921"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 xml:space="preserve">2.1. Aspectele logistice (fluxuri/distanțe) urmează a fi definitivate prin studiile de fezabilitate și deciziile de </w:t>
            </w:r>
            <w:r w:rsidRPr="00B10626">
              <w:rPr>
                <w:rFonts w:ascii="Times New Roman" w:hAnsi="Times New Roman"/>
                <w:sz w:val="24"/>
                <w:szCs w:val="24"/>
                <w:lang w:val="ro-MD"/>
              </w:rPr>
              <w:lastRenderedPageBreak/>
              <w:t>implementare ale proiectului și vor fi validate prin consultarea APL în etapa de proiectare/implementare.</w:t>
            </w:r>
          </w:p>
          <w:p w14:paraId="6A365D81" w14:textId="517DA193" w:rsidR="00B10626" w:rsidRPr="00B10626" w:rsidRDefault="00B10626" w:rsidP="00B10626">
            <w:pPr>
              <w:pBdr>
                <w:top w:val="none" w:sz="4" w:space="0" w:color="000000"/>
                <w:left w:val="none" w:sz="4" w:space="0" w:color="000000"/>
                <w:bottom w:val="none" w:sz="4" w:space="0" w:color="000000"/>
                <w:right w:val="none" w:sz="4" w:space="0" w:color="000000"/>
              </w:pBdr>
              <w:ind w:firstLine="25"/>
              <w:rPr>
                <w:rFonts w:ascii="Times New Roman" w:hAnsi="Times New Roman"/>
                <w:sz w:val="24"/>
                <w:szCs w:val="24"/>
                <w:lang w:val="ro-MD"/>
              </w:rPr>
            </w:pPr>
            <w:r w:rsidRPr="00B10626">
              <w:rPr>
                <w:rFonts w:ascii="Times New Roman" w:hAnsi="Times New Roman"/>
                <w:sz w:val="24"/>
                <w:szCs w:val="24"/>
                <w:lang w:val="ro-MD"/>
              </w:rPr>
              <w:t>2.2. Propunerea privind „Identificarea și planificarea unui punct de transfer amplasat mai aproape de orașul Ialoveni (zona metropolitană Chișinău) pentru reducerea costurilor de transport și a impactului de mediu”, va fi transmisă pentru analiză tehnico-economică în cadrul implementării proiectului.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E00D8" w14:textId="646772F1" w:rsidR="00B10626" w:rsidRPr="00B10626" w:rsidRDefault="00B10626" w:rsidP="00B106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B10626">
              <w:rPr>
                <w:rFonts w:ascii="Times New Roman" w:eastAsia="Times New Roman" w:hAnsi="Times New Roman"/>
                <w:sz w:val="24"/>
                <w:szCs w:val="24"/>
                <w:lang w:val="ro-MD"/>
              </w:rPr>
              <w:lastRenderedPageBreak/>
              <w:t>Se ia act.</w:t>
            </w:r>
          </w:p>
        </w:tc>
      </w:tr>
    </w:tbl>
    <w:p w14:paraId="7F83C380" w14:textId="37A881CE" w:rsidR="000B25CA" w:rsidRPr="00B10626" w:rsidRDefault="000B25CA" w:rsidP="000B25CA">
      <w:pPr>
        <w:pStyle w:val="Frspaiere"/>
        <w:ind w:left="1440" w:firstLine="720"/>
        <w:rPr>
          <w:sz w:val="24"/>
          <w:szCs w:val="24"/>
          <w:lang w:val="ro-RO"/>
        </w:rPr>
      </w:pPr>
    </w:p>
    <w:sectPr w:rsidR="000B25CA" w:rsidRPr="00B10626" w:rsidSect="00E33CAA">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A540" w14:textId="77777777" w:rsidR="00C11F03" w:rsidRDefault="00C11F03">
      <w:r>
        <w:separator/>
      </w:r>
    </w:p>
  </w:endnote>
  <w:endnote w:type="continuationSeparator" w:id="0">
    <w:p w14:paraId="797532EB" w14:textId="77777777" w:rsidR="00C11F03" w:rsidRDefault="00C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D4" w14:textId="77777777" w:rsidR="00C11F03" w:rsidRDefault="00C11F03">
      <w:r>
        <w:separator/>
      </w:r>
    </w:p>
  </w:footnote>
  <w:footnote w:type="continuationSeparator" w:id="0">
    <w:p w14:paraId="7822C831" w14:textId="77777777" w:rsidR="00C11F03" w:rsidRDefault="00C1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2"/>
  </w:num>
  <w:num w:numId="2" w16cid:durableId="1732539799">
    <w:abstractNumId w:val="34"/>
  </w:num>
  <w:num w:numId="3" w16cid:durableId="1513033290">
    <w:abstractNumId w:val="14"/>
  </w:num>
  <w:num w:numId="4" w16cid:durableId="1345133189">
    <w:abstractNumId w:val="27"/>
  </w:num>
  <w:num w:numId="5" w16cid:durableId="569273637">
    <w:abstractNumId w:val="16"/>
  </w:num>
  <w:num w:numId="6" w16cid:durableId="667826974">
    <w:abstractNumId w:val="11"/>
  </w:num>
  <w:num w:numId="7" w16cid:durableId="121772672">
    <w:abstractNumId w:val="5"/>
  </w:num>
  <w:num w:numId="8" w16cid:durableId="1796944669">
    <w:abstractNumId w:val="6"/>
  </w:num>
  <w:num w:numId="9" w16cid:durableId="1130976463">
    <w:abstractNumId w:val="24"/>
  </w:num>
  <w:num w:numId="10" w16cid:durableId="1520776320">
    <w:abstractNumId w:val="3"/>
  </w:num>
  <w:num w:numId="11" w16cid:durableId="1941142213">
    <w:abstractNumId w:val="23"/>
  </w:num>
  <w:num w:numId="12" w16cid:durableId="1110247989">
    <w:abstractNumId w:val="2"/>
  </w:num>
  <w:num w:numId="13" w16cid:durableId="1000541525">
    <w:abstractNumId w:val="36"/>
  </w:num>
  <w:num w:numId="14" w16cid:durableId="1453475340">
    <w:abstractNumId w:val="17"/>
  </w:num>
  <w:num w:numId="15" w16cid:durableId="178083763">
    <w:abstractNumId w:val="18"/>
  </w:num>
  <w:num w:numId="16" w16cid:durableId="1971861296">
    <w:abstractNumId w:val="31"/>
  </w:num>
  <w:num w:numId="17" w16cid:durableId="1718163806">
    <w:abstractNumId w:val="28"/>
  </w:num>
  <w:num w:numId="18" w16cid:durableId="108279463">
    <w:abstractNumId w:val="22"/>
  </w:num>
  <w:num w:numId="19" w16cid:durableId="1436708972">
    <w:abstractNumId w:val="19"/>
  </w:num>
  <w:num w:numId="20" w16cid:durableId="934636014">
    <w:abstractNumId w:val="8"/>
  </w:num>
  <w:num w:numId="21" w16cid:durableId="1469587083">
    <w:abstractNumId w:val="30"/>
  </w:num>
  <w:num w:numId="22" w16cid:durableId="291062431">
    <w:abstractNumId w:val="4"/>
  </w:num>
  <w:num w:numId="23" w16cid:durableId="845902382">
    <w:abstractNumId w:val="13"/>
  </w:num>
  <w:num w:numId="24" w16cid:durableId="1458376249">
    <w:abstractNumId w:val="10"/>
  </w:num>
  <w:num w:numId="25" w16cid:durableId="1569146970">
    <w:abstractNumId w:val="20"/>
  </w:num>
  <w:num w:numId="26" w16cid:durableId="2087921197">
    <w:abstractNumId w:val="33"/>
  </w:num>
  <w:num w:numId="27" w16cid:durableId="262111176">
    <w:abstractNumId w:val="25"/>
  </w:num>
  <w:num w:numId="28" w16cid:durableId="373386549">
    <w:abstractNumId w:val="38"/>
    <w:lvlOverride w:ilvl="0">
      <w:startOverride w:val="1"/>
    </w:lvlOverride>
  </w:num>
  <w:num w:numId="29" w16cid:durableId="1361469376">
    <w:abstractNumId w:val="21"/>
  </w:num>
  <w:num w:numId="30" w16cid:durableId="2013020055">
    <w:abstractNumId w:val="7"/>
  </w:num>
  <w:num w:numId="31" w16cid:durableId="680860804">
    <w:abstractNumId w:val="37"/>
  </w:num>
  <w:num w:numId="32" w16cid:durableId="2007904481">
    <w:abstractNumId w:val="38"/>
  </w:num>
  <w:num w:numId="33" w16cid:durableId="1354840367">
    <w:abstractNumId w:val="12"/>
  </w:num>
  <w:num w:numId="34" w16cid:durableId="12726488">
    <w:abstractNumId w:val="40"/>
  </w:num>
  <w:num w:numId="35" w16cid:durableId="933245092">
    <w:abstractNumId w:val="39"/>
  </w:num>
  <w:num w:numId="36" w16cid:durableId="1799494202">
    <w:abstractNumId w:val="0"/>
  </w:num>
  <w:num w:numId="37" w16cid:durableId="1650287813">
    <w:abstractNumId w:val="9"/>
  </w:num>
  <w:num w:numId="38" w16cid:durableId="447555402">
    <w:abstractNumId w:val="29"/>
  </w:num>
  <w:num w:numId="39" w16cid:durableId="83310918">
    <w:abstractNumId w:val="15"/>
  </w:num>
  <w:num w:numId="40" w16cid:durableId="287862591">
    <w:abstractNumId w:val="35"/>
  </w:num>
  <w:num w:numId="41" w16cid:durableId="933706732">
    <w:abstractNumId w:val="26"/>
  </w:num>
  <w:num w:numId="42" w16cid:durableId="1765689170">
    <w:abstractNumId w:val="1"/>
  </w:num>
  <w:num w:numId="43" w16cid:durableId="15285643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36E5"/>
    <w:rsid w:val="00075A5F"/>
    <w:rsid w:val="00081267"/>
    <w:rsid w:val="00085029"/>
    <w:rsid w:val="000876E2"/>
    <w:rsid w:val="00093853"/>
    <w:rsid w:val="00097F80"/>
    <w:rsid w:val="000A6AE2"/>
    <w:rsid w:val="000A6BA5"/>
    <w:rsid w:val="000B25CA"/>
    <w:rsid w:val="000B3D87"/>
    <w:rsid w:val="000B50EE"/>
    <w:rsid w:val="000C041B"/>
    <w:rsid w:val="000C2AB4"/>
    <w:rsid w:val="000C7D11"/>
    <w:rsid w:val="000D5C74"/>
    <w:rsid w:val="000E1D40"/>
    <w:rsid w:val="000E2800"/>
    <w:rsid w:val="000F497A"/>
    <w:rsid w:val="000F5979"/>
    <w:rsid w:val="001018A2"/>
    <w:rsid w:val="00102AD8"/>
    <w:rsid w:val="00113956"/>
    <w:rsid w:val="00116035"/>
    <w:rsid w:val="001211EA"/>
    <w:rsid w:val="001272A5"/>
    <w:rsid w:val="00143389"/>
    <w:rsid w:val="00143CC4"/>
    <w:rsid w:val="00144316"/>
    <w:rsid w:val="00150B0A"/>
    <w:rsid w:val="0015146D"/>
    <w:rsid w:val="00157D40"/>
    <w:rsid w:val="00162BE7"/>
    <w:rsid w:val="0017006C"/>
    <w:rsid w:val="00174E20"/>
    <w:rsid w:val="00184334"/>
    <w:rsid w:val="00185AC8"/>
    <w:rsid w:val="00191428"/>
    <w:rsid w:val="001A211C"/>
    <w:rsid w:val="001A25C3"/>
    <w:rsid w:val="001A37C7"/>
    <w:rsid w:val="001B3BE4"/>
    <w:rsid w:val="001B412E"/>
    <w:rsid w:val="001B5818"/>
    <w:rsid w:val="001B66A4"/>
    <w:rsid w:val="001B6E6E"/>
    <w:rsid w:val="001C3F21"/>
    <w:rsid w:val="001C4EEE"/>
    <w:rsid w:val="001D2745"/>
    <w:rsid w:val="001D2FA2"/>
    <w:rsid w:val="001D453D"/>
    <w:rsid w:val="001E4497"/>
    <w:rsid w:val="001F0570"/>
    <w:rsid w:val="001F2097"/>
    <w:rsid w:val="001F5AAE"/>
    <w:rsid w:val="002000EB"/>
    <w:rsid w:val="00200223"/>
    <w:rsid w:val="00200516"/>
    <w:rsid w:val="00205100"/>
    <w:rsid w:val="0020794F"/>
    <w:rsid w:val="00207F42"/>
    <w:rsid w:val="0021368F"/>
    <w:rsid w:val="002164C9"/>
    <w:rsid w:val="002170A5"/>
    <w:rsid w:val="00230761"/>
    <w:rsid w:val="002339A8"/>
    <w:rsid w:val="00236E65"/>
    <w:rsid w:val="002372B8"/>
    <w:rsid w:val="00240AC0"/>
    <w:rsid w:val="002453BD"/>
    <w:rsid w:val="00257353"/>
    <w:rsid w:val="00261EF5"/>
    <w:rsid w:val="002721D2"/>
    <w:rsid w:val="0027425A"/>
    <w:rsid w:val="002752DF"/>
    <w:rsid w:val="0028093A"/>
    <w:rsid w:val="00281C80"/>
    <w:rsid w:val="00284EAC"/>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1E24"/>
    <w:rsid w:val="00362D0C"/>
    <w:rsid w:val="0036518F"/>
    <w:rsid w:val="0036768D"/>
    <w:rsid w:val="00371F33"/>
    <w:rsid w:val="00372ED5"/>
    <w:rsid w:val="00374362"/>
    <w:rsid w:val="00377B12"/>
    <w:rsid w:val="00380147"/>
    <w:rsid w:val="00381C7D"/>
    <w:rsid w:val="00381EE3"/>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E7635"/>
    <w:rsid w:val="003F0CD8"/>
    <w:rsid w:val="003F589F"/>
    <w:rsid w:val="00402E9D"/>
    <w:rsid w:val="00405019"/>
    <w:rsid w:val="00406BA9"/>
    <w:rsid w:val="00410C9A"/>
    <w:rsid w:val="00421181"/>
    <w:rsid w:val="00421AB5"/>
    <w:rsid w:val="00424212"/>
    <w:rsid w:val="00424CF9"/>
    <w:rsid w:val="0043208D"/>
    <w:rsid w:val="004333B4"/>
    <w:rsid w:val="00434203"/>
    <w:rsid w:val="00447FE6"/>
    <w:rsid w:val="00452B4A"/>
    <w:rsid w:val="00452C3E"/>
    <w:rsid w:val="00452C6C"/>
    <w:rsid w:val="0045451B"/>
    <w:rsid w:val="00464294"/>
    <w:rsid w:val="004735CE"/>
    <w:rsid w:val="00474658"/>
    <w:rsid w:val="0047797E"/>
    <w:rsid w:val="00482164"/>
    <w:rsid w:val="00497F06"/>
    <w:rsid w:val="004A3757"/>
    <w:rsid w:val="004B1283"/>
    <w:rsid w:val="004B1BA4"/>
    <w:rsid w:val="004C6034"/>
    <w:rsid w:val="004D3941"/>
    <w:rsid w:val="004E0B6E"/>
    <w:rsid w:val="004E2421"/>
    <w:rsid w:val="004E6489"/>
    <w:rsid w:val="004E6662"/>
    <w:rsid w:val="004F0323"/>
    <w:rsid w:val="004F568A"/>
    <w:rsid w:val="005020EC"/>
    <w:rsid w:val="00516555"/>
    <w:rsid w:val="005256CF"/>
    <w:rsid w:val="0052587D"/>
    <w:rsid w:val="00542C43"/>
    <w:rsid w:val="00546A4B"/>
    <w:rsid w:val="00551299"/>
    <w:rsid w:val="00555DF5"/>
    <w:rsid w:val="00572006"/>
    <w:rsid w:val="005730F6"/>
    <w:rsid w:val="00573E74"/>
    <w:rsid w:val="0057790F"/>
    <w:rsid w:val="00582470"/>
    <w:rsid w:val="00594DE5"/>
    <w:rsid w:val="005A12D7"/>
    <w:rsid w:val="005A29D6"/>
    <w:rsid w:val="005B0C92"/>
    <w:rsid w:val="005B7E20"/>
    <w:rsid w:val="005C1D42"/>
    <w:rsid w:val="005C412B"/>
    <w:rsid w:val="005C4835"/>
    <w:rsid w:val="005C5A53"/>
    <w:rsid w:val="005C7135"/>
    <w:rsid w:val="005C7769"/>
    <w:rsid w:val="005D5F1D"/>
    <w:rsid w:val="005E2D3E"/>
    <w:rsid w:val="005E37E8"/>
    <w:rsid w:val="005F0F53"/>
    <w:rsid w:val="005F584A"/>
    <w:rsid w:val="0060625D"/>
    <w:rsid w:val="00611BAA"/>
    <w:rsid w:val="00612D18"/>
    <w:rsid w:val="00615BB7"/>
    <w:rsid w:val="00616A16"/>
    <w:rsid w:val="00621954"/>
    <w:rsid w:val="00623361"/>
    <w:rsid w:val="00624BA9"/>
    <w:rsid w:val="0062575C"/>
    <w:rsid w:val="006339EB"/>
    <w:rsid w:val="00642126"/>
    <w:rsid w:val="006522A3"/>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6E1C"/>
    <w:rsid w:val="006C40C7"/>
    <w:rsid w:val="006D3EB7"/>
    <w:rsid w:val="006D7B49"/>
    <w:rsid w:val="006E0A2E"/>
    <w:rsid w:val="006E1269"/>
    <w:rsid w:val="006E634C"/>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47A2"/>
    <w:rsid w:val="007B627D"/>
    <w:rsid w:val="007B6E7F"/>
    <w:rsid w:val="007C53A1"/>
    <w:rsid w:val="007C58BD"/>
    <w:rsid w:val="007C5D4B"/>
    <w:rsid w:val="007D00B1"/>
    <w:rsid w:val="007D0E36"/>
    <w:rsid w:val="007E3F69"/>
    <w:rsid w:val="007E7735"/>
    <w:rsid w:val="007F1254"/>
    <w:rsid w:val="007F1374"/>
    <w:rsid w:val="00800A18"/>
    <w:rsid w:val="00800EE1"/>
    <w:rsid w:val="00811CAE"/>
    <w:rsid w:val="00825DC9"/>
    <w:rsid w:val="00831DF3"/>
    <w:rsid w:val="008326E7"/>
    <w:rsid w:val="0084241F"/>
    <w:rsid w:val="00842BE1"/>
    <w:rsid w:val="0084434E"/>
    <w:rsid w:val="008506B1"/>
    <w:rsid w:val="008510CC"/>
    <w:rsid w:val="00860C47"/>
    <w:rsid w:val="00863417"/>
    <w:rsid w:val="0086343C"/>
    <w:rsid w:val="00863D76"/>
    <w:rsid w:val="0086509B"/>
    <w:rsid w:val="0087296A"/>
    <w:rsid w:val="00876262"/>
    <w:rsid w:val="0088443F"/>
    <w:rsid w:val="00891049"/>
    <w:rsid w:val="00897403"/>
    <w:rsid w:val="008A3002"/>
    <w:rsid w:val="008A40C0"/>
    <w:rsid w:val="008A5923"/>
    <w:rsid w:val="008B1120"/>
    <w:rsid w:val="008B1AA1"/>
    <w:rsid w:val="008B1BFF"/>
    <w:rsid w:val="008B4BE6"/>
    <w:rsid w:val="008C2DD5"/>
    <w:rsid w:val="008C4DB9"/>
    <w:rsid w:val="008F12A1"/>
    <w:rsid w:val="008F3624"/>
    <w:rsid w:val="008F73D1"/>
    <w:rsid w:val="009002CA"/>
    <w:rsid w:val="00903AF9"/>
    <w:rsid w:val="0090579F"/>
    <w:rsid w:val="00910F1B"/>
    <w:rsid w:val="009143C9"/>
    <w:rsid w:val="00915A40"/>
    <w:rsid w:val="009201C9"/>
    <w:rsid w:val="00930424"/>
    <w:rsid w:val="00942BCB"/>
    <w:rsid w:val="00942F03"/>
    <w:rsid w:val="00953155"/>
    <w:rsid w:val="00961B81"/>
    <w:rsid w:val="00962ED5"/>
    <w:rsid w:val="00971561"/>
    <w:rsid w:val="00971BD6"/>
    <w:rsid w:val="009761DA"/>
    <w:rsid w:val="009858FE"/>
    <w:rsid w:val="009860EA"/>
    <w:rsid w:val="00990719"/>
    <w:rsid w:val="0099315C"/>
    <w:rsid w:val="00994D4A"/>
    <w:rsid w:val="009C02E5"/>
    <w:rsid w:val="009C0E0E"/>
    <w:rsid w:val="009C26E3"/>
    <w:rsid w:val="009C5DCE"/>
    <w:rsid w:val="009C6DD1"/>
    <w:rsid w:val="009C7CD6"/>
    <w:rsid w:val="009D2789"/>
    <w:rsid w:val="009D4C0F"/>
    <w:rsid w:val="009D7C44"/>
    <w:rsid w:val="009E7B86"/>
    <w:rsid w:val="009F366D"/>
    <w:rsid w:val="009F45EC"/>
    <w:rsid w:val="00A06362"/>
    <w:rsid w:val="00A13D8B"/>
    <w:rsid w:val="00A16ECD"/>
    <w:rsid w:val="00A20785"/>
    <w:rsid w:val="00A2390C"/>
    <w:rsid w:val="00A244A2"/>
    <w:rsid w:val="00A24A81"/>
    <w:rsid w:val="00A34443"/>
    <w:rsid w:val="00A345F7"/>
    <w:rsid w:val="00A404F7"/>
    <w:rsid w:val="00A42581"/>
    <w:rsid w:val="00A43E50"/>
    <w:rsid w:val="00A51447"/>
    <w:rsid w:val="00A53F34"/>
    <w:rsid w:val="00A540EB"/>
    <w:rsid w:val="00A5539A"/>
    <w:rsid w:val="00A60B97"/>
    <w:rsid w:val="00A71E51"/>
    <w:rsid w:val="00A74FF3"/>
    <w:rsid w:val="00A764E4"/>
    <w:rsid w:val="00A77F56"/>
    <w:rsid w:val="00A903EF"/>
    <w:rsid w:val="00A9410E"/>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05EF"/>
    <w:rsid w:val="00B035BC"/>
    <w:rsid w:val="00B039D7"/>
    <w:rsid w:val="00B07F61"/>
    <w:rsid w:val="00B10626"/>
    <w:rsid w:val="00B11EFC"/>
    <w:rsid w:val="00B14919"/>
    <w:rsid w:val="00B15210"/>
    <w:rsid w:val="00B1623B"/>
    <w:rsid w:val="00B24403"/>
    <w:rsid w:val="00B25206"/>
    <w:rsid w:val="00B32239"/>
    <w:rsid w:val="00B40A69"/>
    <w:rsid w:val="00B42DDB"/>
    <w:rsid w:val="00B472D0"/>
    <w:rsid w:val="00B60060"/>
    <w:rsid w:val="00B6145A"/>
    <w:rsid w:val="00B61570"/>
    <w:rsid w:val="00B6585E"/>
    <w:rsid w:val="00B72578"/>
    <w:rsid w:val="00B744FB"/>
    <w:rsid w:val="00B84A8E"/>
    <w:rsid w:val="00B85252"/>
    <w:rsid w:val="00B92D67"/>
    <w:rsid w:val="00B9304C"/>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1F03"/>
    <w:rsid w:val="00C141D0"/>
    <w:rsid w:val="00C15903"/>
    <w:rsid w:val="00C167E5"/>
    <w:rsid w:val="00C20F98"/>
    <w:rsid w:val="00C21F77"/>
    <w:rsid w:val="00C249C9"/>
    <w:rsid w:val="00C27BEF"/>
    <w:rsid w:val="00C32A74"/>
    <w:rsid w:val="00C33BEA"/>
    <w:rsid w:val="00C424F1"/>
    <w:rsid w:val="00C4424F"/>
    <w:rsid w:val="00C445CC"/>
    <w:rsid w:val="00C4599F"/>
    <w:rsid w:val="00C45F82"/>
    <w:rsid w:val="00C475F7"/>
    <w:rsid w:val="00C53E01"/>
    <w:rsid w:val="00C7184D"/>
    <w:rsid w:val="00C812BD"/>
    <w:rsid w:val="00C81CDA"/>
    <w:rsid w:val="00C83148"/>
    <w:rsid w:val="00C846A9"/>
    <w:rsid w:val="00C87B56"/>
    <w:rsid w:val="00C97610"/>
    <w:rsid w:val="00CA2822"/>
    <w:rsid w:val="00CB128D"/>
    <w:rsid w:val="00CB6841"/>
    <w:rsid w:val="00CC7AC8"/>
    <w:rsid w:val="00CD0459"/>
    <w:rsid w:val="00CD1F68"/>
    <w:rsid w:val="00CD3E6A"/>
    <w:rsid w:val="00CD675C"/>
    <w:rsid w:val="00CE1C4A"/>
    <w:rsid w:val="00CE224F"/>
    <w:rsid w:val="00CF1BF6"/>
    <w:rsid w:val="00CF23CE"/>
    <w:rsid w:val="00CF391C"/>
    <w:rsid w:val="00CF6CCE"/>
    <w:rsid w:val="00D00C36"/>
    <w:rsid w:val="00D0145D"/>
    <w:rsid w:val="00D02424"/>
    <w:rsid w:val="00D07A16"/>
    <w:rsid w:val="00D102D3"/>
    <w:rsid w:val="00D12DE0"/>
    <w:rsid w:val="00D14E81"/>
    <w:rsid w:val="00D1647F"/>
    <w:rsid w:val="00D16C8D"/>
    <w:rsid w:val="00D16C96"/>
    <w:rsid w:val="00D20F95"/>
    <w:rsid w:val="00D26886"/>
    <w:rsid w:val="00D3779C"/>
    <w:rsid w:val="00D37DCA"/>
    <w:rsid w:val="00D54373"/>
    <w:rsid w:val="00D62225"/>
    <w:rsid w:val="00D65D20"/>
    <w:rsid w:val="00D745DA"/>
    <w:rsid w:val="00D77DA5"/>
    <w:rsid w:val="00D826AC"/>
    <w:rsid w:val="00D84420"/>
    <w:rsid w:val="00D85438"/>
    <w:rsid w:val="00D8732D"/>
    <w:rsid w:val="00D87BC6"/>
    <w:rsid w:val="00D927DB"/>
    <w:rsid w:val="00D928C8"/>
    <w:rsid w:val="00DA0D76"/>
    <w:rsid w:val="00DA1274"/>
    <w:rsid w:val="00DA133C"/>
    <w:rsid w:val="00DA2B1D"/>
    <w:rsid w:val="00DA30A3"/>
    <w:rsid w:val="00DA4A56"/>
    <w:rsid w:val="00DB147C"/>
    <w:rsid w:val="00DB7EE7"/>
    <w:rsid w:val="00DC0474"/>
    <w:rsid w:val="00DC3E82"/>
    <w:rsid w:val="00DC529B"/>
    <w:rsid w:val="00DD563C"/>
    <w:rsid w:val="00DE06EE"/>
    <w:rsid w:val="00DE0995"/>
    <w:rsid w:val="00DF0141"/>
    <w:rsid w:val="00DF0807"/>
    <w:rsid w:val="00DF513B"/>
    <w:rsid w:val="00DF71E8"/>
    <w:rsid w:val="00E01176"/>
    <w:rsid w:val="00E0352C"/>
    <w:rsid w:val="00E0573B"/>
    <w:rsid w:val="00E07BB2"/>
    <w:rsid w:val="00E11E1A"/>
    <w:rsid w:val="00E12C95"/>
    <w:rsid w:val="00E14566"/>
    <w:rsid w:val="00E14911"/>
    <w:rsid w:val="00E22660"/>
    <w:rsid w:val="00E232E0"/>
    <w:rsid w:val="00E23A5B"/>
    <w:rsid w:val="00E3030C"/>
    <w:rsid w:val="00E32EAF"/>
    <w:rsid w:val="00E33CAA"/>
    <w:rsid w:val="00E34BF8"/>
    <w:rsid w:val="00E44F7F"/>
    <w:rsid w:val="00E50CC8"/>
    <w:rsid w:val="00E51FE8"/>
    <w:rsid w:val="00E5244F"/>
    <w:rsid w:val="00E55990"/>
    <w:rsid w:val="00E55E57"/>
    <w:rsid w:val="00E56249"/>
    <w:rsid w:val="00E61A1B"/>
    <w:rsid w:val="00E67ACE"/>
    <w:rsid w:val="00E67BA7"/>
    <w:rsid w:val="00E70C67"/>
    <w:rsid w:val="00E71D04"/>
    <w:rsid w:val="00E757FD"/>
    <w:rsid w:val="00E84140"/>
    <w:rsid w:val="00E93D69"/>
    <w:rsid w:val="00E94FA8"/>
    <w:rsid w:val="00E95398"/>
    <w:rsid w:val="00EB4C72"/>
    <w:rsid w:val="00EB4FD7"/>
    <w:rsid w:val="00EC4907"/>
    <w:rsid w:val="00EC564B"/>
    <w:rsid w:val="00EC6F58"/>
    <w:rsid w:val="00ED4634"/>
    <w:rsid w:val="00ED7CB3"/>
    <w:rsid w:val="00EE1123"/>
    <w:rsid w:val="00EE1706"/>
    <w:rsid w:val="00EE3A4F"/>
    <w:rsid w:val="00EF0C91"/>
    <w:rsid w:val="00EF2660"/>
    <w:rsid w:val="00EF26A2"/>
    <w:rsid w:val="00F00DB8"/>
    <w:rsid w:val="00F06892"/>
    <w:rsid w:val="00F1668A"/>
    <w:rsid w:val="00F269DE"/>
    <w:rsid w:val="00F26A4B"/>
    <w:rsid w:val="00F31636"/>
    <w:rsid w:val="00F376E3"/>
    <w:rsid w:val="00F37ED4"/>
    <w:rsid w:val="00F40A46"/>
    <w:rsid w:val="00F41D12"/>
    <w:rsid w:val="00F45235"/>
    <w:rsid w:val="00F501FF"/>
    <w:rsid w:val="00F50B3C"/>
    <w:rsid w:val="00F5592A"/>
    <w:rsid w:val="00F57E9D"/>
    <w:rsid w:val="00F66E1A"/>
    <w:rsid w:val="00F71EBB"/>
    <w:rsid w:val="00F728DA"/>
    <w:rsid w:val="00F8554D"/>
    <w:rsid w:val="00FA3686"/>
    <w:rsid w:val="00FB4E60"/>
    <w:rsid w:val="00FC4ACC"/>
    <w:rsid w:val="00FD0892"/>
    <w:rsid w:val="00FD6782"/>
    <w:rsid w:val="00FE32EA"/>
    <w:rsid w:val="00FF3986"/>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fontstyle01">
    <w:name w:val="fontstyle01"/>
    <w:basedOn w:val="Fontdeparagrafimplicit"/>
    <w:rsid w:val="006E634C"/>
    <w:rPr>
      <w:rFonts w:ascii="TimesNewRomanPSMT" w:hAnsi="TimesNewRomanPSMT" w:hint="default"/>
      <w:b w:val="0"/>
      <w:bCs w:val="0"/>
      <w:i w:val="0"/>
      <w:iCs w:val="0"/>
      <w:color w:val="000000"/>
      <w:sz w:val="28"/>
      <w:szCs w:val="28"/>
    </w:rPr>
  </w:style>
  <w:style w:type="character" w:customStyle="1" w:styleId="fontstyle21">
    <w:name w:val="fontstyle21"/>
    <w:basedOn w:val="Fontdeparagrafimplicit"/>
    <w:rsid w:val="006E634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2851</Words>
  <Characters>16541</Characters>
  <Application>Microsoft Office Word</Application>
  <DocSecurity>0</DocSecurity>
  <Lines>137</Lines>
  <Paragraphs>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38</cp:revision>
  <cp:lastPrinted>2026-03-16T14:57:00Z</cp:lastPrinted>
  <dcterms:created xsi:type="dcterms:W3CDTF">2026-03-05T13:37:00Z</dcterms:created>
  <dcterms:modified xsi:type="dcterms:W3CDTF">2026-04-08T06:45:00Z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