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43972" w14:textId="77777777" w:rsidR="000B3417" w:rsidRPr="00882F72" w:rsidRDefault="000B3417" w:rsidP="000B3417">
      <w:pPr>
        <w:spacing w:after="0" w:line="259" w:lineRule="auto"/>
        <w:jc w:val="center"/>
        <w:rPr>
          <w:rFonts w:ascii="Times New Roman" w:eastAsia="Calibri" w:hAnsi="Times New Roman" w:cs="Times New Roman"/>
          <w:b/>
          <w:bCs/>
          <w:kern w:val="0"/>
          <w:sz w:val="22"/>
          <w:szCs w:val="22"/>
          <w14:ligatures w14:val="none"/>
        </w:rPr>
      </w:pPr>
      <w:r w:rsidRPr="00882F72">
        <w:rPr>
          <w:rFonts w:ascii="Times New Roman" w:eastAsia="Calibri" w:hAnsi="Times New Roman" w:cs="Times New Roman"/>
          <w:b/>
          <w:bCs/>
          <w:kern w:val="0"/>
          <w:sz w:val="22"/>
          <w:szCs w:val="22"/>
          <w14:ligatures w14:val="none"/>
        </w:rPr>
        <w:t>SINTEZA</w:t>
      </w:r>
    </w:p>
    <w:p w14:paraId="50DC9318" w14:textId="14D0BC44" w:rsidR="000B3417" w:rsidRPr="00882F72" w:rsidRDefault="000B3417" w:rsidP="000B3417">
      <w:pPr>
        <w:spacing w:after="0" w:line="259" w:lineRule="auto"/>
        <w:jc w:val="center"/>
        <w:rPr>
          <w:rFonts w:ascii="Times New Roman" w:eastAsia="Calibri" w:hAnsi="Times New Roman" w:cs="Times New Roman"/>
          <w:b/>
          <w:bCs/>
          <w:kern w:val="0"/>
          <w:sz w:val="22"/>
          <w:szCs w:val="22"/>
          <w14:ligatures w14:val="none"/>
        </w:rPr>
      </w:pPr>
      <w:r w:rsidRPr="00882F72">
        <w:rPr>
          <w:rFonts w:ascii="Times New Roman" w:eastAsia="Calibri" w:hAnsi="Times New Roman" w:cs="Times New Roman"/>
          <w:b/>
          <w:bCs/>
          <w:kern w:val="0"/>
          <w:sz w:val="22"/>
          <w:szCs w:val="22"/>
          <w14:ligatures w14:val="none"/>
        </w:rPr>
        <w:t>obiecțiilor și propunerilor/recomandărilor la proiectul hotărârii de Guvern</w:t>
      </w:r>
    </w:p>
    <w:p w14:paraId="74BCF628" w14:textId="77777777" w:rsidR="004A7B6B" w:rsidRPr="004A7B6B" w:rsidRDefault="004A7B6B" w:rsidP="004A7B6B">
      <w:pPr>
        <w:spacing w:after="0" w:line="259" w:lineRule="auto"/>
        <w:jc w:val="center"/>
        <w:rPr>
          <w:rFonts w:ascii="Times New Roman" w:eastAsia="Calibri" w:hAnsi="Times New Roman" w:cs="Times New Roman"/>
          <w:b/>
          <w:bCs/>
          <w:kern w:val="0"/>
          <w:sz w:val="22"/>
          <w:szCs w:val="22"/>
          <w:lang w:val="ro-RO"/>
          <w14:ligatures w14:val="none"/>
        </w:rPr>
      </w:pPr>
      <w:r w:rsidRPr="004A7B6B">
        <w:rPr>
          <w:rFonts w:ascii="Times New Roman" w:eastAsia="Calibri" w:hAnsi="Times New Roman" w:cs="Times New Roman"/>
          <w:b/>
          <w:bCs/>
          <w:kern w:val="0"/>
          <w:sz w:val="22"/>
          <w:szCs w:val="22"/>
          <w:lang w:val="ro-RO"/>
          <w14:ligatures w14:val="none"/>
        </w:rPr>
        <w:t>privind Taxonomia pentru finanțare durabilă</w:t>
      </w:r>
    </w:p>
    <w:tbl>
      <w:tblPr>
        <w:tblStyle w:val="TableGrid"/>
        <w:tblW w:w="5306" w:type="pct"/>
        <w:tblInd w:w="-289" w:type="dxa"/>
        <w:tblLook w:val="04A0" w:firstRow="1" w:lastRow="0" w:firstColumn="1" w:lastColumn="0" w:noHBand="0" w:noVBand="1"/>
      </w:tblPr>
      <w:tblGrid>
        <w:gridCol w:w="2464"/>
        <w:gridCol w:w="741"/>
        <w:gridCol w:w="7740"/>
        <w:gridCol w:w="4506"/>
      </w:tblGrid>
      <w:tr w:rsidR="00EB0784" w:rsidRPr="00882F72" w14:paraId="725AD383" w14:textId="77777777" w:rsidTr="00F968A9">
        <w:tc>
          <w:tcPr>
            <w:tcW w:w="797" w:type="pct"/>
          </w:tcPr>
          <w:p w14:paraId="10A36AF7" w14:textId="46D112FD" w:rsidR="00EB0784" w:rsidRPr="00882F72" w:rsidRDefault="00EB0784" w:rsidP="004248AF">
            <w:pPr>
              <w:tabs>
                <w:tab w:val="left" w:pos="355"/>
              </w:tabs>
              <w:jc w:val="center"/>
              <w:rPr>
                <w:rFonts w:ascii="Times New Roman" w:eastAsia="Calibri" w:hAnsi="Times New Roman" w:cs="Times New Roman"/>
                <w:b/>
                <w:bCs/>
              </w:rPr>
            </w:pPr>
            <w:r w:rsidRPr="00882F72">
              <w:rPr>
                <w:rFonts w:ascii="Times New Roman" w:eastAsia="Calibri" w:hAnsi="Times New Roman" w:cs="Times New Roman"/>
                <w:b/>
                <w:bCs/>
              </w:rPr>
              <w:t>Participantul la avizare (expertizare)/consultare publică</w:t>
            </w:r>
          </w:p>
        </w:tc>
        <w:tc>
          <w:tcPr>
            <w:tcW w:w="240" w:type="pct"/>
          </w:tcPr>
          <w:p w14:paraId="62C0A4F8" w14:textId="77777777" w:rsidR="00EB0784" w:rsidRPr="00882F72" w:rsidRDefault="00EB0784" w:rsidP="000B3417">
            <w:pPr>
              <w:jc w:val="center"/>
              <w:rPr>
                <w:rFonts w:ascii="Times New Roman" w:eastAsia="Calibri" w:hAnsi="Times New Roman" w:cs="Times New Roman"/>
                <w:b/>
                <w:bCs/>
                <w:noProof/>
              </w:rPr>
            </w:pPr>
          </w:p>
        </w:tc>
        <w:tc>
          <w:tcPr>
            <w:tcW w:w="2505" w:type="pct"/>
          </w:tcPr>
          <w:p w14:paraId="684B4BA3" w14:textId="0A470CBF" w:rsidR="00EB0784" w:rsidRPr="00882F72" w:rsidRDefault="00EB0784" w:rsidP="00AC5A28">
            <w:pPr>
              <w:jc w:val="center"/>
              <w:rPr>
                <w:rFonts w:ascii="Times New Roman" w:eastAsia="Calibri" w:hAnsi="Times New Roman" w:cs="Times New Roman"/>
                <w:b/>
                <w:bCs/>
                <w:noProof/>
              </w:rPr>
            </w:pPr>
            <w:r w:rsidRPr="00882F72">
              <w:rPr>
                <w:rFonts w:ascii="Times New Roman" w:eastAsia="Calibri" w:hAnsi="Times New Roman" w:cs="Times New Roman"/>
                <w:b/>
                <w:bCs/>
                <w:noProof/>
              </w:rPr>
              <w:t>Conţinutul obiecţiei/ propunerii/recomandării</w:t>
            </w:r>
          </w:p>
        </w:tc>
        <w:tc>
          <w:tcPr>
            <w:tcW w:w="1458" w:type="pct"/>
          </w:tcPr>
          <w:p w14:paraId="2BA1981D" w14:textId="7F756658" w:rsidR="00EB0784" w:rsidRPr="00882F72" w:rsidRDefault="00EB0784" w:rsidP="000B3417">
            <w:pPr>
              <w:jc w:val="center"/>
              <w:rPr>
                <w:rFonts w:ascii="Times New Roman" w:eastAsia="Calibri" w:hAnsi="Times New Roman" w:cs="Times New Roman"/>
                <w:b/>
                <w:bCs/>
              </w:rPr>
            </w:pPr>
            <w:r w:rsidRPr="00882F72">
              <w:rPr>
                <w:rFonts w:ascii="Times New Roman" w:eastAsia="Calibri" w:hAnsi="Times New Roman" w:cs="Times New Roman"/>
                <w:b/>
                <w:bCs/>
              </w:rPr>
              <w:t>Argumentarea autorului proiectului</w:t>
            </w:r>
          </w:p>
        </w:tc>
      </w:tr>
      <w:tr w:rsidR="008F08AE" w:rsidRPr="00882F72" w14:paraId="724A4FEA" w14:textId="77777777" w:rsidTr="008F08AE">
        <w:tc>
          <w:tcPr>
            <w:tcW w:w="5000" w:type="pct"/>
            <w:gridSpan w:val="4"/>
            <w:shd w:val="clear" w:color="auto" w:fill="D1D1D1" w:themeFill="background2" w:themeFillShade="E6"/>
          </w:tcPr>
          <w:p w14:paraId="1F1135D1" w14:textId="08C1E877" w:rsidR="008F08AE" w:rsidRPr="00882F72" w:rsidRDefault="008F08AE" w:rsidP="000B3417">
            <w:pPr>
              <w:jc w:val="center"/>
              <w:rPr>
                <w:rFonts w:ascii="Times New Roman" w:eastAsia="Calibri" w:hAnsi="Times New Roman" w:cs="Times New Roman"/>
                <w:b/>
                <w:bCs/>
              </w:rPr>
            </w:pPr>
            <w:r w:rsidRPr="00AC5A28">
              <w:rPr>
                <w:rFonts w:ascii="Times New Roman" w:eastAsia="Times New Roman" w:hAnsi="Times New Roman"/>
                <w:b/>
                <w:i/>
                <w:lang w:val="ro-RO"/>
              </w:rPr>
              <w:t xml:space="preserve">Avizare </w:t>
            </w:r>
            <w:r w:rsidRPr="00AC5A28">
              <w:rPr>
                <w:rFonts w:ascii="Times New Roman" w:hAnsi="Times New Roman"/>
                <w:b/>
                <w:i/>
                <w:lang w:val="ro-RO"/>
              </w:rPr>
              <w:t>și consultare publică</w:t>
            </w:r>
          </w:p>
        </w:tc>
      </w:tr>
      <w:tr w:rsidR="008F08AE" w:rsidRPr="00882F72" w14:paraId="3134B79F" w14:textId="77777777" w:rsidTr="00F968A9">
        <w:tc>
          <w:tcPr>
            <w:tcW w:w="797" w:type="pct"/>
            <w:vMerge w:val="restart"/>
          </w:tcPr>
          <w:p w14:paraId="4AD249AF" w14:textId="73A1D418" w:rsidR="008F08AE" w:rsidRPr="00CD79F0" w:rsidRDefault="008F08AE" w:rsidP="00CD79F0">
            <w:pPr>
              <w:tabs>
                <w:tab w:val="left" w:pos="355"/>
              </w:tabs>
              <w:rPr>
                <w:rFonts w:ascii="Times New Roman" w:eastAsia="Calibri" w:hAnsi="Times New Roman" w:cs="Times New Roman"/>
                <w:b/>
                <w:bCs/>
              </w:rPr>
            </w:pPr>
            <w:r w:rsidRPr="00CD79F0">
              <w:rPr>
                <w:rFonts w:ascii="Times New Roman" w:eastAsia="Calibri" w:hAnsi="Times New Roman" w:cs="Times New Roman"/>
                <w:b/>
                <w:bCs/>
              </w:rPr>
              <w:t>Asociația Băncilor din Moldova</w:t>
            </w:r>
          </w:p>
          <w:p w14:paraId="00618FA7" w14:textId="77777777" w:rsidR="008F08AE" w:rsidRPr="00882F72" w:rsidRDefault="008F08AE" w:rsidP="00DC031E">
            <w:pPr>
              <w:tabs>
                <w:tab w:val="left" w:pos="355"/>
              </w:tabs>
              <w:rPr>
                <w:rFonts w:ascii="Times New Roman" w:eastAsia="Calibri" w:hAnsi="Times New Roman" w:cs="Times New Roman"/>
              </w:rPr>
            </w:pPr>
          </w:p>
          <w:p w14:paraId="232B8B3E" w14:textId="62364514" w:rsidR="008F08AE" w:rsidRPr="00DC031E" w:rsidRDefault="008F08AE" w:rsidP="00DC031E">
            <w:pPr>
              <w:tabs>
                <w:tab w:val="left" w:pos="355"/>
              </w:tabs>
              <w:rPr>
                <w:rFonts w:ascii="Times New Roman" w:eastAsia="Calibri" w:hAnsi="Times New Roman" w:cs="Times New Roman"/>
                <w:b/>
                <w:bCs/>
              </w:rPr>
            </w:pPr>
            <w:r w:rsidRPr="00882F72">
              <w:rPr>
                <w:rFonts w:ascii="Times New Roman" w:eastAsia="Calibri" w:hAnsi="Times New Roman" w:cs="Times New Roman"/>
              </w:rPr>
              <w:t xml:space="preserve">nr. </w:t>
            </w:r>
            <w:r>
              <w:rPr>
                <w:rFonts w:ascii="Times New Roman" w:eastAsia="Calibri" w:hAnsi="Times New Roman" w:cs="Times New Roman"/>
              </w:rPr>
              <w:t>02-07/47 din 5 martie 2026</w:t>
            </w:r>
          </w:p>
        </w:tc>
        <w:tc>
          <w:tcPr>
            <w:tcW w:w="240" w:type="pct"/>
          </w:tcPr>
          <w:p w14:paraId="5D2EEF6A" w14:textId="77777777" w:rsidR="008F08AE" w:rsidRDefault="008F08AE">
            <w:pPr>
              <w:pStyle w:val="ListParagraph"/>
              <w:numPr>
                <w:ilvl w:val="0"/>
                <w:numId w:val="6"/>
              </w:numPr>
              <w:ind w:left="256" w:hanging="256"/>
              <w:rPr>
                <w:rFonts w:ascii="Times New Roman" w:eastAsia="Times New Roman" w:hAnsi="Times New Roman"/>
                <w:lang w:val="ro-RO"/>
              </w:rPr>
            </w:pPr>
          </w:p>
        </w:tc>
        <w:tc>
          <w:tcPr>
            <w:tcW w:w="2505" w:type="pct"/>
          </w:tcPr>
          <w:p w14:paraId="5889931A" w14:textId="155AF328"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Pentru asigurarea unei aplicări coerente și unitare, considerăm necesară completarea proiectului cu un set clar de definiții aplicabile domeniului financiar. În mod special, se impune definirea expresă a conceptelor de finanțare durabilă, împrumuturi verzi, obligațiuni verzi, active verzi și durabilitatea portofoliului de credite. De asemenea, este necesară precizarea noțiunii de „fonduri axate pe active verzi”, inclusiv criteriile în baza cărora un fond poate fi calificat astfel și ponderea minimă a activelor verzi din portofoliu. </w:t>
            </w:r>
          </w:p>
        </w:tc>
        <w:tc>
          <w:tcPr>
            <w:tcW w:w="1458" w:type="pct"/>
          </w:tcPr>
          <w:p w14:paraId="39E22F9C" w14:textId="4FD597B4" w:rsidR="008F08AE" w:rsidRPr="00BF19E3" w:rsidRDefault="008F08AE" w:rsidP="008311F2">
            <w:pPr>
              <w:rPr>
                <w:rFonts w:ascii="Times New Roman" w:hAnsi="Times New Roman" w:cs="Times New Roman"/>
                <w:b/>
                <w:bCs/>
              </w:rPr>
            </w:pPr>
            <w:r w:rsidRPr="00BF19E3">
              <w:rPr>
                <w:rFonts w:ascii="Times New Roman" w:hAnsi="Times New Roman" w:cs="Times New Roman"/>
                <w:b/>
                <w:bCs/>
              </w:rPr>
              <w:t xml:space="preserve">Se </w:t>
            </w:r>
            <w:r>
              <w:rPr>
                <w:rFonts w:ascii="Times New Roman" w:hAnsi="Times New Roman" w:cs="Times New Roman"/>
                <w:b/>
                <w:bCs/>
              </w:rPr>
              <w:t>acceptă parțial</w:t>
            </w:r>
          </w:p>
          <w:p w14:paraId="089E7589" w14:textId="47E6C34F" w:rsidR="008F08AE" w:rsidRDefault="008F08AE" w:rsidP="00AC5A28">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Prevederi specifice sectorului financiar, precum instrumente financiare verzi urmează a fi stabilite și prevăzute ulterior aprobării proiectului dat, prin acte normative ale regulatorilor sectorului financiar (Banca Națională a Moldovei și Comisia Națională a Pieței Financiare), acestea fiind cu aplicabilitate dedicată expres participanților pieței financiare. </w:t>
            </w:r>
          </w:p>
          <w:p w14:paraId="30DD3486" w14:textId="4CC77329" w:rsidR="008F08AE" w:rsidRPr="00BF60DC" w:rsidRDefault="008F08AE" w:rsidP="00186A9C">
            <w:pPr>
              <w:jc w:val="both"/>
              <w:rPr>
                <w:rFonts w:ascii="Times New Roman" w:eastAsia="Calibri" w:hAnsi="Times New Roman" w:cs="Times New Roman"/>
                <w:b/>
                <w:bCs/>
              </w:rPr>
            </w:pPr>
            <w:r>
              <w:rPr>
                <w:rFonts w:ascii="Times New Roman" w:hAnsi="Times New Roman" w:cs="Times New Roman"/>
              </w:rPr>
              <w:t>În aceeași ordine de idei, cu referire la noțiunile „împrumuturi verzi”, „obligațiuni verzi”, remarcăm că potrivit angajamentelor asumate la Capitolul 9 „Servicii financiare”, autoritățile urmează să alinieze legislația națională la normele și prevederile reglementărilor UE în materie de „</w:t>
            </w:r>
            <w:proofErr w:type="spellStart"/>
            <w:r>
              <w:rPr>
                <w:rFonts w:ascii="Times New Roman" w:hAnsi="Times New Roman" w:cs="Times New Roman"/>
              </w:rPr>
              <w:t>green</w:t>
            </w:r>
            <w:proofErr w:type="spellEnd"/>
            <w:r>
              <w:rPr>
                <w:rFonts w:ascii="Times New Roman" w:hAnsi="Times New Roman" w:cs="Times New Roman"/>
              </w:rPr>
              <w:t xml:space="preserve"> </w:t>
            </w:r>
            <w:proofErr w:type="spellStart"/>
            <w:r>
              <w:rPr>
                <w:rFonts w:ascii="Times New Roman" w:hAnsi="Times New Roman" w:cs="Times New Roman"/>
              </w:rPr>
              <w:t>bonds</w:t>
            </w:r>
            <w:proofErr w:type="spellEnd"/>
            <w:r>
              <w:rPr>
                <w:rFonts w:ascii="Times New Roman" w:hAnsi="Times New Roman" w:cs="Times New Roman"/>
              </w:rPr>
              <w:t xml:space="preserve">”, definirea terminologiei specifice „finanțelor verzi” urmând să constituie obiect de reglementare al respectivului proiect de act normativ. </w:t>
            </w:r>
          </w:p>
        </w:tc>
      </w:tr>
      <w:tr w:rsidR="008F08AE" w:rsidRPr="00882F72" w14:paraId="5159ED07" w14:textId="77777777" w:rsidTr="00F968A9">
        <w:tc>
          <w:tcPr>
            <w:tcW w:w="797" w:type="pct"/>
            <w:vMerge/>
          </w:tcPr>
          <w:p w14:paraId="5D29D61C"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5CD59770" w14:textId="77777777" w:rsidR="008F08AE" w:rsidRPr="00DC031E" w:rsidRDefault="008F08AE">
            <w:pPr>
              <w:pStyle w:val="ListParagraph"/>
              <w:numPr>
                <w:ilvl w:val="0"/>
                <w:numId w:val="6"/>
              </w:numPr>
              <w:ind w:left="256" w:hanging="256"/>
              <w:rPr>
                <w:rFonts w:ascii="Times New Roman" w:eastAsia="Times New Roman" w:hAnsi="Times New Roman"/>
                <w:lang w:val="ro-RO"/>
              </w:rPr>
            </w:pPr>
          </w:p>
        </w:tc>
        <w:tc>
          <w:tcPr>
            <w:tcW w:w="2505" w:type="pct"/>
          </w:tcPr>
          <w:p w14:paraId="2907CAD6" w14:textId="6CA3A3F3"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În ceea ce privește aplicarea cerințelor taxonomiei la nivelul entităților economice, nu este suficient de clar dacă acestea vor fi aplicate uniform întreprinderilor mari, IMM-urilor și întreprinderilor individuale. Considerăm esențială stabilirea unor criterii diferențiate și proporționale, care să țină cont de dimensiunea și capacitatea administrativă a fiecărei categorii de entități, pentru a evita crearea unor sarcini disproporționate pentru IMM-uri. </w:t>
            </w:r>
          </w:p>
        </w:tc>
        <w:tc>
          <w:tcPr>
            <w:tcW w:w="1458" w:type="pct"/>
          </w:tcPr>
          <w:p w14:paraId="40CFF80B" w14:textId="77777777" w:rsidR="008F08AE" w:rsidRDefault="008F08AE" w:rsidP="00186A9C">
            <w:pPr>
              <w:rPr>
                <w:rFonts w:ascii="Times New Roman" w:eastAsia="Calibri" w:hAnsi="Times New Roman" w:cs="Times New Roman"/>
                <w:b/>
                <w:bCs/>
              </w:rPr>
            </w:pPr>
            <w:r>
              <w:rPr>
                <w:rFonts w:ascii="Times New Roman" w:eastAsia="Calibri" w:hAnsi="Times New Roman" w:cs="Times New Roman"/>
                <w:b/>
                <w:bCs/>
              </w:rPr>
              <w:t>Se acceptă parțial.</w:t>
            </w:r>
          </w:p>
          <w:p w14:paraId="2AFD4557" w14:textId="11FC078B" w:rsidR="008F08AE" w:rsidRPr="00186A9C" w:rsidRDefault="008F08AE" w:rsidP="00AE0F57">
            <w:pPr>
              <w:jc w:val="both"/>
              <w:rPr>
                <w:rFonts w:ascii="Times New Roman" w:eastAsia="Calibri" w:hAnsi="Times New Roman" w:cs="Times New Roman"/>
                <w:bCs/>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acesta oferind oportunitatea de aplicare de către entitățile comerciale ce doresc să implementeze aspecte de durabilitate în activitatea sa. În partea ce ține de categoriile de entități ce vor fi obligate să aplice prevederile Taxonomiei, acestea vor fi stabilite prin proiectul de Lege de modificare a </w:t>
            </w:r>
            <w:r>
              <w:rPr>
                <w:rFonts w:ascii="Times New Roman" w:hAnsi="Times New Roman" w:cs="Times New Roman"/>
              </w:rPr>
              <w:lastRenderedPageBreak/>
              <w:t xml:space="preserve">Legii contabilității și raportării financiare nr.287/2017, menit să transpună modificările operate la Directiva 2013/34 prin Directiva 2022/2464 în ceea ce privește raportarea privind durabilitatea  de către întreprinderi.  </w:t>
            </w:r>
          </w:p>
        </w:tc>
      </w:tr>
      <w:tr w:rsidR="008F08AE" w:rsidRPr="00882F72" w14:paraId="4655692E" w14:textId="77777777" w:rsidTr="00F968A9">
        <w:tc>
          <w:tcPr>
            <w:tcW w:w="797" w:type="pct"/>
            <w:vMerge/>
          </w:tcPr>
          <w:p w14:paraId="32CA07B8"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1AB497F9" w14:textId="77777777" w:rsidR="008F08AE" w:rsidRPr="00DC031E" w:rsidRDefault="008F08AE">
            <w:pPr>
              <w:numPr>
                <w:ilvl w:val="0"/>
                <w:numId w:val="6"/>
              </w:numPr>
              <w:ind w:left="256" w:hanging="294"/>
              <w:rPr>
                <w:rFonts w:ascii="Times New Roman" w:eastAsia="Times New Roman" w:hAnsi="Times New Roman"/>
                <w:lang w:val="ro-RO"/>
              </w:rPr>
            </w:pPr>
          </w:p>
        </w:tc>
        <w:tc>
          <w:tcPr>
            <w:tcW w:w="2505" w:type="pct"/>
          </w:tcPr>
          <w:p w14:paraId="0B96EED8" w14:textId="091F8EC4" w:rsidR="008F08AE" w:rsidRPr="00DC031E" w:rsidRDefault="008F08AE" w:rsidP="00AC5A28">
            <w:pPr>
              <w:ind w:left="-38"/>
              <w:jc w:val="both"/>
              <w:rPr>
                <w:rFonts w:ascii="Times New Roman" w:eastAsia="Times New Roman" w:hAnsi="Times New Roman"/>
                <w:lang w:val="ro-RO"/>
              </w:rPr>
            </w:pPr>
            <w:r w:rsidRPr="00DC031E">
              <w:rPr>
                <w:rFonts w:ascii="Times New Roman" w:eastAsia="Times New Roman" w:hAnsi="Times New Roman"/>
                <w:lang w:val="ro-RO"/>
              </w:rPr>
              <w:t xml:space="preserve">Proiectul utilizează noțiunea de „companii mari cu interes public”, însă nu oferă o definiție clară a acestei categorii, nu indică lista entităților vizate și nu precizează în mod expres dacă obligațiile de raportare conform taxonomiei se vor aplica exclusiv acestora sau și altor categorii de entități. În absența acestor clarificări, instituțiile de credit nu pot anticipa în mod realist nivelul și tipul documentației care va fi disponibil din partea clienților, ceea ce afectează planificarea proceselor interne de evaluare și raportare. </w:t>
            </w:r>
          </w:p>
        </w:tc>
        <w:tc>
          <w:tcPr>
            <w:tcW w:w="1458" w:type="pct"/>
          </w:tcPr>
          <w:p w14:paraId="096D180B" w14:textId="47320EFB" w:rsidR="008F08AE" w:rsidRPr="00BF19E3" w:rsidRDefault="008F08AE" w:rsidP="00BF19E3">
            <w:pPr>
              <w:rPr>
                <w:rFonts w:ascii="Times New Roman" w:hAnsi="Times New Roman" w:cs="Times New Roman"/>
                <w:b/>
                <w:bCs/>
              </w:rPr>
            </w:pPr>
            <w:r w:rsidRPr="00BF19E3">
              <w:rPr>
                <w:rFonts w:ascii="Times New Roman" w:hAnsi="Times New Roman" w:cs="Times New Roman"/>
                <w:b/>
                <w:bCs/>
              </w:rPr>
              <w:t xml:space="preserve">Se </w:t>
            </w:r>
            <w:r>
              <w:rPr>
                <w:rFonts w:ascii="Times New Roman" w:hAnsi="Times New Roman" w:cs="Times New Roman"/>
                <w:b/>
                <w:bCs/>
              </w:rPr>
              <w:t>acceptă parțial</w:t>
            </w:r>
          </w:p>
          <w:p w14:paraId="716A2FCA" w14:textId="11048BEC" w:rsidR="008F08AE" w:rsidRPr="00D3102B" w:rsidRDefault="008F08AE" w:rsidP="00AE0F57">
            <w:pPr>
              <w:jc w:val="both"/>
              <w:rPr>
                <w:rFonts w:ascii="Times New Roman" w:hAnsi="Times New Roman" w:cs="Times New Roman"/>
              </w:rPr>
            </w:pPr>
            <w:r w:rsidRPr="00D3102B">
              <w:rPr>
                <w:rFonts w:ascii="Times New Roman" w:hAnsi="Times New Roman" w:cs="Times New Roman"/>
              </w:rPr>
              <w:t>Noțiunea de „companii mari cu interes public” nu se regăsește în conținutul proiectului sau în materialele aferente acestuia.</w:t>
            </w:r>
          </w:p>
          <w:p w14:paraId="38559582" w14:textId="16A8900F" w:rsidR="008F08AE" w:rsidRPr="00882F72" w:rsidRDefault="008F08AE" w:rsidP="00D3102B">
            <w:pPr>
              <w:jc w:val="both"/>
              <w:rPr>
                <w:rFonts w:ascii="Times New Roman" w:eastAsia="Calibri" w:hAnsi="Times New Roman" w:cs="Times New Roman"/>
                <w:b/>
                <w:bCs/>
              </w:rPr>
            </w:pPr>
            <w:r w:rsidRPr="00D3102B">
              <w:rPr>
                <w:rFonts w:ascii="Times New Roman" w:hAnsi="Times New Roman" w:cs="Times New Roman"/>
              </w:rPr>
              <w:t>Capitolul II „Domeniul de aplicare al taxonomiei” prevede categoriile și tipurile de entități ce pot aplica prevederile Taxonomiei, noțiunile în cauză fiind în conformitate cu terminologia de specialitate prevăzută de cadrul legal.</w:t>
            </w:r>
          </w:p>
        </w:tc>
      </w:tr>
      <w:tr w:rsidR="008F08AE" w:rsidRPr="00882F72" w14:paraId="43ADB675" w14:textId="77777777" w:rsidTr="00F968A9">
        <w:tc>
          <w:tcPr>
            <w:tcW w:w="797" w:type="pct"/>
            <w:vMerge/>
          </w:tcPr>
          <w:p w14:paraId="193C6EBA"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5EB135DF" w14:textId="77777777" w:rsidR="008F08AE" w:rsidRPr="00DC031E" w:rsidRDefault="008F08AE">
            <w:pPr>
              <w:pStyle w:val="ListParagraph"/>
              <w:numPr>
                <w:ilvl w:val="0"/>
                <w:numId w:val="6"/>
              </w:numPr>
              <w:ind w:left="256" w:hanging="256"/>
              <w:rPr>
                <w:rFonts w:ascii="Times New Roman" w:eastAsia="Times New Roman" w:hAnsi="Times New Roman"/>
                <w:lang w:val="ro-RO"/>
              </w:rPr>
            </w:pPr>
          </w:p>
        </w:tc>
        <w:tc>
          <w:tcPr>
            <w:tcW w:w="2505" w:type="pct"/>
          </w:tcPr>
          <w:p w14:paraId="3E709496" w14:textId="1D36E9BA"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De asemenea, este necesară clarificarea expresă a versiunii codurilor CAEM/NACE utilizate în cadrul taxonomiei (2.0 sau 2.1), precum și precizarea modului în care eventualele actualizări viitoare vor fi gestionate. Având în vedere rolul determinant al clasificării activităților economice în procesul de identificare a eligibilității și alinierii la taxonomie, lipsa acestei precizări poate genera interpretări neuniforme și dificultăți în aplicarea coerentă a criteriilor la nivel de sistem. </w:t>
            </w:r>
          </w:p>
        </w:tc>
        <w:tc>
          <w:tcPr>
            <w:tcW w:w="1458" w:type="pct"/>
          </w:tcPr>
          <w:p w14:paraId="5B1E7990" w14:textId="41E3C16A" w:rsidR="008F08AE" w:rsidRPr="004E67A3" w:rsidRDefault="008F08AE" w:rsidP="004E67A3">
            <w:pPr>
              <w:rPr>
                <w:rFonts w:ascii="Times New Roman" w:hAnsi="Times New Roman" w:cs="Times New Roman"/>
                <w:b/>
                <w:bCs/>
              </w:rPr>
            </w:pPr>
            <w:r w:rsidRPr="004E67A3">
              <w:rPr>
                <w:rFonts w:ascii="Times New Roman" w:hAnsi="Times New Roman" w:cs="Times New Roman"/>
                <w:b/>
                <w:bCs/>
              </w:rPr>
              <w:t xml:space="preserve">Se </w:t>
            </w:r>
            <w:r>
              <w:rPr>
                <w:rFonts w:ascii="Times New Roman" w:hAnsi="Times New Roman" w:cs="Times New Roman"/>
                <w:b/>
                <w:bCs/>
              </w:rPr>
              <w:t>acceptă parțial</w:t>
            </w:r>
          </w:p>
          <w:p w14:paraId="7783E04B" w14:textId="6DAC6A5E" w:rsidR="008F08AE" w:rsidRDefault="008F08AE" w:rsidP="00AE0F57">
            <w:pPr>
              <w:jc w:val="both"/>
              <w:rPr>
                <w:rFonts w:ascii="Times New Roman" w:hAnsi="Times New Roman" w:cs="Times New Roman"/>
              </w:rPr>
            </w:pPr>
            <w:r w:rsidRPr="004E67A3">
              <w:rPr>
                <w:rFonts w:ascii="Times New Roman" w:hAnsi="Times New Roman" w:cs="Times New Roman"/>
              </w:rPr>
              <w:t xml:space="preserve">Versiunea finală a taxonomiei utilizează Clasificatorul </w:t>
            </w:r>
            <w:proofErr w:type="spellStart"/>
            <w:r w:rsidRPr="004E67A3">
              <w:rPr>
                <w:rFonts w:ascii="Times New Roman" w:hAnsi="Times New Roman" w:cs="Times New Roman"/>
              </w:rPr>
              <w:t>activităţilor</w:t>
            </w:r>
            <w:proofErr w:type="spellEnd"/>
            <w:r w:rsidRPr="004E67A3">
              <w:rPr>
                <w:rFonts w:ascii="Times New Roman" w:hAnsi="Times New Roman" w:cs="Times New Roman"/>
              </w:rPr>
              <w:t xml:space="preserve"> din economia Moldovei (CAEM-2). CAEM-2 este elaborat pe baza armonizării cu versiunea oficială a Clasificării statistice a activităților economice în Comunitatea Europeană (Revizuirea 2) - </w:t>
            </w:r>
            <w:proofErr w:type="spellStart"/>
            <w:r w:rsidRPr="004E67A3">
              <w:rPr>
                <w:rFonts w:ascii="Times New Roman" w:hAnsi="Times New Roman" w:cs="Times New Roman"/>
              </w:rPr>
              <w:t>Statistical</w:t>
            </w:r>
            <w:proofErr w:type="spellEnd"/>
            <w:r w:rsidRPr="004E67A3">
              <w:rPr>
                <w:rFonts w:ascii="Times New Roman" w:hAnsi="Times New Roman" w:cs="Times New Roman"/>
              </w:rPr>
              <w:t xml:space="preserve"> </w:t>
            </w:r>
            <w:proofErr w:type="spellStart"/>
            <w:r w:rsidRPr="004E67A3">
              <w:rPr>
                <w:rFonts w:ascii="Times New Roman" w:hAnsi="Times New Roman" w:cs="Times New Roman"/>
              </w:rPr>
              <w:t>classification</w:t>
            </w:r>
            <w:proofErr w:type="spellEnd"/>
            <w:r w:rsidRPr="004E67A3">
              <w:rPr>
                <w:rFonts w:ascii="Times New Roman" w:hAnsi="Times New Roman" w:cs="Times New Roman"/>
              </w:rPr>
              <w:t xml:space="preserve"> of economic </w:t>
            </w:r>
            <w:proofErr w:type="spellStart"/>
            <w:r w:rsidRPr="004E67A3">
              <w:rPr>
                <w:rFonts w:ascii="Times New Roman" w:hAnsi="Times New Roman" w:cs="Times New Roman"/>
              </w:rPr>
              <w:t>activities</w:t>
            </w:r>
            <w:proofErr w:type="spellEnd"/>
            <w:r w:rsidRPr="004E67A3">
              <w:rPr>
                <w:rFonts w:ascii="Times New Roman" w:hAnsi="Times New Roman" w:cs="Times New Roman"/>
              </w:rPr>
              <w:t xml:space="preserve"> in </w:t>
            </w:r>
            <w:proofErr w:type="spellStart"/>
            <w:r w:rsidRPr="004E67A3">
              <w:rPr>
                <w:rFonts w:ascii="Times New Roman" w:hAnsi="Times New Roman" w:cs="Times New Roman"/>
              </w:rPr>
              <w:t>the</w:t>
            </w:r>
            <w:proofErr w:type="spellEnd"/>
            <w:r w:rsidRPr="004E67A3">
              <w:rPr>
                <w:rFonts w:ascii="Times New Roman" w:hAnsi="Times New Roman" w:cs="Times New Roman"/>
              </w:rPr>
              <w:t xml:space="preserve"> European </w:t>
            </w:r>
            <w:proofErr w:type="spellStart"/>
            <w:r w:rsidRPr="004E67A3">
              <w:rPr>
                <w:rFonts w:ascii="Times New Roman" w:hAnsi="Times New Roman" w:cs="Times New Roman"/>
              </w:rPr>
              <w:t>Community</w:t>
            </w:r>
            <w:proofErr w:type="spellEnd"/>
            <w:r w:rsidRPr="004E67A3">
              <w:rPr>
                <w:rFonts w:ascii="Times New Roman" w:hAnsi="Times New Roman" w:cs="Times New Roman"/>
              </w:rPr>
              <w:t xml:space="preserve"> (NACE Rev.2) prin păstrarea în CAEM-2 a codurilor (până la patru caractere inclusiv) și denumirilor grupărilor relevante fără a schimba domeniul de aplicare al conceptelor și asigură conformitatea </w:t>
            </w:r>
            <w:r>
              <w:rPr>
                <w:rFonts w:ascii="Times New Roman" w:hAnsi="Times New Roman" w:cs="Times New Roman"/>
              </w:rPr>
              <w:t>deplină</w:t>
            </w:r>
            <w:r w:rsidRPr="004E67A3">
              <w:rPr>
                <w:rFonts w:ascii="Times New Roman" w:hAnsi="Times New Roman" w:cs="Times New Roman"/>
              </w:rPr>
              <w:t>.</w:t>
            </w:r>
            <w:r>
              <w:rPr>
                <w:rFonts w:ascii="Times New Roman" w:hAnsi="Times New Roman" w:cs="Times New Roman"/>
              </w:rPr>
              <w:t xml:space="preserve"> Referințele corespunzătoare la CAEM-2 sunt asigurate pe întreg conținutul Anexei 1 din proiectul Taxonomiei, efectuându-se precizările de rigoare inclusiv la pct.15 din proiectul Taxonomiei.</w:t>
            </w:r>
          </w:p>
          <w:p w14:paraId="00010F1F" w14:textId="47B08D03" w:rsidR="008F08AE" w:rsidRPr="00882F72" w:rsidRDefault="008F08AE" w:rsidP="004E67A3">
            <w:pPr>
              <w:rPr>
                <w:rFonts w:ascii="Times New Roman" w:eastAsia="Calibri" w:hAnsi="Times New Roman" w:cs="Times New Roman"/>
                <w:b/>
                <w:bCs/>
              </w:rPr>
            </w:pPr>
          </w:p>
        </w:tc>
      </w:tr>
      <w:tr w:rsidR="008F08AE" w:rsidRPr="00882F72" w14:paraId="2ACDB968" w14:textId="77777777" w:rsidTr="00800EB7">
        <w:tc>
          <w:tcPr>
            <w:tcW w:w="797" w:type="pct"/>
            <w:vMerge/>
          </w:tcPr>
          <w:p w14:paraId="7D2B42E5"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14546B78" w14:textId="77777777" w:rsidR="008F08AE" w:rsidRPr="00DC031E" w:rsidRDefault="008F08AE">
            <w:pPr>
              <w:pStyle w:val="ListParagraph"/>
              <w:numPr>
                <w:ilvl w:val="0"/>
                <w:numId w:val="6"/>
              </w:numPr>
              <w:ind w:left="256" w:hanging="256"/>
              <w:rPr>
                <w:rFonts w:ascii="Times New Roman" w:eastAsia="Times New Roman" w:hAnsi="Times New Roman"/>
                <w:lang w:val="ro-RO"/>
              </w:rPr>
            </w:pPr>
          </w:p>
        </w:tc>
        <w:tc>
          <w:tcPr>
            <w:tcW w:w="2505" w:type="pct"/>
          </w:tcPr>
          <w:p w14:paraId="7FB252BC" w14:textId="074BBE00" w:rsidR="008F08AE" w:rsidRPr="00A44CFA" w:rsidRDefault="008F08AE" w:rsidP="00AC5A28">
            <w:pPr>
              <w:jc w:val="both"/>
              <w:rPr>
                <w:rFonts w:ascii="Times New Roman" w:eastAsia="Times New Roman" w:hAnsi="Times New Roman"/>
                <w:lang w:val="ro-RO"/>
              </w:rPr>
            </w:pPr>
            <w:r w:rsidRPr="00A44CFA">
              <w:rPr>
                <w:rFonts w:ascii="Times New Roman" w:eastAsia="Times New Roman" w:hAnsi="Times New Roman"/>
                <w:lang w:val="ro-RO"/>
              </w:rPr>
              <w:t xml:space="preserve">Totodată, proiectul face referire la alinierea portofoliilor de creditare la standarde verzi naționale și internaționale, fără a preciza explicit care sunt aceste standarde de referință. Pentru a asigura predictibilitate și uniformitate în aplicare, este necesară indicarea clară a cadrului metodologic și a standardelor relevante utilizate ca reper. </w:t>
            </w:r>
          </w:p>
        </w:tc>
        <w:tc>
          <w:tcPr>
            <w:tcW w:w="1458" w:type="pct"/>
          </w:tcPr>
          <w:p w14:paraId="50B00F08" w14:textId="4887C71A" w:rsidR="008F08AE" w:rsidRPr="00A44CFA" w:rsidRDefault="008F08AE" w:rsidP="004331D6">
            <w:pPr>
              <w:rPr>
                <w:rFonts w:ascii="Times New Roman" w:hAnsi="Times New Roman" w:cs="Times New Roman"/>
                <w:b/>
                <w:bCs/>
                <w:lang w:val="ro-RO"/>
              </w:rPr>
            </w:pPr>
            <w:r w:rsidRPr="00A44CFA">
              <w:rPr>
                <w:rFonts w:ascii="Times New Roman" w:hAnsi="Times New Roman" w:cs="Times New Roman"/>
                <w:b/>
                <w:bCs/>
                <w:lang w:val="ro-RO"/>
              </w:rPr>
              <w:t>Se acceptă</w:t>
            </w:r>
          </w:p>
          <w:p w14:paraId="4E7A3DDF" w14:textId="117CC1FB" w:rsidR="008F08AE" w:rsidRPr="00A44CFA" w:rsidRDefault="008F08AE" w:rsidP="00CB4523">
            <w:pPr>
              <w:jc w:val="both"/>
              <w:rPr>
                <w:rFonts w:ascii="Times New Roman" w:hAnsi="Times New Roman" w:cs="Times New Roman"/>
              </w:rPr>
            </w:pPr>
            <w:r w:rsidRPr="00A44CFA">
              <w:rPr>
                <w:rFonts w:ascii="Times New Roman" w:hAnsi="Times New Roman" w:cs="Times New Roman"/>
              </w:rPr>
              <w:t>În preambulul proiectului de Hotărâre se precizează faptul că acesta vine să transpună prevederile Taxonomiei UE în materie de finanțare durabilă, aprobată prin Regulamentul UE 2020/852 (versiune consolidată).</w:t>
            </w:r>
          </w:p>
          <w:p w14:paraId="18D7B314" w14:textId="2A414C06" w:rsidR="008F08AE" w:rsidRPr="00A44CFA" w:rsidRDefault="008F08AE" w:rsidP="00CB4523">
            <w:pPr>
              <w:jc w:val="both"/>
              <w:rPr>
                <w:rFonts w:ascii="Times New Roman" w:hAnsi="Times New Roman" w:cs="Times New Roman"/>
              </w:rPr>
            </w:pPr>
            <w:r w:rsidRPr="00A44CFA">
              <w:rPr>
                <w:rFonts w:ascii="Times New Roman" w:hAnsi="Times New Roman" w:cs="Times New Roman"/>
              </w:rPr>
              <w:lastRenderedPageBreak/>
              <w:t>De asemenea, similar Taxonomiei UE, proiectul (anexele acestuia) face referire și la alte standarde internaționale vizate</w:t>
            </w:r>
            <w:r>
              <w:rPr>
                <w:rFonts w:ascii="Times New Roman" w:hAnsi="Times New Roman" w:cs="Times New Roman"/>
              </w:rPr>
              <w:t>.</w:t>
            </w:r>
          </w:p>
          <w:p w14:paraId="771CE6C3" w14:textId="660B9B12" w:rsidR="008F08AE" w:rsidRPr="00A44CFA" w:rsidRDefault="008F08AE" w:rsidP="004331D6">
            <w:pPr>
              <w:rPr>
                <w:rFonts w:ascii="Times New Roman" w:eastAsia="Calibri" w:hAnsi="Times New Roman" w:cs="Times New Roman"/>
                <w:b/>
                <w:bCs/>
              </w:rPr>
            </w:pPr>
          </w:p>
        </w:tc>
      </w:tr>
      <w:tr w:rsidR="008F08AE" w:rsidRPr="00882F72" w14:paraId="6B59C6CF" w14:textId="77777777" w:rsidTr="00800EB7">
        <w:tc>
          <w:tcPr>
            <w:tcW w:w="797" w:type="pct"/>
            <w:vMerge/>
          </w:tcPr>
          <w:p w14:paraId="76AD65C9"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3D77ECC" w14:textId="77777777" w:rsidR="008F08AE" w:rsidRPr="00DC031E" w:rsidRDefault="008F08AE">
            <w:pPr>
              <w:pStyle w:val="ListParagraph"/>
              <w:numPr>
                <w:ilvl w:val="0"/>
                <w:numId w:val="6"/>
              </w:numPr>
              <w:ind w:left="256" w:hanging="256"/>
              <w:rPr>
                <w:rFonts w:ascii="Times New Roman" w:eastAsia="Times New Roman" w:hAnsi="Times New Roman"/>
                <w:lang w:val="ro-RO"/>
              </w:rPr>
            </w:pPr>
          </w:p>
        </w:tc>
        <w:tc>
          <w:tcPr>
            <w:tcW w:w="2505" w:type="pct"/>
          </w:tcPr>
          <w:p w14:paraId="0BD8611E" w14:textId="05AB9DF5"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Observăm, de asemenea, că sectorul agricol (</w:t>
            </w:r>
            <w:r w:rsidRPr="00EB0784">
              <w:rPr>
                <w:rFonts w:ascii="Times New Roman" w:eastAsia="Times New Roman" w:hAnsi="Times New Roman"/>
                <w:i/>
                <w:iCs/>
                <w:lang w:val="ro-RO"/>
              </w:rPr>
              <w:t>agricultura sustenabilă</w:t>
            </w:r>
            <w:r w:rsidRPr="00EB0784">
              <w:rPr>
                <w:rFonts w:ascii="Times New Roman" w:eastAsia="Times New Roman" w:hAnsi="Times New Roman"/>
                <w:lang w:val="ro-RO"/>
              </w:rPr>
              <w:t xml:space="preserve">) nu este reflectat corespunzător în proiect, deși reprezintă un domeniu strategic pentru economia Republicii Moldova. Propunem includerea expresă a agriculturii sustenabile sau ecologice, inclusiv a tehnologiilor inteligente utilizate în agricultură (de exemplu, sisteme moderne de irigare sau digitalizare), având în vedere că există deja linii de finanțare dedicate acestui sector și că integrarea criteriilor de sustenabilitate în agricultură reprezintă o tendință consolidată la nivel european. </w:t>
            </w:r>
          </w:p>
          <w:p w14:paraId="2B1B380E" w14:textId="77777777"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Având în vedere importanța agriculturii pentru economia națională (7,1% din PIB în 2024) și numărul semnificativ de împrumuturi acordate sectorului agricol de către băncile din Moldova, considerăm că taxonomia ar putea fi completată cu câteva categorii legate de agricultură. Impactul devastator pe care se preconizează că îl va avea schimbarea climatică asupra sectorului agricol din Moldova, astfel cum se menționează în capitolul „Context național” al taxonomiei, demonstrează și mai clar acest lucru. Deși Capitolul I, punctul 6 al proiectului Regulamentului Taxonomiei pentru finanțare durabilă menționează foaia de parcurs privind sprijinul pentru IMM-uri, Taxonomia riscă să afecteze cel mai mult acest segment dacă nu se introduc criterii clare, adaptate la specificul IMM-urilor (cum ar fi praguri simplificate de evaluare și indicatori bazați pe </w:t>
            </w:r>
            <w:proofErr w:type="spellStart"/>
            <w:r w:rsidRPr="00EB0784">
              <w:rPr>
                <w:rFonts w:ascii="Times New Roman" w:eastAsia="Times New Roman" w:hAnsi="Times New Roman"/>
                <w:lang w:val="ro-RO"/>
              </w:rPr>
              <w:t>turnover</w:t>
            </w:r>
            <w:proofErr w:type="spellEnd"/>
            <w:r w:rsidRPr="00EB0784">
              <w:rPr>
                <w:rFonts w:ascii="Times New Roman" w:eastAsia="Times New Roman" w:hAnsi="Times New Roman"/>
                <w:lang w:val="ro-RO"/>
              </w:rPr>
              <w:t xml:space="preserve"> sau </w:t>
            </w:r>
            <w:proofErr w:type="spellStart"/>
            <w:r w:rsidRPr="00EB0784">
              <w:rPr>
                <w:rFonts w:ascii="Times New Roman" w:eastAsia="Times New Roman" w:hAnsi="Times New Roman"/>
                <w:lang w:val="ro-RO"/>
              </w:rPr>
              <w:t>CapEx</w:t>
            </w:r>
            <w:proofErr w:type="spellEnd"/>
            <w:r w:rsidRPr="00EB0784">
              <w:rPr>
                <w:rFonts w:ascii="Times New Roman" w:eastAsia="Times New Roman" w:hAnsi="Times New Roman"/>
                <w:lang w:val="ro-RO"/>
              </w:rPr>
              <w:t xml:space="preserve">), precum și beneficii (subvenții, garanții de stat sau asistență tehnică gratuită) pentru a stimula implementarea. Fără aceste ajustări, IMM-urile, inclusiv cele din sectorul agricol, ar putea întâmpina bariere majore în accesul la finanțări verzi, împiedicând tranziția sustenabilă. </w:t>
            </w:r>
          </w:p>
          <w:p w14:paraId="37E54CAE" w14:textId="6BC62235"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Înțelegem că există anumite dificultăți în introducerea unor categorii agricole generale într-o astfel de taxonomie, din cauza lipsei măsurilor de verificare, de exemplu. În acest sens, intervenim cu rugămintea de a lua în considerare introducerea a trei categorii: </w:t>
            </w:r>
          </w:p>
          <w:p w14:paraId="3CF1A8B9" w14:textId="77777777" w:rsidR="008F08AE" w:rsidRDefault="008F08AE">
            <w:pPr>
              <w:pStyle w:val="ListParagraph"/>
              <w:numPr>
                <w:ilvl w:val="0"/>
                <w:numId w:val="7"/>
              </w:numPr>
              <w:ind w:left="256" w:hanging="256"/>
              <w:jc w:val="both"/>
              <w:rPr>
                <w:rFonts w:ascii="Times New Roman" w:eastAsia="Times New Roman" w:hAnsi="Times New Roman"/>
                <w:lang w:val="ro-RO"/>
              </w:rPr>
            </w:pPr>
            <w:r w:rsidRPr="00DC031E">
              <w:rPr>
                <w:rFonts w:ascii="Times New Roman" w:eastAsia="Times New Roman" w:hAnsi="Times New Roman"/>
                <w:lang w:val="ro-RO"/>
              </w:rPr>
              <w:t xml:space="preserve">Echipamente de prelucrarea terenului fără arat; </w:t>
            </w:r>
          </w:p>
          <w:p w14:paraId="7FCB1120" w14:textId="77777777" w:rsidR="008F08AE" w:rsidRDefault="008F08AE">
            <w:pPr>
              <w:pStyle w:val="ListParagraph"/>
              <w:numPr>
                <w:ilvl w:val="0"/>
                <w:numId w:val="7"/>
              </w:numPr>
              <w:ind w:left="256" w:hanging="256"/>
              <w:jc w:val="both"/>
              <w:rPr>
                <w:rFonts w:ascii="Times New Roman" w:eastAsia="Times New Roman" w:hAnsi="Times New Roman"/>
                <w:lang w:val="ro-RO"/>
              </w:rPr>
            </w:pPr>
            <w:r w:rsidRPr="00DC031E">
              <w:rPr>
                <w:rFonts w:ascii="Times New Roman" w:eastAsia="Times New Roman" w:hAnsi="Times New Roman"/>
                <w:lang w:val="ro-RO"/>
              </w:rPr>
              <w:t xml:space="preserve">Agricultură inteligentă din punct de vedere climatic (rotația culturilor); </w:t>
            </w:r>
          </w:p>
          <w:p w14:paraId="43CD681D" w14:textId="0D228167" w:rsidR="008F08AE" w:rsidRPr="00DC031E" w:rsidRDefault="008F08AE">
            <w:pPr>
              <w:pStyle w:val="ListParagraph"/>
              <w:numPr>
                <w:ilvl w:val="0"/>
                <w:numId w:val="7"/>
              </w:numPr>
              <w:ind w:left="256" w:hanging="256"/>
              <w:jc w:val="both"/>
              <w:rPr>
                <w:rFonts w:ascii="Times New Roman" w:eastAsia="Times New Roman" w:hAnsi="Times New Roman"/>
                <w:lang w:val="ro-RO"/>
              </w:rPr>
            </w:pPr>
            <w:r w:rsidRPr="00DC031E">
              <w:rPr>
                <w:rFonts w:ascii="Times New Roman" w:eastAsia="Times New Roman" w:hAnsi="Times New Roman"/>
                <w:lang w:val="ro-RO"/>
              </w:rPr>
              <w:t xml:space="preserve">Irigare inteligentă prin picurare. </w:t>
            </w:r>
          </w:p>
          <w:p w14:paraId="3A20004B" w14:textId="77777777" w:rsidR="008F08AE" w:rsidRPr="00DC031E" w:rsidRDefault="008F08AE" w:rsidP="00AC5A28">
            <w:pPr>
              <w:ind w:left="256" w:hanging="256"/>
              <w:jc w:val="both"/>
              <w:rPr>
                <w:rFonts w:ascii="Times New Roman" w:eastAsia="Times New Roman" w:hAnsi="Times New Roman"/>
                <w:lang w:val="ro-RO"/>
              </w:rPr>
            </w:pPr>
          </w:p>
          <w:p w14:paraId="4A23AF9C" w14:textId="01D10967" w:rsidR="008F08AE" w:rsidRPr="00DC031E" w:rsidRDefault="008F08AE" w:rsidP="00AC5A28">
            <w:pPr>
              <w:jc w:val="both"/>
              <w:rPr>
                <w:rFonts w:ascii="Times New Roman" w:eastAsia="Times New Roman" w:hAnsi="Times New Roman"/>
                <w:lang w:val="ro-RO"/>
              </w:rPr>
            </w:pPr>
            <w:r w:rsidRPr="00DC031E">
              <w:rPr>
                <w:rFonts w:ascii="Times New Roman" w:eastAsia="Times New Roman" w:hAnsi="Times New Roman"/>
                <w:lang w:val="ro-RO"/>
              </w:rPr>
              <w:t xml:space="preserve">Rotația culturilor și agricultura fără arat îmbunătățesc sănătatea solului prin reducerea eroziunii, creșterea cantității de materie organică și îmbunătățirea sechestrării carbonului. Prin lăsarea solului să se odihnească și minimizarea perturbărilor, aceste practici reduc emisiile de gaze cu efect de seră, îmbunătățesc retenția apei și sporesc reziliența la schimbările climatice. În contextul secetelor tot mai frecvente din Moldova, irigarea inteligentă prin picurare oferă o soluție durabilă, reducând la minimum consumul de apă și maximizează eficiența culturilor. Aceasta sporește </w:t>
            </w:r>
            <w:r w:rsidRPr="00DC031E">
              <w:rPr>
                <w:rFonts w:ascii="Times New Roman" w:eastAsia="Times New Roman" w:hAnsi="Times New Roman"/>
                <w:lang w:val="ro-RO"/>
              </w:rPr>
              <w:lastRenderedPageBreak/>
              <w:t xml:space="preserve">rezistența agriculturii la schimbările climatice, reduce risipa de resurse și contribuie la conservarea pe termen lung a solului și a apei. </w:t>
            </w:r>
          </w:p>
          <w:p w14:paraId="7526B4A5" w14:textId="2C5CE81F" w:rsidR="008F08AE" w:rsidRPr="00882F72" w:rsidRDefault="008F08AE" w:rsidP="00AC5A28">
            <w:pPr>
              <w:jc w:val="both"/>
              <w:rPr>
                <w:rFonts w:ascii="Times New Roman" w:eastAsia="Times New Roman" w:hAnsi="Times New Roman"/>
                <w:lang w:val="ro-RO"/>
              </w:rPr>
            </w:pPr>
            <w:r w:rsidRPr="00DC031E">
              <w:rPr>
                <w:rFonts w:ascii="Times New Roman" w:eastAsia="Times New Roman" w:hAnsi="Times New Roman"/>
                <w:lang w:val="ro-RO"/>
              </w:rPr>
              <w:t>Astfel, în lipsa unor criterii tehnice adaptate și a unor coduri CAEM/NACE relevante pentru agricultură, procesare agricolă și IMM-uri, o parte semnificativă a finanțărilor acordate fermierilor și IMM-urilor riscă să fie exclusă din categoria activităților „verzi”.</w:t>
            </w:r>
          </w:p>
        </w:tc>
        <w:tc>
          <w:tcPr>
            <w:tcW w:w="1458" w:type="pct"/>
          </w:tcPr>
          <w:p w14:paraId="0D77B556" w14:textId="4DA8B6E3" w:rsidR="008F08AE" w:rsidRPr="004E67A3" w:rsidRDefault="008F08AE" w:rsidP="004E67A3">
            <w:pPr>
              <w:rPr>
                <w:rFonts w:ascii="Times New Roman" w:hAnsi="Times New Roman" w:cs="Times New Roman"/>
                <w:b/>
                <w:bCs/>
              </w:rPr>
            </w:pPr>
            <w:r>
              <w:rPr>
                <w:rFonts w:ascii="Times New Roman" w:hAnsi="Times New Roman" w:cs="Times New Roman"/>
                <w:b/>
                <w:bCs/>
              </w:rPr>
              <w:lastRenderedPageBreak/>
              <w:t>Nu se acceptă</w:t>
            </w:r>
            <w:r w:rsidRPr="004E67A3">
              <w:rPr>
                <w:rFonts w:ascii="Times New Roman" w:hAnsi="Times New Roman" w:cs="Times New Roman"/>
                <w:b/>
                <w:bCs/>
              </w:rPr>
              <w:t>.</w:t>
            </w:r>
          </w:p>
          <w:p w14:paraId="1166D73E" w14:textId="6A16F311" w:rsidR="008F08AE" w:rsidRPr="004E67A3" w:rsidRDefault="008F08AE" w:rsidP="007213FD">
            <w:pPr>
              <w:jc w:val="both"/>
              <w:rPr>
                <w:rFonts w:ascii="Times New Roman" w:hAnsi="Times New Roman" w:cs="Times New Roman"/>
              </w:rPr>
            </w:pPr>
            <w:r w:rsidRPr="004E67A3">
              <w:rPr>
                <w:rFonts w:ascii="Times New Roman" w:hAnsi="Times New Roman" w:cs="Times New Roman"/>
              </w:rPr>
              <w:t>Regulamentele delegate UE care stabilesc criterii tehnice de examinare – în special Regulamentul delegat (UE) 2021/2139 și Regulamentul delegat (UE) 2023/2486 acoperă anumite activități economice, dar nu includ încă agricultura ca sector definit cu propriile criterii tehnice.</w:t>
            </w:r>
          </w:p>
          <w:p w14:paraId="315C2297" w14:textId="3C3B96DF" w:rsidR="008F08AE" w:rsidRPr="004E67A3" w:rsidRDefault="008F08AE" w:rsidP="007213FD">
            <w:pPr>
              <w:jc w:val="both"/>
              <w:rPr>
                <w:rFonts w:ascii="Times New Roman" w:hAnsi="Times New Roman" w:cs="Times New Roman"/>
              </w:rPr>
            </w:pPr>
            <w:r w:rsidRPr="004E67A3">
              <w:rPr>
                <w:rFonts w:ascii="Times New Roman" w:hAnsi="Times New Roman" w:cs="Times New Roman"/>
              </w:rPr>
              <w:t xml:space="preserve">Platforma privind finanțarea durabilă, care consiliază Comisia Europeană cu privire la eventuala necesitate de a actualiza criteriile tehnice de examinare, a publicat </w:t>
            </w:r>
            <w:hyperlink r:id="rId8" w:history="1">
              <w:r w:rsidRPr="004E67A3">
                <w:rPr>
                  <w:rStyle w:val="Hyperlink"/>
                  <w:rFonts w:ascii="Times New Roman" w:hAnsi="Times New Roman" w:cs="Times New Roman"/>
                </w:rPr>
                <w:t>rapoarte și recomandări</w:t>
              </w:r>
            </w:hyperlink>
            <w:r w:rsidRPr="004E67A3">
              <w:rPr>
                <w:rFonts w:ascii="Times New Roman" w:hAnsi="Times New Roman" w:cs="Times New Roman"/>
              </w:rPr>
              <w:t xml:space="preserve"> privind includerea unor activități economice suplimentare și modificarea actelor delegate privind taxonomia. Acestea includ recomandări pentru activități noi și revizuiri ale criteriilor tehnice de selecție, iar Comisia </w:t>
            </w:r>
            <w:r>
              <w:rPr>
                <w:rFonts w:ascii="Times New Roman" w:hAnsi="Times New Roman" w:cs="Times New Roman"/>
              </w:rPr>
              <w:t xml:space="preserve">europeană </w:t>
            </w:r>
            <w:r w:rsidRPr="004E67A3">
              <w:rPr>
                <w:rFonts w:ascii="Times New Roman" w:hAnsi="Times New Roman" w:cs="Times New Roman"/>
              </w:rPr>
              <w:t>urmează să examineze și să adopte, la necesitate, viitoare acte delegate care să pună în aplicare aceste recomandări.</w:t>
            </w:r>
          </w:p>
          <w:p w14:paraId="04435F16" w14:textId="3033FE89" w:rsidR="008F08AE" w:rsidRDefault="008F08AE" w:rsidP="00CD5A05">
            <w:pPr>
              <w:jc w:val="both"/>
              <w:rPr>
                <w:rFonts w:ascii="Times New Roman" w:hAnsi="Times New Roman" w:cs="Times New Roman"/>
              </w:rPr>
            </w:pPr>
            <w:r>
              <w:rPr>
                <w:rFonts w:ascii="Times New Roman" w:hAnsi="Times New Roman" w:cs="Times New Roman"/>
              </w:rPr>
              <w:t>Mai mult decât atât, la momentul actual, inclusiv în domeniul agriculturii au loc măsuri de aliniere a legislației și a practicilor naționale la normele și standardele UE în vederea perfecționării și îmbunătățirii proceselor agricole.</w:t>
            </w:r>
          </w:p>
          <w:p w14:paraId="68ED1C0B" w14:textId="57B4CD3C" w:rsidR="008F08AE" w:rsidRPr="00882F72" w:rsidRDefault="008F08AE" w:rsidP="00584777">
            <w:pPr>
              <w:jc w:val="both"/>
              <w:rPr>
                <w:rFonts w:ascii="Times New Roman" w:eastAsia="Calibri" w:hAnsi="Times New Roman" w:cs="Times New Roman"/>
                <w:b/>
                <w:bCs/>
              </w:rPr>
            </w:pPr>
            <w:r>
              <w:rPr>
                <w:rFonts w:ascii="Times New Roman" w:hAnsi="Times New Roman" w:cs="Times New Roman"/>
              </w:rPr>
              <w:t>Respectiv, domeniul agriculturii va fi inclusiv în prevederile Taxonomiei la o etapă ulterioară, reieșind din evoluțiile reglementărilor și practicilor în aplicare atât la nivel național, cât și internațional.</w:t>
            </w:r>
          </w:p>
        </w:tc>
      </w:tr>
      <w:tr w:rsidR="008F08AE" w:rsidRPr="00882F72" w14:paraId="03C402E3" w14:textId="77777777" w:rsidTr="00800EB7">
        <w:tc>
          <w:tcPr>
            <w:tcW w:w="797" w:type="pct"/>
            <w:vMerge/>
          </w:tcPr>
          <w:p w14:paraId="578E0FD6"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58D7CF1" w14:textId="77777777" w:rsidR="008F08AE" w:rsidRPr="00DC031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0002640E" w14:textId="1D2813D4"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În contextul finanțării durabile, considerăm oportună includerea în taxonomie a indicatorului Green </w:t>
            </w:r>
            <w:proofErr w:type="spellStart"/>
            <w:r w:rsidRPr="00EB0784">
              <w:rPr>
                <w:rFonts w:ascii="Times New Roman" w:eastAsia="Times New Roman" w:hAnsi="Times New Roman"/>
                <w:lang w:val="ro-RO"/>
              </w:rPr>
              <w:t>Asset</w:t>
            </w:r>
            <w:proofErr w:type="spellEnd"/>
            <w:r w:rsidRPr="00EB0784">
              <w:rPr>
                <w:rFonts w:ascii="Times New Roman" w:eastAsia="Times New Roman" w:hAnsi="Times New Roman"/>
                <w:lang w:val="ro-RO"/>
              </w:rPr>
              <w:t xml:space="preserve"> </w:t>
            </w:r>
            <w:proofErr w:type="spellStart"/>
            <w:r w:rsidRPr="00EB0784">
              <w:rPr>
                <w:rFonts w:ascii="Times New Roman" w:eastAsia="Times New Roman" w:hAnsi="Times New Roman"/>
                <w:lang w:val="ro-RO"/>
              </w:rPr>
              <w:t>Ratio</w:t>
            </w:r>
            <w:proofErr w:type="spellEnd"/>
            <w:r w:rsidRPr="00EB0784">
              <w:rPr>
                <w:rFonts w:ascii="Times New Roman" w:eastAsia="Times New Roman" w:hAnsi="Times New Roman"/>
                <w:lang w:val="ro-RO"/>
              </w:rPr>
              <w:t xml:space="preserve"> (GAR) ca instrument de monitorizare a progresului, cu stabilirea unor obiective de majorare treptată. Experiența Uniunii Europene demonstrează că acest indicator poate constitui un reper util, însă este necesară clarificarea metodologiei de calcul și a eventualului caracter obligatoriu sau voluntar al raportării pentru instituțiile de credit. </w:t>
            </w:r>
          </w:p>
        </w:tc>
        <w:tc>
          <w:tcPr>
            <w:tcW w:w="1458" w:type="pct"/>
          </w:tcPr>
          <w:p w14:paraId="2CBF58E3" w14:textId="307C28CF" w:rsidR="008F08AE" w:rsidRPr="004E67A3" w:rsidRDefault="008F08AE" w:rsidP="004E67A3">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76C5225B" w14:textId="7782DA3C" w:rsidR="008F08AE" w:rsidRPr="00882F72" w:rsidRDefault="008F08AE" w:rsidP="00584777">
            <w:pPr>
              <w:jc w:val="both"/>
              <w:rPr>
                <w:rFonts w:ascii="Times New Roman" w:eastAsia="Calibri" w:hAnsi="Times New Roman" w:cs="Times New Roman"/>
                <w:b/>
                <w:bCs/>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pentru finanțare durabilă stabilește un cadru general privind activitățile economice ce se consideră durabile din punct de vedere al mediului și nu conține prevederi aferente mecanismului de raportare a activităților verzi. Acest aspect va constitui obiect de reglementare în cadrul proiectelor de acte normative subsecvente (acte normative ale regulatorilor pieței financiare dedicate mecanismului de raportare, etc.)</w:t>
            </w:r>
          </w:p>
        </w:tc>
      </w:tr>
      <w:tr w:rsidR="008F08AE" w:rsidRPr="00882F72" w14:paraId="1815B69D" w14:textId="77777777" w:rsidTr="00800EB7">
        <w:tc>
          <w:tcPr>
            <w:tcW w:w="797" w:type="pct"/>
            <w:vMerge/>
          </w:tcPr>
          <w:p w14:paraId="389FA789"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306F1BD6" w14:textId="77777777" w:rsidR="008F08AE" w:rsidRPr="00DC031E" w:rsidRDefault="008F08AE">
            <w:pPr>
              <w:numPr>
                <w:ilvl w:val="0"/>
                <w:numId w:val="6"/>
              </w:numPr>
              <w:ind w:left="256" w:hanging="256"/>
              <w:rPr>
                <w:rFonts w:ascii="Times New Roman" w:eastAsia="Times New Roman" w:hAnsi="Times New Roman"/>
                <w:lang w:val="ro-RO"/>
              </w:rPr>
            </w:pPr>
          </w:p>
        </w:tc>
        <w:tc>
          <w:tcPr>
            <w:tcW w:w="2505" w:type="pct"/>
          </w:tcPr>
          <w:p w14:paraId="5FEB129A" w14:textId="3FFEE39F" w:rsidR="008F08AE" w:rsidRPr="00DC031E" w:rsidRDefault="008F08AE" w:rsidP="00AC5A28">
            <w:pPr>
              <w:jc w:val="both"/>
              <w:rPr>
                <w:rFonts w:ascii="Times New Roman" w:eastAsia="Times New Roman" w:hAnsi="Times New Roman"/>
                <w:lang w:val="ro-RO"/>
              </w:rPr>
            </w:pPr>
            <w:r w:rsidRPr="00DC031E">
              <w:rPr>
                <w:rFonts w:ascii="Times New Roman" w:eastAsia="Times New Roman" w:hAnsi="Times New Roman"/>
                <w:lang w:val="ro-RO"/>
              </w:rPr>
              <w:t xml:space="preserve">Nu este clar nici modul în care băncile vor realiza dezvăluirea impactului asupra mediului și a durabilității portofoliilor de credite, respectiv în baza căror criterii, indicatori și metodologii va fi efectuată această evaluare. Lipsa unor orientări tehnice clare poate conduce la practici neuniforme și la dificultăți în procesul de supraveghere. </w:t>
            </w:r>
          </w:p>
        </w:tc>
        <w:tc>
          <w:tcPr>
            <w:tcW w:w="1458" w:type="pct"/>
          </w:tcPr>
          <w:p w14:paraId="5C95A0F8" w14:textId="2837FE55" w:rsidR="008F08AE" w:rsidRPr="004E67A3" w:rsidRDefault="008F08AE" w:rsidP="004E67A3">
            <w:pPr>
              <w:rPr>
                <w:rFonts w:ascii="Times New Roman" w:hAnsi="Times New Roman" w:cs="Times New Roman"/>
                <w:b/>
                <w:bCs/>
                <w:noProof/>
              </w:rPr>
            </w:pPr>
            <w:r w:rsidRPr="004E67A3">
              <w:rPr>
                <w:rFonts w:ascii="Times New Roman" w:hAnsi="Times New Roman" w:cs="Times New Roman"/>
                <w:b/>
                <w:bCs/>
                <w:noProof/>
              </w:rPr>
              <w:t xml:space="preserve">Se </w:t>
            </w:r>
            <w:r>
              <w:rPr>
                <w:rFonts w:ascii="Times New Roman" w:hAnsi="Times New Roman" w:cs="Times New Roman"/>
                <w:b/>
                <w:bCs/>
                <w:noProof/>
              </w:rPr>
              <w:t>acceptă parțial</w:t>
            </w:r>
          </w:p>
          <w:p w14:paraId="63189484" w14:textId="0A3B25D2" w:rsidR="008F08AE" w:rsidRPr="004E67A3" w:rsidRDefault="008F08AE" w:rsidP="00584777">
            <w:pPr>
              <w:jc w:val="both"/>
              <w:rPr>
                <w:rFonts w:ascii="Times New Roman" w:hAnsi="Times New Roman" w:cs="Times New Roman"/>
              </w:rPr>
            </w:pPr>
            <w:r>
              <w:rPr>
                <w:rFonts w:ascii="Times New Roman" w:hAnsi="Times New Roman" w:cs="Times New Roman"/>
                <w:noProof/>
              </w:rPr>
              <w:t xml:space="preserve">Ulterior aprobării proiectului Hotărârii de Guvern privind Taxonomia de finanțare durabilă, Banca Națională a Moldovei va elabora și aproba </w:t>
            </w:r>
            <w:r w:rsidRPr="004E67A3">
              <w:rPr>
                <w:rFonts w:ascii="Times New Roman" w:hAnsi="Times New Roman" w:cs="Times New Roman"/>
                <w:noProof/>
              </w:rPr>
              <w:t xml:space="preserve"> </w:t>
            </w:r>
            <w:r>
              <w:rPr>
                <w:rFonts w:ascii="Times New Roman" w:hAnsi="Times New Roman" w:cs="Times New Roman"/>
                <w:noProof/>
              </w:rPr>
              <w:t>un proiect de</w:t>
            </w:r>
            <w:r w:rsidRPr="004E67A3">
              <w:rPr>
                <w:rFonts w:ascii="Times New Roman" w:hAnsi="Times New Roman" w:cs="Times New Roman"/>
                <w:noProof/>
              </w:rPr>
              <w:t xml:space="preserve"> Regulament privind gestionarea riscurilor ESG pentru bănci, care va stabili cerințele pentru integrarea riscurilor de mediu, sociale și de guvernanță (ESG) în cadrele de guvernanță, strategie, gestionare a riscurilor și control intern. Acesta va fi realizat în conformitate cu cele mai bune practici internaționale și cu Orientările Autorității Bancare Europene privind gestionarea riscurilor ESG (EBA/GL/2025/01).</w:t>
            </w:r>
            <w:r w:rsidRPr="004E67A3">
              <w:rPr>
                <w:rFonts w:ascii="Times New Roman" w:hAnsi="Times New Roman" w:cs="Times New Roman"/>
              </w:rPr>
              <w:t xml:space="preserve"> </w:t>
            </w:r>
          </w:p>
          <w:p w14:paraId="583583FF" w14:textId="11551F26" w:rsidR="008F08AE" w:rsidRPr="0047106C" w:rsidRDefault="008F08AE" w:rsidP="00584777">
            <w:pPr>
              <w:jc w:val="both"/>
              <w:rPr>
                <w:rFonts w:ascii="Times New Roman" w:eastAsia="Calibri" w:hAnsi="Times New Roman" w:cs="Times New Roman"/>
                <w:b/>
                <w:bCs/>
                <w:lang w:val="en-US"/>
              </w:rPr>
            </w:pPr>
            <w:r w:rsidRPr="004E67A3">
              <w:rPr>
                <w:rFonts w:ascii="Times New Roman" w:hAnsi="Times New Roman" w:cs="Times New Roman"/>
                <w:lang w:val="it-CH"/>
              </w:rPr>
              <w:t>Totodată, vor fi aduse modificări la legislația națională, pentru transpunerea prevederilor Directivei UE 2013/36 (CRD) și a Regulamentului (UE) nr. 575/2013, cu scopul integrării dispozițiilor privind administrarea, monitorizarea, raportarea și publicarea riscurilor ESG.</w:t>
            </w:r>
            <w:r>
              <w:rPr>
                <w:rFonts w:ascii="Times New Roman" w:hAnsi="Times New Roman" w:cs="Times New Roman"/>
                <w:lang w:val="it-CH"/>
              </w:rPr>
              <w:t xml:space="preserve"> Conform, angajamentelor asumate în PNA (capitolul 9), proiectul dat de Lege de modificare a Legii nr.202/2017 este planificat pentru </w:t>
            </w:r>
            <w:r>
              <w:rPr>
                <w:rFonts w:ascii="Times New Roman" w:hAnsi="Times New Roman" w:cs="Times New Roman"/>
                <w:lang w:val="it-CH"/>
              </w:rPr>
              <w:lastRenderedPageBreak/>
              <w:t>promovare și adoptare până la finele anului curent.</w:t>
            </w:r>
          </w:p>
        </w:tc>
      </w:tr>
      <w:tr w:rsidR="008F08AE" w:rsidRPr="00882F72" w14:paraId="2F0FEE7C" w14:textId="77777777" w:rsidTr="00F968A9">
        <w:tc>
          <w:tcPr>
            <w:tcW w:w="797" w:type="pct"/>
            <w:vMerge/>
          </w:tcPr>
          <w:p w14:paraId="55750C48"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55D59694"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5C8D6BD2" w14:textId="77777777" w:rsidR="008F08AE"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Pentru asigurarea unei structuri mai coerente și mai adaptate contextului național, considerăm oportună revizuirea și armonizarea terminologiei utilizate pentru anumite domenii de activitate, astfel încât acestea să fie formulate într-o manieră sintetică și ușor de aplicat în practică (de exemplu, reformularea unor categorii privind managementul apei și deșeurilor, construcții și imobiliare, tehnologia informației și comunicațiilor sau domeniul farmaceutic). </w:t>
            </w:r>
          </w:p>
          <w:p w14:paraId="06650744" w14:textId="2BA84400" w:rsidR="008F08AE" w:rsidRPr="00EB0784" w:rsidRDefault="008F08AE" w:rsidP="00AC5A28">
            <w:pPr>
              <w:ind w:left="-27"/>
              <w:jc w:val="both"/>
              <w:rPr>
                <w:rFonts w:ascii="Times New Roman" w:eastAsia="Times New Roman" w:hAnsi="Times New Roman"/>
                <w:lang w:val="ro-RO"/>
              </w:rPr>
            </w:pPr>
          </w:p>
        </w:tc>
        <w:tc>
          <w:tcPr>
            <w:tcW w:w="1458" w:type="pct"/>
          </w:tcPr>
          <w:p w14:paraId="45D2421C" w14:textId="77777777" w:rsidR="008F08AE" w:rsidRDefault="008F08AE" w:rsidP="00BD43B0">
            <w:pPr>
              <w:rPr>
                <w:rFonts w:ascii="Times New Roman" w:eastAsia="Calibri" w:hAnsi="Times New Roman" w:cs="Times New Roman"/>
                <w:b/>
                <w:bCs/>
              </w:rPr>
            </w:pPr>
            <w:r>
              <w:rPr>
                <w:rFonts w:ascii="Times New Roman" w:eastAsia="Calibri" w:hAnsi="Times New Roman" w:cs="Times New Roman"/>
                <w:b/>
                <w:bCs/>
              </w:rPr>
              <w:t>Se acceptă.</w:t>
            </w:r>
          </w:p>
          <w:p w14:paraId="45A11FC3" w14:textId="77777777" w:rsidR="008F08AE" w:rsidRDefault="008F08AE" w:rsidP="00BD43B0">
            <w:pPr>
              <w:rPr>
                <w:rFonts w:ascii="Times New Roman" w:hAnsi="Times New Roman" w:cs="Times New Roman"/>
                <w:bCs/>
              </w:rPr>
            </w:pPr>
            <w:r w:rsidRPr="004F7C0F">
              <w:rPr>
                <w:rFonts w:ascii="Times New Roman" w:hAnsi="Times New Roman" w:cs="Times New Roman"/>
                <w:bCs/>
              </w:rPr>
              <w:t xml:space="preserve">Proiectul a fost ajustat conform </w:t>
            </w:r>
            <w:r>
              <w:rPr>
                <w:rFonts w:ascii="Times New Roman" w:hAnsi="Times New Roman" w:cs="Times New Roman"/>
                <w:bCs/>
              </w:rPr>
              <w:t>remarcii</w:t>
            </w:r>
            <w:r w:rsidRPr="004F7C0F">
              <w:rPr>
                <w:rFonts w:ascii="Times New Roman" w:hAnsi="Times New Roman" w:cs="Times New Roman"/>
                <w:bCs/>
              </w:rPr>
              <w:t>.</w:t>
            </w:r>
          </w:p>
          <w:p w14:paraId="523DE3C8" w14:textId="77777777" w:rsidR="008F08AE" w:rsidRDefault="008F08AE" w:rsidP="00BD43B0">
            <w:pPr>
              <w:rPr>
                <w:rFonts w:ascii="Times New Roman" w:hAnsi="Times New Roman" w:cs="Times New Roman"/>
                <w:bCs/>
              </w:rPr>
            </w:pPr>
            <w:r>
              <w:rPr>
                <w:rFonts w:ascii="Times New Roman" w:hAnsi="Times New Roman" w:cs="Times New Roman"/>
                <w:bCs/>
              </w:rPr>
              <w:t>Astfel, s-au operat următoarele substituiri:</w:t>
            </w:r>
          </w:p>
          <w:p w14:paraId="2DFE3B1E" w14:textId="62D72128" w:rsidR="008F08AE" w:rsidRPr="00BD43B0" w:rsidRDefault="008F08AE" w:rsidP="00BD43B0">
            <w:pPr>
              <w:jc w:val="both"/>
              <w:rPr>
                <w:rFonts w:ascii="Times New Roman" w:hAnsi="Times New Roman" w:cs="Times New Roman"/>
                <w:bCs/>
              </w:rPr>
            </w:pPr>
            <w:r>
              <w:rPr>
                <w:rFonts w:ascii="Times New Roman" w:hAnsi="Times New Roman" w:cs="Times New Roman"/>
                <w:bCs/>
              </w:rPr>
              <w:t xml:space="preserve">- </w:t>
            </w:r>
            <w:r w:rsidRPr="00BD43B0">
              <w:rPr>
                <w:rFonts w:ascii="Times New Roman" w:hAnsi="Times New Roman" w:cs="Times New Roman"/>
                <w:bCs/>
              </w:rPr>
              <w:t>„Furnizarea apei, lucrările de canalizare, activitățile de gestionare a deșeurilor și de depoluare” – în „Managementul apei, rețelelor d</w:t>
            </w:r>
            <w:r>
              <w:rPr>
                <w:rFonts w:ascii="Times New Roman" w:hAnsi="Times New Roman" w:cs="Times New Roman"/>
                <w:bCs/>
              </w:rPr>
              <w:t>e canalizare și al deșeurilor”.</w:t>
            </w:r>
          </w:p>
          <w:p w14:paraId="5604F717" w14:textId="34F96BFF" w:rsidR="008F08AE" w:rsidRPr="00BD43B0" w:rsidRDefault="008F08AE" w:rsidP="00BD43B0">
            <w:pPr>
              <w:jc w:val="both"/>
              <w:rPr>
                <w:rFonts w:ascii="Times New Roman" w:hAnsi="Times New Roman" w:cs="Times New Roman"/>
                <w:bCs/>
              </w:rPr>
            </w:pPr>
            <w:r>
              <w:rPr>
                <w:rFonts w:ascii="Times New Roman" w:hAnsi="Times New Roman" w:cs="Times New Roman"/>
                <w:bCs/>
              </w:rPr>
              <w:t>-</w:t>
            </w:r>
            <w:r w:rsidRPr="00BD43B0">
              <w:rPr>
                <w:rFonts w:ascii="Times New Roman" w:hAnsi="Times New Roman" w:cs="Times New Roman"/>
                <w:bCs/>
              </w:rPr>
              <w:t xml:space="preserve">  „Activități de construcție și activități imobiliare” – </w:t>
            </w:r>
            <w:r>
              <w:rPr>
                <w:rFonts w:ascii="Times New Roman" w:hAnsi="Times New Roman" w:cs="Times New Roman"/>
                <w:bCs/>
              </w:rPr>
              <w:t>în „Construcții și imobiliare”.</w:t>
            </w:r>
          </w:p>
          <w:p w14:paraId="5B06FE20" w14:textId="518D68CB" w:rsidR="008F08AE" w:rsidRPr="00BD43B0" w:rsidRDefault="008F08AE" w:rsidP="00BD43B0">
            <w:pPr>
              <w:jc w:val="both"/>
              <w:rPr>
                <w:rFonts w:ascii="Times New Roman" w:hAnsi="Times New Roman" w:cs="Times New Roman"/>
                <w:bCs/>
              </w:rPr>
            </w:pPr>
            <w:r>
              <w:rPr>
                <w:rFonts w:ascii="Times New Roman" w:hAnsi="Times New Roman" w:cs="Times New Roman"/>
                <w:bCs/>
              </w:rPr>
              <w:t xml:space="preserve">- </w:t>
            </w:r>
            <w:r w:rsidRPr="00BD43B0">
              <w:rPr>
                <w:rFonts w:ascii="Times New Roman" w:hAnsi="Times New Roman" w:cs="Times New Roman"/>
                <w:bCs/>
              </w:rPr>
              <w:t>„Informarea și comunicarea” – în „Tehnologia in</w:t>
            </w:r>
            <w:r>
              <w:rPr>
                <w:rFonts w:ascii="Times New Roman" w:hAnsi="Times New Roman" w:cs="Times New Roman"/>
                <w:bCs/>
              </w:rPr>
              <w:t>formației și a comunicațiilor”.</w:t>
            </w:r>
          </w:p>
          <w:p w14:paraId="33D7FC98" w14:textId="7D50D0F1" w:rsidR="008F08AE" w:rsidRPr="00BD43B0" w:rsidRDefault="008F08AE" w:rsidP="00BD43B0">
            <w:pPr>
              <w:jc w:val="both"/>
              <w:rPr>
                <w:rFonts w:ascii="Times New Roman" w:hAnsi="Times New Roman" w:cs="Times New Roman"/>
                <w:bCs/>
              </w:rPr>
            </w:pPr>
            <w:r>
              <w:rPr>
                <w:rFonts w:ascii="Times New Roman" w:hAnsi="Times New Roman" w:cs="Times New Roman"/>
                <w:bCs/>
              </w:rPr>
              <w:t>-</w:t>
            </w:r>
            <w:r w:rsidRPr="00BD43B0">
              <w:rPr>
                <w:rFonts w:ascii="Times New Roman" w:hAnsi="Times New Roman" w:cs="Times New Roman"/>
                <w:bCs/>
              </w:rPr>
              <w:t xml:space="preserve"> „Activitățile privind sănătatea umană și asistența socială” – în „Sănătatea umană și asistența socială”.</w:t>
            </w:r>
          </w:p>
          <w:p w14:paraId="6CD47EC3" w14:textId="04F28D76" w:rsidR="008F08AE" w:rsidRPr="00BD43B0" w:rsidRDefault="008F08AE" w:rsidP="00BD43B0">
            <w:pPr>
              <w:jc w:val="both"/>
              <w:rPr>
                <w:rFonts w:ascii="Times New Roman" w:hAnsi="Times New Roman" w:cs="Times New Roman"/>
                <w:bCs/>
              </w:rPr>
            </w:pPr>
            <w:r>
              <w:rPr>
                <w:rFonts w:ascii="Times New Roman" w:hAnsi="Times New Roman" w:cs="Times New Roman"/>
                <w:bCs/>
              </w:rPr>
              <w:t xml:space="preserve">- </w:t>
            </w:r>
            <w:r w:rsidRPr="00BD43B0">
              <w:rPr>
                <w:rFonts w:ascii="Times New Roman" w:hAnsi="Times New Roman" w:cs="Times New Roman"/>
                <w:bCs/>
              </w:rPr>
              <w:t>„Fabricarea ingredientelor farmaceutice active (IFA) sau a substanțelor active” – în „Fabricarea ingredientelor farmaceutice active (IFA) și a produselor farmaceutice de bază”.</w:t>
            </w:r>
          </w:p>
        </w:tc>
      </w:tr>
      <w:tr w:rsidR="008F08AE" w:rsidRPr="00882F72" w14:paraId="5CA0215A" w14:textId="77777777" w:rsidTr="00F968A9">
        <w:tc>
          <w:tcPr>
            <w:tcW w:w="797" w:type="pct"/>
            <w:vMerge/>
          </w:tcPr>
          <w:p w14:paraId="6733A9ED"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B88B841" w14:textId="77777777" w:rsidR="008F08AE" w:rsidRDefault="008F08AE">
            <w:pPr>
              <w:numPr>
                <w:ilvl w:val="0"/>
                <w:numId w:val="6"/>
              </w:numPr>
              <w:ind w:left="256" w:hanging="283"/>
              <w:rPr>
                <w:rFonts w:ascii="Times New Roman" w:eastAsia="Times New Roman" w:hAnsi="Times New Roman"/>
                <w:lang w:val="ro-RO"/>
              </w:rPr>
            </w:pPr>
          </w:p>
        </w:tc>
        <w:tc>
          <w:tcPr>
            <w:tcW w:w="2505" w:type="pct"/>
          </w:tcPr>
          <w:p w14:paraId="7A1425FB" w14:textId="77777777" w:rsidR="008F08AE" w:rsidRPr="0029278F" w:rsidRDefault="008F08AE" w:rsidP="00AC5A28">
            <w:pPr>
              <w:ind w:left="-27"/>
              <w:jc w:val="both"/>
              <w:rPr>
                <w:rFonts w:ascii="Times New Roman" w:eastAsia="Times New Roman" w:hAnsi="Times New Roman"/>
                <w:lang w:val="ro-RO"/>
              </w:rPr>
            </w:pPr>
            <w:r w:rsidRPr="0029278F">
              <w:rPr>
                <w:rFonts w:ascii="Times New Roman" w:eastAsia="Times New Roman" w:hAnsi="Times New Roman"/>
                <w:lang w:val="ro-RO"/>
              </w:rPr>
              <w:t xml:space="preserve">În același timp, proiectul include activități care nu sunt aplicabile realităților economice ale Republicii Moldova, precum producerea energiei electrice din tehnologii oceanice sau din energie nucleară în instalații existente. Considerăm că aceste domenii ar trebui excluse pentru a evita complexitatea inutilă. De asemenea, anumite corelări tehnice din anexele privind criteriile DNSH necesită clarificare, în vederea eliminării eventualelor incoerențe. </w:t>
            </w:r>
          </w:p>
          <w:p w14:paraId="440AD778" w14:textId="29368B59" w:rsidR="008F08AE" w:rsidRPr="0029278F" w:rsidRDefault="008F08AE" w:rsidP="00AC5A28">
            <w:pPr>
              <w:ind w:left="-27"/>
              <w:jc w:val="both"/>
              <w:rPr>
                <w:rFonts w:ascii="Times New Roman" w:eastAsia="Times New Roman" w:hAnsi="Times New Roman"/>
                <w:lang w:val="ro-RO"/>
              </w:rPr>
            </w:pPr>
          </w:p>
        </w:tc>
        <w:tc>
          <w:tcPr>
            <w:tcW w:w="1458" w:type="pct"/>
          </w:tcPr>
          <w:p w14:paraId="0EFD3572" w14:textId="29F500C2" w:rsidR="008F08AE" w:rsidRPr="0029278F" w:rsidRDefault="008F08AE" w:rsidP="004331D6">
            <w:pPr>
              <w:rPr>
                <w:rFonts w:ascii="Times New Roman" w:hAnsi="Times New Roman" w:cs="Times New Roman"/>
                <w:b/>
                <w:bCs/>
                <w:lang w:val="ro-RO"/>
              </w:rPr>
            </w:pPr>
            <w:r w:rsidRPr="0029278F">
              <w:rPr>
                <w:rFonts w:ascii="Times New Roman" w:hAnsi="Times New Roman" w:cs="Times New Roman"/>
                <w:b/>
                <w:bCs/>
                <w:lang w:val="ro-RO"/>
              </w:rPr>
              <w:t>Nu se acceptă.</w:t>
            </w:r>
          </w:p>
          <w:p w14:paraId="6EF8DF6C" w14:textId="0EAC9907" w:rsidR="008F08AE" w:rsidRPr="00503060" w:rsidRDefault="008F08AE" w:rsidP="0029278F">
            <w:pPr>
              <w:jc w:val="both"/>
              <w:rPr>
                <w:rFonts w:ascii="Times New Roman" w:hAnsi="Times New Roman" w:cs="Times New Roman"/>
              </w:rPr>
            </w:pPr>
            <w:r w:rsidRPr="0029278F">
              <w:rPr>
                <w:rFonts w:ascii="Times New Roman" w:hAnsi="Times New Roman" w:cs="Times New Roman"/>
              </w:rPr>
              <w:t>Pentru o integrare mai armonioasă a pieței naționale în cea a Uniunii Europene, indiferent de domeniul de activitate, se consideră oportună o aliniere fidelă a legislației naționale la normele și standardele internaționale.</w:t>
            </w:r>
            <w:r>
              <w:rPr>
                <w:rFonts w:ascii="Times New Roman" w:hAnsi="Times New Roman" w:cs="Times New Roman"/>
              </w:rPr>
              <w:t xml:space="preserve"> Existența acestor norme în cadrul normativ în pofida lipsei acestor activități în economia națională nu va afecta în nici un fel părțile interesate, fie că este vorba despre mediul de afaceri, sau despre entitățile financiare ce oferă acces la finanțare.</w:t>
            </w:r>
          </w:p>
        </w:tc>
      </w:tr>
      <w:tr w:rsidR="008F08AE" w:rsidRPr="00882F72" w14:paraId="12B44964" w14:textId="77777777" w:rsidTr="00F968A9">
        <w:tc>
          <w:tcPr>
            <w:tcW w:w="797" w:type="pct"/>
            <w:vMerge/>
          </w:tcPr>
          <w:p w14:paraId="3401149E"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FF6A8F5" w14:textId="77777777" w:rsidR="008F08AE" w:rsidRDefault="008F08AE">
            <w:pPr>
              <w:numPr>
                <w:ilvl w:val="0"/>
                <w:numId w:val="6"/>
              </w:numPr>
              <w:ind w:left="256" w:hanging="283"/>
              <w:rPr>
                <w:rFonts w:ascii="Times New Roman" w:eastAsia="Times New Roman" w:hAnsi="Times New Roman"/>
                <w:lang w:val="ro-RO"/>
              </w:rPr>
            </w:pPr>
          </w:p>
        </w:tc>
        <w:tc>
          <w:tcPr>
            <w:tcW w:w="2505" w:type="pct"/>
          </w:tcPr>
          <w:p w14:paraId="392942E7" w14:textId="2C8CA31C" w:rsidR="008F08AE" w:rsidRDefault="008F08AE" w:rsidP="00AC5A28">
            <w:pPr>
              <w:ind w:left="-27"/>
              <w:jc w:val="both"/>
              <w:rPr>
                <w:rFonts w:ascii="Times New Roman" w:eastAsia="Times New Roman" w:hAnsi="Times New Roman"/>
                <w:lang w:val="ro-RO"/>
              </w:rPr>
            </w:pPr>
            <w:r w:rsidRPr="006560C7">
              <w:rPr>
                <w:rFonts w:ascii="Times New Roman" w:eastAsia="Times New Roman" w:hAnsi="Times New Roman"/>
                <w:lang w:val="ro-RO"/>
              </w:rPr>
              <w:t xml:space="preserve">În conformitate cu Nota, „Sunt binevenite ghidurile/Orientări de creditare verde care ar conține criterii minime pentru recunoașterea creditelor „verzi” conform taxonomiei”. În acest context, considerăm necesară clarificarea expresă dacă elaborarea acestor ghiduri este prevăzută formal, care este calendarul estimativ pentru adoptarea lor și ce statut vor avea acestea – obligatoriu sau de recomandare. </w:t>
            </w:r>
          </w:p>
          <w:p w14:paraId="2880BFDA" w14:textId="550197CC" w:rsidR="008F08AE" w:rsidRPr="00BF60DC" w:rsidRDefault="008F08AE" w:rsidP="00AC5A28">
            <w:pPr>
              <w:jc w:val="both"/>
              <w:rPr>
                <w:rFonts w:ascii="Times New Roman" w:eastAsia="Times New Roman" w:hAnsi="Times New Roman"/>
                <w:lang w:val="ro-RO"/>
              </w:rPr>
            </w:pPr>
            <w:r w:rsidRPr="00BF60DC">
              <w:rPr>
                <w:rFonts w:ascii="Times New Roman" w:eastAsia="Times New Roman" w:hAnsi="Times New Roman"/>
                <w:lang w:val="ro-RO"/>
              </w:rPr>
              <w:t xml:space="preserve">În opinia noastră, asemenea orientări ar trebui să fie integrate într-un cadru mai flexibil și simplificat, eventual cu caracter intermediar, care să permită orientarea graduală a fluxurilor de capital către diminuarea impactului de mediu prin plasarea finanțărilor „durabile”. Obiectivul principal trebuie să fie crearea unei tendințe reale de reducere a impactului climatic, nu limitarea drastică a finanțărilor din cauza unor cerințe excesiv </w:t>
            </w:r>
            <w:r w:rsidRPr="00BF60DC">
              <w:rPr>
                <w:rFonts w:ascii="Times New Roman" w:eastAsia="Times New Roman" w:hAnsi="Times New Roman"/>
                <w:lang w:val="ro-RO"/>
              </w:rPr>
              <w:lastRenderedPageBreak/>
              <w:t>de rigide. În lipsa unui astfel de cadru pragmatic, există riscul ca, în condițiile alinierii stricte la toate criteriile taxonomiei, finanțările aliniate să fie extrem de reduse sau chiar inexistente în practică.</w:t>
            </w:r>
          </w:p>
        </w:tc>
        <w:tc>
          <w:tcPr>
            <w:tcW w:w="1458" w:type="pct"/>
          </w:tcPr>
          <w:p w14:paraId="2570AD32" w14:textId="51185086" w:rsidR="008F08AE" w:rsidRPr="0029278F" w:rsidRDefault="008F08AE" w:rsidP="0029278F">
            <w:pPr>
              <w:jc w:val="both"/>
              <w:rPr>
                <w:rFonts w:ascii="Times New Roman" w:hAnsi="Times New Roman" w:cs="Times New Roman"/>
                <w:b/>
              </w:rPr>
            </w:pPr>
            <w:r w:rsidRPr="0029278F">
              <w:rPr>
                <w:rFonts w:ascii="Times New Roman" w:hAnsi="Times New Roman" w:cs="Times New Roman"/>
                <w:b/>
              </w:rPr>
              <w:lastRenderedPageBreak/>
              <w:t>Se acceptă parțial.</w:t>
            </w:r>
          </w:p>
          <w:p w14:paraId="6E4CC87D" w14:textId="1AF46714" w:rsidR="008F08AE" w:rsidRPr="00D3102B" w:rsidRDefault="008F08AE" w:rsidP="00D3102B">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Prevederi specifice sectorului financiar, cum ar fi gradul de aplicabilitate al Taxonomiei urmează a fi stabilite și prevăzute în actele normative ale regulatorilor sectorului financiar (Banca Națională a Moldovei și Comisia Națională a </w:t>
            </w:r>
            <w:r>
              <w:rPr>
                <w:rFonts w:ascii="Times New Roman" w:hAnsi="Times New Roman" w:cs="Times New Roman"/>
              </w:rPr>
              <w:lastRenderedPageBreak/>
              <w:t xml:space="preserve">Pieței Financiare), acestea fiind cu aplicabilitate dedicată expres participanților pieței financiare. </w:t>
            </w:r>
          </w:p>
        </w:tc>
      </w:tr>
      <w:tr w:rsidR="008F08AE" w:rsidRPr="00882F72" w14:paraId="2802F3B7" w14:textId="77777777" w:rsidTr="00F968A9">
        <w:tc>
          <w:tcPr>
            <w:tcW w:w="797" w:type="pct"/>
            <w:vMerge/>
          </w:tcPr>
          <w:p w14:paraId="78015D63"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6E805355"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681AA0AE" w14:textId="2A5A317B"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De asemenea, în Nota se menționează că „Principalii utilizatori țintă pentru Taxonomie includ participanții pieței financiare, inclusiv a pieței de capital, care pun la dispoziție produse financiare, inclusiv entitățile supravegheate de Banca Națională a Moldovei și Comisia Națională a Pieței Financiare, în conformitate cu legislația aplicabilă”. Totuși, criteriile de clasificare și urmărire prevăzute în proiect sunt, în forma actuală, complexe și dificil de aplicat la nivelul pieței naționale, ceea ce poate limita capacitatea instituțiilor financiare de a susține efectiv finanțarea activităților „durabile”. </w:t>
            </w:r>
          </w:p>
          <w:p w14:paraId="6768870A" w14:textId="0A33BAAA"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În aceste condiții, considerăm necesară instituirea unui cadru simplificat sau gradual, care să permită orientarea capitalului către diminuarea impactului climatic și reducerea emisiilor, fără a crea blocaje administrative sau restricții excesive. Totodată, este importantă clarificarea rezultatului strategic urmărit: dacă o bancă ar declara, într-o fază inițială, un nivel redus de activități aliniate (de exemplu 0,5%), care este rezultatul așteptat și care este traiectoria ulterioară de creștere? Stabilirea unor repere orientative ar contribui la transformarea taxonomiei într-un instrument de politică publică eficient, nu doar într-o obligație formală. </w:t>
            </w:r>
          </w:p>
        </w:tc>
        <w:tc>
          <w:tcPr>
            <w:tcW w:w="1458" w:type="pct"/>
          </w:tcPr>
          <w:p w14:paraId="583189EC" w14:textId="77777777" w:rsidR="008F08AE" w:rsidRPr="0029278F" w:rsidRDefault="008F08AE" w:rsidP="0029278F">
            <w:pPr>
              <w:jc w:val="both"/>
              <w:rPr>
                <w:rFonts w:ascii="Times New Roman" w:hAnsi="Times New Roman" w:cs="Times New Roman"/>
                <w:b/>
              </w:rPr>
            </w:pPr>
            <w:r w:rsidRPr="0029278F">
              <w:rPr>
                <w:rFonts w:ascii="Times New Roman" w:hAnsi="Times New Roman" w:cs="Times New Roman"/>
                <w:b/>
              </w:rPr>
              <w:t>Se acceptă parțial.</w:t>
            </w:r>
          </w:p>
          <w:p w14:paraId="7F850F01" w14:textId="77777777" w:rsidR="008F08AE" w:rsidRDefault="008F08AE" w:rsidP="0029278F">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Prevederi specifice sectorului financiar, cum ar fi gradul de aplicabilitate al Taxonomiei urmează a fi stabilite și prevăzute în actele normative ale regulatorilor sectorului financiar (Banca Națională a Moldovei și Comisia Națională a Pieței Financiare), acestea fiind cu aplicabilitate dedicată expres participanților pieței financiare. </w:t>
            </w:r>
          </w:p>
          <w:p w14:paraId="30117003" w14:textId="00FB1416" w:rsidR="008F08AE" w:rsidRPr="00882F72" w:rsidRDefault="008F08AE" w:rsidP="00BF19E3">
            <w:pPr>
              <w:rPr>
                <w:rFonts w:ascii="Times New Roman" w:eastAsia="Calibri" w:hAnsi="Times New Roman" w:cs="Times New Roman"/>
                <w:b/>
                <w:bCs/>
              </w:rPr>
            </w:pPr>
          </w:p>
        </w:tc>
      </w:tr>
      <w:tr w:rsidR="008F08AE" w:rsidRPr="00882F72" w14:paraId="5181FE26" w14:textId="77777777" w:rsidTr="00F968A9">
        <w:tc>
          <w:tcPr>
            <w:tcW w:w="797" w:type="pct"/>
            <w:vMerge/>
          </w:tcPr>
          <w:p w14:paraId="4919F439"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31BC542C" w14:textId="77777777" w:rsidR="008F08AE" w:rsidRDefault="008F08AE">
            <w:pPr>
              <w:pStyle w:val="ListParagraph"/>
              <w:numPr>
                <w:ilvl w:val="0"/>
                <w:numId w:val="6"/>
              </w:numPr>
              <w:ind w:left="256" w:hanging="294"/>
              <w:rPr>
                <w:rFonts w:ascii="Times New Roman" w:eastAsia="Times New Roman" w:hAnsi="Times New Roman"/>
                <w:lang w:val="ro-RO"/>
              </w:rPr>
            </w:pPr>
          </w:p>
        </w:tc>
        <w:tc>
          <w:tcPr>
            <w:tcW w:w="2505" w:type="pct"/>
          </w:tcPr>
          <w:p w14:paraId="03BB1C2E" w14:textId="3E1F6B74" w:rsidR="008F08AE" w:rsidRPr="00EB0784" w:rsidRDefault="008F08AE" w:rsidP="00AC5A28">
            <w:pPr>
              <w:ind w:left="-38"/>
              <w:jc w:val="both"/>
              <w:rPr>
                <w:rFonts w:ascii="Times New Roman" w:eastAsia="Times New Roman" w:hAnsi="Times New Roman"/>
                <w:lang w:val="ro-RO"/>
              </w:rPr>
            </w:pPr>
            <w:r w:rsidRPr="00EB0784">
              <w:rPr>
                <w:rFonts w:ascii="Times New Roman" w:eastAsia="Times New Roman" w:hAnsi="Times New Roman"/>
                <w:lang w:val="ro-RO"/>
              </w:rPr>
              <w:t xml:space="preserve">În ceea ce privește obligația de dezvăluire, Nota precizează că „participanții la piața financiară care oferă produse financiare durabile trebuie să înceapă să își dezvăluie activitățile sau investițiile aliniate la taxonomie pentru diferite segmente de piață”. În acest sens, este necesară clarificarea temeiului juridic aplicabil, a momentului de la care această obligație ar deveni efectivă, a formatului și periodicității raportării, precum și a metodologiei de calcul a activităților eligibile și aliniate. În prezent, nu este indicat actul normativ concret care ar institui această obligație pentru instituțiile de credit și nici procesul operațional prin care aceasta ar urma să fie implementată. Fără aceste clarificări, instituțiile financiare nu pot evalua impactul asupra sistemelor interne și asupra cadrului de raportare. </w:t>
            </w:r>
          </w:p>
        </w:tc>
        <w:tc>
          <w:tcPr>
            <w:tcW w:w="1458" w:type="pct"/>
          </w:tcPr>
          <w:p w14:paraId="09AE6EF2" w14:textId="318E1F3B" w:rsidR="008F08AE" w:rsidRPr="0029278F" w:rsidRDefault="008F08AE" w:rsidP="0029278F">
            <w:pPr>
              <w:jc w:val="both"/>
              <w:rPr>
                <w:rFonts w:ascii="Times New Roman" w:hAnsi="Times New Roman" w:cs="Times New Roman"/>
                <w:b/>
              </w:rPr>
            </w:pPr>
            <w:r w:rsidRPr="0029278F">
              <w:rPr>
                <w:rFonts w:ascii="Times New Roman" w:hAnsi="Times New Roman" w:cs="Times New Roman"/>
                <w:b/>
              </w:rPr>
              <w:t xml:space="preserve">Se acceptă </w:t>
            </w:r>
          </w:p>
          <w:p w14:paraId="3C34D2A6" w14:textId="57DFA0CD" w:rsidR="008F08AE" w:rsidRPr="00A67D2D" w:rsidRDefault="008F08AE" w:rsidP="00A67D2D">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Prevederi specifice sectorului financiar, cum ar fi gradul de aplicabilitate al Taxonomiei urmează a fi stabilite și prevăzute în actele normative ale regulatorilor sectorului financiar (Banca Națională a Moldovei și Comisia Națională a Pieței Financiare), acestea fiind cu aplicabilitate dedicată expres participanților pieței financiare. </w:t>
            </w:r>
          </w:p>
        </w:tc>
      </w:tr>
      <w:tr w:rsidR="008F08AE" w:rsidRPr="00882F72" w14:paraId="42287A08" w14:textId="77777777" w:rsidTr="00F968A9">
        <w:tc>
          <w:tcPr>
            <w:tcW w:w="797" w:type="pct"/>
            <w:vMerge/>
          </w:tcPr>
          <w:p w14:paraId="65DA4AE9"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13DF341E"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462B2724" w14:textId="4D1CFF60"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Totodată, Nota menționează că „Taxonomia este în strânsă legătură și cu Directiva privind raportarea de sustenabilitate (CSRD). O companie care trebuie să raporteze în temeiul CSRD intră, de asemenea, în domeniul de aplicare al Taxonomiei. Mai exact, compania va trebui să includă în raportul său de sustenabilitate activitățile eligibile și/sau aliniate la taxonomie”. În acest context, este necesară clarificarea temeiului juridic în baza căruia ar putea apărea obligații similare pentru companiile și băncile din Republica Moldova, în condițiile în care acestea nu au în prezent obligația de raportare conform CSRD sau altor standarde echivalente. </w:t>
            </w:r>
          </w:p>
          <w:p w14:paraId="2F0BD5BD" w14:textId="77777777" w:rsidR="008F08AE"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De asemenea, trebuie avut în vedere faptul că, în conformitate cu pachetul legislativ „omnibus” adoptat la nivelul Uniunii Europene, criteriile de raportare CSRD au fost semnificativ simplificate, inclusiv prin majorarea pragurilor de aplicare (raportare de </w:t>
            </w:r>
            <w:r w:rsidRPr="00EB0784">
              <w:rPr>
                <w:rFonts w:ascii="Times New Roman" w:eastAsia="Times New Roman" w:hAnsi="Times New Roman"/>
                <w:lang w:val="ro-RO"/>
              </w:rPr>
              <w:lastRenderedPageBreak/>
              <w:t>la 1000 de angajați și vânzări de peste 450 milioane EUR), precum și prin alte ajustări importante. În consecință, chiar și într-un scenariu de armonizare viitoare cu cadrul european, numărul entităților din Republica Moldova care ar putea intra sub incidența unor cerințe similare ar fi limitat. Acest context trebuie avut în vedere pentru a evita instituirea la nivel național a unor obligații mai restrictive decât cele aplicabile în statele membre ale Uniunii Europene.</w:t>
            </w:r>
          </w:p>
          <w:p w14:paraId="0278C369" w14:textId="383436E8" w:rsidR="008F08AE" w:rsidRPr="00EB0784" w:rsidRDefault="008F08AE" w:rsidP="00AC5A28">
            <w:pPr>
              <w:jc w:val="both"/>
              <w:rPr>
                <w:rFonts w:ascii="Times New Roman" w:eastAsia="Times New Roman" w:hAnsi="Times New Roman"/>
                <w:lang w:val="ro-RO"/>
              </w:rPr>
            </w:pPr>
          </w:p>
        </w:tc>
        <w:tc>
          <w:tcPr>
            <w:tcW w:w="1458" w:type="pct"/>
          </w:tcPr>
          <w:p w14:paraId="48FDCE23" w14:textId="77777777" w:rsidR="008F08AE" w:rsidRPr="004E67A3" w:rsidRDefault="008F08AE" w:rsidP="00BD663D">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lastRenderedPageBreak/>
              <w:t xml:space="preserve">Se </w:t>
            </w:r>
            <w:r>
              <w:rPr>
                <w:rFonts w:ascii="Times New Roman" w:eastAsia="Times New Roman" w:hAnsi="Times New Roman" w:cs="Times New Roman"/>
                <w:b/>
                <w:bCs/>
                <w:color w:val="000000"/>
              </w:rPr>
              <w:t>acceptă parțial</w:t>
            </w:r>
          </w:p>
          <w:p w14:paraId="6DED42CC" w14:textId="41D3D4B9" w:rsidR="008F08AE" w:rsidRPr="00D3102B" w:rsidRDefault="008F08AE" w:rsidP="00D3102B">
            <w:pPr>
              <w:pStyle w:val="CommentText"/>
              <w:jc w:val="both"/>
              <w:rPr>
                <w:rFonts w:ascii="Times New Roman" w:eastAsia="Calibri" w:hAnsi="Times New Roman" w:cs="Times New Roman"/>
                <w:b/>
                <w:bCs/>
                <w:sz w:val="22"/>
                <w:szCs w:val="22"/>
                <w:highlight w:val="yellow"/>
                <w:lang w:val="en-US"/>
              </w:rPr>
            </w:pPr>
            <w:r w:rsidRPr="00BD663D">
              <w:rPr>
                <w:rFonts w:ascii="Times New Roman" w:hAnsi="Times New Roman" w:cs="Times New Roman"/>
                <w:sz w:val="22"/>
                <w:szCs w:val="22"/>
              </w:rPr>
              <w:t xml:space="preserve">Proiectul Hotărârii privind Taxonomia pentru finanțare durabilă stabilește un cadru general privind activitățile economice ce se consideră durabile </w:t>
            </w:r>
            <w:r>
              <w:rPr>
                <w:rFonts w:ascii="Times New Roman" w:hAnsi="Times New Roman" w:cs="Times New Roman"/>
                <w:sz w:val="22"/>
                <w:szCs w:val="22"/>
              </w:rPr>
              <w:t>din punct de vedere al mediului. Aspecte mai detaliate privind gradul de aplicare al Taxonomiei, obligativitatea acesteia, precum și mecanismul de raportare urmează a fi stabilit ulterior de către autoritățile de reglementare (fapt specificat la pct. 8 și 9 din nota de fundamentare).</w:t>
            </w:r>
            <w:r w:rsidRPr="00BD663D">
              <w:rPr>
                <w:rFonts w:ascii="Times New Roman" w:hAnsi="Times New Roman" w:cs="Times New Roman"/>
                <w:sz w:val="22"/>
                <w:szCs w:val="22"/>
              </w:rPr>
              <w:t xml:space="preserve"> </w:t>
            </w:r>
            <w:r>
              <w:rPr>
                <w:rFonts w:ascii="Times New Roman" w:hAnsi="Times New Roman" w:cs="Times New Roman"/>
                <w:sz w:val="22"/>
                <w:szCs w:val="22"/>
              </w:rPr>
              <w:t xml:space="preserve">Respectiv, pentru sectorul financiar, regulatorii </w:t>
            </w:r>
            <w:r>
              <w:rPr>
                <w:rFonts w:ascii="Times New Roman" w:hAnsi="Times New Roman" w:cs="Times New Roman"/>
                <w:sz w:val="22"/>
                <w:szCs w:val="22"/>
              </w:rPr>
              <w:lastRenderedPageBreak/>
              <w:t>pieței financiare vor veni cu un proiect de act normativ subsecvent prin care vor stabili mecanismul de raportare, precum și eventuala gradualitate în aplicare. În partea ce ține de cadrul de reglementare CSRD, ce urmează a fi transpus în legislația națională prin amendarea Legii nr.287/2017, acestea vor servi drept temei juridic de aplicare pentru entitățile ce sunt vizate de Legea nr.287/2017.</w:t>
            </w:r>
          </w:p>
        </w:tc>
      </w:tr>
      <w:tr w:rsidR="008F08AE" w:rsidRPr="00882F72" w14:paraId="60B58F62" w14:textId="77777777" w:rsidTr="00F968A9">
        <w:tc>
          <w:tcPr>
            <w:tcW w:w="797" w:type="pct"/>
            <w:vMerge/>
          </w:tcPr>
          <w:p w14:paraId="3657FF5A"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CC09A2E"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28724BB7" w14:textId="77777777" w:rsidR="008F08AE"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Pentru asigurarea coerenței politicii publice, este necesară clarificarea obiectivului strategic urmărit prin implementarea taxonomiei și a traiectoriei de evoluție preconizate. Dacă, într-o etapă inițială, nivelul activităților aliniate raportate de bănci este redus (de exemplu, 0,5–1%), este important să fie definit rezultatul așteptat și ritmul de creștere anticipat. În absența unor repere clare, există riscul ca taxonomia să fie percepută exclusiv ca o obligație de raportare, nu ca un instrument strategic de orientare progresivă a capitalului. </w:t>
            </w:r>
          </w:p>
          <w:p w14:paraId="68EBE454" w14:textId="01A596A4" w:rsidR="008F08AE" w:rsidRPr="00EB0784" w:rsidRDefault="008F08AE" w:rsidP="00AC5A28">
            <w:pPr>
              <w:ind w:left="-27"/>
              <w:jc w:val="both"/>
              <w:rPr>
                <w:rFonts w:ascii="Times New Roman" w:eastAsia="Times New Roman" w:hAnsi="Times New Roman"/>
                <w:lang w:val="ro-RO"/>
              </w:rPr>
            </w:pPr>
          </w:p>
        </w:tc>
        <w:tc>
          <w:tcPr>
            <w:tcW w:w="1458" w:type="pct"/>
          </w:tcPr>
          <w:p w14:paraId="0B4ADC16" w14:textId="6F22026E" w:rsidR="008F08AE" w:rsidRDefault="008F08AE" w:rsidP="00D3102B">
            <w:pPr>
              <w:rPr>
                <w:rFonts w:ascii="Times New Roman" w:eastAsia="Calibri" w:hAnsi="Times New Roman" w:cs="Times New Roman"/>
                <w:b/>
                <w:bCs/>
              </w:rPr>
            </w:pPr>
            <w:r>
              <w:rPr>
                <w:rFonts w:ascii="Times New Roman" w:eastAsia="Calibri" w:hAnsi="Times New Roman" w:cs="Times New Roman"/>
                <w:b/>
                <w:bCs/>
              </w:rPr>
              <w:t>Se acceptă parțial.</w:t>
            </w:r>
          </w:p>
          <w:p w14:paraId="06C418F2" w14:textId="0C968D3D" w:rsidR="008F08AE" w:rsidRPr="0094419E" w:rsidRDefault="008F08AE" w:rsidP="0094419E">
            <w:pPr>
              <w:jc w:val="both"/>
              <w:rPr>
                <w:rFonts w:ascii="Times New Roman" w:eastAsia="Calibri" w:hAnsi="Times New Roman" w:cs="Times New Roman"/>
                <w:bCs/>
              </w:rPr>
            </w:pPr>
            <w:r w:rsidRPr="0094419E">
              <w:rPr>
                <w:rFonts w:ascii="Times New Roman" w:eastAsia="Calibri" w:hAnsi="Times New Roman" w:cs="Times New Roman"/>
                <w:bCs/>
              </w:rPr>
              <w:t>Nota de fundamentare stabilește obiectivele și finalitățile urmărite prin proiectul de act normativ propus.</w:t>
            </w:r>
            <w:r>
              <w:rPr>
                <w:rFonts w:ascii="Times New Roman" w:eastAsia="Calibri" w:hAnsi="Times New Roman" w:cs="Times New Roman"/>
                <w:bCs/>
              </w:rPr>
              <w:t xml:space="preserve"> La etapa actuală, se consideră prematur o astfel de estimare (nivelul activităților aliniate raportate de bănci). O dată cu stabilirea cadrului de raportare și aliniere a tuturor aspectelor la standardele europene și funcționarea acestora în practică va fi posibilă o estimare mai precisă a impactului cu eventuala identificare a oportunităților de intervenție în scop de accelerare a tranziției către o economie verde. </w:t>
            </w:r>
          </w:p>
          <w:p w14:paraId="3CA3530B" w14:textId="3709BAAA" w:rsidR="008F08AE" w:rsidRPr="00882F72" w:rsidRDefault="008F08AE" w:rsidP="00D3102B">
            <w:pPr>
              <w:rPr>
                <w:rFonts w:ascii="Times New Roman" w:eastAsia="Calibri" w:hAnsi="Times New Roman" w:cs="Times New Roman"/>
                <w:b/>
                <w:bCs/>
              </w:rPr>
            </w:pPr>
          </w:p>
        </w:tc>
      </w:tr>
      <w:tr w:rsidR="008F08AE" w:rsidRPr="00882F72" w14:paraId="115D046D" w14:textId="77777777" w:rsidTr="00F968A9">
        <w:tc>
          <w:tcPr>
            <w:tcW w:w="797" w:type="pct"/>
            <w:vMerge/>
          </w:tcPr>
          <w:p w14:paraId="3A9F9743"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16900F63"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177AB54B" w14:textId="2BA2FEF6"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Proiectul nu clarifică în ce măsură instituțiile de credit vor trebui să dezvolte metodologii interne distincte pentru aplicarea taxonomiei și dacă acestea vor necesita validare din partea autorității de supraveghere. În lipsa unor orientări tehnice unitare, există riscul dezvoltării unor practici divergente între instituții, ceea ce ar afecta comparabilitatea datelor, coerența aplicării și eficiența supravegherii la nivel de sistem. </w:t>
            </w:r>
          </w:p>
        </w:tc>
        <w:tc>
          <w:tcPr>
            <w:tcW w:w="1458" w:type="pct"/>
          </w:tcPr>
          <w:p w14:paraId="69D25DD6" w14:textId="77777777" w:rsidR="008F08AE" w:rsidRPr="004E67A3" w:rsidRDefault="008F08AE" w:rsidP="00B00154">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5989AA74" w14:textId="06E16F4B" w:rsidR="008F08AE" w:rsidRPr="00882F72" w:rsidRDefault="008F08AE" w:rsidP="00B00154">
            <w:pPr>
              <w:jc w:val="both"/>
              <w:rPr>
                <w:rFonts w:ascii="Times New Roman" w:eastAsia="Calibri" w:hAnsi="Times New Roman" w:cs="Times New Roman"/>
                <w:b/>
                <w:bCs/>
              </w:rPr>
            </w:pPr>
            <w:r w:rsidRPr="00BD663D">
              <w:rPr>
                <w:rFonts w:ascii="Times New Roman" w:hAnsi="Times New Roman" w:cs="Times New Roman"/>
              </w:rPr>
              <w:t xml:space="preserve">Proiectul Hotărârii privind Taxonomia pentru finanțare durabilă stabilește un cadru general privind activitățile economice ce se consideră durabile </w:t>
            </w:r>
            <w:r>
              <w:rPr>
                <w:rFonts w:ascii="Times New Roman" w:hAnsi="Times New Roman" w:cs="Times New Roman"/>
              </w:rPr>
              <w:t>din punct de vedere al mediului. Aspecte mai detaliate privind gradul de aplicare al Taxonomiei, obligativitatea acesteia, precum și mecanismul de raportare urmează a fi stabilit ulterior de către autoritățile de reglementare (fapt specificat la pct. 8 și 9 din nota de fundamentare).</w:t>
            </w:r>
            <w:r w:rsidRPr="00BD663D">
              <w:rPr>
                <w:rFonts w:ascii="Times New Roman" w:hAnsi="Times New Roman" w:cs="Times New Roman"/>
              </w:rPr>
              <w:t xml:space="preserve"> </w:t>
            </w:r>
            <w:r>
              <w:rPr>
                <w:rFonts w:ascii="Times New Roman" w:hAnsi="Times New Roman" w:cs="Times New Roman"/>
              </w:rPr>
              <w:t xml:space="preserve">Anume din aceste considerente și s-a stabilit un termen de 12 luni pentru intrarea în vigoare a acesteia – pentru a asigura punerea în aplicare a prevederilor Taxonomiei. Respectiv, pentru sectorul financiar, regulatorii pieței financiare vor veni cu un proiect de act normativ subsecvent prin care vor stabili mecanismul de raportare, precum și eventuala gradualitate în aplicare. </w:t>
            </w:r>
          </w:p>
        </w:tc>
      </w:tr>
      <w:tr w:rsidR="008F08AE" w:rsidRPr="00882F72" w14:paraId="61A84826" w14:textId="77777777" w:rsidTr="00F968A9">
        <w:tc>
          <w:tcPr>
            <w:tcW w:w="797" w:type="pct"/>
            <w:vMerge/>
          </w:tcPr>
          <w:p w14:paraId="193DC016"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4D52D058"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22B94A3D" w14:textId="07369C59"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Aplicarea integrală a taxonomiei trebuie corelată cu existența prealabilă a infrastructurii informaționale și instituționale necesare, precum registre oficiale, baze de date, mecanisme de certificare și validare. În absența acestor instrumente, responsabilitatea demonstrării eligibilității și alinierii activităților va reveni implicit instituțiilor financiare, generând costuri suplimentare, întârzieri în procesul de creditare și riscuri de conformitate. </w:t>
            </w:r>
          </w:p>
          <w:p w14:paraId="70FEB9FF" w14:textId="784EAF07"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La nivel național nu există în prezent suficiente documente, certificate, rapoarte sau baze de date care să permită demonstrarea conformității unei activități cu cerințele taxonomiei. Lipsa acestor instrumente ar îngreuna semnificativ aplicarea DNSH și MSS.</w:t>
            </w:r>
          </w:p>
        </w:tc>
        <w:tc>
          <w:tcPr>
            <w:tcW w:w="1458" w:type="pct"/>
          </w:tcPr>
          <w:p w14:paraId="36913229" w14:textId="77777777" w:rsidR="008F08AE" w:rsidRPr="004E67A3" w:rsidRDefault="008F08AE" w:rsidP="00B00154">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773259B4" w14:textId="074FC20A" w:rsidR="008F08AE" w:rsidRPr="008311F2" w:rsidRDefault="008F08AE" w:rsidP="00B00154">
            <w:pPr>
              <w:jc w:val="both"/>
              <w:rPr>
                <w:rFonts w:ascii="Times New Roman" w:eastAsia="Calibri" w:hAnsi="Times New Roman" w:cs="Times New Roman"/>
                <w:b/>
                <w:bCs/>
              </w:rPr>
            </w:pPr>
            <w:r>
              <w:rPr>
                <w:rFonts w:ascii="Times New Roman" w:hAnsi="Times New Roman" w:cs="Times New Roman"/>
              </w:rPr>
              <w:t>Întru asigurarea implementării prevederilor Taxonomiei și elaborarea cadrului normativ secundar necesar s-a stabilit că proiectul de act normativ va intra în vigoare în termen de 12 luni de la publicare, termen în care autoritățile de resort vor veni cu ajustările și elaborările de rigoare (fapt specificat la pct. 8 și 9 din nota de fundamentare).</w:t>
            </w:r>
            <w:r w:rsidRPr="00BD663D">
              <w:rPr>
                <w:rFonts w:ascii="Times New Roman" w:hAnsi="Times New Roman" w:cs="Times New Roman"/>
              </w:rPr>
              <w:t xml:space="preserve"> </w:t>
            </w:r>
          </w:p>
        </w:tc>
      </w:tr>
      <w:tr w:rsidR="008F08AE" w:rsidRPr="00882F72" w14:paraId="31FF4EA2" w14:textId="77777777" w:rsidTr="00F968A9">
        <w:tc>
          <w:tcPr>
            <w:tcW w:w="797" w:type="pct"/>
            <w:vMerge/>
          </w:tcPr>
          <w:p w14:paraId="2000528B"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5A86AC21"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54D7239D" w14:textId="0E7E3055"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În ceea ce privește implementarea criteriului „Do No </w:t>
            </w:r>
            <w:proofErr w:type="spellStart"/>
            <w:r w:rsidRPr="00EB0784">
              <w:rPr>
                <w:rFonts w:ascii="Times New Roman" w:eastAsia="Times New Roman" w:hAnsi="Times New Roman"/>
                <w:lang w:val="ro-RO"/>
              </w:rPr>
              <w:t>Significant</w:t>
            </w:r>
            <w:proofErr w:type="spellEnd"/>
            <w:r w:rsidRPr="00EB0784">
              <w:rPr>
                <w:rFonts w:ascii="Times New Roman" w:eastAsia="Times New Roman" w:hAnsi="Times New Roman"/>
                <w:lang w:val="ro-RO"/>
              </w:rPr>
              <w:t xml:space="preserve"> </w:t>
            </w:r>
            <w:proofErr w:type="spellStart"/>
            <w:r w:rsidRPr="00EB0784">
              <w:rPr>
                <w:rFonts w:ascii="Times New Roman" w:eastAsia="Times New Roman" w:hAnsi="Times New Roman"/>
                <w:lang w:val="ro-RO"/>
              </w:rPr>
              <w:t>Harm</w:t>
            </w:r>
            <w:proofErr w:type="spellEnd"/>
            <w:r w:rsidRPr="00EB0784">
              <w:rPr>
                <w:rFonts w:ascii="Times New Roman" w:eastAsia="Times New Roman" w:hAnsi="Times New Roman"/>
                <w:lang w:val="ro-RO"/>
              </w:rPr>
              <w:t xml:space="preserve"> (DNSH)”, constatăm că proiectul nu conține o metodologie completă și operațională care să permită aplicarea uniformă a acestuia în practică. Lipsa unor proceduri clare privind evaluarea, validarea și documentarea conformității creează incertitudine atât pentru instituțiile financiare, cât și pentru beneficiarii finanțărilor. </w:t>
            </w:r>
          </w:p>
          <w:p w14:paraId="476B5CC3" w14:textId="11145A41"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În situația în care se intenționează aplicarea unei evaluări calitative a conformității DNSH, considerăm că aceasta ar trebui realizată de autoritățile publice competente (de exemplu, Ministerul Mediului sau Ministerul Infrastructurii și Dezvoltării Regionale), și nu delegată instituțiilor de credit. Clienții care solicită finanțări verzi ar trebui să dețină deja documentația necesară (autorizații, avize de mediu, aprobări relevante) care să confirme conformitatea activităților lor. O soluție practică ar putea fi instituirea unui certificat de conformitate DNSH emis de autoritatea competentă, cu valabilitate limitată (de exemplu, un an), pe o logică similară proceselor de tip KYC. În absența unei astfel de clarificări, transferarea responsabilității de evaluare către bănci ar conduce la prelungirea semnificativă a procesului de creditare și la deteriorarea experienței clienților, în condițiile în care instituțiile de credit nu dispun de capacități tehnice pentru evaluări specializate de mediu.</w:t>
            </w:r>
          </w:p>
        </w:tc>
        <w:tc>
          <w:tcPr>
            <w:tcW w:w="1458" w:type="pct"/>
          </w:tcPr>
          <w:p w14:paraId="2C1CC2D3" w14:textId="65DE2559" w:rsidR="008F08AE" w:rsidRPr="008311F2" w:rsidRDefault="008F08AE" w:rsidP="008311F2">
            <w:pPr>
              <w:rPr>
                <w:rFonts w:ascii="Times New Roman" w:hAnsi="Times New Roman" w:cs="Times New Roman"/>
                <w:b/>
                <w:bCs/>
              </w:rPr>
            </w:pPr>
            <w:r w:rsidRPr="008311F2">
              <w:rPr>
                <w:rFonts w:ascii="Times New Roman" w:hAnsi="Times New Roman" w:cs="Times New Roman"/>
                <w:b/>
                <w:bCs/>
              </w:rPr>
              <w:t xml:space="preserve">Se </w:t>
            </w:r>
            <w:r>
              <w:rPr>
                <w:rFonts w:ascii="Times New Roman" w:hAnsi="Times New Roman" w:cs="Times New Roman"/>
                <w:b/>
                <w:bCs/>
              </w:rPr>
              <w:t>acceptă parțial</w:t>
            </w:r>
          </w:p>
          <w:p w14:paraId="338DF075" w14:textId="77777777" w:rsidR="008F08AE" w:rsidRDefault="008F08AE" w:rsidP="00B00154">
            <w:pPr>
              <w:jc w:val="both"/>
            </w:pPr>
            <w:r w:rsidRPr="008311F2">
              <w:rPr>
                <w:rFonts w:ascii="Times New Roman" w:hAnsi="Times New Roman" w:cs="Times New Roman"/>
              </w:rPr>
              <w:t>Anexa nr.2 la proiectul Hotărârii privind Taxonomia include c</w:t>
            </w:r>
            <w:r w:rsidRPr="008311F2">
              <w:rPr>
                <w:rFonts w:ascii="Times New Roman" w:hAnsi="Times New Roman" w:cs="Times New Roman"/>
                <w:noProof/>
              </w:rPr>
              <w:t>riteriile tehnice de examinare pentru activități grupate pe obiective.</w:t>
            </w:r>
            <w:r>
              <w:t xml:space="preserve"> </w:t>
            </w:r>
          </w:p>
          <w:p w14:paraId="7CD27C81" w14:textId="1145C45B" w:rsidR="008F08AE" w:rsidRPr="008311F2" w:rsidRDefault="008F08AE" w:rsidP="00B00154">
            <w:pPr>
              <w:jc w:val="both"/>
              <w:rPr>
                <w:rFonts w:ascii="Times New Roman" w:eastAsia="Calibri" w:hAnsi="Times New Roman" w:cs="Times New Roman"/>
                <w:b/>
                <w:bCs/>
              </w:rPr>
            </w:pPr>
            <w:r w:rsidRPr="00B00154">
              <w:rPr>
                <w:rFonts w:ascii="Times New Roman" w:hAnsi="Times New Roman" w:cs="Times New Roman"/>
              </w:rPr>
              <w:t>De asemenea, î</w:t>
            </w:r>
            <w:r w:rsidRPr="00B00154">
              <w:rPr>
                <w:rFonts w:ascii="Times New Roman" w:hAnsi="Times New Roman" w:cs="Times New Roman"/>
                <w:noProof/>
              </w:rPr>
              <w:t>ntru asigurarea implementării prevederilor Taxonomiei și elaborarea cadrului normativ secundar necesar s-a stabilit că proiectul de act normativ va intra în vigoare în termen de 12 luni de la publicare, termen în care autoritățile de resort vor veni cu ajustările și elaborările de rigoare (fapt specificat la pct. 8 și 9 din nota de fundamentare).</w:t>
            </w:r>
          </w:p>
        </w:tc>
      </w:tr>
      <w:tr w:rsidR="008F08AE" w:rsidRPr="00882F72" w14:paraId="7541E66D" w14:textId="77777777" w:rsidTr="00F968A9">
        <w:tc>
          <w:tcPr>
            <w:tcW w:w="797" w:type="pct"/>
            <w:vMerge/>
          </w:tcPr>
          <w:p w14:paraId="14D23A29"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6AA9543C"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073BA2F1" w14:textId="1FEBEB25"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Considerații similare sunt valabile și pentru implementarea criteriilor „Minimum Social </w:t>
            </w:r>
            <w:proofErr w:type="spellStart"/>
            <w:r w:rsidRPr="00EB0784">
              <w:rPr>
                <w:rFonts w:ascii="Times New Roman" w:eastAsia="Times New Roman" w:hAnsi="Times New Roman"/>
                <w:lang w:val="ro-RO"/>
              </w:rPr>
              <w:t>Safeguards</w:t>
            </w:r>
            <w:proofErr w:type="spellEnd"/>
            <w:r w:rsidRPr="00EB0784">
              <w:rPr>
                <w:rFonts w:ascii="Times New Roman" w:eastAsia="Times New Roman" w:hAnsi="Times New Roman"/>
                <w:lang w:val="ro-RO"/>
              </w:rPr>
              <w:t xml:space="preserve"> (MSS)”. Verificarea respectării standardelor sociale ar trebui, de asemenea, realizată prin mecanisme instituționale clare, cu implicarea autorităților competente, iar clienții să prezinte confirmările relevante la momentul solicitării finanțării. În acest context, apreciem oportunitatea clarificării propunerii privind eventuala instituire a unei baze de date naționale deschise pentru verificarea conformării la MSS, menționată în anexele proiectului, inclusiv detalii privind funcționalitatea și responsabilitățile aferente. </w:t>
            </w:r>
          </w:p>
          <w:p w14:paraId="600E0053" w14:textId="4D729AC2"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Deși proiectul menționează aplicarea principiului proporționalității pentru IMM-uri și neaplicarea MSS gospodăriilor, lipsesc elementele practice care să permită aplicarea efectivă a acestor dispoziții. Nu sunt prevăzute criterii simplificate, praguri adaptate sau instrumente concrete de sprijin pentru IMM-uri, ceea ce poate transforma cerințele DNSH și MSS într-o barieră administrativă semnificativă pentru segmentul care constituie baza economiei naționale. În acest sens, reiterăm necesitatea elaborării unui </w:t>
            </w:r>
            <w:r w:rsidRPr="00EB0784">
              <w:rPr>
                <w:rFonts w:ascii="Times New Roman" w:eastAsia="Times New Roman" w:hAnsi="Times New Roman"/>
                <w:lang w:val="ro-RO"/>
              </w:rPr>
              <w:lastRenderedPageBreak/>
              <w:t>pachet simplificat pentru IMM-uri, care să includă formulare standardizate, ghiduri aplicabile, instruiri dedicate și acces la scheme de sprijin financiar sau tehnic.</w:t>
            </w:r>
          </w:p>
        </w:tc>
        <w:tc>
          <w:tcPr>
            <w:tcW w:w="1458" w:type="pct"/>
          </w:tcPr>
          <w:p w14:paraId="64A13D0C" w14:textId="77777777" w:rsidR="008F08AE" w:rsidRPr="008311F2" w:rsidRDefault="008F08AE" w:rsidP="00B2225F">
            <w:pPr>
              <w:rPr>
                <w:rFonts w:ascii="Times New Roman" w:hAnsi="Times New Roman" w:cs="Times New Roman"/>
                <w:b/>
                <w:bCs/>
              </w:rPr>
            </w:pPr>
            <w:r w:rsidRPr="008311F2">
              <w:rPr>
                <w:rFonts w:ascii="Times New Roman" w:hAnsi="Times New Roman" w:cs="Times New Roman"/>
                <w:b/>
                <w:bCs/>
              </w:rPr>
              <w:lastRenderedPageBreak/>
              <w:t xml:space="preserve">Se </w:t>
            </w:r>
            <w:r>
              <w:rPr>
                <w:rFonts w:ascii="Times New Roman" w:hAnsi="Times New Roman" w:cs="Times New Roman"/>
                <w:b/>
                <w:bCs/>
              </w:rPr>
              <w:t>acceptă parțial</w:t>
            </w:r>
          </w:p>
          <w:p w14:paraId="18AFE322" w14:textId="77777777" w:rsidR="008F08AE" w:rsidRDefault="008F08AE" w:rsidP="00B2225F">
            <w:pPr>
              <w:jc w:val="both"/>
            </w:pPr>
            <w:r w:rsidRPr="008311F2">
              <w:rPr>
                <w:rFonts w:ascii="Times New Roman" w:hAnsi="Times New Roman" w:cs="Times New Roman"/>
              </w:rPr>
              <w:t>Anexa nr.2 la proiectul Hotărârii privind Taxonomia include c</w:t>
            </w:r>
            <w:r w:rsidRPr="008311F2">
              <w:rPr>
                <w:rFonts w:ascii="Times New Roman" w:hAnsi="Times New Roman" w:cs="Times New Roman"/>
                <w:noProof/>
              </w:rPr>
              <w:t>riteriile tehnice de examinare pentru activități grupate pe obiective.</w:t>
            </w:r>
            <w:r>
              <w:t xml:space="preserve"> </w:t>
            </w:r>
          </w:p>
          <w:p w14:paraId="142F4A4B" w14:textId="2EA946CD" w:rsidR="008F08AE" w:rsidRPr="00882F72" w:rsidRDefault="008F08AE" w:rsidP="00B2225F">
            <w:pPr>
              <w:jc w:val="both"/>
              <w:rPr>
                <w:rFonts w:ascii="Times New Roman" w:eastAsia="Calibri" w:hAnsi="Times New Roman" w:cs="Times New Roman"/>
                <w:b/>
                <w:bCs/>
              </w:rPr>
            </w:pPr>
            <w:r w:rsidRPr="00B00154">
              <w:rPr>
                <w:rFonts w:ascii="Times New Roman" w:hAnsi="Times New Roman" w:cs="Times New Roman"/>
              </w:rPr>
              <w:t>De asemenea, î</w:t>
            </w:r>
            <w:r w:rsidRPr="00B00154">
              <w:rPr>
                <w:rFonts w:ascii="Times New Roman" w:hAnsi="Times New Roman" w:cs="Times New Roman"/>
                <w:noProof/>
              </w:rPr>
              <w:t>ntru asigurarea implementării prevederilor Taxonomiei și elaborarea cadrului normativ secundar necesar s-a stabilit că proiectul de act normativ va intra în vigoare în termen de 12 luni de la publicare, termen în care autoritățile de resort vor veni cu ajustările și elaborările de rigoare (fapt specificat la pct. 8 și 9 din nota de fundamentare).</w:t>
            </w:r>
          </w:p>
        </w:tc>
      </w:tr>
      <w:tr w:rsidR="008F08AE" w:rsidRPr="00882F72" w14:paraId="72EB2F31" w14:textId="77777777" w:rsidTr="00F968A9">
        <w:tc>
          <w:tcPr>
            <w:tcW w:w="797" w:type="pct"/>
            <w:vMerge/>
          </w:tcPr>
          <w:p w14:paraId="55C3E39D"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2AC9792"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56FFE5F6" w14:textId="2AD8623E"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Totodată, pentru ca mecanismul de certificare verde să fie funcțional din punct de vedere economic, este esențial ca procesul să fie atractiv, accesibil și aplicabil juridic. În absența unor mecanisme de stimulare (subvenții, garanții de stat, asistență tehnică sau alte facilități), clienții pot fi descurajați să opteze pentru finanțări verzi, iar băncile pot suporta costuri suplimentare de conformitate fără beneficii proporționale. Dacă obținerea documentelor necesare este excesiv de birocratică, iar cadrul legal nu stabilește obligații clare pentru beneficiari, riscurile de conformitate se transferă în mod disproporționat asupra instituțiilor financiare. </w:t>
            </w:r>
          </w:p>
        </w:tc>
        <w:tc>
          <w:tcPr>
            <w:tcW w:w="1458" w:type="pct"/>
          </w:tcPr>
          <w:p w14:paraId="527910B7" w14:textId="6881DDF3" w:rsidR="008F08AE" w:rsidRPr="008311F2" w:rsidRDefault="008F08AE" w:rsidP="00B2225F">
            <w:pPr>
              <w:rPr>
                <w:rFonts w:ascii="Times New Roman" w:hAnsi="Times New Roman" w:cs="Times New Roman"/>
                <w:b/>
                <w:bCs/>
              </w:rPr>
            </w:pPr>
            <w:r>
              <w:rPr>
                <w:rFonts w:ascii="Times New Roman" w:hAnsi="Times New Roman" w:cs="Times New Roman"/>
                <w:b/>
                <w:bCs/>
              </w:rPr>
              <w:t>Nu se acceptă.</w:t>
            </w:r>
          </w:p>
          <w:p w14:paraId="3225E5BC" w14:textId="49E87068" w:rsidR="008F08AE" w:rsidRPr="00882F72" w:rsidRDefault="008F08AE" w:rsidP="00B2225F">
            <w:pPr>
              <w:jc w:val="both"/>
              <w:rPr>
                <w:rFonts w:ascii="Times New Roman" w:eastAsia="Calibri" w:hAnsi="Times New Roman" w:cs="Times New Roman"/>
                <w:b/>
                <w:bCs/>
              </w:rPr>
            </w:pPr>
            <w:r>
              <w:rPr>
                <w:rFonts w:ascii="Times New Roman" w:hAnsi="Times New Roman" w:cs="Times New Roman"/>
              </w:rPr>
              <w:t xml:space="preserve">Eventualele subvenții, asistență tehnică sau alt tip de facilități nu constituie obiectul de reglementare al respectivului proiect de act normativ. Acesta </w:t>
            </w:r>
            <w:r w:rsidRPr="00B2225F">
              <w:rPr>
                <w:rFonts w:ascii="Times New Roman" w:hAnsi="Times New Roman" w:cs="Times New Roman"/>
              </w:rPr>
              <w:t>stabilește un cadru general privind activitățile economice ce se consideră durabile din punct de vedere al mediului.</w:t>
            </w:r>
            <w:r>
              <w:rPr>
                <w:rFonts w:ascii="Times New Roman" w:hAnsi="Times New Roman" w:cs="Times New Roman"/>
              </w:rPr>
              <w:t xml:space="preserve"> Aspectele date ar putea constitui subiect de discuții după finalizarea elaborării cadrului normativ secundar de punere în aplicare a prevederilor Taxonomiei.</w:t>
            </w:r>
          </w:p>
        </w:tc>
      </w:tr>
      <w:tr w:rsidR="008F08AE" w:rsidRPr="00882F72" w14:paraId="48747570" w14:textId="77777777" w:rsidTr="00F968A9">
        <w:tc>
          <w:tcPr>
            <w:tcW w:w="797" w:type="pct"/>
            <w:vMerge/>
          </w:tcPr>
          <w:p w14:paraId="302826AC"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6BADB2AF"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401906B5" w14:textId="7BF98B2F" w:rsidR="008F08AE" w:rsidRPr="00EB0784" w:rsidRDefault="008F08AE" w:rsidP="00AC5A28">
            <w:pPr>
              <w:ind w:left="-27"/>
              <w:jc w:val="both"/>
              <w:rPr>
                <w:rFonts w:ascii="Times New Roman" w:eastAsia="Times New Roman" w:hAnsi="Times New Roman" w:cs="Times New Roman"/>
                <w:lang w:val="ro-RO"/>
              </w:rPr>
            </w:pPr>
            <w:r w:rsidRPr="00EB0784">
              <w:rPr>
                <w:rFonts w:ascii="Times New Roman" w:eastAsia="Times New Roman" w:hAnsi="Times New Roman"/>
                <w:lang w:val="ro-RO"/>
              </w:rPr>
              <w:t xml:space="preserve">Considerăm esențială adoptarea unei abordări graduale și realiste de implementare a taxonomiei, adaptată contextului unei economii emergente. Pentru a evita blocarea creditării verzi, propunem aplicarea inițială exclusivă a criteriului „Contribuție substanțială”, urmând ca criteriile „Do No </w:t>
            </w:r>
            <w:proofErr w:type="spellStart"/>
            <w:r w:rsidRPr="00EB0784">
              <w:rPr>
                <w:rFonts w:ascii="Times New Roman" w:eastAsia="Times New Roman" w:hAnsi="Times New Roman"/>
                <w:lang w:val="ro-RO"/>
              </w:rPr>
              <w:t>Significant</w:t>
            </w:r>
            <w:proofErr w:type="spellEnd"/>
            <w:r w:rsidRPr="00EB0784">
              <w:rPr>
                <w:rFonts w:ascii="Times New Roman" w:eastAsia="Times New Roman" w:hAnsi="Times New Roman"/>
                <w:lang w:val="ro-RO"/>
              </w:rPr>
              <w:t xml:space="preserve"> </w:t>
            </w:r>
            <w:proofErr w:type="spellStart"/>
            <w:r w:rsidRPr="00EB0784">
              <w:rPr>
                <w:rFonts w:ascii="Times New Roman" w:eastAsia="Times New Roman" w:hAnsi="Times New Roman"/>
                <w:lang w:val="ro-RO"/>
              </w:rPr>
              <w:t>Harm</w:t>
            </w:r>
            <w:proofErr w:type="spellEnd"/>
            <w:r w:rsidRPr="00EB0784">
              <w:rPr>
                <w:rFonts w:ascii="Times New Roman" w:eastAsia="Times New Roman" w:hAnsi="Times New Roman"/>
                <w:lang w:val="ro-RO"/>
              </w:rPr>
              <w:t xml:space="preserve"> (DNSH)” și „Minimum Social </w:t>
            </w:r>
            <w:proofErr w:type="spellStart"/>
            <w:r w:rsidRPr="00EB0784">
              <w:rPr>
                <w:rFonts w:ascii="Times New Roman" w:eastAsia="Times New Roman" w:hAnsi="Times New Roman"/>
                <w:lang w:val="ro-RO"/>
              </w:rPr>
              <w:t>Safeguards</w:t>
            </w:r>
            <w:proofErr w:type="spellEnd"/>
            <w:r w:rsidRPr="00EB0784">
              <w:rPr>
                <w:rFonts w:ascii="Times New Roman" w:eastAsia="Times New Roman" w:hAnsi="Times New Roman"/>
                <w:lang w:val="ro-RO"/>
              </w:rPr>
              <w:t xml:space="preserve"> (MSS)” să fie introduse ulterior, după o perioadă de tranziție de minimum 18–24 luni. Aplicarea cumulativă și imediată a tuturor criteriilor, într-un cadru instituțional încă insuficient pregătit, riscă să reducă artificial volumul </w:t>
            </w:r>
            <w:r w:rsidRPr="00EB0784">
              <w:rPr>
                <w:rFonts w:ascii="Times New Roman" w:eastAsia="Times New Roman" w:hAnsi="Times New Roman" w:cs="Times New Roman"/>
                <w:lang w:val="ro-RO"/>
              </w:rPr>
              <w:t xml:space="preserve">activităților eligibile și al celor aliniate. În loc să stimuleze investițiile sustenabile, mecanismul ar putea limita creditarea verde și transforma taxonomia într-un exercițiu formal de conformitate, fără impact economic substanțial. </w:t>
            </w:r>
          </w:p>
          <w:p w14:paraId="1E3FF1F6" w14:textId="77777777" w:rsidR="008F08AE" w:rsidRPr="00EB0784" w:rsidRDefault="008F08AE" w:rsidP="00AC5A28">
            <w:pPr>
              <w:jc w:val="both"/>
              <w:rPr>
                <w:rFonts w:ascii="Times New Roman" w:hAnsi="Times New Roman" w:cs="Times New Roman"/>
                <w:color w:val="000000"/>
                <w:lang w:val="ro-RO"/>
              </w:rPr>
            </w:pPr>
            <w:r w:rsidRPr="00EB0784">
              <w:rPr>
                <w:rFonts w:ascii="Times New Roman" w:hAnsi="Times New Roman" w:cs="Times New Roman"/>
                <w:color w:val="000000"/>
                <w:lang w:val="ro-RO"/>
              </w:rPr>
              <w:t xml:space="preserve">Pentru ca taxonomia să fie realistă și operațională și să producă un impact pozitiv, este necesar ca aceasta să se concentreze, într-o primă etapă, pe activități clar identificabile și relevante pentru economia națională, precum energia regenerabilă, eficiența energetică a clădirilor și a proceselor industriale, reciclarea deșeurilor sau transportul verde, și să definească criterii concrete, bazate pe documente și mecanisme deja existente sau aflate în curs de instituire. O astfel de focalizare ar facilita aplicarea practică și ar contribui la creșterea graduală a volumului finanțărilor sustenabile. </w:t>
            </w:r>
          </w:p>
          <w:p w14:paraId="6682CBB2" w14:textId="77777777" w:rsidR="008F08AE" w:rsidRPr="00EB0784" w:rsidRDefault="008F08AE" w:rsidP="00AC5A28">
            <w:pPr>
              <w:jc w:val="both"/>
              <w:rPr>
                <w:rFonts w:ascii="Times New Roman" w:hAnsi="Times New Roman" w:cs="Times New Roman"/>
                <w:i/>
                <w:iCs/>
                <w:color w:val="000000"/>
                <w:lang w:val="ro-RO"/>
              </w:rPr>
            </w:pPr>
            <w:r w:rsidRPr="00EB0784">
              <w:rPr>
                <w:rFonts w:ascii="Times New Roman" w:hAnsi="Times New Roman" w:cs="Times New Roman"/>
                <w:i/>
                <w:iCs/>
                <w:color w:val="000000"/>
                <w:lang w:val="ro-RO"/>
              </w:rPr>
              <w:t>În practică, acest lucru înseamnă că, la început, atât activitățile „</w:t>
            </w:r>
            <w:proofErr w:type="spellStart"/>
            <w:r w:rsidRPr="00EB0784">
              <w:rPr>
                <w:rFonts w:ascii="Times New Roman" w:hAnsi="Times New Roman" w:cs="Times New Roman"/>
                <w:i/>
                <w:iCs/>
                <w:color w:val="000000"/>
                <w:lang w:val="ro-RO"/>
              </w:rPr>
              <w:t>Taxonomy-eligible</w:t>
            </w:r>
            <w:proofErr w:type="spellEnd"/>
            <w:r w:rsidRPr="00EB0784">
              <w:rPr>
                <w:rFonts w:ascii="Times New Roman" w:hAnsi="Times New Roman" w:cs="Times New Roman"/>
                <w:i/>
                <w:iCs/>
                <w:color w:val="000000"/>
                <w:lang w:val="ro-RO"/>
              </w:rPr>
              <w:t>” (eligibile conform taxonomiei), cât și cele în categoria de „</w:t>
            </w:r>
            <w:proofErr w:type="spellStart"/>
            <w:r w:rsidRPr="00EB0784">
              <w:rPr>
                <w:rFonts w:ascii="Times New Roman" w:hAnsi="Times New Roman" w:cs="Times New Roman"/>
                <w:i/>
                <w:iCs/>
                <w:color w:val="000000"/>
                <w:lang w:val="ro-RO"/>
              </w:rPr>
              <w:t>Taxonomy-aligned</w:t>
            </w:r>
            <w:proofErr w:type="spellEnd"/>
            <w:r w:rsidRPr="00EB0784">
              <w:rPr>
                <w:rFonts w:ascii="Times New Roman" w:hAnsi="Times New Roman" w:cs="Times New Roman"/>
                <w:i/>
                <w:iCs/>
                <w:color w:val="000000"/>
                <w:lang w:val="ro-RO"/>
              </w:rPr>
              <w:t>” (aliniate la taxonomie) ar putea fi clasificate ca investiții durabile din punct de vedere ecologic, în timp ce, după o perioadă de tranziție, numai „</w:t>
            </w:r>
            <w:proofErr w:type="spellStart"/>
            <w:r w:rsidRPr="00EB0784">
              <w:rPr>
                <w:rFonts w:ascii="Times New Roman" w:hAnsi="Times New Roman" w:cs="Times New Roman"/>
                <w:i/>
                <w:iCs/>
                <w:color w:val="000000"/>
                <w:lang w:val="ro-RO"/>
              </w:rPr>
              <w:t>Taxonomy-aligned</w:t>
            </w:r>
            <w:proofErr w:type="spellEnd"/>
            <w:r w:rsidRPr="00EB0784">
              <w:rPr>
                <w:rFonts w:ascii="Times New Roman" w:hAnsi="Times New Roman" w:cs="Times New Roman"/>
                <w:i/>
                <w:iCs/>
                <w:color w:val="000000"/>
                <w:lang w:val="ro-RO"/>
              </w:rPr>
              <w:t xml:space="preserve">” ar putea fi clasificate astfel. </w:t>
            </w:r>
          </w:p>
          <w:p w14:paraId="0CA3FF0A" w14:textId="77777777" w:rsidR="008F08AE" w:rsidRPr="00EB0784" w:rsidRDefault="008F08AE" w:rsidP="00AC5A28">
            <w:pPr>
              <w:jc w:val="both"/>
              <w:rPr>
                <w:rFonts w:ascii="Times New Roman" w:hAnsi="Times New Roman" w:cs="Times New Roman"/>
                <w:color w:val="000000"/>
                <w:lang w:val="ro-RO"/>
              </w:rPr>
            </w:pPr>
            <w:r w:rsidRPr="00EB0784">
              <w:rPr>
                <w:rFonts w:ascii="Times New Roman" w:hAnsi="Times New Roman" w:cs="Times New Roman"/>
                <w:color w:val="000000"/>
                <w:lang w:val="ro-RO"/>
              </w:rPr>
              <w:t xml:space="preserve">Motivul pentru care propunem un astfel de </w:t>
            </w:r>
            <w:proofErr w:type="spellStart"/>
            <w:r w:rsidRPr="00EB0784">
              <w:rPr>
                <w:rFonts w:ascii="Times New Roman" w:hAnsi="Times New Roman" w:cs="Times New Roman"/>
                <w:color w:val="000000"/>
                <w:lang w:val="ro-RO"/>
              </w:rPr>
              <w:t>timeline</w:t>
            </w:r>
            <w:proofErr w:type="spellEnd"/>
            <w:r w:rsidRPr="00EB0784">
              <w:rPr>
                <w:rFonts w:ascii="Times New Roman" w:hAnsi="Times New Roman" w:cs="Times New Roman"/>
                <w:color w:val="000000"/>
                <w:lang w:val="ro-RO"/>
              </w:rPr>
              <w:t xml:space="preserve"> este că în opinia noastră aceste cerințe, fără o pregătire adecvată atât din partea creditorilor, cât și a potențialilor beneficiari ai finanțării verzi, ar putea afecta creditarea sustenabilă într-o țară care abia începe tranziția verde. Legislația națională a Republicii Moldova nu este încă pe deplin aliniată la standardele UE, în special în ceea ce ține de alinierea la DNSH, iar băncile locale încă nu dispun de capacități tehnice interne pentru evaluări complexe. O </w:t>
            </w:r>
            <w:r w:rsidRPr="00EB0784">
              <w:rPr>
                <w:rFonts w:ascii="Times New Roman" w:hAnsi="Times New Roman" w:cs="Times New Roman"/>
                <w:color w:val="000000"/>
                <w:lang w:val="ro-RO"/>
              </w:rPr>
              <w:lastRenderedPageBreak/>
              <w:t xml:space="preserve">abordare graduală ar putea însă oferi timp întreprinderilor, băncilor și instituțiilor să se adapteze. Chiar și în țările membre ale UE care sunt mai avansate în procesul de tranziție verde, observăm cât de mare este portofoliul lor de împrumuturi eligibile conform taxonomiei în comparație cu portofoliile de împrumuturi strict aliniate la taxonomie. </w:t>
            </w:r>
          </w:p>
          <w:p w14:paraId="2135A1B9" w14:textId="77777777" w:rsidR="008F08AE" w:rsidRPr="00EB0784" w:rsidRDefault="008F08AE" w:rsidP="00AC5A28">
            <w:pPr>
              <w:jc w:val="both"/>
              <w:rPr>
                <w:rFonts w:ascii="Times New Roman" w:hAnsi="Times New Roman" w:cs="Times New Roman"/>
                <w:color w:val="000000"/>
                <w:lang w:val="ro-RO"/>
              </w:rPr>
            </w:pPr>
            <w:r w:rsidRPr="00EB0784">
              <w:rPr>
                <w:rFonts w:ascii="Times New Roman" w:hAnsi="Times New Roman" w:cs="Times New Roman"/>
                <w:color w:val="000000"/>
                <w:lang w:val="ro-RO"/>
              </w:rPr>
              <w:t xml:space="preserve">Începând cu 2024, băncile din UE trebuie să raporteze GAR ca indicator cheie de performanță (KPI) în rapoartele lor. Observăm însă din rapoartele lor provocări semnificative în alinierea la Taxonomie, reflectate în indicatori precum Green </w:t>
            </w:r>
            <w:proofErr w:type="spellStart"/>
            <w:r w:rsidRPr="00EB0784">
              <w:rPr>
                <w:rFonts w:ascii="Times New Roman" w:hAnsi="Times New Roman" w:cs="Times New Roman"/>
                <w:color w:val="000000"/>
                <w:lang w:val="ro-RO"/>
              </w:rPr>
              <w:t>Asset</w:t>
            </w:r>
            <w:proofErr w:type="spellEnd"/>
            <w:r w:rsidRPr="00EB0784">
              <w:rPr>
                <w:rFonts w:ascii="Times New Roman" w:hAnsi="Times New Roman" w:cs="Times New Roman"/>
                <w:color w:val="000000"/>
                <w:lang w:val="ro-RO"/>
              </w:rPr>
              <w:t xml:space="preserve"> </w:t>
            </w:r>
            <w:proofErr w:type="spellStart"/>
            <w:r w:rsidRPr="00EB0784">
              <w:rPr>
                <w:rFonts w:ascii="Times New Roman" w:hAnsi="Times New Roman" w:cs="Times New Roman"/>
                <w:color w:val="000000"/>
                <w:lang w:val="ro-RO"/>
              </w:rPr>
              <w:t>Ratio</w:t>
            </w:r>
            <w:proofErr w:type="spellEnd"/>
            <w:r w:rsidRPr="00EB0784">
              <w:rPr>
                <w:rFonts w:ascii="Times New Roman" w:hAnsi="Times New Roman" w:cs="Times New Roman"/>
                <w:color w:val="000000"/>
                <w:lang w:val="ro-RO"/>
              </w:rPr>
              <w:t xml:space="preserve"> (GAR) bazat pe </w:t>
            </w:r>
            <w:proofErr w:type="spellStart"/>
            <w:r w:rsidRPr="00EB0784">
              <w:rPr>
                <w:rFonts w:ascii="Times New Roman" w:hAnsi="Times New Roman" w:cs="Times New Roman"/>
                <w:color w:val="000000"/>
                <w:lang w:val="ro-RO"/>
              </w:rPr>
              <w:t>CapEX</w:t>
            </w:r>
            <w:proofErr w:type="spellEnd"/>
            <w:r w:rsidRPr="00EB0784">
              <w:rPr>
                <w:rFonts w:ascii="Times New Roman" w:hAnsi="Times New Roman" w:cs="Times New Roman"/>
                <w:color w:val="000000"/>
                <w:lang w:val="ro-RO"/>
              </w:rPr>
              <w:t xml:space="preserve"> (proporția activelor eligibile aliniate la Taxonomie din totalul activelor eligibile).</w:t>
            </w:r>
          </w:p>
          <w:p w14:paraId="0F60597F" w14:textId="14A1E0B1" w:rsidR="008F08AE" w:rsidRPr="00EB0784" w:rsidRDefault="008F08AE" w:rsidP="00AC5A28">
            <w:pPr>
              <w:jc w:val="both"/>
              <w:rPr>
                <w:rFonts w:ascii="Times New Roman" w:eastAsia="Times New Roman" w:hAnsi="Times New Roman" w:cs="Times New Roman"/>
                <w:lang w:val="ro-RO"/>
              </w:rPr>
            </w:pPr>
            <w:r w:rsidRPr="00EB0784">
              <w:rPr>
                <w:rFonts w:ascii="Times New Roman" w:eastAsia="Times New Roman" w:hAnsi="Times New Roman" w:cs="Times New Roman"/>
                <w:lang w:val="ro-RO"/>
              </w:rPr>
              <w:t>În cele din urmă, pe baza experienței sectorului bancar național în integrarea unui</w:t>
            </w:r>
            <w:r w:rsidRPr="00EB0784">
              <w:rPr>
                <w:rFonts w:ascii="Times New Roman" w:eastAsia="Times New Roman" w:hAnsi="Times New Roman"/>
                <w:lang w:val="ro-RO"/>
              </w:rPr>
              <w:t xml:space="preserve"> ESMS (</w:t>
            </w:r>
            <w:proofErr w:type="spellStart"/>
            <w:r w:rsidRPr="00EB0784">
              <w:rPr>
                <w:rFonts w:ascii="Times New Roman" w:eastAsia="Times New Roman" w:hAnsi="Times New Roman"/>
                <w:lang w:val="ro-RO"/>
              </w:rPr>
              <w:t>Environmental</w:t>
            </w:r>
            <w:proofErr w:type="spellEnd"/>
            <w:r w:rsidRPr="00EB0784">
              <w:rPr>
                <w:rFonts w:ascii="Times New Roman" w:eastAsia="Times New Roman" w:hAnsi="Times New Roman"/>
                <w:lang w:val="ro-RO"/>
              </w:rPr>
              <w:t xml:space="preserve"> </w:t>
            </w:r>
            <w:proofErr w:type="spellStart"/>
            <w:r w:rsidRPr="00EB0784">
              <w:rPr>
                <w:rFonts w:ascii="Times New Roman" w:eastAsia="Times New Roman" w:hAnsi="Times New Roman"/>
                <w:lang w:val="ro-RO"/>
              </w:rPr>
              <w:t>and</w:t>
            </w:r>
            <w:proofErr w:type="spellEnd"/>
            <w:r w:rsidRPr="00EB0784">
              <w:rPr>
                <w:rFonts w:ascii="Times New Roman" w:eastAsia="Times New Roman" w:hAnsi="Times New Roman"/>
                <w:lang w:val="ro-RO"/>
              </w:rPr>
              <w:t xml:space="preserve"> Social Management </w:t>
            </w:r>
            <w:proofErr w:type="spellStart"/>
            <w:r w:rsidRPr="00EB0784">
              <w:rPr>
                <w:rFonts w:ascii="Times New Roman" w:eastAsia="Times New Roman" w:hAnsi="Times New Roman"/>
                <w:lang w:val="ro-RO"/>
              </w:rPr>
              <w:t>System</w:t>
            </w:r>
            <w:proofErr w:type="spellEnd"/>
            <w:r w:rsidRPr="00EB0784">
              <w:rPr>
                <w:rFonts w:ascii="Times New Roman" w:eastAsia="Times New Roman" w:hAnsi="Times New Roman"/>
                <w:lang w:val="ro-RO"/>
              </w:rPr>
              <w:t>) atât în creditarea corporativă, cât și în cea pentru IMM-uri, care se suprapune parțial cu criteriile DNSH și se suprapune în mare măsură cu criteriile MSS, considerăm că introducerea acestei sarcini suplimentare va împiedica băncile să clasifice împrumuturile ca fiind verzi.</w:t>
            </w:r>
          </w:p>
        </w:tc>
        <w:tc>
          <w:tcPr>
            <w:tcW w:w="1458" w:type="pct"/>
          </w:tcPr>
          <w:p w14:paraId="0D63060E" w14:textId="1357279E" w:rsidR="008F08AE" w:rsidRDefault="008F08AE" w:rsidP="00B2225F">
            <w:pPr>
              <w:tabs>
                <w:tab w:val="left" w:pos="4753"/>
              </w:tabs>
              <w:ind w:right="21"/>
              <w:rPr>
                <w:rFonts w:ascii="Times New Roman" w:hAnsi="Times New Roman" w:cs="Times New Roman"/>
                <w:b/>
                <w:bCs/>
                <w:noProof/>
              </w:rPr>
            </w:pPr>
            <w:r>
              <w:rPr>
                <w:rFonts w:ascii="Times New Roman" w:hAnsi="Times New Roman" w:cs="Times New Roman"/>
                <w:b/>
                <w:bCs/>
                <w:noProof/>
              </w:rPr>
              <w:lastRenderedPageBreak/>
              <w:t>Se acceptă parțial.</w:t>
            </w:r>
          </w:p>
          <w:p w14:paraId="7D694F6E" w14:textId="77777777" w:rsidR="008F08AE" w:rsidRDefault="008F08AE" w:rsidP="00052440">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w:t>
            </w:r>
          </w:p>
          <w:p w14:paraId="4DF7B8AC" w14:textId="4000825E" w:rsidR="008F08AE" w:rsidRDefault="008F08AE" w:rsidP="00052440">
            <w:pPr>
              <w:jc w:val="both"/>
              <w:rPr>
                <w:rFonts w:ascii="Times New Roman" w:hAnsi="Times New Roman" w:cs="Times New Roman"/>
              </w:rPr>
            </w:pPr>
            <w:r>
              <w:rPr>
                <w:rFonts w:ascii="Times New Roman" w:hAnsi="Times New Roman" w:cs="Times New Roman"/>
              </w:rPr>
              <w:t xml:space="preserve">Totodată, prevederi specifice sectorului financiar, cum ar fi mod de aplicare, gradualitate, mecanism de raportare etc. urmează a fi stabilite și prevăzute ulterior aprobării proiectului dat, prin acte normative ale regulatorilor sectorului financiar (Banca Națională a Moldovei în cazul băncilor), acestea fiind cu aplicabilitate dedicată expres participanților pieței financiare. </w:t>
            </w:r>
          </w:p>
          <w:p w14:paraId="3E08EB3A" w14:textId="3F4ABC30" w:rsidR="008F08AE" w:rsidRDefault="008F08AE" w:rsidP="00052440">
            <w:pPr>
              <w:jc w:val="both"/>
              <w:rPr>
                <w:rFonts w:ascii="Times New Roman" w:hAnsi="Times New Roman" w:cs="Times New Roman"/>
              </w:rPr>
            </w:pPr>
            <w:r>
              <w:rPr>
                <w:rFonts w:ascii="Times New Roman" w:hAnsi="Times New Roman" w:cs="Times New Roman"/>
              </w:rPr>
              <w:t>Anume din acest considerent, proiectul prevede o perioadă de 12 luni din data publicării pentru intrarea în vigoare a acesteia.</w:t>
            </w:r>
          </w:p>
          <w:p w14:paraId="7E561BC6" w14:textId="77777777" w:rsidR="008F08AE" w:rsidRPr="00882F72" w:rsidRDefault="008F08AE" w:rsidP="000B3417">
            <w:pPr>
              <w:jc w:val="center"/>
              <w:rPr>
                <w:rFonts w:ascii="Times New Roman" w:eastAsia="Calibri" w:hAnsi="Times New Roman" w:cs="Times New Roman"/>
                <w:b/>
                <w:bCs/>
              </w:rPr>
            </w:pPr>
          </w:p>
        </w:tc>
      </w:tr>
      <w:tr w:rsidR="008F08AE" w:rsidRPr="00882F72" w14:paraId="251E056A" w14:textId="77777777" w:rsidTr="00F968A9">
        <w:tc>
          <w:tcPr>
            <w:tcW w:w="797" w:type="pct"/>
            <w:vMerge/>
          </w:tcPr>
          <w:p w14:paraId="70C6BB32"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5FE1E417" w14:textId="77777777" w:rsidR="008F08AE" w:rsidRDefault="008F08AE">
            <w:pPr>
              <w:pStyle w:val="ListParagraph"/>
              <w:numPr>
                <w:ilvl w:val="0"/>
                <w:numId w:val="6"/>
              </w:numPr>
              <w:ind w:left="256" w:hanging="283"/>
              <w:rPr>
                <w:rFonts w:ascii="Times New Roman" w:eastAsia="Times New Roman" w:hAnsi="Times New Roman"/>
                <w:i/>
                <w:iCs/>
                <w:lang w:val="ro-RO"/>
              </w:rPr>
            </w:pPr>
          </w:p>
        </w:tc>
        <w:tc>
          <w:tcPr>
            <w:tcW w:w="2505" w:type="pct"/>
          </w:tcPr>
          <w:p w14:paraId="19821A6A" w14:textId="7B3697B8"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i/>
                <w:iCs/>
                <w:lang w:val="ro-RO"/>
              </w:rPr>
              <w:t xml:space="preserve">Sectorul bancar întrevede riscuri semnificative în cazul menținerii termenului general </w:t>
            </w:r>
            <w:r w:rsidRPr="00EB0784">
              <w:rPr>
                <w:rFonts w:ascii="Times New Roman" w:eastAsia="Times New Roman" w:hAnsi="Times New Roman"/>
                <w:lang w:val="ro-RO"/>
              </w:rPr>
              <w:t xml:space="preserve">de „cel puțin 12 luni” prevăzut în proiect, care, în forma actuală, este insuficient pentru a permite o implementare coerentă, etapizată și sustenabilă a Taxonomiei. </w:t>
            </w:r>
          </w:p>
          <w:p w14:paraId="775E7892" w14:textId="77777777"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Documentul nu conține un calendar detaliat care să stabilească etape intermediare, termene clare și responsabilități instituționale bine definite. Nu sunt prevăzute explicit faze precum elaborarea normelor secundare, ghidurilor tehnice și organizarea instruirilor pentru instituțiile financiare, nici termene concrete pentru raportare, conformare și monitorizare. De asemenea, lipsește un mecanism etapizat de aplicare a criteriilor „</w:t>
            </w:r>
            <w:proofErr w:type="spellStart"/>
            <w:r w:rsidRPr="00EB0784">
              <w:rPr>
                <w:rFonts w:ascii="Times New Roman" w:eastAsia="Times New Roman" w:hAnsi="Times New Roman"/>
                <w:lang w:val="ro-RO"/>
              </w:rPr>
              <w:t>Substantial</w:t>
            </w:r>
            <w:proofErr w:type="spellEnd"/>
            <w:r w:rsidRPr="00EB0784">
              <w:rPr>
                <w:rFonts w:ascii="Times New Roman" w:eastAsia="Times New Roman" w:hAnsi="Times New Roman"/>
                <w:lang w:val="ro-RO"/>
              </w:rPr>
              <w:t xml:space="preserve"> </w:t>
            </w:r>
            <w:proofErr w:type="spellStart"/>
            <w:r w:rsidRPr="00EB0784">
              <w:rPr>
                <w:rFonts w:ascii="Times New Roman" w:eastAsia="Times New Roman" w:hAnsi="Times New Roman"/>
                <w:lang w:val="ro-RO"/>
              </w:rPr>
              <w:t>Contribution</w:t>
            </w:r>
            <w:proofErr w:type="spellEnd"/>
            <w:r w:rsidRPr="00EB0784">
              <w:rPr>
                <w:rFonts w:ascii="Times New Roman" w:eastAsia="Times New Roman" w:hAnsi="Times New Roman"/>
                <w:lang w:val="ro-RO"/>
              </w:rPr>
              <w:t xml:space="preserve">”, „DNSH” și „MSS”. </w:t>
            </w:r>
          </w:p>
          <w:p w14:paraId="3BE411FC" w14:textId="77777777"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În absența unui </w:t>
            </w:r>
            <w:proofErr w:type="spellStart"/>
            <w:r w:rsidRPr="00EB0784">
              <w:rPr>
                <w:rFonts w:ascii="Times New Roman" w:eastAsia="Times New Roman" w:hAnsi="Times New Roman"/>
                <w:lang w:val="ro-RO"/>
              </w:rPr>
              <w:t>roadmap</w:t>
            </w:r>
            <w:proofErr w:type="spellEnd"/>
            <w:r w:rsidRPr="00EB0784">
              <w:rPr>
                <w:rFonts w:ascii="Times New Roman" w:eastAsia="Times New Roman" w:hAnsi="Times New Roman"/>
                <w:lang w:val="ro-RO"/>
              </w:rPr>
              <w:t xml:space="preserve"> clar, atât mediul de afaceri, cât și sectorul bancar sunt expuse unor riscuri operaționale și sistemice. IMM-urile, care dispun de resurse administrative și tehnice limitate, pot întâmpina dificultăți majore în adaptarea accelerată la noile cerințe, ceea ce le poate restricționa accesul la finanțare sustenabilă. Pentru instituțiile de credit, o perioadă de tranziție insuficientă poate conduce la reducerea bazei de clienți eligibili, afectarea diversificării portofoliilor, creșterea riscului de concentrare și, în final, la deteriorarea calității activelor.</w:t>
            </w:r>
          </w:p>
          <w:p w14:paraId="6106F6CD" w14:textId="77777777"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lang w:val="ro-RO"/>
              </w:rPr>
              <w:t xml:space="preserve">Implementarea taxonomiei presupune ajustări substanțiale ale cadrului intern al băncilor – politici, metodologii, sisteme informatice, procese operaționale și mecanisme de raportare. Aceste ajustări necesită timp și coordonare. Un termen prea scurt poate genera riscuri cumulative și poate afecta capacitatea instituțiilor financiare de a susține în mod eficient economia reală în perioada de tranziție. </w:t>
            </w:r>
          </w:p>
          <w:p w14:paraId="130854CB" w14:textId="5A07319B" w:rsidR="008F08AE" w:rsidRPr="00EB0784" w:rsidRDefault="008F08AE" w:rsidP="00AC5A28">
            <w:pPr>
              <w:jc w:val="both"/>
              <w:rPr>
                <w:rFonts w:ascii="Times New Roman" w:eastAsia="Times New Roman" w:hAnsi="Times New Roman"/>
                <w:lang w:val="ro-RO"/>
              </w:rPr>
            </w:pPr>
            <w:r w:rsidRPr="00EB0784">
              <w:rPr>
                <w:rFonts w:ascii="Times New Roman" w:eastAsia="Times New Roman" w:hAnsi="Times New Roman"/>
                <w:i/>
                <w:iCs/>
                <w:lang w:val="ro-RO"/>
              </w:rPr>
              <w:t>În acest context, recomandăm elaborarea unei Foi de parcurs oficiale</w:t>
            </w:r>
            <w:r w:rsidRPr="00EB0784">
              <w:rPr>
                <w:rFonts w:ascii="Times New Roman" w:eastAsia="Times New Roman" w:hAnsi="Times New Roman"/>
                <w:lang w:val="ro-RO"/>
              </w:rPr>
              <w:t>, care să prevadă etape clare de implementare (de exemplu: T0 – publicare Regulament; T+6 luni – norme secundare și ghiduri tehnice; T+12 luni – raportare voluntară; T+24 luni – raportare obligatorie), precum și extinderea perioadei de tranziție la minimum 24 luni, pentru a asigura o aplicare graduală, predictibilă și sustenabilă a Taxonomiei.</w:t>
            </w:r>
          </w:p>
        </w:tc>
        <w:tc>
          <w:tcPr>
            <w:tcW w:w="1458" w:type="pct"/>
          </w:tcPr>
          <w:p w14:paraId="24633CF1" w14:textId="77777777" w:rsidR="008F08AE" w:rsidRDefault="008F08AE" w:rsidP="00383075">
            <w:pPr>
              <w:tabs>
                <w:tab w:val="left" w:pos="4753"/>
              </w:tabs>
              <w:ind w:right="21"/>
              <w:rPr>
                <w:rFonts w:ascii="Times New Roman" w:hAnsi="Times New Roman" w:cs="Times New Roman"/>
                <w:b/>
                <w:bCs/>
                <w:noProof/>
              </w:rPr>
            </w:pPr>
            <w:r>
              <w:rPr>
                <w:rFonts w:ascii="Times New Roman" w:hAnsi="Times New Roman" w:cs="Times New Roman"/>
                <w:b/>
                <w:bCs/>
                <w:noProof/>
              </w:rPr>
              <w:t>Se acceptă parțial.</w:t>
            </w:r>
          </w:p>
          <w:p w14:paraId="0E25AB31" w14:textId="77777777" w:rsidR="008F08AE" w:rsidRDefault="008F08AE" w:rsidP="00383075">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w:t>
            </w:r>
          </w:p>
          <w:p w14:paraId="56252EC5" w14:textId="77777777" w:rsidR="008F08AE" w:rsidRDefault="008F08AE" w:rsidP="00383075">
            <w:pPr>
              <w:jc w:val="both"/>
              <w:rPr>
                <w:rFonts w:ascii="Times New Roman" w:hAnsi="Times New Roman" w:cs="Times New Roman"/>
              </w:rPr>
            </w:pPr>
            <w:r>
              <w:rPr>
                <w:rFonts w:ascii="Times New Roman" w:hAnsi="Times New Roman" w:cs="Times New Roman"/>
              </w:rPr>
              <w:t xml:space="preserve">Totodată, prevederi specifice sectorului financiar, cum ar fi mod de aplicare, gradualitate, mecanism de raportare etc. urmează a fi stabilite și prevăzute ulterior aprobării proiectului dat, prin acte normative ale regulatorilor sectorului financiar (Banca Națională a Moldovei în cazul băncilor), acestea fiind cu aplicabilitate dedicată expres participanților pieței financiare. </w:t>
            </w:r>
          </w:p>
          <w:p w14:paraId="6B802FB4" w14:textId="77777777" w:rsidR="008F08AE" w:rsidRDefault="008F08AE" w:rsidP="00383075">
            <w:pPr>
              <w:jc w:val="both"/>
              <w:rPr>
                <w:rFonts w:ascii="Times New Roman" w:hAnsi="Times New Roman" w:cs="Times New Roman"/>
              </w:rPr>
            </w:pPr>
            <w:r>
              <w:rPr>
                <w:rFonts w:ascii="Times New Roman" w:hAnsi="Times New Roman" w:cs="Times New Roman"/>
              </w:rPr>
              <w:t>Anume din acest considerent, proiectul prevede o perioadă de 12 luni din data publicării pentru intrarea în vigoare a acesteia.</w:t>
            </w:r>
          </w:p>
          <w:p w14:paraId="41A9AB50" w14:textId="77777777" w:rsidR="008F08AE" w:rsidRPr="00882F72" w:rsidRDefault="008F08AE" w:rsidP="000B3417">
            <w:pPr>
              <w:jc w:val="center"/>
              <w:rPr>
                <w:rFonts w:ascii="Times New Roman" w:eastAsia="Calibri" w:hAnsi="Times New Roman" w:cs="Times New Roman"/>
                <w:b/>
                <w:bCs/>
              </w:rPr>
            </w:pPr>
          </w:p>
        </w:tc>
      </w:tr>
      <w:tr w:rsidR="008F08AE" w:rsidRPr="00882F72" w14:paraId="43F2D753" w14:textId="77777777" w:rsidTr="00F968A9">
        <w:tc>
          <w:tcPr>
            <w:tcW w:w="797" w:type="pct"/>
            <w:vMerge/>
          </w:tcPr>
          <w:p w14:paraId="598E48FE"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08EEB931"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429320B9" w14:textId="062390F2" w:rsidR="008F08AE" w:rsidRPr="00EB0784" w:rsidRDefault="008F08AE" w:rsidP="00AC5A28">
            <w:pPr>
              <w:ind w:left="-27"/>
              <w:jc w:val="both"/>
              <w:rPr>
                <w:rFonts w:ascii="Times New Roman" w:eastAsia="Times New Roman" w:hAnsi="Times New Roman"/>
                <w:lang w:val="ro-RO"/>
              </w:rPr>
            </w:pPr>
            <w:r w:rsidRPr="00EB0784">
              <w:rPr>
                <w:rFonts w:ascii="Times New Roman" w:eastAsia="Times New Roman" w:hAnsi="Times New Roman"/>
                <w:lang w:val="ro-RO"/>
              </w:rPr>
              <w:t xml:space="preserve">De asemenea, proiectul nu delimitează suficient responsabilitățile instituționale în procesul de implementare și supraveghere a taxonomiei. Nu este clar cine asigură monitorizarea continuă, cine aprobă metodologiile tehnice, cine validează raportările și cum este realizată coordonarea interinstituțională. În lipsa unui mecanism formal de coordonare, există riscul apariției unor interpretări divergente și a unei aplicări neuniforme la nivel de sistem. Considerăm oportună instituirea unui mecanism clar de coordonare interinstituțională, cu delimitarea explicită a competențelor (de exemplu: Ministerul Finanțelor – politici și reglementare; BNM – supraveghere bancară; CNPF – piața de capital; Ministerul Mediului – expertiză tehnică). </w:t>
            </w:r>
          </w:p>
        </w:tc>
        <w:tc>
          <w:tcPr>
            <w:tcW w:w="1458" w:type="pct"/>
          </w:tcPr>
          <w:p w14:paraId="628709B3" w14:textId="27B88EE2" w:rsidR="008F08AE" w:rsidRDefault="008F08AE" w:rsidP="008655D4">
            <w:pPr>
              <w:rPr>
                <w:rFonts w:ascii="Times New Roman" w:eastAsia="Calibri" w:hAnsi="Times New Roman" w:cs="Times New Roman"/>
                <w:b/>
                <w:bCs/>
              </w:rPr>
            </w:pPr>
            <w:r>
              <w:rPr>
                <w:rFonts w:ascii="Times New Roman" w:eastAsia="Calibri" w:hAnsi="Times New Roman" w:cs="Times New Roman"/>
                <w:b/>
                <w:bCs/>
              </w:rPr>
              <w:t>Se acceptă parțial.</w:t>
            </w:r>
          </w:p>
          <w:p w14:paraId="6E4E2B79" w14:textId="6D8A72B6" w:rsidR="008F08AE" w:rsidRPr="00383075" w:rsidRDefault="008F08AE" w:rsidP="00383075">
            <w:pPr>
              <w:jc w:val="both"/>
              <w:rPr>
                <w:rFonts w:ascii="Times New Roman" w:eastAsia="Calibri" w:hAnsi="Times New Roman" w:cs="Times New Roman"/>
                <w:bCs/>
              </w:rPr>
            </w:pPr>
            <w:r>
              <w:rPr>
                <w:rFonts w:ascii="Times New Roman" w:eastAsia="Calibri" w:hAnsi="Times New Roman" w:cs="Times New Roman"/>
                <w:bCs/>
              </w:rPr>
              <w:t>Pentru punerea în aplicare a prevederilor Taxonomiei, în termen de 12 luni de la publicarea acesteia, autoritățile, conform competențelor sale, vor veni cu ajustări și elaborări de cadru normativ secundar necesar punerii în aplicare a prevederilor Taxonomiei.</w:t>
            </w:r>
          </w:p>
          <w:p w14:paraId="215B3AFE" w14:textId="12019A3E" w:rsidR="008F08AE" w:rsidRPr="00882F72" w:rsidRDefault="008F08AE" w:rsidP="00DA3B4E">
            <w:pPr>
              <w:ind w:left="-27"/>
              <w:rPr>
                <w:rFonts w:ascii="Times New Roman" w:eastAsia="Calibri" w:hAnsi="Times New Roman" w:cs="Times New Roman"/>
                <w:b/>
                <w:bCs/>
              </w:rPr>
            </w:pPr>
          </w:p>
        </w:tc>
      </w:tr>
      <w:tr w:rsidR="008F08AE" w:rsidRPr="00882F72" w14:paraId="7A27EDD2" w14:textId="77777777" w:rsidTr="00F968A9">
        <w:tc>
          <w:tcPr>
            <w:tcW w:w="797" w:type="pct"/>
            <w:vMerge/>
          </w:tcPr>
          <w:p w14:paraId="4E755585"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065EA4E3"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49378CB5" w14:textId="77777777" w:rsidR="008F08AE" w:rsidRPr="00F94630" w:rsidRDefault="008F08AE" w:rsidP="00AC5A28">
            <w:pPr>
              <w:jc w:val="both"/>
              <w:rPr>
                <w:rFonts w:ascii="Times New Roman" w:eastAsia="Times New Roman" w:hAnsi="Times New Roman"/>
                <w:lang w:val="ro-RO"/>
              </w:rPr>
            </w:pPr>
            <w:r w:rsidRPr="00F94630">
              <w:rPr>
                <w:rFonts w:ascii="Times New Roman" w:eastAsia="Times New Roman" w:hAnsi="Times New Roman"/>
                <w:lang w:val="ro-RO"/>
              </w:rPr>
              <w:t>În ceea ce privește unele clauze concrete din conținutul taxonomiei, comunicăm următoarele observații:</w:t>
            </w:r>
          </w:p>
          <w:p w14:paraId="731DE301" w14:textId="77777777" w:rsidR="008F08AE" w:rsidRPr="00CD79F0" w:rsidRDefault="008F08AE" w:rsidP="00AC5A28">
            <w:pPr>
              <w:jc w:val="both"/>
              <w:rPr>
                <w:rFonts w:ascii="Times New Roman" w:eastAsia="Times New Roman" w:hAnsi="Times New Roman"/>
                <w:b/>
                <w:bCs/>
                <w:lang w:val="ro-RO"/>
              </w:rPr>
            </w:pPr>
            <w:r w:rsidRPr="00CD79F0">
              <w:rPr>
                <w:rFonts w:ascii="Times New Roman" w:eastAsia="Times New Roman" w:hAnsi="Times New Roman"/>
                <w:b/>
                <w:bCs/>
                <w:lang w:val="ro-RO"/>
              </w:rPr>
              <w:t xml:space="preserve">Clasificarea clădirilor verzi </w:t>
            </w:r>
          </w:p>
          <w:p w14:paraId="5C9A82BD" w14:textId="77777777" w:rsidR="008F08AE" w:rsidRDefault="008F08AE" w:rsidP="00AC5A28">
            <w:pPr>
              <w:pStyle w:val="ListParagraph"/>
              <w:jc w:val="both"/>
              <w:rPr>
                <w:rFonts w:ascii="Times New Roman" w:eastAsia="Times New Roman" w:hAnsi="Times New Roman"/>
                <w:lang w:val="ro-RO"/>
              </w:rPr>
            </w:pPr>
            <w:r w:rsidRPr="00F94630">
              <w:rPr>
                <w:rFonts w:ascii="Times New Roman" w:eastAsia="Times New Roman" w:hAnsi="Times New Roman"/>
                <w:lang w:val="ro-RO"/>
              </w:rPr>
              <w:t xml:space="preserve">În urma analizei prevederilor transmise aferente activităților 7.2–7.7 din domeniul construcțiilor, renovărilor și instalării de echipamente pentru eficiență energetică și energie regenerabilă, considerăm că există lipsă de claritate în ceea ce privește metoda de clasificare a clădirilor ca fiind „verzi” sau conforme criteriilor de durabilitate (sustenabilitate). </w:t>
            </w:r>
          </w:p>
          <w:p w14:paraId="2E9683B9" w14:textId="77777777" w:rsidR="008F08AE" w:rsidRPr="00F94630" w:rsidRDefault="008F08AE" w:rsidP="00AC5A28">
            <w:pPr>
              <w:jc w:val="both"/>
              <w:rPr>
                <w:rFonts w:ascii="Times New Roman" w:eastAsia="Times New Roman" w:hAnsi="Times New Roman"/>
                <w:lang w:val="ro-RO"/>
              </w:rPr>
            </w:pPr>
            <w:r w:rsidRPr="00F94630">
              <w:rPr>
                <w:rFonts w:ascii="Times New Roman" w:eastAsia="Times New Roman" w:hAnsi="Times New Roman"/>
                <w:lang w:val="ro-RO"/>
              </w:rPr>
              <w:t xml:space="preserve">Mai exact: </w:t>
            </w:r>
          </w:p>
          <w:p w14:paraId="5F481BBC" w14:textId="77777777" w:rsidR="008F08AE" w:rsidRDefault="008F08AE">
            <w:pPr>
              <w:pStyle w:val="ListParagraph"/>
              <w:numPr>
                <w:ilvl w:val="0"/>
                <w:numId w:val="7"/>
              </w:numPr>
              <w:jc w:val="both"/>
              <w:rPr>
                <w:rFonts w:ascii="Times New Roman" w:eastAsia="Times New Roman" w:hAnsi="Times New Roman"/>
                <w:lang w:val="ro-RO"/>
              </w:rPr>
            </w:pPr>
            <w:r w:rsidRPr="00F94630">
              <w:rPr>
                <w:rFonts w:ascii="Times New Roman" w:eastAsia="Times New Roman" w:hAnsi="Times New Roman"/>
                <w:i/>
                <w:iCs/>
                <w:lang w:val="ro-RO"/>
              </w:rPr>
              <w:t xml:space="preserve">Nu este specificat un mecanism oficial de evaluare și clasificare a clădirilor ca fiind „verzi”, </w:t>
            </w:r>
            <w:r w:rsidRPr="00F94630">
              <w:rPr>
                <w:rFonts w:ascii="Times New Roman" w:eastAsia="Times New Roman" w:hAnsi="Times New Roman"/>
                <w:lang w:val="ro-RO"/>
              </w:rPr>
              <w:t xml:space="preserve">în sensul taxonomiei sau al altor standarde recunoscute la nivel național/internațional; </w:t>
            </w:r>
          </w:p>
          <w:p w14:paraId="6C5CD8BB" w14:textId="77777777" w:rsidR="008F08AE" w:rsidRDefault="008F08AE">
            <w:pPr>
              <w:pStyle w:val="ListParagraph"/>
              <w:numPr>
                <w:ilvl w:val="0"/>
                <w:numId w:val="7"/>
              </w:numPr>
              <w:jc w:val="both"/>
              <w:rPr>
                <w:rFonts w:ascii="Times New Roman" w:eastAsia="Times New Roman" w:hAnsi="Times New Roman"/>
                <w:lang w:val="ro-RO"/>
              </w:rPr>
            </w:pPr>
            <w:r w:rsidRPr="00F94630">
              <w:rPr>
                <w:rFonts w:ascii="Times New Roman" w:eastAsia="Times New Roman" w:hAnsi="Times New Roman"/>
                <w:i/>
                <w:iCs/>
                <w:lang w:val="ro-RO"/>
              </w:rPr>
              <w:t xml:space="preserve">Nu este indicată autoritatea competentă sau entitatea acreditată </w:t>
            </w:r>
            <w:r w:rsidRPr="00F94630">
              <w:rPr>
                <w:rFonts w:ascii="Times New Roman" w:eastAsia="Times New Roman" w:hAnsi="Times New Roman"/>
                <w:lang w:val="ro-RO"/>
              </w:rPr>
              <w:t xml:space="preserve">care ar avea responsabilitatea, împuternicirea și expertiza necesară pentru a emite astfel de calificative; </w:t>
            </w:r>
          </w:p>
          <w:p w14:paraId="55639741" w14:textId="42F8B3D0" w:rsidR="008F08AE" w:rsidRPr="00CD79F0" w:rsidRDefault="008F08AE">
            <w:pPr>
              <w:pStyle w:val="ListParagraph"/>
              <w:numPr>
                <w:ilvl w:val="0"/>
                <w:numId w:val="7"/>
              </w:numPr>
              <w:jc w:val="both"/>
              <w:rPr>
                <w:rFonts w:ascii="Times New Roman" w:eastAsia="Times New Roman" w:hAnsi="Times New Roman"/>
                <w:lang w:val="ro-RO"/>
              </w:rPr>
            </w:pPr>
            <w:r w:rsidRPr="00F94630">
              <w:rPr>
                <w:rFonts w:ascii="Times New Roman" w:eastAsia="Times New Roman" w:hAnsi="Times New Roman"/>
                <w:lang w:val="ro-RO"/>
              </w:rPr>
              <w:t xml:space="preserve">În lipsa cadrului metodologic și instituțional clar, există </w:t>
            </w:r>
            <w:r w:rsidRPr="00F94630">
              <w:rPr>
                <w:rFonts w:ascii="Times New Roman" w:eastAsia="Times New Roman" w:hAnsi="Times New Roman"/>
                <w:i/>
                <w:iCs/>
                <w:lang w:val="ro-RO"/>
              </w:rPr>
              <w:t xml:space="preserve">riscul unei aplicări neunitare </w:t>
            </w:r>
            <w:r w:rsidRPr="00F94630">
              <w:rPr>
                <w:rFonts w:ascii="Times New Roman" w:eastAsia="Times New Roman" w:hAnsi="Times New Roman"/>
                <w:lang w:val="ro-RO"/>
              </w:rPr>
              <w:t xml:space="preserve">sau chiar arbitrare a criteriilor, cu posibile divergente pentru raportarea activităților eligibile și alinierea la cerințele de sustenabilitate. </w:t>
            </w:r>
            <w:r w:rsidRPr="00CD79F0">
              <w:rPr>
                <w:rFonts w:ascii="Times New Roman" w:eastAsia="Times New Roman" w:hAnsi="Times New Roman"/>
                <w:lang w:val="ro-RO"/>
              </w:rPr>
              <w:t xml:space="preserve">În acest context, solicităm clarificarea următoarelor aspecte esențiale: </w:t>
            </w:r>
          </w:p>
          <w:p w14:paraId="68AE86C1" w14:textId="77777777" w:rsidR="008F08AE" w:rsidRDefault="008F08AE">
            <w:pPr>
              <w:pStyle w:val="ListParagraph"/>
              <w:numPr>
                <w:ilvl w:val="0"/>
                <w:numId w:val="7"/>
              </w:numPr>
              <w:jc w:val="both"/>
              <w:rPr>
                <w:rFonts w:ascii="Times New Roman" w:eastAsia="Times New Roman" w:hAnsi="Times New Roman"/>
                <w:lang w:val="ro-RO"/>
              </w:rPr>
            </w:pPr>
            <w:r w:rsidRPr="00F94630">
              <w:rPr>
                <w:rFonts w:ascii="Times New Roman" w:eastAsia="Times New Roman" w:hAnsi="Times New Roman"/>
                <w:b/>
                <w:bCs/>
                <w:lang w:val="ro-RO"/>
              </w:rPr>
              <w:t xml:space="preserve">Cine are competența legală și tehnică </w:t>
            </w:r>
            <w:r w:rsidRPr="00F94630">
              <w:rPr>
                <w:rFonts w:ascii="Times New Roman" w:eastAsia="Times New Roman" w:hAnsi="Times New Roman"/>
                <w:lang w:val="ro-RO"/>
              </w:rPr>
              <w:t xml:space="preserve">de a emite sau valida o clasificare a clădirilor ca fiind ”verzi” sau conforme taxonomiei – instituții publice, experți acreditați, organisme de certificare? </w:t>
            </w:r>
          </w:p>
          <w:p w14:paraId="0A749AC5" w14:textId="77777777" w:rsidR="008F08AE" w:rsidRDefault="008F08AE">
            <w:pPr>
              <w:pStyle w:val="ListParagraph"/>
              <w:numPr>
                <w:ilvl w:val="0"/>
                <w:numId w:val="7"/>
              </w:numPr>
              <w:jc w:val="both"/>
              <w:rPr>
                <w:rFonts w:ascii="Times New Roman" w:eastAsia="Times New Roman" w:hAnsi="Times New Roman"/>
                <w:lang w:val="ro-RO"/>
              </w:rPr>
            </w:pPr>
            <w:r w:rsidRPr="00F94630">
              <w:rPr>
                <w:rFonts w:ascii="Times New Roman" w:eastAsia="Times New Roman" w:hAnsi="Times New Roman"/>
                <w:lang w:val="ro-RO"/>
              </w:rPr>
              <w:t xml:space="preserve">Care sunt </w:t>
            </w:r>
            <w:r w:rsidRPr="00F94630">
              <w:rPr>
                <w:rFonts w:ascii="Times New Roman" w:eastAsia="Times New Roman" w:hAnsi="Times New Roman"/>
                <w:b/>
                <w:bCs/>
                <w:lang w:val="ro-RO"/>
              </w:rPr>
              <w:t xml:space="preserve">criteriile aplicabile în practică </w:t>
            </w:r>
            <w:r w:rsidRPr="00F94630">
              <w:rPr>
                <w:rFonts w:ascii="Times New Roman" w:eastAsia="Times New Roman" w:hAnsi="Times New Roman"/>
                <w:lang w:val="ro-RO"/>
              </w:rPr>
              <w:t xml:space="preserve">(ex. reducerea cererii de energie primară cu 30%, clasa EPC A, B etc.) și cum se documentează/compară acestea cu stocul național de clădiri? </w:t>
            </w:r>
          </w:p>
          <w:p w14:paraId="36622653" w14:textId="77777777" w:rsidR="008F08AE" w:rsidRDefault="008F08AE">
            <w:pPr>
              <w:pStyle w:val="ListParagraph"/>
              <w:numPr>
                <w:ilvl w:val="0"/>
                <w:numId w:val="7"/>
              </w:numPr>
              <w:jc w:val="both"/>
              <w:rPr>
                <w:rFonts w:ascii="Times New Roman" w:eastAsia="Times New Roman" w:hAnsi="Times New Roman"/>
                <w:lang w:val="ro-RO"/>
              </w:rPr>
            </w:pPr>
            <w:r w:rsidRPr="00F94630">
              <w:rPr>
                <w:rFonts w:ascii="Times New Roman" w:eastAsia="Times New Roman" w:hAnsi="Times New Roman"/>
                <w:lang w:val="ro-RO"/>
              </w:rPr>
              <w:t xml:space="preserve">Există intenția de a </w:t>
            </w:r>
            <w:r w:rsidRPr="00F94630">
              <w:rPr>
                <w:rFonts w:ascii="Times New Roman" w:eastAsia="Times New Roman" w:hAnsi="Times New Roman"/>
                <w:b/>
                <w:bCs/>
                <w:lang w:val="ro-RO"/>
              </w:rPr>
              <w:t xml:space="preserve">institui un registru public </w:t>
            </w:r>
            <w:r w:rsidRPr="00F94630">
              <w:rPr>
                <w:rFonts w:ascii="Times New Roman" w:eastAsia="Times New Roman" w:hAnsi="Times New Roman"/>
                <w:lang w:val="ro-RO"/>
              </w:rPr>
              <w:t xml:space="preserve">sau un sistem oficial pentru evidența clădirilor durabile/„verzi”? </w:t>
            </w:r>
          </w:p>
          <w:p w14:paraId="77E85C92" w14:textId="29CBFCFA" w:rsidR="008F08AE" w:rsidRPr="00EB0784" w:rsidRDefault="008F08AE" w:rsidP="00AC5A28">
            <w:pPr>
              <w:jc w:val="both"/>
              <w:rPr>
                <w:rFonts w:ascii="Times New Roman" w:eastAsia="Times New Roman" w:hAnsi="Times New Roman"/>
                <w:lang w:val="ro-RO"/>
              </w:rPr>
            </w:pPr>
            <w:r w:rsidRPr="00F94630">
              <w:rPr>
                <w:rFonts w:ascii="Times New Roman" w:eastAsia="Times New Roman" w:hAnsi="Times New Roman"/>
                <w:lang w:val="ro-RO"/>
              </w:rPr>
              <w:t xml:space="preserve">Considerăm esențială furnizarea unui cadru normativ și operațional clar pentru a putea aplica unitar și justificat criteriile taxonomiei verzi. </w:t>
            </w:r>
          </w:p>
        </w:tc>
        <w:tc>
          <w:tcPr>
            <w:tcW w:w="1458" w:type="pct"/>
          </w:tcPr>
          <w:p w14:paraId="07593FFB" w14:textId="6F4B1581" w:rsidR="008F08AE" w:rsidRPr="008655D4" w:rsidRDefault="008F08AE" w:rsidP="008655D4">
            <w:pPr>
              <w:rPr>
                <w:rFonts w:ascii="Times New Roman" w:hAnsi="Times New Roman" w:cs="Times New Roman"/>
                <w:b/>
                <w:bCs/>
              </w:rPr>
            </w:pPr>
            <w:r w:rsidRPr="008655D4">
              <w:rPr>
                <w:rFonts w:ascii="Times New Roman" w:hAnsi="Times New Roman" w:cs="Times New Roman"/>
                <w:b/>
                <w:bCs/>
              </w:rPr>
              <w:t xml:space="preserve">Se </w:t>
            </w:r>
            <w:r>
              <w:rPr>
                <w:rFonts w:ascii="Times New Roman" w:hAnsi="Times New Roman" w:cs="Times New Roman"/>
                <w:b/>
                <w:bCs/>
              </w:rPr>
              <w:t>acceptă parțial.</w:t>
            </w:r>
          </w:p>
          <w:p w14:paraId="4D8BC9EA" w14:textId="793DE0D8" w:rsidR="008F08AE" w:rsidRPr="008655D4" w:rsidRDefault="008F08AE" w:rsidP="00383075">
            <w:pPr>
              <w:jc w:val="both"/>
              <w:rPr>
                <w:rFonts w:ascii="Times New Roman" w:hAnsi="Times New Roman" w:cs="Times New Roman"/>
              </w:rPr>
            </w:pPr>
            <w:r w:rsidRPr="008655D4">
              <w:rPr>
                <w:rFonts w:ascii="Times New Roman" w:hAnsi="Times New Roman" w:cs="Times New Roman"/>
              </w:rPr>
              <w:t>Mecanismul oficial/autoritatea competentă sau entitatea acreditată care are responsabilitatea, împuternicirea și expertiza necesare pentru implementarea cerințelor taxonomiei de contribuție substanțială sunt specificate în coloana „Acte normative conexe și standarde intern</w:t>
            </w:r>
            <w:r>
              <w:rPr>
                <w:rFonts w:ascii="Times New Roman" w:hAnsi="Times New Roman" w:cs="Times New Roman"/>
              </w:rPr>
              <w:t>aționale” (anexa nr.1 a proiectului, rubrica nr.4).</w:t>
            </w:r>
          </w:p>
          <w:p w14:paraId="28345184" w14:textId="77777777" w:rsidR="008F08AE" w:rsidRPr="00882F72" w:rsidRDefault="008F08AE" w:rsidP="000B3417">
            <w:pPr>
              <w:jc w:val="center"/>
              <w:rPr>
                <w:rFonts w:ascii="Times New Roman" w:eastAsia="Calibri" w:hAnsi="Times New Roman" w:cs="Times New Roman"/>
                <w:b/>
                <w:bCs/>
              </w:rPr>
            </w:pPr>
          </w:p>
        </w:tc>
      </w:tr>
      <w:tr w:rsidR="008F08AE" w:rsidRPr="00882F72" w14:paraId="101E23B4" w14:textId="77777777" w:rsidTr="00F968A9">
        <w:tc>
          <w:tcPr>
            <w:tcW w:w="797" w:type="pct"/>
            <w:vMerge/>
          </w:tcPr>
          <w:p w14:paraId="58AABAC2"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8CB8177"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223275AB" w14:textId="23FCEB6D" w:rsidR="008F08AE" w:rsidRPr="00CD79F0" w:rsidRDefault="008F08AE" w:rsidP="00AC5A28">
            <w:pPr>
              <w:jc w:val="both"/>
              <w:rPr>
                <w:rFonts w:ascii="Times New Roman" w:eastAsia="Times New Roman" w:hAnsi="Times New Roman"/>
                <w:lang w:val="ro-RO"/>
              </w:rPr>
            </w:pPr>
            <w:r w:rsidRPr="00CD79F0">
              <w:rPr>
                <w:rFonts w:ascii="Times New Roman" w:eastAsia="Times New Roman" w:hAnsi="Times New Roman"/>
                <w:b/>
                <w:bCs/>
                <w:lang w:val="ro-RO"/>
              </w:rPr>
              <w:t xml:space="preserve">Necesitatea unei definiții detaliate pentru „Adaptarea la schimbările climatice”. </w:t>
            </w:r>
            <w:r w:rsidRPr="00CD79F0">
              <w:rPr>
                <w:rFonts w:ascii="Times New Roman" w:eastAsia="Times New Roman" w:hAnsi="Times New Roman"/>
                <w:lang w:val="ro-RO"/>
              </w:rPr>
              <w:t xml:space="preserve">Actuala formulare este generală și nu descrie explicit tipurile de măsuri, eforturi sau </w:t>
            </w:r>
            <w:r w:rsidRPr="00CD79F0">
              <w:rPr>
                <w:rFonts w:ascii="Times New Roman" w:eastAsia="Times New Roman" w:hAnsi="Times New Roman"/>
                <w:lang w:val="ro-RO"/>
              </w:rPr>
              <w:lastRenderedPageBreak/>
              <w:t xml:space="preserve">obiective care constituie adaptare. O definire operațională ar facilita aplicarea criteriilor în activitatea de creditare. </w:t>
            </w:r>
          </w:p>
        </w:tc>
        <w:tc>
          <w:tcPr>
            <w:tcW w:w="1458" w:type="pct"/>
          </w:tcPr>
          <w:p w14:paraId="01CEA1B6" w14:textId="7DDDB8DD" w:rsidR="008F08AE" w:rsidRPr="00791F98" w:rsidRDefault="008F08AE" w:rsidP="00791F98">
            <w:pPr>
              <w:rPr>
                <w:rFonts w:ascii="Times New Roman" w:eastAsia="Times New Roman" w:hAnsi="Times New Roman"/>
                <w:b/>
                <w:bCs/>
                <w:lang w:val="ro-RO"/>
              </w:rPr>
            </w:pPr>
            <w:r>
              <w:rPr>
                <w:rFonts w:ascii="Times New Roman" w:eastAsia="Times New Roman" w:hAnsi="Times New Roman"/>
                <w:b/>
                <w:bCs/>
                <w:lang w:val="ro-RO"/>
              </w:rPr>
              <w:lastRenderedPageBreak/>
              <w:t>Se acceptă</w:t>
            </w:r>
          </w:p>
          <w:p w14:paraId="4EE570D9" w14:textId="77777777" w:rsidR="008F08AE" w:rsidRDefault="008F08AE" w:rsidP="00383075">
            <w:pPr>
              <w:jc w:val="both"/>
              <w:rPr>
                <w:rFonts w:ascii="Times New Roman" w:eastAsia="Times New Roman" w:hAnsi="Times New Roman"/>
                <w:lang w:val="ro-RO"/>
              </w:rPr>
            </w:pPr>
            <w:r>
              <w:rPr>
                <w:rFonts w:ascii="Times New Roman" w:eastAsia="Times New Roman" w:hAnsi="Times New Roman"/>
                <w:lang w:val="ro-RO"/>
              </w:rPr>
              <w:t>Proiectul a fost completat cu</w:t>
            </w:r>
            <w:r w:rsidRPr="00791F98">
              <w:rPr>
                <w:rFonts w:ascii="Times New Roman" w:eastAsia="Times New Roman" w:hAnsi="Times New Roman"/>
                <w:lang w:val="ro-RO"/>
              </w:rPr>
              <w:t xml:space="preserve"> definiția „Adaptare la schimbările climatice - procesul de ajustare la </w:t>
            </w:r>
            <w:r w:rsidRPr="00791F98">
              <w:rPr>
                <w:rFonts w:ascii="Times New Roman" w:eastAsia="Times New Roman" w:hAnsi="Times New Roman"/>
                <w:lang w:val="ro-RO"/>
              </w:rPr>
              <w:lastRenderedPageBreak/>
              <w:t xml:space="preserve">schimbările climatice reale și preconizate, precum și la efectele acestora”. </w:t>
            </w:r>
          </w:p>
          <w:p w14:paraId="5AE4D1BE" w14:textId="212977CB" w:rsidR="008F08AE" w:rsidRDefault="008F08AE" w:rsidP="00383075">
            <w:pPr>
              <w:jc w:val="both"/>
              <w:rPr>
                <w:rFonts w:ascii="Times New Roman" w:eastAsia="Times New Roman" w:hAnsi="Times New Roman"/>
                <w:lang w:val="ro-RO"/>
              </w:rPr>
            </w:pPr>
            <w:r w:rsidRPr="00791F98">
              <w:rPr>
                <w:rFonts w:ascii="Times New Roman" w:eastAsia="Times New Roman" w:hAnsi="Times New Roman"/>
                <w:lang w:val="ro-RO"/>
              </w:rPr>
              <w:t>Totodată, au fost stabilite criteriile uniforme pe baza cărora se poate determina dacă activitățile economice contribuie în mod substanțial la obiectivele de mediu, inclusiv la adaptarea la schimbările climatice</w:t>
            </w:r>
            <w:r>
              <w:rPr>
                <w:rFonts w:ascii="Times New Roman" w:eastAsia="Times New Roman" w:hAnsi="Times New Roman"/>
                <w:lang w:val="ro-RO"/>
              </w:rPr>
              <w:t>.</w:t>
            </w:r>
          </w:p>
          <w:p w14:paraId="04D8E6E2" w14:textId="2F5C8502" w:rsidR="008F08AE" w:rsidRPr="00882F72" w:rsidRDefault="008F08AE" w:rsidP="00791F98">
            <w:pPr>
              <w:rPr>
                <w:rFonts w:ascii="Times New Roman" w:eastAsia="Calibri" w:hAnsi="Times New Roman" w:cs="Times New Roman"/>
                <w:b/>
                <w:bCs/>
              </w:rPr>
            </w:pPr>
          </w:p>
        </w:tc>
      </w:tr>
      <w:tr w:rsidR="008F08AE" w:rsidRPr="00882F72" w14:paraId="272E0370" w14:textId="77777777" w:rsidTr="00F968A9">
        <w:tc>
          <w:tcPr>
            <w:tcW w:w="797" w:type="pct"/>
            <w:vMerge/>
          </w:tcPr>
          <w:p w14:paraId="010040E1"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01C5A646"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17EF5F2F" w14:textId="77777777" w:rsidR="008F08AE" w:rsidRPr="00A67D2D" w:rsidRDefault="008F08AE" w:rsidP="00AC5A28">
            <w:pPr>
              <w:jc w:val="both"/>
              <w:rPr>
                <w:rFonts w:ascii="Times New Roman" w:eastAsia="Times New Roman" w:hAnsi="Times New Roman"/>
                <w:lang w:val="ro-RO"/>
              </w:rPr>
            </w:pPr>
            <w:r w:rsidRPr="00A67D2D">
              <w:rPr>
                <w:rFonts w:ascii="Times New Roman" w:eastAsia="Times New Roman" w:hAnsi="Times New Roman"/>
                <w:b/>
                <w:bCs/>
                <w:lang w:val="ro-RO"/>
              </w:rPr>
              <w:t xml:space="preserve">Utilizarea termenului „creștere verde”. </w:t>
            </w:r>
            <w:r w:rsidRPr="00A67D2D">
              <w:rPr>
                <w:rFonts w:ascii="Times New Roman" w:eastAsia="Times New Roman" w:hAnsi="Times New Roman"/>
                <w:lang w:val="ro-RO"/>
              </w:rPr>
              <w:t xml:space="preserve">Conceptul este menționat, dar nu este explicat și nu sunt indicate metodele prin care această creștere poate fi măsurată. Se solicită definirea indicatorilor relevanți și a sursei datelor. </w:t>
            </w:r>
          </w:p>
          <w:p w14:paraId="16887731" w14:textId="3AF04060" w:rsidR="008F08AE" w:rsidRPr="00A67D2D" w:rsidRDefault="008F08AE" w:rsidP="00AC5A28">
            <w:pPr>
              <w:jc w:val="both"/>
              <w:rPr>
                <w:rFonts w:ascii="Times New Roman" w:eastAsia="Times New Roman" w:hAnsi="Times New Roman"/>
                <w:lang w:val="ro-RO"/>
              </w:rPr>
            </w:pPr>
          </w:p>
        </w:tc>
        <w:tc>
          <w:tcPr>
            <w:tcW w:w="1458" w:type="pct"/>
          </w:tcPr>
          <w:p w14:paraId="783925EC" w14:textId="6C5DB4F8" w:rsidR="008F08AE" w:rsidRPr="00A67D2D" w:rsidRDefault="008F08AE" w:rsidP="004331D6">
            <w:pPr>
              <w:rPr>
                <w:rFonts w:ascii="Times New Roman" w:eastAsia="Calibri" w:hAnsi="Times New Roman" w:cs="Times New Roman"/>
                <w:b/>
                <w:bCs/>
              </w:rPr>
            </w:pPr>
            <w:r w:rsidRPr="00A67D2D">
              <w:rPr>
                <w:rFonts w:ascii="Times New Roman" w:eastAsia="Calibri" w:hAnsi="Times New Roman" w:cs="Times New Roman"/>
                <w:b/>
                <w:bCs/>
              </w:rPr>
              <w:t>Se acceptă.</w:t>
            </w:r>
          </w:p>
          <w:p w14:paraId="0C5154C7" w14:textId="33367217" w:rsidR="008F08AE" w:rsidRPr="00A67D2D" w:rsidRDefault="008F08AE" w:rsidP="00A67D2D">
            <w:pPr>
              <w:jc w:val="both"/>
              <w:rPr>
                <w:rFonts w:ascii="Times New Roman" w:eastAsia="Calibri" w:hAnsi="Times New Roman" w:cs="Times New Roman"/>
              </w:rPr>
            </w:pPr>
            <w:r w:rsidRPr="00A67D2D">
              <w:rPr>
                <w:rFonts w:ascii="Times New Roman" w:eastAsia="Calibri" w:hAnsi="Times New Roman" w:cs="Times New Roman"/>
              </w:rPr>
              <w:t>Termenul de „creștere verde” este menționat în conținutul notei de fundamentare a proiectului. Pentru a exclude potențiale neclarități și interpretări, acesta a fost exclus din nota de fundamentare.</w:t>
            </w:r>
          </w:p>
        </w:tc>
      </w:tr>
      <w:tr w:rsidR="008F08AE" w:rsidRPr="00882F72" w14:paraId="075CF265" w14:textId="77777777" w:rsidTr="00F968A9">
        <w:tc>
          <w:tcPr>
            <w:tcW w:w="797" w:type="pct"/>
            <w:vMerge/>
          </w:tcPr>
          <w:p w14:paraId="354B26DB"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1F1E6A7D"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6CE80976" w14:textId="0CE21ED4" w:rsidR="008F08AE" w:rsidRPr="00F94630" w:rsidRDefault="008F08AE" w:rsidP="00AC5A28">
            <w:pPr>
              <w:jc w:val="both"/>
              <w:rPr>
                <w:rFonts w:ascii="Times New Roman" w:eastAsia="Times New Roman" w:hAnsi="Times New Roman"/>
                <w:lang w:val="ro-RO"/>
              </w:rPr>
            </w:pPr>
            <w:r w:rsidRPr="00F94630">
              <w:rPr>
                <w:rFonts w:ascii="Times New Roman" w:eastAsia="Times New Roman" w:hAnsi="Times New Roman"/>
                <w:b/>
                <w:bCs/>
                <w:lang w:val="ro-RO"/>
              </w:rPr>
              <w:t xml:space="preserve">Măsurarea durabilității portofoliilor de credite și investiții (pct. 9 lit. e). </w:t>
            </w:r>
            <w:r w:rsidRPr="00F94630">
              <w:rPr>
                <w:rFonts w:ascii="Times New Roman" w:eastAsia="Times New Roman" w:hAnsi="Times New Roman"/>
                <w:lang w:val="ro-RO"/>
              </w:rPr>
              <w:t xml:space="preserve">Textul impune obligația monitorizării și dezvăluirii impactului asupra mediului și durabilității portofoliilor, dar nu descrie metodologia, indicatorii sau pragurile aplicabile. Sunt necesare clarificări privind modul de evaluare, raportare și comparabilitate. </w:t>
            </w:r>
          </w:p>
        </w:tc>
        <w:tc>
          <w:tcPr>
            <w:tcW w:w="1458" w:type="pct"/>
          </w:tcPr>
          <w:p w14:paraId="76D986FD" w14:textId="1F9C9714" w:rsidR="008F08AE" w:rsidRPr="00791F98" w:rsidRDefault="008F08AE" w:rsidP="00791F98">
            <w:pPr>
              <w:rPr>
                <w:rFonts w:ascii="Times New Roman" w:eastAsia="Times New Roman" w:hAnsi="Times New Roman"/>
                <w:b/>
                <w:bCs/>
                <w:lang w:val="ro-RO"/>
              </w:rPr>
            </w:pPr>
            <w:r>
              <w:rPr>
                <w:rFonts w:ascii="Times New Roman" w:eastAsia="Times New Roman" w:hAnsi="Times New Roman"/>
                <w:b/>
                <w:bCs/>
                <w:lang w:val="ro-RO"/>
              </w:rPr>
              <w:t>Se acceptă parțial</w:t>
            </w:r>
            <w:r w:rsidRPr="00791F98">
              <w:rPr>
                <w:rFonts w:ascii="Times New Roman" w:eastAsia="Times New Roman" w:hAnsi="Times New Roman"/>
                <w:b/>
                <w:bCs/>
                <w:lang w:val="ro-RO"/>
              </w:rPr>
              <w:t>.</w:t>
            </w:r>
          </w:p>
          <w:p w14:paraId="2E518F5B" w14:textId="27311106" w:rsidR="008F08AE" w:rsidRPr="00791F98" w:rsidRDefault="008F08AE" w:rsidP="00383075">
            <w:pPr>
              <w:jc w:val="both"/>
              <w:rPr>
                <w:rFonts w:ascii="Times New Roman" w:eastAsia="Times New Roman" w:hAnsi="Times New Roman"/>
                <w:lang w:val="ro-RO"/>
              </w:rPr>
            </w:pPr>
            <w:r w:rsidRPr="00791F98">
              <w:rPr>
                <w:rFonts w:ascii="Times New Roman" w:eastAsia="Times New Roman" w:hAnsi="Times New Roman"/>
                <w:lang w:val="ro-RO"/>
              </w:rPr>
              <w:t>La determinarea faptului dacă o activitate economică se califică drept durabilă din punctul de vedere al mediului, sunt urmați o serie de pași, descriși la pct.1</w:t>
            </w:r>
            <w:r>
              <w:rPr>
                <w:rFonts w:ascii="Times New Roman" w:eastAsia="Times New Roman" w:hAnsi="Times New Roman"/>
                <w:lang w:val="ro-RO"/>
              </w:rPr>
              <w:t>5</w:t>
            </w:r>
            <w:r w:rsidRPr="00791F98">
              <w:rPr>
                <w:rFonts w:ascii="Times New Roman" w:eastAsia="Times New Roman" w:hAnsi="Times New Roman"/>
                <w:lang w:val="ro-RO"/>
              </w:rPr>
              <w:t xml:space="preserve"> din Proiectul Hotărârii privind Taxonomia.</w:t>
            </w:r>
          </w:p>
          <w:p w14:paraId="1CBFDBB8" w14:textId="09F56809" w:rsidR="008F08AE" w:rsidRPr="00882F72" w:rsidRDefault="008F08AE" w:rsidP="00383075">
            <w:pPr>
              <w:jc w:val="both"/>
              <w:rPr>
                <w:rFonts w:ascii="Times New Roman" w:eastAsia="Calibri" w:hAnsi="Times New Roman" w:cs="Times New Roman"/>
                <w:b/>
                <w:bCs/>
              </w:rPr>
            </w:pPr>
            <w:r w:rsidRPr="00791F98">
              <w:rPr>
                <w:rFonts w:ascii="Times New Roman" w:eastAsia="Times New Roman" w:hAnsi="Times New Roman"/>
                <w:lang w:val="ro-RO"/>
              </w:rPr>
              <w:t>Proiectul actului normativ de punere în aplicare a cadrului de finanțare durabilă pentru bănci, va fi dezvoltat ulterior.</w:t>
            </w:r>
          </w:p>
        </w:tc>
      </w:tr>
      <w:tr w:rsidR="008F08AE" w:rsidRPr="00882F72" w14:paraId="2843162D" w14:textId="77777777" w:rsidTr="00F968A9">
        <w:tc>
          <w:tcPr>
            <w:tcW w:w="797" w:type="pct"/>
            <w:vMerge/>
          </w:tcPr>
          <w:p w14:paraId="65AF119E"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0843B930"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2924114C" w14:textId="519B2344" w:rsidR="008F08AE" w:rsidRPr="00F94630" w:rsidRDefault="008F08AE" w:rsidP="00AC5A28">
            <w:pPr>
              <w:jc w:val="both"/>
              <w:rPr>
                <w:rFonts w:ascii="Times New Roman" w:eastAsia="Times New Roman" w:hAnsi="Times New Roman"/>
                <w:lang w:val="ro-RO"/>
              </w:rPr>
            </w:pPr>
            <w:r w:rsidRPr="00F94630">
              <w:rPr>
                <w:rFonts w:ascii="Times New Roman" w:eastAsia="Times New Roman" w:hAnsi="Times New Roman"/>
                <w:b/>
                <w:bCs/>
                <w:lang w:val="ro-RO"/>
              </w:rPr>
              <w:t xml:space="preserve">Fonduri axate pe active verzi (pct. 10 lit. a și lit. c). </w:t>
            </w:r>
            <w:r w:rsidRPr="00F94630">
              <w:rPr>
                <w:rFonts w:ascii="Times New Roman" w:eastAsia="Times New Roman" w:hAnsi="Times New Roman"/>
                <w:lang w:val="ro-RO"/>
              </w:rPr>
              <w:t xml:space="preserve">Nu sunt indicate criteriile prin care un fond poate fi considerat „axa(t) pe active verzi”, nici ponderea minimă a activelor verzi din portofoliu. De asemenea, nu este definit modul de calcul al „impactului asupra durabilității”. Se recomandă introducerea unor criterii cantitative sau a unui ghid metodologic. </w:t>
            </w:r>
          </w:p>
        </w:tc>
        <w:tc>
          <w:tcPr>
            <w:tcW w:w="1458" w:type="pct"/>
          </w:tcPr>
          <w:p w14:paraId="700273DC" w14:textId="1C39A3D2" w:rsidR="008F08AE" w:rsidRDefault="008F08AE" w:rsidP="00416C8F">
            <w:pPr>
              <w:rPr>
                <w:rFonts w:ascii="Times New Roman" w:eastAsia="Calibri" w:hAnsi="Times New Roman" w:cs="Times New Roman"/>
                <w:b/>
                <w:bCs/>
              </w:rPr>
            </w:pPr>
            <w:r>
              <w:rPr>
                <w:rFonts w:ascii="Times New Roman" w:eastAsia="Calibri" w:hAnsi="Times New Roman" w:cs="Times New Roman"/>
                <w:b/>
                <w:bCs/>
              </w:rPr>
              <w:t>Se acceptă parțial</w:t>
            </w:r>
          </w:p>
          <w:p w14:paraId="6A4E6C94" w14:textId="2CBA76A2" w:rsidR="008F08AE" w:rsidRPr="00503060" w:rsidRDefault="008F08AE" w:rsidP="00503060">
            <w:pPr>
              <w:jc w:val="both"/>
              <w:rPr>
                <w:rFonts w:ascii="Times New Roman" w:eastAsia="Calibri" w:hAnsi="Times New Roman" w:cs="Times New Roman"/>
                <w:bCs/>
              </w:rPr>
            </w:pPr>
            <w:r w:rsidRPr="00503060">
              <w:rPr>
                <w:rFonts w:ascii="Times New Roman" w:eastAsia="Calibri" w:hAnsi="Times New Roman" w:cs="Times New Roman"/>
                <w:bCs/>
              </w:rPr>
              <w:t>Aspectele date vor constitui obiect de reglementare în cadrul normativ secundar ce urmează a fi elaborat în scopul punerii în aplicare a Taxonomiei.</w:t>
            </w:r>
          </w:p>
          <w:p w14:paraId="67B8668D" w14:textId="77777777" w:rsidR="008F08AE" w:rsidRPr="00882F72" w:rsidRDefault="008F08AE" w:rsidP="000B3417">
            <w:pPr>
              <w:jc w:val="center"/>
              <w:rPr>
                <w:rFonts w:ascii="Times New Roman" w:eastAsia="Calibri" w:hAnsi="Times New Roman" w:cs="Times New Roman"/>
                <w:b/>
                <w:bCs/>
              </w:rPr>
            </w:pPr>
          </w:p>
        </w:tc>
      </w:tr>
      <w:tr w:rsidR="008F08AE" w:rsidRPr="00882F72" w14:paraId="746DB76C" w14:textId="77777777" w:rsidTr="00F968A9">
        <w:tc>
          <w:tcPr>
            <w:tcW w:w="797" w:type="pct"/>
            <w:vMerge/>
          </w:tcPr>
          <w:p w14:paraId="14DAD599"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2A410595"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1B7FE50C" w14:textId="4E74EA9A" w:rsidR="008F08AE" w:rsidRPr="00F94630" w:rsidRDefault="008F08AE" w:rsidP="00AC5A28">
            <w:pPr>
              <w:jc w:val="both"/>
              <w:rPr>
                <w:rFonts w:ascii="Times New Roman" w:eastAsia="Times New Roman" w:hAnsi="Times New Roman"/>
                <w:lang w:val="ro-RO"/>
              </w:rPr>
            </w:pPr>
            <w:r w:rsidRPr="00F94630">
              <w:rPr>
                <w:rFonts w:ascii="Times New Roman" w:eastAsia="Times New Roman" w:hAnsi="Times New Roman"/>
                <w:b/>
                <w:bCs/>
                <w:lang w:val="ro-RO"/>
              </w:rPr>
              <w:t xml:space="preserve">Clarificarea termenului „durabil din punct de vedere al mediului”. </w:t>
            </w:r>
            <w:r w:rsidRPr="00F94630">
              <w:rPr>
                <w:rFonts w:ascii="Times New Roman" w:eastAsia="Times New Roman" w:hAnsi="Times New Roman"/>
                <w:lang w:val="ro-RO"/>
              </w:rPr>
              <w:t xml:space="preserve">Textul utilizează noțiunea fără a o delimita de </w:t>
            </w:r>
            <w:r w:rsidRPr="00F94630">
              <w:rPr>
                <w:rFonts w:ascii="Times New Roman" w:eastAsia="Times New Roman" w:hAnsi="Times New Roman"/>
                <w:i/>
                <w:iCs/>
                <w:lang w:val="ro-RO"/>
              </w:rPr>
              <w:t xml:space="preserve">durabilitatea socială </w:t>
            </w:r>
            <w:r w:rsidRPr="00F94630">
              <w:rPr>
                <w:rFonts w:ascii="Times New Roman" w:eastAsia="Times New Roman" w:hAnsi="Times New Roman"/>
                <w:lang w:val="ro-RO"/>
              </w:rPr>
              <w:t xml:space="preserve">și </w:t>
            </w:r>
            <w:r w:rsidRPr="00F94630">
              <w:rPr>
                <w:rFonts w:ascii="Times New Roman" w:eastAsia="Times New Roman" w:hAnsi="Times New Roman"/>
                <w:i/>
                <w:iCs/>
                <w:lang w:val="ro-RO"/>
              </w:rPr>
              <w:t>guvernanță</w:t>
            </w:r>
            <w:r w:rsidRPr="00F94630">
              <w:rPr>
                <w:rFonts w:ascii="Times New Roman" w:eastAsia="Times New Roman" w:hAnsi="Times New Roman"/>
                <w:lang w:val="ro-RO"/>
              </w:rPr>
              <w:t xml:space="preserve">, deși conceptul de durabilitate include toate trei dimensiunile ESG. Este necesară definirea clară a termenului și delimitarea domeniilor (mediu vs. social). </w:t>
            </w:r>
          </w:p>
        </w:tc>
        <w:tc>
          <w:tcPr>
            <w:tcW w:w="1458" w:type="pct"/>
          </w:tcPr>
          <w:p w14:paraId="7DE51BE8" w14:textId="13F734C7" w:rsidR="008F08AE" w:rsidRPr="00791F98" w:rsidRDefault="008F08AE" w:rsidP="00791F98">
            <w:pPr>
              <w:rPr>
                <w:rFonts w:ascii="Times New Roman" w:eastAsia="Times New Roman" w:hAnsi="Times New Roman"/>
                <w:b/>
                <w:bCs/>
                <w:lang w:val="ro-RO"/>
              </w:rPr>
            </w:pPr>
            <w:r>
              <w:rPr>
                <w:rFonts w:ascii="Times New Roman" w:eastAsia="Times New Roman" w:hAnsi="Times New Roman"/>
                <w:b/>
                <w:bCs/>
                <w:lang w:val="ro-RO"/>
              </w:rPr>
              <w:t>Nu se acceptă</w:t>
            </w:r>
            <w:r w:rsidRPr="00791F98">
              <w:rPr>
                <w:rFonts w:ascii="Times New Roman" w:eastAsia="Times New Roman" w:hAnsi="Times New Roman"/>
                <w:b/>
                <w:bCs/>
                <w:lang w:val="ro-RO"/>
              </w:rPr>
              <w:t>.</w:t>
            </w:r>
          </w:p>
          <w:p w14:paraId="1482AE84" w14:textId="07CA7B34" w:rsidR="008F08AE" w:rsidRPr="00882F72" w:rsidRDefault="008F08AE" w:rsidP="00503060">
            <w:pPr>
              <w:jc w:val="both"/>
              <w:rPr>
                <w:rFonts w:ascii="Times New Roman" w:eastAsia="Calibri" w:hAnsi="Times New Roman" w:cs="Times New Roman"/>
                <w:b/>
                <w:bCs/>
              </w:rPr>
            </w:pPr>
            <w:r w:rsidRPr="00791F98">
              <w:rPr>
                <w:rFonts w:ascii="Times New Roman" w:eastAsia="Times New Roman" w:hAnsi="Times New Roman"/>
                <w:lang w:val="ro-RO"/>
              </w:rPr>
              <w:t>Deși conceptul de sustenabilitate include aspectele „S” și „G” (așa cum sunt definite în Regulamentul 2019/2088), termenul „sustenabil din punct de vedere al mediului” nu cuprinde aceste dimensiuni, deoarece Regulamentul (UE) 2020/852, care a servit drept bază pentru transpunerea actuală, nu le definește și se concentrează pe componenta „E”.</w:t>
            </w:r>
          </w:p>
        </w:tc>
      </w:tr>
      <w:tr w:rsidR="008F08AE" w:rsidRPr="00882F72" w14:paraId="24108745" w14:textId="77777777" w:rsidTr="00F968A9">
        <w:tc>
          <w:tcPr>
            <w:tcW w:w="797" w:type="pct"/>
            <w:vMerge/>
          </w:tcPr>
          <w:p w14:paraId="628788C2"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04967716"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1B434905" w14:textId="77777777" w:rsidR="008F08AE" w:rsidRDefault="008F08AE" w:rsidP="00AC5A28">
            <w:pPr>
              <w:jc w:val="both"/>
              <w:rPr>
                <w:rFonts w:ascii="Times New Roman" w:eastAsia="Times New Roman" w:hAnsi="Times New Roman"/>
                <w:lang w:val="ro-RO"/>
              </w:rPr>
            </w:pPr>
            <w:r w:rsidRPr="00F94630">
              <w:rPr>
                <w:rFonts w:ascii="Times New Roman" w:eastAsia="Times New Roman" w:hAnsi="Times New Roman"/>
                <w:b/>
                <w:bCs/>
                <w:lang w:val="ro-RO"/>
              </w:rPr>
              <w:t xml:space="preserve">Definirea conceptului de „mobilitate curată sau neutră climatic” (pct. 18.1 lit. c). </w:t>
            </w:r>
            <w:r w:rsidRPr="00F94630">
              <w:rPr>
                <w:rFonts w:ascii="Times New Roman" w:eastAsia="Times New Roman" w:hAnsi="Times New Roman"/>
                <w:lang w:val="ro-RO"/>
              </w:rPr>
              <w:t xml:space="preserve">Se solicită clarificarea obiectului mobilității (mijloace de transport? infrastructură?), </w:t>
            </w:r>
            <w:r w:rsidRPr="00F94630">
              <w:rPr>
                <w:rFonts w:ascii="Times New Roman" w:eastAsia="Times New Roman" w:hAnsi="Times New Roman"/>
                <w:lang w:val="ro-RO"/>
              </w:rPr>
              <w:lastRenderedPageBreak/>
              <w:t xml:space="preserve">precum și a criteriilor tehnice care permit clasificarea unei activități drept mobilitate curată sau neutră climatic. </w:t>
            </w:r>
          </w:p>
          <w:p w14:paraId="1B633D18" w14:textId="08FE0003" w:rsidR="008F08AE" w:rsidRPr="00F94630" w:rsidRDefault="008F08AE" w:rsidP="00AC5A28">
            <w:pPr>
              <w:jc w:val="both"/>
              <w:rPr>
                <w:rFonts w:ascii="Times New Roman" w:eastAsia="Times New Roman" w:hAnsi="Times New Roman"/>
                <w:lang w:val="ro-RO"/>
              </w:rPr>
            </w:pPr>
          </w:p>
        </w:tc>
        <w:tc>
          <w:tcPr>
            <w:tcW w:w="1458" w:type="pct"/>
          </w:tcPr>
          <w:p w14:paraId="0BCC197E" w14:textId="77777777" w:rsidR="008F08AE" w:rsidRDefault="008F08AE" w:rsidP="00A51DD0">
            <w:pPr>
              <w:rPr>
                <w:rFonts w:ascii="Times New Roman" w:eastAsia="Calibri" w:hAnsi="Times New Roman" w:cs="Times New Roman"/>
                <w:b/>
                <w:bCs/>
                <w:lang w:val="ro-RO"/>
              </w:rPr>
            </w:pPr>
            <w:r>
              <w:rPr>
                <w:rFonts w:ascii="Times New Roman" w:eastAsia="Calibri" w:hAnsi="Times New Roman" w:cs="Times New Roman"/>
                <w:b/>
                <w:bCs/>
                <w:lang w:val="ro-RO"/>
              </w:rPr>
              <w:lastRenderedPageBreak/>
              <w:t>Se acceptă parțial.</w:t>
            </w:r>
          </w:p>
          <w:p w14:paraId="492B7ABD" w14:textId="6A27D967" w:rsidR="008F08AE" w:rsidRPr="00A51DD0" w:rsidRDefault="008F08AE" w:rsidP="00A51DD0">
            <w:pPr>
              <w:jc w:val="both"/>
              <w:rPr>
                <w:rFonts w:ascii="Times New Roman" w:eastAsia="Calibri" w:hAnsi="Times New Roman" w:cs="Times New Roman"/>
                <w:lang w:val="ro-RO"/>
              </w:rPr>
            </w:pPr>
            <w:r>
              <w:rPr>
                <w:rFonts w:ascii="Times New Roman" w:eastAsia="Calibri" w:hAnsi="Times New Roman" w:cs="Times New Roman"/>
                <w:lang w:val="ro-RO"/>
              </w:rPr>
              <w:t xml:space="preserve">Referința dată este prevăzută la pct.30 din proiect. Totodată, aceasta face referire la </w:t>
            </w:r>
            <w:r>
              <w:rPr>
                <w:rFonts w:ascii="Times New Roman" w:eastAsia="Calibri" w:hAnsi="Times New Roman" w:cs="Times New Roman"/>
                <w:lang w:val="ro-RO"/>
              </w:rPr>
              <w:lastRenderedPageBreak/>
              <w:t>criteriile stabilite pct.29 din proiect, și respectiv în anexa nr.1 și nr.2 a proiectului. Respectiv, pct.3.18 și pct.6.4 și pct.6.13 prevede atât criteriile pentru o mobilitate curată, cât și criteriile pentru infrastructura necesară unei mobilități curate.</w:t>
            </w:r>
            <w:r w:rsidRPr="00A51DD0">
              <w:rPr>
                <w:rFonts w:ascii="Times New Roman" w:eastAsia="Calibri" w:hAnsi="Times New Roman" w:cs="Times New Roman"/>
                <w:lang w:val="ro-RO"/>
              </w:rPr>
              <w:t xml:space="preserve"> </w:t>
            </w:r>
          </w:p>
        </w:tc>
      </w:tr>
      <w:tr w:rsidR="008F08AE" w:rsidRPr="00882F72" w14:paraId="39A3BD0C" w14:textId="77777777" w:rsidTr="00F968A9">
        <w:tc>
          <w:tcPr>
            <w:tcW w:w="797" w:type="pct"/>
            <w:vMerge/>
          </w:tcPr>
          <w:p w14:paraId="207C580B" w14:textId="77777777" w:rsidR="008F08AE" w:rsidRPr="00882F72" w:rsidRDefault="008F08AE" w:rsidP="004248AF">
            <w:pPr>
              <w:tabs>
                <w:tab w:val="left" w:pos="355"/>
              </w:tabs>
              <w:jc w:val="center"/>
              <w:rPr>
                <w:rFonts w:ascii="Times New Roman" w:eastAsia="Calibri" w:hAnsi="Times New Roman" w:cs="Times New Roman"/>
                <w:b/>
                <w:bCs/>
              </w:rPr>
            </w:pPr>
          </w:p>
        </w:tc>
        <w:tc>
          <w:tcPr>
            <w:tcW w:w="240" w:type="pct"/>
          </w:tcPr>
          <w:p w14:paraId="5D4A63FA" w14:textId="77777777" w:rsidR="008F08AE" w:rsidRDefault="008F08AE">
            <w:pPr>
              <w:pStyle w:val="ListParagraph"/>
              <w:numPr>
                <w:ilvl w:val="0"/>
                <w:numId w:val="6"/>
              </w:numPr>
              <w:ind w:left="256" w:hanging="283"/>
              <w:rPr>
                <w:rFonts w:ascii="Times New Roman" w:eastAsia="Times New Roman" w:hAnsi="Times New Roman"/>
                <w:lang w:val="ro-RO"/>
              </w:rPr>
            </w:pPr>
          </w:p>
        </w:tc>
        <w:tc>
          <w:tcPr>
            <w:tcW w:w="2505" w:type="pct"/>
          </w:tcPr>
          <w:p w14:paraId="09EA60B0" w14:textId="35B50304" w:rsidR="008F08AE" w:rsidRPr="00F94630" w:rsidRDefault="008F08AE" w:rsidP="00AC5A28">
            <w:pPr>
              <w:jc w:val="both"/>
              <w:rPr>
                <w:rFonts w:ascii="Times New Roman" w:eastAsia="Times New Roman" w:hAnsi="Times New Roman"/>
                <w:lang w:val="ro-RO"/>
              </w:rPr>
            </w:pPr>
            <w:r w:rsidRPr="00F94630">
              <w:rPr>
                <w:rFonts w:ascii="Times New Roman" w:eastAsia="Times New Roman" w:hAnsi="Times New Roman"/>
                <w:b/>
                <w:bCs/>
                <w:lang w:val="ro-RO"/>
              </w:rPr>
              <w:t xml:space="preserve">Detalierea prevederilor privind verificarea conformării MSS (Titlul III, pct. 23). </w:t>
            </w:r>
            <w:r w:rsidRPr="00F94630">
              <w:rPr>
                <w:rFonts w:ascii="Times New Roman" w:eastAsia="Times New Roman" w:hAnsi="Times New Roman"/>
                <w:lang w:val="ro-RO"/>
              </w:rPr>
              <w:t xml:space="preserve">Formularea actuală este prea generală. În practica europeană, MSS este verificat printr-un </w:t>
            </w:r>
            <w:r w:rsidRPr="00F94630">
              <w:rPr>
                <w:rFonts w:ascii="Times New Roman" w:eastAsia="Times New Roman" w:hAnsi="Times New Roman"/>
                <w:b/>
                <w:bCs/>
                <w:lang w:val="ro-RO"/>
              </w:rPr>
              <w:t>Manual al Sistemului de Management Social și de Mediu</w:t>
            </w:r>
            <w:r w:rsidRPr="00F94630">
              <w:rPr>
                <w:rFonts w:ascii="Times New Roman" w:eastAsia="Times New Roman" w:hAnsi="Times New Roman"/>
                <w:lang w:val="ro-RO"/>
              </w:rPr>
              <w:t xml:space="preserve">, elaborat de instituții sau bănci, care include chestionare, proceduri și criterii de evaluare. Se recomandă detalierea procesului și a documentației relevante. </w:t>
            </w:r>
          </w:p>
        </w:tc>
        <w:tc>
          <w:tcPr>
            <w:tcW w:w="1458" w:type="pct"/>
          </w:tcPr>
          <w:p w14:paraId="7E358598" w14:textId="77777777" w:rsidR="008F08AE" w:rsidRPr="004E67A3" w:rsidRDefault="008F08AE" w:rsidP="00503060">
            <w:pPr>
              <w:rPr>
                <w:rFonts w:ascii="Times New Roman" w:hAnsi="Times New Roman" w:cs="Times New Roman"/>
                <w:b/>
                <w:bCs/>
                <w:noProof/>
              </w:rPr>
            </w:pPr>
            <w:r w:rsidRPr="004E67A3">
              <w:rPr>
                <w:rFonts w:ascii="Times New Roman" w:hAnsi="Times New Roman" w:cs="Times New Roman"/>
                <w:b/>
                <w:bCs/>
                <w:noProof/>
              </w:rPr>
              <w:t xml:space="preserve">Se </w:t>
            </w:r>
            <w:r>
              <w:rPr>
                <w:rFonts w:ascii="Times New Roman" w:hAnsi="Times New Roman" w:cs="Times New Roman"/>
                <w:b/>
                <w:bCs/>
                <w:noProof/>
              </w:rPr>
              <w:t>acceptă parțial</w:t>
            </w:r>
          </w:p>
          <w:p w14:paraId="66530C48" w14:textId="77777777" w:rsidR="008F08AE" w:rsidRPr="004E67A3" w:rsidRDefault="008F08AE" w:rsidP="00503060">
            <w:pPr>
              <w:jc w:val="both"/>
              <w:rPr>
                <w:rFonts w:ascii="Times New Roman" w:hAnsi="Times New Roman" w:cs="Times New Roman"/>
              </w:rPr>
            </w:pPr>
            <w:r>
              <w:rPr>
                <w:rFonts w:ascii="Times New Roman" w:hAnsi="Times New Roman" w:cs="Times New Roman"/>
                <w:noProof/>
              </w:rPr>
              <w:t xml:space="preserve">Ulterior aprobării proiectului Hotărârii de Guvern privind Taxonomia de finanțare durabilă, Banca Națională a Moldovei va elabora și aproba </w:t>
            </w:r>
            <w:r w:rsidRPr="004E67A3">
              <w:rPr>
                <w:rFonts w:ascii="Times New Roman" w:hAnsi="Times New Roman" w:cs="Times New Roman"/>
                <w:noProof/>
              </w:rPr>
              <w:t xml:space="preserve"> </w:t>
            </w:r>
            <w:r>
              <w:rPr>
                <w:rFonts w:ascii="Times New Roman" w:hAnsi="Times New Roman" w:cs="Times New Roman"/>
                <w:noProof/>
              </w:rPr>
              <w:t>un proiect de</w:t>
            </w:r>
            <w:r w:rsidRPr="004E67A3">
              <w:rPr>
                <w:rFonts w:ascii="Times New Roman" w:hAnsi="Times New Roman" w:cs="Times New Roman"/>
                <w:noProof/>
              </w:rPr>
              <w:t xml:space="preserve"> Regulament privind gestionarea riscurilor ESG pentru bănci, care va stabili cerințele pentru integrarea riscurilor de mediu, sociale și de guvernanță (ESG) în cadrele de guvernanță, strategie, gestionare a riscurilor și control intern. Acesta va fi realizat în conformitate cu cele mai bune practici internaționale și cu Orientările Autorității Bancare Europene privind gestionarea riscurilor ESG (EBA/GL/2025/01).</w:t>
            </w:r>
            <w:r w:rsidRPr="004E67A3">
              <w:rPr>
                <w:rFonts w:ascii="Times New Roman" w:hAnsi="Times New Roman" w:cs="Times New Roman"/>
              </w:rPr>
              <w:t xml:space="preserve"> </w:t>
            </w:r>
          </w:p>
          <w:p w14:paraId="7F8C04DE" w14:textId="1B0B0DEF" w:rsidR="008F08AE" w:rsidRPr="00882F72" w:rsidRDefault="008F08AE" w:rsidP="00503060">
            <w:pPr>
              <w:jc w:val="both"/>
              <w:rPr>
                <w:rFonts w:ascii="Times New Roman" w:eastAsia="Calibri" w:hAnsi="Times New Roman" w:cs="Times New Roman"/>
                <w:b/>
                <w:bCs/>
              </w:rPr>
            </w:pPr>
            <w:r w:rsidRPr="004E67A3">
              <w:rPr>
                <w:rFonts w:ascii="Times New Roman" w:hAnsi="Times New Roman" w:cs="Times New Roman"/>
                <w:lang w:val="it-CH"/>
              </w:rPr>
              <w:t>Totodată, vor fi aduse modificări la legislația națională, pentru transpunerea prevederilor Directivei UE 2013/36 (CRD) și a Regulamentului (UE) nr. 575/2013, cu scopul integrării dispozițiilor privind administrarea, monitorizarea, raportarea și publicarea riscurilor ESG.</w:t>
            </w:r>
            <w:r>
              <w:rPr>
                <w:rFonts w:ascii="Times New Roman" w:hAnsi="Times New Roman" w:cs="Times New Roman"/>
                <w:lang w:val="it-CH"/>
              </w:rPr>
              <w:t xml:space="preserve"> Conform, angajamentelor asumate în PNA (capitolul 9), proiectul dat de Lege de modificare a Legii nr.202/2017 este planificat pentru promovare și adoptare până la finele anului curent.</w:t>
            </w:r>
          </w:p>
        </w:tc>
      </w:tr>
      <w:tr w:rsidR="00EB0784" w:rsidRPr="00882F72" w14:paraId="38F47F01" w14:textId="77777777" w:rsidTr="00F968A9">
        <w:tc>
          <w:tcPr>
            <w:tcW w:w="797" w:type="pct"/>
            <w:vMerge w:val="restart"/>
          </w:tcPr>
          <w:p w14:paraId="5B5CA3BB" w14:textId="798457F0" w:rsidR="00EB0784" w:rsidRPr="00CD79F0" w:rsidRDefault="00EB0784" w:rsidP="00CD79F0">
            <w:pPr>
              <w:tabs>
                <w:tab w:val="left" w:pos="355"/>
              </w:tabs>
              <w:rPr>
                <w:rFonts w:ascii="Times New Roman" w:eastAsia="Calibri" w:hAnsi="Times New Roman" w:cs="Times New Roman"/>
                <w:b/>
                <w:bCs/>
              </w:rPr>
            </w:pPr>
            <w:r w:rsidRPr="00CD79F0">
              <w:rPr>
                <w:rFonts w:ascii="Times New Roman" w:eastAsia="Calibri" w:hAnsi="Times New Roman" w:cs="Times New Roman"/>
                <w:b/>
                <w:bCs/>
              </w:rPr>
              <w:t>Asociația Investitorilor Străini din Moldova (FIA)</w:t>
            </w:r>
          </w:p>
          <w:p w14:paraId="55B58140" w14:textId="77777777" w:rsidR="00EB0784" w:rsidRPr="00882F72" w:rsidRDefault="00EB0784" w:rsidP="00296109">
            <w:pPr>
              <w:tabs>
                <w:tab w:val="left" w:pos="355"/>
              </w:tabs>
              <w:rPr>
                <w:rFonts w:ascii="Times New Roman" w:eastAsia="Calibri" w:hAnsi="Times New Roman" w:cs="Times New Roman"/>
              </w:rPr>
            </w:pPr>
          </w:p>
          <w:p w14:paraId="0A28D0E6" w14:textId="308ABE5B" w:rsidR="00EB0784" w:rsidRPr="00882F72" w:rsidRDefault="00EB0784" w:rsidP="00296109">
            <w:pPr>
              <w:tabs>
                <w:tab w:val="left" w:pos="355"/>
              </w:tabs>
              <w:rPr>
                <w:rFonts w:ascii="Times New Roman" w:eastAsia="Calibri" w:hAnsi="Times New Roman" w:cs="Times New Roman"/>
                <w:b/>
                <w:bCs/>
              </w:rPr>
            </w:pPr>
            <w:r w:rsidRPr="00882F72">
              <w:rPr>
                <w:rFonts w:ascii="Times New Roman" w:eastAsia="Calibri" w:hAnsi="Times New Roman" w:cs="Times New Roman"/>
              </w:rPr>
              <w:t>nr. 57 din 02 Martie 2026</w:t>
            </w:r>
          </w:p>
        </w:tc>
        <w:tc>
          <w:tcPr>
            <w:tcW w:w="240" w:type="pct"/>
          </w:tcPr>
          <w:p w14:paraId="082FA3F5" w14:textId="35C57925" w:rsidR="00EB0784" w:rsidRPr="00DD3C6B" w:rsidRDefault="00EB0784">
            <w:pPr>
              <w:pStyle w:val="ListParagraph"/>
              <w:numPr>
                <w:ilvl w:val="0"/>
                <w:numId w:val="9"/>
              </w:numPr>
              <w:rPr>
                <w:rFonts w:ascii="Times New Roman" w:eastAsia="Calibri" w:hAnsi="Times New Roman" w:cs="Times New Roman"/>
                <w:noProof/>
              </w:rPr>
            </w:pPr>
          </w:p>
        </w:tc>
        <w:tc>
          <w:tcPr>
            <w:tcW w:w="2505" w:type="pct"/>
          </w:tcPr>
          <w:p w14:paraId="35935477" w14:textId="77777777" w:rsidR="004F7C0F" w:rsidRDefault="00EB0784" w:rsidP="00AC5A28">
            <w:pPr>
              <w:jc w:val="both"/>
              <w:rPr>
                <w:rFonts w:ascii="Times New Roman" w:eastAsia="Calibri" w:hAnsi="Times New Roman" w:cs="Times New Roman"/>
                <w:noProof/>
              </w:rPr>
            </w:pPr>
            <w:r w:rsidRPr="00EB0784">
              <w:rPr>
                <w:rFonts w:ascii="Times New Roman" w:eastAsia="Calibri" w:hAnsi="Times New Roman" w:cs="Times New Roman"/>
                <w:noProof/>
              </w:rPr>
              <w:t xml:space="preserve">În vederea asigurării clarității și previzibilității reglementării, considerăm necesară definirea expresă în textul proiectului a următoarelor noțiuni: </w:t>
            </w:r>
            <w:r w:rsidRPr="00EB0784">
              <w:rPr>
                <w:rFonts w:ascii="Times New Roman" w:eastAsia="Calibri" w:hAnsi="Times New Roman" w:cs="Times New Roman"/>
                <w:b/>
                <w:bCs/>
                <w:noProof/>
              </w:rPr>
              <w:t>„finanțare durabilă”, „împrumuturi verzi”, „obligațiuni verzi”, „active verzi”, „durabilitatea portofoliului de credite”.</w:t>
            </w:r>
            <w:r w:rsidR="004F7C0F" w:rsidRPr="00EB0784">
              <w:rPr>
                <w:rFonts w:ascii="Times New Roman" w:eastAsia="Calibri" w:hAnsi="Times New Roman" w:cs="Times New Roman"/>
                <w:noProof/>
              </w:rPr>
              <w:t xml:space="preserve"> </w:t>
            </w:r>
          </w:p>
          <w:p w14:paraId="5AE2C2AC" w14:textId="4C92C4C3" w:rsidR="00EB0784" w:rsidRPr="00EB0784" w:rsidRDefault="004F7C0F" w:rsidP="00AC5A28">
            <w:pPr>
              <w:jc w:val="both"/>
              <w:rPr>
                <w:rFonts w:ascii="Times New Roman" w:eastAsia="Times New Roman" w:hAnsi="Times New Roman"/>
                <w:lang w:val="ro-RO"/>
              </w:rPr>
            </w:pPr>
            <w:r w:rsidRPr="00EB0784">
              <w:rPr>
                <w:rFonts w:ascii="Times New Roman" w:eastAsia="Calibri" w:hAnsi="Times New Roman" w:cs="Times New Roman"/>
                <w:noProof/>
              </w:rPr>
              <w:t xml:space="preserve">Se impune definirea și/sau precizarea conceptului de </w:t>
            </w:r>
            <w:r w:rsidRPr="00EB0784">
              <w:rPr>
                <w:rFonts w:ascii="Times New Roman" w:eastAsia="Calibri" w:hAnsi="Times New Roman" w:cs="Times New Roman"/>
                <w:b/>
                <w:bCs/>
                <w:noProof/>
              </w:rPr>
              <w:t xml:space="preserve">„fonduri axate pe active verzi”, </w:t>
            </w:r>
            <w:r w:rsidRPr="00EB0784">
              <w:rPr>
                <w:rFonts w:ascii="Times New Roman" w:eastAsia="Calibri" w:hAnsi="Times New Roman" w:cs="Times New Roman"/>
                <w:noProof/>
              </w:rPr>
              <w:t>inclusiv a criteriilor de calificare și a regimului juridic aplicabil acestora.</w:t>
            </w:r>
          </w:p>
        </w:tc>
        <w:tc>
          <w:tcPr>
            <w:tcW w:w="1458" w:type="pct"/>
          </w:tcPr>
          <w:p w14:paraId="20E6351D" w14:textId="77777777" w:rsidR="00503060" w:rsidRPr="00BF19E3" w:rsidRDefault="00503060" w:rsidP="00503060">
            <w:pPr>
              <w:rPr>
                <w:rFonts w:ascii="Times New Roman" w:hAnsi="Times New Roman" w:cs="Times New Roman"/>
                <w:b/>
                <w:bCs/>
              </w:rPr>
            </w:pPr>
            <w:r w:rsidRPr="00BF19E3">
              <w:rPr>
                <w:rFonts w:ascii="Times New Roman" w:hAnsi="Times New Roman" w:cs="Times New Roman"/>
                <w:b/>
                <w:bCs/>
              </w:rPr>
              <w:t xml:space="preserve">Se </w:t>
            </w:r>
            <w:r>
              <w:rPr>
                <w:rFonts w:ascii="Times New Roman" w:hAnsi="Times New Roman" w:cs="Times New Roman"/>
                <w:b/>
                <w:bCs/>
              </w:rPr>
              <w:t>acceptă parțial</w:t>
            </w:r>
          </w:p>
          <w:p w14:paraId="3A906ECE" w14:textId="77777777" w:rsidR="00503060" w:rsidRDefault="00503060" w:rsidP="00503060">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Prevederi specifice sectorului financiar, precum instrumente financiare verzi urmează a fi stabilite și prevăzute ulterior aprobării proiectului dat, prin acte normative ale regulatorilor sectorului financiar (Banca Națională a Moldovei și </w:t>
            </w:r>
            <w:r>
              <w:rPr>
                <w:rFonts w:ascii="Times New Roman" w:hAnsi="Times New Roman" w:cs="Times New Roman"/>
              </w:rPr>
              <w:lastRenderedPageBreak/>
              <w:t xml:space="preserve">Comisia Națională a Pieței Financiare), acestea fiind cu aplicabilitate dedicată expres participanților pieței financiare. </w:t>
            </w:r>
          </w:p>
          <w:p w14:paraId="48532663" w14:textId="51F7A36F" w:rsidR="004331D6" w:rsidRPr="00882F72" w:rsidRDefault="00503060" w:rsidP="00503060">
            <w:pPr>
              <w:jc w:val="both"/>
              <w:rPr>
                <w:rFonts w:ascii="Times New Roman" w:eastAsia="Calibri" w:hAnsi="Times New Roman" w:cs="Times New Roman"/>
                <w:b/>
                <w:bCs/>
              </w:rPr>
            </w:pPr>
            <w:r>
              <w:rPr>
                <w:rFonts w:ascii="Times New Roman" w:hAnsi="Times New Roman" w:cs="Times New Roman"/>
              </w:rPr>
              <w:t>În aceeași ordine de idei, cu referire la noțiunile „împrumuturi verzi”, „obligațiuni verzi”, remarcăm că potrivit angajamentelor asumate la Capitolul 9 „Servicii financiare”, autoritățile urmează să alinieze legislația națională la normele și prevederile reglementărilor UE în materie de „</w:t>
            </w:r>
            <w:proofErr w:type="spellStart"/>
            <w:r>
              <w:rPr>
                <w:rFonts w:ascii="Times New Roman" w:hAnsi="Times New Roman" w:cs="Times New Roman"/>
              </w:rPr>
              <w:t>green</w:t>
            </w:r>
            <w:proofErr w:type="spellEnd"/>
            <w:r>
              <w:rPr>
                <w:rFonts w:ascii="Times New Roman" w:hAnsi="Times New Roman" w:cs="Times New Roman"/>
              </w:rPr>
              <w:t xml:space="preserve"> </w:t>
            </w:r>
            <w:proofErr w:type="spellStart"/>
            <w:r>
              <w:rPr>
                <w:rFonts w:ascii="Times New Roman" w:hAnsi="Times New Roman" w:cs="Times New Roman"/>
              </w:rPr>
              <w:t>bonds</w:t>
            </w:r>
            <w:proofErr w:type="spellEnd"/>
            <w:r>
              <w:rPr>
                <w:rFonts w:ascii="Times New Roman" w:hAnsi="Times New Roman" w:cs="Times New Roman"/>
              </w:rPr>
              <w:t xml:space="preserve">”, definirea terminologiei specifice „finanțelor verzi” urmând să constituie obiect de reglementare al respectivului proiect de act normativ. </w:t>
            </w:r>
          </w:p>
        </w:tc>
      </w:tr>
      <w:tr w:rsidR="00EB0784" w:rsidRPr="00882F72" w14:paraId="0E77D978" w14:textId="77777777" w:rsidTr="00F968A9">
        <w:tc>
          <w:tcPr>
            <w:tcW w:w="797" w:type="pct"/>
            <w:vMerge/>
          </w:tcPr>
          <w:p w14:paraId="249D3AD1" w14:textId="4B2937FF"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7EA59EB0" w14:textId="382FDB64" w:rsidR="00DD3C6B" w:rsidRPr="00DD3C6B" w:rsidRDefault="00DD3C6B">
            <w:pPr>
              <w:pStyle w:val="ListParagraph"/>
              <w:numPr>
                <w:ilvl w:val="0"/>
                <w:numId w:val="9"/>
              </w:numPr>
              <w:rPr>
                <w:rFonts w:ascii="Times New Roman" w:eastAsia="Calibri" w:hAnsi="Times New Roman" w:cs="Times New Roman"/>
                <w:noProof/>
              </w:rPr>
            </w:pPr>
          </w:p>
        </w:tc>
        <w:tc>
          <w:tcPr>
            <w:tcW w:w="2505" w:type="pct"/>
          </w:tcPr>
          <w:p w14:paraId="3EE61E72" w14:textId="0DB1F235" w:rsidR="00EB0784" w:rsidRPr="00EB0784" w:rsidRDefault="00EB0784" w:rsidP="00AC5A28">
            <w:pPr>
              <w:jc w:val="both"/>
              <w:rPr>
                <w:rFonts w:ascii="Times New Roman" w:eastAsia="Times New Roman" w:hAnsi="Times New Roman"/>
                <w:lang w:val="ro-RO"/>
              </w:rPr>
            </w:pPr>
            <w:r w:rsidRPr="00EB0784">
              <w:rPr>
                <w:rFonts w:ascii="Times New Roman" w:eastAsia="Calibri" w:hAnsi="Times New Roman" w:cs="Times New Roman"/>
                <w:noProof/>
              </w:rPr>
              <w:t xml:space="preserve">Proiectul nu stabilește în mod clar modalitatea de </w:t>
            </w:r>
            <w:r w:rsidRPr="00EB0784">
              <w:rPr>
                <w:rFonts w:ascii="Times New Roman" w:eastAsia="Calibri" w:hAnsi="Times New Roman" w:cs="Times New Roman"/>
                <w:b/>
                <w:bCs/>
                <w:noProof/>
              </w:rPr>
              <w:t>aplicare a cerințelor față de diferite categorii de entități economice</w:t>
            </w:r>
            <w:r w:rsidRPr="00EB0784">
              <w:rPr>
                <w:rFonts w:ascii="Times New Roman" w:eastAsia="Calibri" w:hAnsi="Times New Roman" w:cs="Times New Roman"/>
                <w:noProof/>
              </w:rPr>
              <w:t>. Considerăm necesară instituirea unor criterii distincte și proporționale pentru întreprinderile mari și întreprinderile mici și mijlocii (IMM-uri), în conformitate cu principiul proporționalității și al tratamentului diferențiat, raportat la dimensiunea și capacitatea operațională a entităților vizate.</w:t>
            </w:r>
          </w:p>
        </w:tc>
        <w:tc>
          <w:tcPr>
            <w:tcW w:w="1458" w:type="pct"/>
          </w:tcPr>
          <w:p w14:paraId="3427B46F" w14:textId="77777777" w:rsidR="004F7C0F" w:rsidRDefault="004F7C0F" w:rsidP="004F7C0F">
            <w:pPr>
              <w:rPr>
                <w:rFonts w:ascii="Times New Roman" w:eastAsia="Calibri" w:hAnsi="Times New Roman" w:cs="Times New Roman"/>
                <w:b/>
                <w:bCs/>
              </w:rPr>
            </w:pPr>
            <w:r>
              <w:rPr>
                <w:rFonts w:ascii="Times New Roman" w:eastAsia="Calibri" w:hAnsi="Times New Roman" w:cs="Times New Roman"/>
                <w:b/>
                <w:bCs/>
              </w:rPr>
              <w:t>Se acceptă parțial.</w:t>
            </w:r>
          </w:p>
          <w:p w14:paraId="350D554A" w14:textId="77777777" w:rsidR="004F7C0F" w:rsidRDefault="004F7C0F" w:rsidP="004F7C0F">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pentru finanțare durabilă stabilește un cadru general privind activitățile economice ce se consideră durabile din punct de vedere al mediului, acesta oferind oportunitatea de aplicare de către entitățile comerciale ce doresc să implementeze aspecte de durabilitate în activitatea sa. În partea ce ține de categoriile de entități ce vor fi obligate să aplice prevederile Taxonomiei, acestea vor fi stabilite prin acte normative subsecvente ale Băncii Naționale a Moldovei (în cazul băncilor).</w:t>
            </w:r>
          </w:p>
          <w:p w14:paraId="1D2ACFF0" w14:textId="27DA8DC1" w:rsidR="00EB0784" w:rsidRPr="00882F72" w:rsidRDefault="004F7C0F" w:rsidP="004F7C0F">
            <w:pPr>
              <w:jc w:val="both"/>
              <w:rPr>
                <w:rFonts w:ascii="Times New Roman" w:eastAsia="Calibri" w:hAnsi="Times New Roman" w:cs="Times New Roman"/>
                <w:b/>
                <w:bCs/>
              </w:rPr>
            </w:pPr>
            <w:r>
              <w:rPr>
                <w:rFonts w:ascii="Times New Roman" w:hAnsi="Times New Roman" w:cs="Times New Roman"/>
              </w:rPr>
              <w:t xml:space="preserve">În partea ce ține de IMM, categoriile exprese ce urmează să aplice prevederile taxonomiei vor fi stabilite în proiectul de Lege de modificare a Legii contabilității și raportării financiare nr.287/2017, menit să transpună modificările operate la Directiva 2013/34 prin Directiva 2022/2464 în ceea ce privește raportarea privind durabilitatea  de către întreprinderi.  </w:t>
            </w:r>
          </w:p>
        </w:tc>
      </w:tr>
      <w:tr w:rsidR="00EB0784" w:rsidRPr="00882F72" w14:paraId="1BA00AC1" w14:textId="77777777" w:rsidTr="00F968A9">
        <w:tc>
          <w:tcPr>
            <w:tcW w:w="797" w:type="pct"/>
            <w:vMerge/>
          </w:tcPr>
          <w:p w14:paraId="47569C27" w14:textId="0CAC85DB"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654CC77B" w14:textId="77777777" w:rsidR="00EB0784" w:rsidRPr="00DD3C6B" w:rsidRDefault="00EB0784">
            <w:pPr>
              <w:pStyle w:val="ListParagraph"/>
              <w:numPr>
                <w:ilvl w:val="0"/>
                <w:numId w:val="9"/>
              </w:numPr>
              <w:rPr>
                <w:rFonts w:ascii="Times New Roman" w:hAnsi="Times New Roman" w:cs="Times New Roman"/>
              </w:rPr>
            </w:pPr>
          </w:p>
        </w:tc>
        <w:tc>
          <w:tcPr>
            <w:tcW w:w="2505" w:type="pct"/>
          </w:tcPr>
          <w:p w14:paraId="60B16F9D" w14:textId="32C5B20F" w:rsidR="00EB0784" w:rsidRPr="00503060" w:rsidRDefault="00EB0784" w:rsidP="00AC5A28">
            <w:pPr>
              <w:jc w:val="both"/>
              <w:rPr>
                <w:rFonts w:ascii="Times New Roman" w:eastAsia="Times New Roman" w:hAnsi="Times New Roman"/>
                <w:lang w:val="ro-RO"/>
              </w:rPr>
            </w:pPr>
            <w:r w:rsidRPr="00503060">
              <w:rPr>
                <w:rFonts w:ascii="Times New Roman" w:hAnsi="Times New Roman" w:cs="Times New Roman"/>
              </w:rPr>
              <w:t xml:space="preserve">La secțiunea privind </w:t>
            </w:r>
            <w:r w:rsidRPr="00503060">
              <w:rPr>
                <w:rFonts w:ascii="Times New Roman" w:hAnsi="Times New Roman" w:cs="Times New Roman"/>
                <w:b/>
                <w:bCs/>
              </w:rPr>
              <w:t xml:space="preserve">domeniul de aplicare a Taxonomiei </w:t>
            </w:r>
            <w:r w:rsidRPr="00503060">
              <w:rPr>
                <w:rFonts w:ascii="Times New Roman" w:hAnsi="Times New Roman" w:cs="Times New Roman"/>
              </w:rPr>
              <w:t>se menționează că băncile comerciale și OCN-urile vor aplica Taxonomia prin alinierea portofoliilor de creditare la standardele verzi naționale și internaționale. Se impune indicarea expresă a acestor standarde (de exemplu, IFRS, GRI sau alte cadre relevante), pentru a evita interpretările divergente.</w:t>
            </w:r>
          </w:p>
        </w:tc>
        <w:tc>
          <w:tcPr>
            <w:tcW w:w="1458" w:type="pct"/>
          </w:tcPr>
          <w:p w14:paraId="348045C4" w14:textId="77777777" w:rsidR="004331D6" w:rsidRPr="00503060" w:rsidRDefault="004331D6" w:rsidP="005E5C6E">
            <w:pPr>
              <w:pStyle w:val="CommentText"/>
              <w:rPr>
                <w:rFonts w:ascii="Times New Roman" w:hAnsi="Times New Roman" w:cs="Times New Roman"/>
                <w:b/>
                <w:bCs/>
                <w:sz w:val="22"/>
                <w:szCs w:val="22"/>
              </w:rPr>
            </w:pPr>
            <w:r w:rsidRPr="00503060">
              <w:rPr>
                <w:rFonts w:ascii="Times New Roman" w:hAnsi="Times New Roman" w:cs="Times New Roman"/>
                <w:b/>
                <w:bCs/>
                <w:sz w:val="22"/>
                <w:szCs w:val="22"/>
              </w:rPr>
              <w:t>Se acceptă</w:t>
            </w:r>
          </w:p>
          <w:p w14:paraId="0DEC4414" w14:textId="2FFA2708" w:rsidR="00DB2815" w:rsidRPr="00503060" w:rsidRDefault="00503060" w:rsidP="00503060">
            <w:pPr>
              <w:pStyle w:val="CommentText"/>
              <w:jc w:val="both"/>
              <w:rPr>
                <w:rFonts w:ascii="Times New Roman" w:hAnsi="Times New Roman" w:cs="Times New Roman"/>
                <w:sz w:val="22"/>
                <w:szCs w:val="22"/>
              </w:rPr>
            </w:pPr>
            <w:r w:rsidRPr="00503060">
              <w:rPr>
                <w:rFonts w:ascii="Times New Roman" w:hAnsi="Times New Roman" w:cs="Times New Roman"/>
                <w:sz w:val="22"/>
                <w:szCs w:val="22"/>
              </w:rPr>
              <w:t>Pentru a evita erorile de interpretare, p</w:t>
            </w:r>
            <w:r w:rsidR="004331D6" w:rsidRPr="00503060">
              <w:rPr>
                <w:rFonts w:ascii="Times New Roman" w:hAnsi="Times New Roman" w:cs="Times New Roman"/>
                <w:sz w:val="22"/>
                <w:szCs w:val="22"/>
              </w:rPr>
              <w:t xml:space="preserve">unctul 6.2. a fost exclus din proiectul </w:t>
            </w:r>
            <w:proofErr w:type="spellStart"/>
            <w:r w:rsidR="004331D6" w:rsidRPr="00503060">
              <w:rPr>
                <w:rFonts w:ascii="Times New Roman" w:hAnsi="Times New Roman" w:cs="Times New Roman"/>
                <w:sz w:val="22"/>
                <w:szCs w:val="22"/>
              </w:rPr>
              <w:t>hotărîrii</w:t>
            </w:r>
            <w:proofErr w:type="spellEnd"/>
            <w:r w:rsidR="004331D6" w:rsidRPr="00503060">
              <w:rPr>
                <w:rFonts w:ascii="Times New Roman" w:hAnsi="Times New Roman" w:cs="Times New Roman"/>
                <w:sz w:val="22"/>
                <w:szCs w:val="22"/>
              </w:rPr>
              <w:t>, cu renumerotarea ulterioară</w:t>
            </w:r>
          </w:p>
          <w:p w14:paraId="1213C603" w14:textId="52628B9F" w:rsidR="004331D6" w:rsidRPr="00503060" w:rsidRDefault="004331D6" w:rsidP="004331D6">
            <w:pPr>
              <w:pStyle w:val="CommentText"/>
              <w:rPr>
                <w:rFonts w:ascii="Times New Roman" w:eastAsia="Calibri" w:hAnsi="Times New Roman" w:cs="Times New Roman"/>
                <w:b/>
                <w:bCs/>
              </w:rPr>
            </w:pPr>
          </w:p>
        </w:tc>
      </w:tr>
      <w:tr w:rsidR="00EB0784" w:rsidRPr="00882F72" w14:paraId="11233FCF" w14:textId="77777777" w:rsidTr="00F968A9">
        <w:tc>
          <w:tcPr>
            <w:tcW w:w="797" w:type="pct"/>
            <w:vMerge/>
          </w:tcPr>
          <w:p w14:paraId="60EE2BF1" w14:textId="497F22FE"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50E4ADDA" w14:textId="77777777" w:rsidR="00EB0784" w:rsidRPr="00DD3C6B" w:rsidRDefault="00EB0784">
            <w:pPr>
              <w:pStyle w:val="ListParagraph"/>
              <w:numPr>
                <w:ilvl w:val="0"/>
                <w:numId w:val="9"/>
              </w:numPr>
              <w:rPr>
                <w:rFonts w:ascii="Times New Roman" w:eastAsia="Calibri" w:hAnsi="Times New Roman" w:cs="Times New Roman"/>
                <w:noProof/>
              </w:rPr>
            </w:pPr>
          </w:p>
        </w:tc>
        <w:tc>
          <w:tcPr>
            <w:tcW w:w="2505" w:type="pct"/>
          </w:tcPr>
          <w:p w14:paraId="2C18A7ED" w14:textId="4D8DB850" w:rsidR="00EB0784" w:rsidRPr="00EB0784" w:rsidRDefault="00EB0784" w:rsidP="00AC5A28">
            <w:pPr>
              <w:jc w:val="both"/>
              <w:rPr>
                <w:rFonts w:ascii="Times New Roman" w:eastAsia="Times New Roman" w:hAnsi="Times New Roman"/>
                <w:lang w:val="ro-RO"/>
              </w:rPr>
            </w:pPr>
            <w:r w:rsidRPr="00EB0784">
              <w:rPr>
                <w:rFonts w:ascii="Times New Roman" w:eastAsia="Calibri" w:hAnsi="Times New Roman" w:cs="Times New Roman"/>
                <w:noProof/>
              </w:rPr>
              <w:t xml:space="preserve">Constatăm omisiunea domeniului </w:t>
            </w:r>
            <w:r w:rsidRPr="00EB0784">
              <w:rPr>
                <w:rFonts w:ascii="Times New Roman" w:eastAsia="Calibri" w:hAnsi="Times New Roman" w:cs="Times New Roman"/>
                <w:b/>
                <w:bCs/>
                <w:noProof/>
              </w:rPr>
              <w:t>agriculturii</w:t>
            </w:r>
            <w:r w:rsidRPr="00EB0784">
              <w:rPr>
                <w:rFonts w:ascii="Times New Roman" w:eastAsia="Calibri" w:hAnsi="Times New Roman" w:cs="Times New Roman"/>
                <w:noProof/>
              </w:rPr>
              <w:t xml:space="preserve">, sector de importanță majoră pentru economia Republicii Moldova. Propunem includerea acestuia sub denumirea „Agricultură sustenabilă” sau „Agricultură ecologică”, având în vedere tendințele </w:t>
            </w:r>
            <w:r w:rsidRPr="00EB0784">
              <w:rPr>
                <w:rFonts w:ascii="Times New Roman" w:eastAsia="Calibri" w:hAnsi="Times New Roman" w:cs="Times New Roman"/>
                <w:noProof/>
              </w:rPr>
              <w:lastRenderedPageBreak/>
              <w:t>europene și internaționale privind integrarea criteriilor de sustenabilitate, precum și existența liniilor de finanțare deschise prin care băncile oferă împrumuturi pentru agricultură cu destinația procurării tehnologiilor inteligente pentru agricultură (ex. drone, echipamente moderne).</w:t>
            </w:r>
          </w:p>
        </w:tc>
        <w:tc>
          <w:tcPr>
            <w:tcW w:w="1458" w:type="pct"/>
          </w:tcPr>
          <w:p w14:paraId="7FF584FF" w14:textId="77777777" w:rsidR="004F7C0F" w:rsidRPr="004E67A3" w:rsidRDefault="004F7C0F" w:rsidP="004F7C0F">
            <w:pPr>
              <w:rPr>
                <w:rFonts w:ascii="Times New Roman" w:hAnsi="Times New Roman" w:cs="Times New Roman"/>
                <w:b/>
                <w:bCs/>
              </w:rPr>
            </w:pPr>
            <w:r>
              <w:rPr>
                <w:rFonts w:ascii="Times New Roman" w:hAnsi="Times New Roman" w:cs="Times New Roman"/>
                <w:b/>
                <w:bCs/>
              </w:rPr>
              <w:lastRenderedPageBreak/>
              <w:t>Nu se acceptă</w:t>
            </w:r>
            <w:r w:rsidRPr="004E67A3">
              <w:rPr>
                <w:rFonts w:ascii="Times New Roman" w:hAnsi="Times New Roman" w:cs="Times New Roman"/>
                <w:b/>
                <w:bCs/>
              </w:rPr>
              <w:t>.</w:t>
            </w:r>
          </w:p>
          <w:p w14:paraId="08FC33FC" w14:textId="77777777" w:rsidR="004F7C0F" w:rsidRPr="004E67A3" w:rsidRDefault="004F7C0F" w:rsidP="004F7C0F">
            <w:pPr>
              <w:jc w:val="both"/>
              <w:rPr>
                <w:rFonts w:ascii="Times New Roman" w:hAnsi="Times New Roman" w:cs="Times New Roman"/>
              </w:rPr>
            </w:pPr>
            <w:r w:rsidRPr="004E67A3">
              <w:rPr>
                <w:rFonts w:ascii="Times New Roman" w:hAnsi="Times New Roman" w:cs="Times New Roman"/>
              </w:rPr>
              <w:t xml:space="preserve">Regulamentele delegate UE care stabilesc criterii tehnice de examinare – în special Regulamentul </w:t>
            </w:r>
            <w:r w:rsidRPr="004E67A3">
              <w:rPr>
                <w:rFonts w:ascii="Times New Roman" w:hAnsi="Times New Roman" w:cs="Times New Roman"/>
              </w:rPr>
              <w:lastRenderedPageBreak/>
              <w:t>delegat (UE) 2021/2139 și Regulamentul delegat (UE) 2023/2486 acoperă anumite activități economice, dar nu includ încă agricultura ca sector definit cu propriile criterii tehnice.</w:t>
            </w:r>
          </w:p>
          <w:p w14:paraId="4E62FC13" w14:textId="77777777" w:rsidR="004F7C0F" w:rsidRPr="004E67A3" w:rsidRDefault="004F7C0F" w:rsidP="004F7C0F">
            <w:pPr>
              <w:jc w:val="both"/>
              <w:rPr>
                <w:rFonts w:ascii="Times New Roman" w:hAnsi="Times New Roman" w:cs="Times New Roman"/>
              </w:rPr>
            </w:pPr>
            <w:r w:rsidRPr="004E67A3">
              <w:rPr>
                <w:rFonts w:ascii="Times New Roman" w:hAnsi="Times New Roman" w:cs="Times New Roman"/>
              </w:rPr>
              <w:t xml:space="preserve">Platforma privind finanțarea durabilă, care consiliază Comisia Europeană cu privire la eventuala necesitate de a actualiza criteriile tehnice de examinare, a publicat </w:t>
            </w:r>
            <w:hyperlink r:id="rId9" w:history="1">
              <w:r w:rsidRPr="004E67A3">
                <w:rPr>
                  <w:rStyle w:val="Hyperlink"/>
                  <w:rFonts w:ascii="Times New Roman" w:hAnsi="Times New Roman" w:cs="Times New Roman"/>
                </w:rPr>
                <w:t>rapoarte și recomandări</w:t>
              </w:r>
            </w:hyperlink>
            <w:r w:rsidRPr="004E67A3">
              <w:rPr>
                <w:rFonts w:ascii="Times New Roman" w:hAnsi="Times New Roman" w:cs="Times New Roman"/>
              </w:rPr>
              <w:t xml:space="preserve"> privind includerea unor activități economice suplimentare și modificarea actelor delegate privind taxonomia. Acestea includ recomandări pentru activități noi și revizuiri ale criteriilor tehnice de selecție, iar Comisia </w:t>
            </w:r>
            <w:r>
              <w:rPr>
                <w:rFonts w:ascii="Times New Roman" w:hAnsi="Times New Roman" w:cs="Times New Roman"/>
              </w:rPr>
              <w:t xml:space="preserve">europeană </w:t>
            </w:r>
            <w:r w:rsidRPr="004E67A3">
              <w:rPr>
                <w:rFonts w:ascii="Times New Roman" w:hAnsi="Times New Roman" w:cs="Times New Roman"/>
              </w:rPr>
              <w:t>urmează să examineze și să adopte, la necesitate, viitoare acte delegate care să pună în aplicare aceste recomandări.</w:t>
            </w:r>
          </w:p>
          <w:p w14:paraId="466D4137" w14:textId="77777777" w:rsidR="004F7C0F" w:rsidRDefault="004F7C0F" w:rsidP="004F7C0F">
            <w:pPr>
              <w:jc w:val="both"/>
              <w:rPr>
                <w:rFonts w:ascii="Times New Roman" w:hAnsi="Times New Roman" w:cs="Times New Roman"/>
              </w:rPr>
            </w:pPr>
            <w:r>
              <w:rPr>
                <w:rFonts w:ascii="Times New Roman" w:hAnsi="Times New Roman" w:cs="Times New Roman"/>
              </w:rPr>
              <w:t>Mai mult decât atât, la momentul actual, inclusiv în domeniul agriculturii au loc măsuri de aliniere a legislației și a practicilor naționale la normele și standardele UE în vederea perfecționării și îmbunătățirii proceselor agricole.</w:t>
            </w:r>
          </w:p>
          <w:p w14:paraId="48EEEDBD" w14:textId="686BAC6D" w:rsidR="00EB0784" w:rsidRPr="00882F72" w:rsidRDefault="004F7C0F" w:rsidP="004F7C0F">
            <w:pPr>
              <w:jc w:val="both"/>
              <w:rPr>
                <w:rFonts w:ascii="Times New Roman" w:eastAsia="Calibri" w:hAnsi="Times New Roman" w:cs="Times New Roman"/>
                <w:b/>
                <w:bCs/>
              </w:rPr>
            </w:pPr>
            <w:r>
              <w:rPr>
                <w:rFonts w:ascii="Times New Roman" w:hAnsi="Times New Roman" w:cs="Times New Roman"/>
              </w:rPr>
              <w:t>Respectiv, domeniul agriculturii va fi inclusiv în prevederile Taxonomiei la o etapă ulterioară, reieșind din evoluțiile reglementărilor și practicilor în aplicare atât la nivel național, cât și internațional.</w:t>
            </w:r>
          </w:p>
        </w:tc>
      </w:tr>
      <w:tr w:rsidR="00EB0784" w:rsidRPr="00882F72" w14:paraId="47BB12E3" w14:textId="77777777" w:rsidTr="00F968A9">
        <w:tc>
          <w:tcPr>
            <w:tcW w:w="797" w:type="pct"/>
            <w:vMerge/>
          </w:tcPr>
          <w:p w14:paraId="44F6A7EC" w14:textId="7A7CDB1A"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2801A0C7" w14:textId="77777777" w:rsidR="00EB0784" w:rsidRPr="00DD3C6B" w:rsidRDefault="00EB0784">
            <w:pPr>
              <w:pStyle w:val="ListParagraph"/>
              <w:numPr>
                <w:ilvl w:val="0"/>
                <w:numId w:val="9"/>
              </w:numPr>
              <w:rPr>
                <w:rFonts w:ascii="Times New Roman" w:eastAsia="Calibri" w:hAnsi="Times New Roman" w:cs="Times New Roman"/>
                <w:noProof/>
              </w:rPr>
            </w:pPr>
          </w:p>
        </w:tc>
        <w:tc>
          <w:tcPr>
            <w:tcW w:w="2505" w:type="pct"/>
          </w:tcPr>
          <w:p w14:paraId="4594E439" w14:textId="6FEE6766" w:rsidR="00EB0784" w:rsidRPr="00EB0784" w:rsidRDefault="00EB0784" w:rsidP="00AC5A28">
            <w:pPr>
              <w:jc w:val="both"/>
              <w:rPr>
                <w:rFonts w:ascii="Times New Roman" w:eastAsia="Times New Roman" w:hAnsi="Times New Roman"/>
                <w:lang w:val="ro-RO"/>
              </w:rPr>
            </w:pPr>
            <w:r w:rsidRPr="00EB0784">
              <w:rPr>
                <w:rFonts w:ascii="Times New Roman" w:eastAsia="Calibri" w:hAnsi="Times New Roman" w:cs="Times New Roman"/>
                <w:noProof/>
              </w:rPr>
              <w:t xml:space="preserve">În contextul finanțării durabile, considerăm oportună includerea în Taxonomie a </w:t>
            </w:r>
            <w:r w:rsidRPr="00EB0784">
              <w:rPr>
                <w:rFonts w:ascii="Times New Roman" w:eastAsia="Calibri" w:hAnsi="Times New Roman" w:cs="Times New Roman"/>
                <w:b/>
                <w:bCs/>
                <w:noProof/>
              </w:rPr>
              <w:t>indicatorului de performanță GAR</w:t>
            </w:r>
            <w:r w:rsidRPr="00EB0784">
              <w:rPr>
                <w:rFonts w:ascii="Times New Roman" w:eastAsia="Calibri" w:hAnsi="Times New Roman" w:cs="Times New Roman"/>
                <w:noProof/>
              </w:rPr>
              <w:t xml:space="preserve"> (Green Asset Ratio – indicatorul activelor verzi), cu stabilirea unor obiective minime și a unei traiectorii de creștere graduală, similar practicilor din Uniunea Europeană, unde raportarea acestuia este obligatorie.</w:t>
            </w:r>
          </w:p>
        </w:tc>
        <w:tc>
          <w:tcPr>
            <w:tcW w:w="1458" w:type="pct"/>
          </w:tcPr>
          <w:p w14:paraId="6B1010D8" w14:textId="77777777" w:rsidR="004F7C0F" w:rsidRPr="004E67A3" w:rsidRDefault="004F7C0F" w:rsidP="004F7C0F">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7C04303A" w14:textId="626323BB" w:rsidR="00EB0784" w:rsidRPr="00882F72" w:rsidRDefault="004F7C0F" w:rsidP="004F7C0F">
            <w:pPr>
              <w:jc w:val="both"/>
              <w:rPr>
                <w:rFonts w:ascii="Times New Roman" w:eastAsia="Calibri" w:hAnsi="Times New Roman" w:cs="Times New Roman"/>
                <w:b/>
                <w:bCs/>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pentru finanțare durabilă stabilește un cadru general privind activitățile economice ce se consideră durabile din punct de vedere al mediului și nu conține prevederi aferente mecanismului de raportare a activităților verzi. Acest aspect va constitui obiect de reglementare în cadrul proiectelor de acte normative subsecvente (acte normative ale regulatorilor pieței financiare dedicate mecanismului de raportare, etc.)</w:t>
            </w:r>
          </w:p>
        </w:tc>
      </w:tr>
      <w:tr w:rsidR="00EB0784" w:rsidRPr="00882F72" w14:paraId="311AD950" w14:textId="77777777" w:rsidTr="00F968A9">
        <w:tc>
          <w:tcPr>
            <w:tcW w:w="797" w:type="pct"/>
            <w:vMerge/>
          </w:tcPr>
          <w:p w14:paraId="38841F34" w14:textId="2D99BD1C"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48FD22FE" w14:textId="77777777" w:rsidR="00EB0784" w:rsidRPr="00DD3C6B" w:rsidRDefault="00EB0784">
            <w:pPr>
              <w:pStyle w:val="ListParagraph"/>
              <w:numPr>
                <w:ilvl w:val="0"/>
                <w:numId w:val="9"/>
              </w:numPr>
              <w:rPr>
                <w:rFonts w:ascii="Times New Roman" w:eastAsia="Calibri" w:hAnsi="Times New Roman" w:cs="Times New Roman"/>
                <w:noProof/>
              </w:rPr>
            </w:pPr>
          </w:p>
        </w:tc>
        <w:tc>
          <w:tcPr>
            <w:tcW w:w="2505" w:type="pct"/>
          </w:tcPr>
          <w:p w14:paraId="3FADEED9" w14:textId="6181BB59" w:rsidR="00EB0784" w:rsidRPr="00EB0784" w:rsidRDefault="00EB0784" w:rsidP="00AC5A28">
            <w:pPr>
              <w:jc w:val="both"/>
              <w:rPr>
                <w:rFonts w:ascii="Times New Roman" w:eastAsia="Times New Roman" w:hAnsi="Times New Roman"/>
                <w:lang w:val="ro-RO"/>
              </w:rPr>
            </w:pPr>
            <w:r w:rsidRPr="00EB0784">
              <w:rPr>
                <w:rFonts w:ascii="Times New Roman" w:eastAsia="Calibri" w:hAnsi="Times New Roman" w:cs="Times New Roman"/>
                <w:noProof/>
              </w:rPr>
              <w:t xml:space="preserve">Proiectul nu reglementează în mod clar mecanismul de </w:t>
            </w:r>
            <w:r w:rsidRPr="00EB0784">
              <w:rPr>
                <w:rFonts w:ascii="Times New Roman" w:eastAsia="Calibri" w:hAnsi="Times New Roman" w:cs="Times New Roman"/>
                <w:b/>
                <w:bCs/>
                <w:noProof/>
              </w:rPr>
              <w:t>dezvăluire a impactului asupra mediului și a durabilității portofoliilor de credite</w:t>
            </w:r>
            <w:r w:rsidRPr="00EB0784">
              <w:rPr>
                <w:rFonts w:ascii="Times New Roman" w:eastAsia="Calibri" w:hAnsi="Times New Roman" w:cs="Times New Roman"/>
                <w:noProof/>
              </w:rPr>
              <w:t>. Se impune precizarea criteriilor, indicatorilor și metodologiilor aplicabile.</w:t>
            </w:r>
          </w:p>
        </w:tc>
        <w:tc>
          <w:tcPr>
            <w:tcW w:w="1458" w:type="pct"/>
          </w:tcPr>
          <w:p w14:paraId="1753C9BA" w14:textId="77777777" w:rsidR="004F7C0F" w:rsidRPr="00791F98" w:rsidRDefault="004F7C0F" w:rsidP="004F7C0F">
            <w:pPr>
              <w:rPr>
                <w:rFonts w:ascii="Times New Roman" w:eastAsia="Times New Roman" w:hAnsi="Times New Roman"/>
                <w:b/>
                <w:bCs/>
                <w:lang w:val="ro-RO"/>
              </w:rPr>
            </w:pPr>
            <w:r>
              <w:rPr>
                <w:rFonts w:ascii="Times New Roman" w:eastAsia="Times New Roman" w:hAnsi="Times New Roman"/>
                <w:b/>
                <w:bCs/>
                <w:lang w:val="ro-RO"/>
              </w:rPr>
              <w:t>Se acceptă parțial</w:t>
            </w:r>
            <w:r w:rsidRPr="00791F98">
              <w:rPr>
                <w:rFonts w:ascii="Times New Roman" w:eastAsia="Times New Roman" w:hAnsi="Times New Roman"/>
                <w:b/>
                <w:bCs/>
                <w:lang w:val="ro-RO"/>
              </w:rPr>
              <w:t>.</w:t>
            </w:r>
          </w:p>
          <w:p w14:paraId="046EA4A3" w14:textId="77777777" w:rsidR="004F7C0F" w:rsidRPr="00791F98" w:rsidRDefault="004F7C0F" w:rsidP="004F7C0F">
            <w:pPr>
              <w:jc w:val="both"/>
              <w:rPr>
                <w:rFonts w:ascii="Times New Roman" w:eastAsia="Times New Roman" w:hAnsi="Times New Roman"/>
                <w:lang w:val="ro-RO"/>
              </w:rPr>
            </w:pPr>
            <w:r w:rsidRPr="00791F98">
              <w:rPr>
                <w:rFonts w:ascii="Times New Roman" w:eastAsia="Times New Roman" w:hAnsi="Times New Roman"/>
                <w:lang w:val="ro-RO"/>
              </w:rPr>
              <w:t xml:space="preserve">La determinarea faptului dacă o activitate economică se califică drept durabilă din punctul de vedere al mediului, sunt urmați o serie de pași, </w:t>
            </w:r>
            <w:r w:rsidRPr="00791F98">
              <w:rPr>
                <w:rFonts w:ascii="Times New Roman" w:eastAsia="Times New Roman" w:hAnsi="Times New Roman"/>
                <w:lang w:val="ro-RO"/>
              </w:rPr>
              <w:lastRenderedPageBreak/>
              <w:t>descriși la pct.1</w:t>
            </w:r>
            <w:r>
              <w:rPr>
                <w:rFonts w:ascii="Times New Roman" w:eastAsia="Times New Roman" w:hAnsi="Times New Roman"/>
                <w:lang w:val="ro-RO"/>
              </w:rPr>
              <w:t>5</w:t>
            </w:r>
            <w:r w:rsidRPr="00791F98">
              <w:rPr>
                <w:rFonts w:ascii="Times New Roman" w:eastAsia="Times New Roman" w:hAnsi="Times New Roman"/>
                <w:lang w:val="ro-RO"/>
              </w:rPr>
              <w:t xml:space="preserve"> din Proiectul Hotărârii privind Taxonomia.</w:t>
            </w:r>
          </w:p>
          <w:p w14:paraId="0EB0D653" w14:textId="23AEC04E" w:rsidR="00EB0784" w:rsidRPr="00882F72" w:rsidRDefault="004F7C0F" w:rsidP="004F7C0F">
            <w:pPr>
              <w:jc w:val="both"/>
              <w:rPr>
                <w:rFonts w:ascii="Times New Roman" w:eastAsia="Calibri" w:hAnsi="Times New Roman" w:cs="Times New Roman"/>
                <w:b/>
                <w:bCs/>
              </w:rPr>
            </w:pPr>
            <w:r w:rsidRPr="00791F98">
              <w:rPr>
                <w:rFonts w:ascii="Times New Roman" w:eastAsia="Times New Roman" w:hAnsi="Times New Roman"/>
                <w:lang w:val="ro-RO"/>
              </w:rPr>
              <w:t>Proiectul actului normativ de punere în aplicare a cadrului de finanțare durabilă pentru bănci, va fi dezvoltat ulterior.</w:t>
            </w:r>
          </w:p>
        </w:tc>
      </w:tr>
      <w:tr w:rsidR="00EB0784" w:rsidRPr="00882F72" w14:paraId="00E2578A" w14:textId="77777777" w:rsidTr="00F968A9">
        <w:tc>
          <w:tcPr>
            <w:tcW w:w="797" w:type="pct"/>
            <w:vMerge/>
          </w:tcPr>
          <w:p w14:paraId="7BA3148D" w14:textId="4708FF7F"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1A709AD9" w14:textId="77777777" w:rsidR="00EB0784" w:rsidRPr="00DD3C6B" w:rsidRDefault="00EB0784">
            <w:pPr>
              <w:pStyle w:val="ListParagraph"/>
              <w:numPr>
                <w:ilvl w:val="0"/>
                <w:numId w:val="9"/>
              </w:numPr>
              <w:tabs>
                <w:tab w:val="left" w:pos="3495"/>
              </w:tabs>
              <w:rPr>
                <w:rFonts w:ascii="Times New Roman" w:eastAsia="Calibri" w:hAnsi="Times New Roman" w:cs="Times New Roman"/>
                <w:noProof/>
              </w:rPr>
            </w:pPr>
          </w:p>
        </w:tc>
        <w:tc>
          <w:tcPr>
            <w:tcW w:w="2505" w:type="pct"/>
          </w:tcPr>
          <w:p w14:paraId="4BBC5DA9" w14:textId="32344610" w:rsidR="00EB0784" w:rsidRPr="00EB0784" w:rsidRDefault="00EB0784" w:rsidP="00AC5A28">
            <w:pPr>
              <w:tabs>
                <w:tab w:val="left" w:pos="3495"/>
              </w:tabs>
              <w:jc w:val="both"/>
              <w:rPr>
                <w:rFonts w:ascii="Times New Roman" w:eastAsia="Calibri" w:hAnsi="Times New Roman" w:cs="Times New Roman"/>
                <w:noProof/>
              </w:rPr>
            </w:pPr>
            <w:r w:rsidRPr="00EB0784">
              <w:rPr>
                <w:rFonts w:ascii="Times New Roman" w:eastAsia="Calibri" w:hAnsi="Times New Roman" w:cs="Times New Roman"/>
                <w:noProof/>
              </w:rPr>
              <w:t xml:space="preserve">Propunem </w:t>
            </w:r>
            <w:r w:rsidRPr="00EB0784">
              <w:rPr>
                <w:rFonts w:ascii="Times New Roman" w:eastAsia="Calibri" w:hAnsi="Times New Roman" w:cs="Times New Roman"/>
                <w:b/>
                <w:bCs/>
                <w:noProof/>
              </w:rPr>
              <w:t xml:space="preserve">reformularea unor domenii </w:t>
            </w:r>
            <w:r w:rsidRPr="00EB0784">
              <w:rPr>
                <w:rFonts w:ascii="Times New Roman" w:eastAsia="Calibri" w:hAnsi="Times New Roman" w:cs="Times New Roman"/>
                <w:noProof/>
              </w:rPr>
              <w:t xml:space="preserve">prevăzute în textul Taxonomiei, după cum urmează: </w:t>
            </w:r>
          </w:p>
          <w:p w14:paraId="05ABBDDC" w14:textId="77777777" w:rsidR="00EB0784" w:rsidRPr="00882F72" w:rsidRDefault="00EB0784">
            <w:pPr>
              <w:pStyle w:val="ListParagraph"/>
              <w:numPr>
                <w:ilvl w:val="0"/>
                <w:numId w:val="3"/>
              </w:numPr>
              <w:tabs>
                <w:tab w:val="left" w:pos="3495"/>
              </w:tabs>
              <w:ind w:left="256" w:hanging="256"/>
              <w:jc w:val="both"/>
              <w:rPr>
                <w:rFonts w:ascii="Times New Roman" w:eastAsia="Calibri" w:hAnsi="Times New Roman" w:cs="Times New Roman"/>
                <w:noProof/>
              </w:rPr>
            </w:pPr>
            <w:r w:rsidRPr="00882F72">
              <w:rPr>
                <w:rFonts w:ascii="Times New Roman" w:eastAsia="Calibri" w:hAnsi="Times New Roman" w:cs="Times New Roman"/>
                <w:noProof/>
              </w:rPr>
              <w:t xml:space="preserve">„Furnizarea apei, lucrările de canalizare, activitățile de gestionare a deșeurilor și de depoluare” – în „Managementul apei, rețelelor de canalizare și al deșeurilor”. </w:t>
            </w:r>
          </w:p>
          <w:p w14:paraId="29A7AAEB" w14:textId="77777777" w:rsidR="00EB0784" w:rsidRPr="00882F72" w:rsidRDefault="00EB0784">
            <w:pPr>
              <w:pStyle w:val="ListParagraph"/>
              <w:numPr>
                <w:ilvl w:val="0"/>
                <w:numId w:val="3"/>
              </w:numPr>
              <w:tabs>
                <w:tab w:val="left" w:pos="3495"/>
              </w:tabs>
              <w:ind w:left="256" w:hanging="256"/>
              <w:jc w:val="both"/>
              <w:rPr>
                <w:rFonts w:ascii="Times New Roman" w:eastAsia="Calibri" w:hAnsi="Times New Roman" w:cs="Times New Roman"/>
                <w:noProof/>
              </w:rPr>
            </w:pPr>
            <w:r w:rsidRPr="00882F72">
              <w:rPr>
                <w:rFonts w:ascii="Times New Roman" w:eastAsia="Calibri" w:hAnsi="Times New Roman" w:cs="Times New Roman"/>
                <w:noProof/>
              </w:rPr>
              <w:t xml:space="preserve">„Activități de construcție și activități imobiliare” – în „Construcții și imobiliare”. </w:t>
            </w:r>
          </w:p>
          <w:p w14:paraId="61BD0B7E" w14:textId="77777777" w:rsidR="00EB0784" w:rsidRPr="00882F72" w:rsidRDefault="00EB0784">
            <w:pPr>
              <w:pStyle w:val="ListParagraph"/>
              <w:numPr>
                <w:ilvl w:val="0"/>
                <w:numId w:val="3"/>
              </w:numPr>
              <w:tabs>
                <w:tab w:val="left" w:pos="3495"/>
              </w:tabs>
              <w:ind w:left="256" w:hanging="256"/>
              <w:jc w:val="both"/>
              <w:rPr>
                <w:rFonts w:ascii="Times New Roman" w:eastAsia="Calibri" w:hAnsi="Times New Roman" w:cs="Times New Roman"/>
                <w:noProof/>
              </w:rPr>
            </w:pPr>
            <w:r w:rsidRPr="00882F72">
              <w:rPr>
                <w:rFonts w:ascii="Times New Roman" w:eastAsia="Calibri" w:hAnsi="Times New Roman" w:cs="Times New Roman"/>
                <w:noProof/>
              </w:rPr>
              <w:t xml:space="preserve">„Informarea și comunicarea” – în „Tehnologia informației și a comunicațiilor”. </w:t>
            </w:r>
          </w:p>
          <w:p w14:paraId="00B009BA" w14:textId="77777777" w:rsidR="00EB0784" w:rsidRPr="00882F72" w:rsidRDefault="00EB0784">
            <w:pPr>
              <w:pStyle w:val="ListParagraph"/>
              <w:numPr>
                <w:ilvl w:val="0"/>
                <w:numId w:val="3"/>
              </w:numPr>
              <w:tabs>
                <w:tab w:val="left" w:pos="3495"/>
              </w:tabs>
              <w:ind w:left="256" w:hanging="256"/>
              <w:jc w:val="both"/>
              <w:rPr>
                <w:rFonts w:ascii="Times New Roman" w:eastAsia="Calibri" w:hAnsi="Times New Roman" w:cs="Times New Roman"/>
                <w:noProof/>
              </w:rPr>
            </w:pPr>
            <w:r w:rsidRPr="00882F72">
              <w:rPr>
                <w:rFonts w:ascii="Times New Roman" w:eastAsia="Calibri" w:hAnsi="Times New Roman" w:cs="Times New Roman"/>
                <w:noProof/>
              </w:rPr>
              <w:t xml:space="preserve">„Activitățile privind sănătatea umană și asistența socială” – în „Sănătatea umană și asistența socială”. </w:t>
            </w:r>
          </w:p>
          <w:p w14:paraId="3A584D4C" w14:textId="06EE57EE" w:rsidR="00EB0784" w:rsidRPr="00882F72" w:rsidRDefault="00EB0784">
            <w:pPr>
              <w:pStyle w:val="ListParagraph"/>
              <w:numPr>
                <w:ilvl w:val="0"/>
                <w:numId w:val="3"/>
              </w:numPr>
              <w:tabs>
                <w:tab w:val="left" w:pos="3495"/>
              </w:tabs>
              <w:ind w:left="256" w:hanging="256"/>
              <w:jc w:val="both"/>
              <w:rPr>
                <w:rFonts w:ascii="Times New Roman" w:eastAsia="Calibri" w:hAnsi="Times New Roman" w:cs="Times New Roman"/>
                <w:noProof/>
              </w:rPr>
            </w:pPr>
            <w:r w:rsidRPr="00882F72">
              <w:rPr>
                <w:rFonts w:ascii="Times New Roman" w:eastAsia="Calibri" w:hAnsi="Times New Roman" w:cs="Times New Roman"/>
                <w:noProof/>
              </w:rPr>
              <w:t>„Fabricarea ingredientelor farmaceutice active (IFA) sau a substanțelor active” – în „Fabricarea ingredientelor farmaceutice active (IFA) și a produselor farmaceutice de bază”.</w:t>
            </w:r>
          </w:p>
        </w:tc>
        <w:tc>
          <w:tcPr>
            <w:tcW w:w="1458" w:type="pct"/>
          </w:tcPr>
          <w:p w14:paraId="24486F36" w14:textId="77777777" w:rsidR="005E5C6E" w:rsidRPr="004F7C0F" w:rsidRDefault="004F7C0F" w:rsidP="004F7C0F">
            <w:pPr>
              <w:rPr>
                <w:rFonts w:ascii="Times New Roman" w:hAnsi="Times New Roman" w:cs="Times New Roman"/>
                <w:b/>
                <w:bCs/>
              </w:rPr>
            </w:pPr>
            <w:r w:rsidRPr="004F7C0F">
              <w:rPr>
                <w:rFonts w:ascii="Times New Roman" w:hAnsi="Times New Roman" w:cs="Times New Roman"/>
                <w:b/>
                <w:bCs/>
              </w:rPr>
              <w:t>Se acceptă.</w:t>
            </w:r>
          </w:p>
          <w:p w14:paraId="689A41FC" w14:textId="1F49E592" w:rsidR="004F7C0F" w:rsidRPr="004F7C0F" w:rsidRDefault="004F7C0F" w:rsidP="004F7C0F">
            <w:pPr>
              <w:jc w:val="both"/>
              <w:rPr>
                <w:rFonts w:ascii="Times New Roman" w:eastAsia="Calibri" w:hAnsi="Times New Roman" w:cs="Times New Roman"/>
                <w:bCs/>
              </w:rPr>
            </w:pPr>
            <w:r w:rsidRPr="004F7C0F">
              <w:rPr>
                <w:rFonts w:ascii="Times New Roman" w:hAnsi="Times New Roman" w:cs="Times New Roman"/>
                <w:bCs/>
              </w:rPr>
              <w:t>Proiectul a fost ajustat conform propunerii.</w:t>
            </w:r>
          </w:p>
        </w:tc>
      </w:tr>
      <w:tr w:rsidR="00EB0784" w:rsidRPr="00882F72" w14:paraId="6A16393A" w14:textId="77777777" w:rsidTr="00F968A9">
        <w:tc>
          <w:tcPr>
            <w:tcW w:w="797" w:type="pct"/>
            <w:vMerge/>
          </w:tcPr>
          <w:p w14:paraId="50AD88C5" w14:textId="5E9CA42D"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7C105D6F" w14:textId="77777777" w:rsidR="00EB0784" w:rsidRPr="00DD3C6B" w:rsidRDefault="00EB0784">
            <w:pPr>
              <w:pStyle w:val="ListParagraph"/>
              <w:numPr>
                <w:ilvl w:val="0"/>
                <w:numId w:val="9"/>
              </w:numPr>
              <w:tabs>
                <w:tab w:val="left" w:pos="3495"/>
              </w:tabs>
              <w:rPr>
                <w:rFonts w:ascii="Times New Roman" w:eastAsia="Calibri" w:hAnsi="Times New Roman" w:cs="Times New Roman"/>
                <w:noProof/>
              </w:rPr>
            </w:pPr>
          </w:p>
        </w:tc>
        <w:tc>
          <w:tcPr>
            <w:tcW w:w="2505" w:type="pct"/>
          </w:tcPr>
          <w:p w14:paraId="2367E592" w14:textId="6CF131CC" w:rsidR="00EB0784" w:rsidRPr="00EB0784" w:rsidRDefault="00EB0784" w:rsidP="00AC5A28">
            <w:pPr>
              <w:tabs>
                <w:tab w:val="left" w:pos="3495"/>
              </w:tabs>
              <w:jc w:val="both"/>
              <w:rPr>
                <w:rFonts w:ascii="Times New Roman" w:eastAsia="Calibri" w:hAnsi="Times New Roman" w:cs="Times New Roman"/>
                <w:noProof/>
              </w:rPr>
            </w:pPr>
            <w:r w:rsidRPr="00EB0784">
              <w:rPr>
                <w:rFonts w:ascii="Times New Roman" w:eastAsia="Calibri" w:hAnsi="Times New Roman" w:cs="Times New Roman"/>
                <w:noProof/>
              </w:rPr>
              <w:t xml:space="preserve">Unele activități incluse în Taxonomie nu sunt aplicabile realităților economice din Republica Moldova, cum ar fi producerea de energie electrică pe baza tehnologiilor din domeniul energiei oceanice. </w:t>
            </w:r>
            <w:r w:rsidRPr="00EB0784">
              <w:rPr>
                <w:rFonts w:ascii="Times New Roman" w:eastAsia="Calibri" w:hAnsi="Times New Roman" w:cs="Times New Roman"/>
                <w:b/>
                <w:bCs/>
                <w:noProof/>
              </w:rPr>
              <w:t xml:space="preserve">Propunem excluderea acestora din domeniul de aplicare al Taxonomiei. </w:t>
            </w:r>
          </w:p>
          <w:p w14:paraId="2C64E048" w14:textId="0A6D6FD5" w:rsidR="00EB0784" w:rsidRPr="00EB0784" w:rsidRDefault="00EB0784" w:rsidP="00AC5A28">
            <w:pPr>
              <w:tabs>
                <w:tab w:val="left" w:pos="3495"/>
              </w:tabs>
              <w:jc w:val="both"/>
              <w:rPr>
                <w:rFonts w:ascii="Times New Roman" w:eastAsia="Calibri" w:hAnsi="Times New Roman" w:cs="Times New Roman"/>
                <w:noProof/>
              </w:rPr>
            </w:pPr>
            <w:r w:rsidRPr="00EB0784">
              <w:rPr>
                <w:rFonts w:ascii="Times New Roman" w:eastAsia="Calibri" w:hAnsi="Times New Roman" w:cs="Times New Roman"/>
                <w:noProof/>
              </w:rPr>
              <w:t xml:space="preserve">De asemenea, în Tabelul de Concordanță (Anexa 2 – Criterii DNSH), la obiectivul „Prevenirea și controlul poluării”, este menționată activitatea „Producerea de energie electrică pe baza tehnologiilor din domeniul energiei oceanice”, corelată cu cerința privind minimizarea toxicității vopselelor anti-învechire și a biocidelor, </w:t>
            </w:r>
            <w:r w:rsidRPr="00EB0784">
              <w:rPr>
                <w:rFonts w:ascii="Times New Roman" w:eastAsia="Calibri" w:hAnsi="Times New Roman" w:cs="Times New Roman"/>
                <w:b/>
                <w:bCs/>
                <w:noProof/>
              </w:rPr>
              <w:t>fără a fi clară legătura directă dintre aceste elemente</w:t>
            </w:r>
            <w:r w:rsidRPr="00EB0784">
              <w:rPr>
                <w:rFonts w:ascii="Times New Roman" w:eastAsia="Calibri" w:hAnsi="Times New Roman" w:cs="Times New Roman"/>
                <w:noProof/>
              </w:rPr>
              <w:t>.</w:t>
            </w:r>
          </w:p>
        </w:tc>
        <w:tc>
          <w:tcPr>
            <w:tcW w:w="1458" w:type="pct"/>
          </w:tcPr>
          <w:p w14:paraId="7E57AADB" w14:textId="77777777" w:rsidR="00503060" w:rsidRPr="0029278F" w:rsidRDefault="00503060" w:rsidP="00503060">
            <w:pPr>
              <w:rPr>
                <w:rFonts w:ascii="Times New Roman" w:hAnsi="Times New Roman" w:cs="Times New Roman"/>
                <w:b/>
                <w:bCs/>
                <w:lang w:val="ro-RO"/>
              </w:rPr>
            </w:pPr>
            <w:r w:rsidRPr="0029278F">
              <w:rPr>
                <w:rFonts w:ascii="Times New Roman" w:hAnsi="Times New Roman" w:cs="Times New Roman"/>
                <w:b/>
                <w:bCs/>
                <w:lang w:val="ro-RO"/>
              </w:rPr>
              <w:t>Nu se acceptă.</w:t>
            </w:r>
          </w:p>
          <w:p w14:paraId="34FD0785" w14:textId="04428860" w:rsidR="00EB0784" w:rsidRPr="00882F72" w:rsidRDefault="00503060" w:rsidP="00503060">
            <w:pPr>
              <w:jc w:val="both"/>
              <w:rPr>
                <w:rFonts w:ascii="Times New Roman" w:eastAsia="Calibri" w:hAnsi="Times New Roman" w:cs="Times New Roman"/>
                <w:b/>
                <w:bCs/>
              </w:rPr>
            </w:pPr>
            <w:r w:rsidRPr="0029278F">
              <w:rPr>
                <w:rFonts w:ascii="Times New Roman" w:hAnsi="Times New Roman" w:cs="Times New Roman"/>
              </w:rPr>
              <w:t>Pentru o integrare mai armonioasă a pieței naționale în cea a Uniunii Europene, indiferent de domeniul de activitate, se consideră oportună o aliniere fidelă a legislației naționale la normele și standardele internaționale.</w:t>
            </w:r>
            <w:r>
              <w:rPr>
                <w:rFonts w:ascii="Times New Roman" w:hAnsi="Times New Roman" w:cs="Times New Roman"/>
              </w:rPr>
              <w:t xml:space="preserve"> Existența acestor norme în cadrul normativ în pofida lipsei acestor activități în economia națională nu va afecta în nici un fel părțile interesate, fie că este vorba despre mediul de afaceri, sau despre entitățile financiare ce oferă acces la finanțare.</w:t>
            </w:r>
          </w:p>
        </w:tc>
      </w:tr>
      <w:tr w:rsidR="00EB0784" w:rsidRPr="00882F72" w14:paraId="5C2FA8ED" w14:textId="77777777" w:rsidTr="00F968A9">
        <w:tc>
          <w:tcPr>
            <w:tcW w:w="797" w:type="pct"/>
            <w:vMerge/>
          </w:tcPr>
          <w:p w14:paraId="6E10A777" w14:textId="19BA612A"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3CE2DB3D" w14:textId="77777777" w:rsidR="00EB0784" w:rsidRPr="00DD3C6B" w:rsidRDefault="00EB0784">
            <w:pPr>
              <w:pStyle w:val="ListParagraph"/>
              <w:numPr>
                <w:ilvl w:val="0"/>
                <w:numId w:val="9"/>
              </w:numPr>
              <w:rPr>
                <w:rFonts w:ascii="Times New Roman" w:eastAsia="Calibri" w:hAnsi="Times New Roman" w:cs="Times New Roman"/>
                <w:noProof/>
              </w:rPr>
            </w:pPr>
          </w:p>
        </w:tc>
        <w:tc>
          <w:tcPr>
            <w:tcW w:w="2505" w:type="pct"/>
          </w:tcPr>
          <w:p w14:paraId="0FF581C9" w14:textId="1ADD751F" w:rsidR="00EB0784" w:rsidRPr="008420FE" w:rsidRDefault="00EB0784" w:rsidP="00AC5A28">
            <w:pPr>
              <w:jc w:val="both"/>
              <w:rPr>
                <w:rFonts w:ascii="Times New Roman" w:eastAsia="Times New Roman" w:hAnsi="Times New Roman"/>
                <w:lang w:val="ro-RO"/>
              </w:rPr>
            </w:pPr>
            <w:r w:rsidRPr="008420FE">
              <w:rPr>
                <w:rFonts w:ascii="Times New Roman" w:eastAsia="Calibri" w:hAnsi="Times New Roman" w:cs="Times New Roman"/>
                <w:noProof/>
              </w:rPr>
              <w:t xml:space="preserve">Domeniile neaplicabile Republicii Moldova, precum „Producerea de energie electrică din energie nucleară în instalațiile existente”, </w:t>
            </w:r>
            <w:r w:rsidRPr="008420FE">
              <w:rPr>
                <w:rFonts w:ascii="Times New Roman" w:eastAsia="Calibri" w:hAnsi="Times New Roman" w:cs="Times New Roman"/>
                <w:b/>
                <w:bCs/>
                <w:noProof/>
              </w:rPr>
              <w:t>ar trebui excluse</w:t>
            </w:r>
            <w:r w:rsidRPr="008420FE">
              <w:rPr>
                <w:rFonts w:ascii="Times New Roman" w:eastAsia="Calibri" w:hAnsi="Times New Roman" w:cs="Times New Roman"/>
                <w:noProof/>
              </w:rPr>
              <w:t>, în lipsa unor astfel de instalații pe teritoriul național.</w:t>
            </w:r>
          </w:p>
        </w:tc>
        <w:tc>
          <w:tcPr>
            <w:tcW w:w="1458" w:type="pct"/>
          </w:tcPr>
          <w:p w14:paraId="43CC9207" w14:textId="76C10E8E" w:rsidR="00EB0784" w:rsidRPr="00503060" w:rsidRDefault="00503060" w:rsidP="008420FE">
            <w:pPr>
              <w:rPr>
                <w:rFonts w:ascii="Times New Roman" w:hAnsi="Times New Roman" w:cs="Times New Roman"/>
                <w:b/>
                <w:bCs/>
              </w:rPr>
            </w:pPr>
            <w:r w:rsidRPr="00503060">
              <w:rPr>
                <w:rFonts w:ascii="Times New Roman" w:hAnsi="Times New Roman" w:cs="Times New Roman"/>
                <w:b/>
                <w:bCs/>
              </w:rPr>
              <w:t>Nu se acceptă.</w:t>
            </w:r>
          </w:p>
          <w:p w14:paraId="5880B1BE" w14:textId="65E3D18E" w:rsidR="008420FE" w:rsidRPr="008420FE" w:rsidRDefault="008420FE" w:rsidP="00503060">
            <w:pPr>
              <w:jc w:val="both"/>
              <w:rPr>
                <w:rFonts w:ascii="Times New Roman" w:eastAsia="Calibri" w:hAnsi="Times New Roman" w:cs="Times New Roman"/>
                <w:b/>
                <w:bCs/>
              </w:rPr>
            </w:pPr>
            <w:r w:rsidRPr="00503060">
              <w:rPr>
                <w:rFonts w:ascii="Times New Roman" w:eastAsia="Calibri" w:hAnsi="Times New Roman" w:cs="Times New Roman"/>
              </w:rPr>
              <w:t>Textul precizează că aceste activități (cum ar fi transportul subteran de CO2) nu sunt eligibile, chiar dacă au fost prezentate pentru a păstra structura originală (numerotarea) taxonomiei UE.</w:t>
            </w:r>
          </w:p>
        </w:tc>
      </w:tr>
      <w:tr w:rsidR="00EB0784" w:rsidRPr="00882F72" w14:paraId="40636A1A" w14:textId="77777777" w:rsidTr="00F968A9">
        <w:tc>
          <w:tcPr>
            <w:tcW w:w="797" w:type="pct"/>
            <w:vMerge w:val="restart"/>
          </w:tcPr>
          <w:p w14:paraId="3DE57858" w14:textId="5DC47E0B" w:rsidR="00EB0784" w:rsidRPr="00EB0784" w:rsidRDefault="00EB0784" w:rsidP="00EB0784">
            <w:pPr>
              <w:tabs>
                <w:tab w:val="left" w:pos="355"/>
              </w:tabs>
              <w:rPr>
                <w:rFonts w:ascii="Times New Roman" w:eastAsia="Calibri" w:hAnsi="Times New Roman" w:cs="Times New Roman"/>
                <w:b/>
                <w:bCs/>
              </w:rPr>
            </w:pPr>
            <w:r w:rsidRPr="00EB0784">
              <w:rPr>
                <w:rFonts w:ascii="Times New Roman" w:eastAsia="Calibri" w:hAnsi="Times New Roman" w:cs="Times New Roman"/>
                <w:b/>
                <w:bCs/>
              </w:rPr>
              <w:t>Camera de Comerț Americană din Moldova</w:t>
            </w:r>
          </w:p>
          <w:p w14:paraId="5706878B" w14:textId="77777777" w:rsidR="00EB0784" w:rsidRPr="00882F72" w:rsidRDefault="00EB0784" w:rsidP="00296109">
            <w:pPr>
              <w:tabs>
                <w:tab w:val="left" w:pos="355"/>
              </w:tabs>
              <w:rPr>
                <w:rFonts w:ascii="Times New Roman" w:eastAsia="Calibri" w:hAnsi="Times New Roman" w:cs="Times New Roman"/>
              </w:rPr>
            </w:pPr>
          </w:p>
          <w:p w14:paraId="39DAF68B" w14:textId="56ACFCE7" w:rsidR="00EB0784" w:rsidRPr="00882F72" w:rsidRDefault="00EB0784" w:rsidP="00296109">
            <w:pPr>
              <w:tabs>
                <w:tab w:val="left" w:pos="355"/>
              </w:tabs>
              <w:rPr>
                <w:rFonts w:ascii="Times New Roman" w:eastAsia="Calibri" w:hAnsi="Times New Roman" w:cs="Times New Roman"/>
                <w:b/>
                <w:bCs/>
              </w:rPr>
            </w:pPr>
            <w:r w:rsidRPr="00882F72">
              <w:rPr>
                <w:rFonts w:ascii="Times New Roman" w:eastAsia="Calibri" w:hAnsi="Times New Roman" w:cs="Times New Roman"/>
              </w:rPr>
              <w:t>nr. 23 din 02.03.2026</w:t>
            </w:r>
          </w:p>
        </w:tc>
        <w:tc>
          <w:tcPr>
            <w:tcW w:w="240" w:type="pct"/>
          </w:tcPr>
          <w:p w14:paraId="61355114" w14:textId="77777777" w:rsidR="00EB0784" w:rsidRPr="00882F72" w:rsidRDefault="00EB0784" w:rsidP="00E232FF">
            <w:pPr>
              <w:pStyle w:val="ListParagraph"/>
              <w:numPr>
                <w:ilvl w:val="0"/>
                <w:numId w:val="1"/>
              </w:numPr>
              <w:ind w:left="256" w:hanging="283"/>
              <w:rPr>
                <w:rFonts w:ascii="Times New Roman" w:eastAsia="Calibri" w:hAnsi="Times New Roman" w:cs="Times New Roman"/>
                <w:noProof/>
              </w:rPr>
            </w:pPr>
          </w:p>
        </w:tc>
        <w:tc>
          <w:tcPr>
            <w:tcW w:w="2505" w:type="pct"/>
          </w:tcPr>
          <w:p w14:paraId="2B81FFDC" w14:textId="77777777" w:rsidR="00EB0784" w:rsidRDefault="00EB0784" w:rsidP="00AC5A28">
            <w:pPr>
              <w:ind w:left="-27"/>
              <w:jc w:val="both"/>
              <w:rPr>
                <w:rFonts w:ascii="Times New Roman" w:eastAsia="Calibri" w:hAnsi="Times New Roman" w:cs="Times New Roman"/>
                <w:noProof/>
              </w:rPr>
            </w:pPr>
            <w:r w:rsidRPr="00DD3C6B">
              <w:rPr>
                <w:rFonts w:ascii="Times New Roman" w:eastAsia="Calibri" w:hAnsi="Times New Roman" w:cs="Times New Roman"/>
                <w:noProof/>
              </w:rPr>
              <w:t xml:space="preserve">Implementarea Taxonomiei UE în Republica Moldova reprezintă un obiectiv strategic important în procesul de aliniere la standardele europene de finanțare sustenabilă. Totuși, </w:t>
            </w:r>
            <w:r w:rsidRPr="00DD3C6B">
              <w:rPr>
                <w:rFonts w:ascii="Times New Roman" w:eastAsia="Calibri" w:hAnsi="Times New Roman" w:cs="Times New Roman"/>
                <w:b/>
                <w:bCs/>
                <w:noProof/>
              </w:rPr>
              <w:t>transpunerea integrală și simultană</w:t>
            </w:r>
            <w:r w:rsidRPr="00DD3C6B">
              <w:rPr>
                <w:rFonts w:ascii="Times New Roman" w:eastAsia="Calibri" w:hAnsi="Times New Roman" w:cs="Times New Roman"/>
                <w:noProof/>
              </w:rPr>
              <w:t xml:space="preserve"> a modelului aplicabil în Uniunea Europeană, fără o etapizare adaptată capacității pieței locale, </w:t>
            </w:r>
            <w:r w:rsidRPr="00DD3C6B">
              <w:rPr>
                <w:rFonts w:ascii="Times New Roman" w:eastAsia="Calibri" w:hAnsi="Times New Roman" w:cs="Times New Roman"/>
                <w:b/>
                <w:bCs/>
                <w:noProof/>
              </w:rPr>
              <w:t>riscă să genereze efecte contrare scopului</w:t>
            </w:r>
            <w:r w:rsidRPr="00DD3C6B">
              <w:rPr>
                <w:rFonts w:ascii="Times New Roman" w:eastAsia="Calibri" w:hAnsi="Times New Roman" w:cs="Times New Roman"/>
                <w:noProof/>
              </w:rPr>
              <w:t xml:space="preserve"> urmărit — respectiv, să limiteze accesul la finanțare verde în loc să îl stimuleze.</w:t>
            </w:r>
          </w:p>
          <w:p w14:paraId="20310DE9" w14:textId="660176BE" w:rsidR="004331D6" w:rsidRPr="00DD3C6B" w:rsidRDefault="004331D6" w:rsidP="00AC5A28">
            <w:pPr>
              <w:ind w:left="-27"/>
              <w:jc w:val="both"/>
              <w:rPr>
                <w:rFonts w:ascii="Times New Roman" w:eastAsia="Times New Roman" w:hAnsi="Times New Roman"/>
                <w:lang w:val="ro-RO"/>
              </w:rPr>
            </w:pPr>
          </w:p>
        </w:tc>
        <w:tc>
          <w:tcPr>
            <w:tcW w:w="1458" w:type="pct"/>
          </w:tcPr>
          <w:p w14:paraId="2563A071" w14:textId="77777777" w:rsidR="00BD43B0" w:rsidRPr="00BF19E3" w:rsidRDefault="00BD43B0" w:rsidP="00BD43B0">
            <w:pPr>
              <w:rPr>
                <w:rFonts w:ascii="Times New Roman" w:hAnsi="Times New Roman" w:cs="Times New Roman"/>
                <w:b/>
                <w:bCs/>
              </w:rPr>
            </w:pPr>
            <w:r w:rsidRPr="00BF19E3">
              <w:rPr>
                <w:rFonts w:ascii="Times New Roman" w:hAnsi="Times New Roman" w:cs="Times New Roman"/>
                <w:b/>
                <w:bCs/>
              </w:rPr>
              <w:t xml:space="preserve">Se </w:t>
            </w:r>
            <w:r>
              <w:rPr>
                <w:rFonts w:ascii="Times New Roman" w:hAnsi="Times New Roman" w:cs="Times New Roman"/>
                <w:b/>
                <w:bCs/>
              </w:rPr>
              <w:t>acceptă parțial</w:t>
            </w:r>
          </w:p>
          <w:p w14:paraId="14EF6E33" w14:textId="30E2AA26" w:rsidR="00EB0784" w:rsidRPr="000D197E" w:rsidRDefault="00BD43B0" w:rsidP="000D197E">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pentru finanțare durabilă stabilește un cadru general privind activitățile economice ce se consideră durabile din punct de vedere al mediului. Prevederi specifice sectorului financiar și altor părți și entități ce ar putea aplica Taxonomia</w:t>
            </w:r>
            <w:r w:rsidR="000D197E">
              <w:rPr>
                <w:rFonts w:ascii="Times New Roman" w:hAnsi="Times New Roman" w:cs="Times New Roman"/>
              </w:rPr>
              <w:t>, precum și eventuala aplicare graduală</w:t>
            </w:r>
            <w:r>
              <w:rPr>
                <w:rFonts w:ascii="Times New Roman" w:hAnsi="Times New Roman" w:cs="Times New Roman"/>
              </w:rPr>
              <w:t xml:space="preserve"> urmează a </w:t>
            </w:r>
            <w:r>
              <w:rPr>
                <w:rFonts w:ascii="Times New Roman" w:hAnsi="Times New Roman" w:cs="Times New Roman"/>
              </w:rPr>
              <w:lastRenderedPageBreak/>
              <w:t xml:space="preserve">fi stabilite și prevăzute ulterior aprobării proiectului dat, prin acte normative ale regulatorilor sectorului financiar (Banca Națională a Moldovei și Comisia Națională a Pieței Financiare), acestea fiind cu aplicabilitate dedicată expres participanților pieței financiare. </w:t>
            </w:r>
          </w:p>
        </w:tc>
      </w:tr>
      <w:tr w:rsidR="00EB0784" w:rsidRPr="00882F72" w14:paraId="1EE3AD21" w14:textId="77777777" w:rsidTr="00F968A9">
        <w:tc>
          <w:tcPr>
            <w:tcW w:w="797" w:type="pct"/>
            <w:vMerge/>
          </w:tcPr>
          <w:p w14:paraId="5CF6A635" w14:textId="2041DC33" w:rsidR="00EB0784" w:rsidRPr="00882F72" w:rsidRDefault="00EB0784" w:rsidP="004A7B6B">
            <w:pPr>
              <w:tabs>
                <w:tab w:val="left" w:pos="355"/>
              </w:tabs>
              <w:jc w:val="center"/>
              <w:rPr>
                <w:rFonts w:ascii="Times New Roman" w:eastAsia="Calibri" w:hAnsi="Times New Roman" w:cs="Times New Roman"/>
                <w:b/>
                <w:bCs/>
              </w:rPr>
            </w:pPr>
          </w:p>
        </w:tc>
        <w:tc>
          <w:tcPr>
            <w:tcW w:w="240" w:type="pct"/>
          </w:tcPr>
          <w:p w14:paraId="6DD3F060" w14:textId="77777777" w:rsidR="00EB0784" w:rsidRPr="00882F72" w:rsidRDefault="00EB0784" w:rsidP="00E232FF">
            <w:pPr>
              <w:pStyle w:val="ListParagraph"/>
              <w:numPr>
                <w:ilvl w:val="0"/>
                <w:numId w:val="1"/>
              </w:numPr>
              <w:ind w:left="256" w:hanging="283"/>
              <w:rPr>
                <w:rFonts w:ascii="Times New Roman" w:eastAsia="Calibri" w:hAnsi="Times New Roman" w:cs="Times New Roman"/>
                <w:noProof/>
              </w:rPr>
            </w:pPr>
          </w:p>
        </w:tc>
        <w:tc>
          <w:tcPr>
            <w:tcW w:w="2505" w:type="pct"/>
          </w:tcPr>
          <w:p w14:paraId="4DA0E959" w14:textId="55746859" w:rsidR="00EB0784" w:rsidRPr="00DD3C6B" w:rsidRDefault="00EB0784"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 xml:space="preserve">Pentru a evita blocarea creditării verzi într-o economie emergentă, considerăm necesară o </w:t>
            </w:r>
            <w:r w:rsidRPr="00DD3C6B">
              <w:rPr>
                <w:rFonts w:ascii="Times New Roman" w:eastAsia="Calibri" w:hAnsi="Times New Roman" w:cs="Times New Roman"/>
                <w:b/>
                <w:bCs/>
                <w:noProof/>
              </w:rPr>
              <w:t>implementare graduală</w:t>
            </w:r>
            <w:r w:rsidRPr="00DD3C6B">
              <w:rPr>
                <w:rFonts w:ascii="Times New Roman" w:eastAsia="Calibri" w:hAnsi="Times New Roman" w:cs="Times New Roman"/>
                <w:noProof/>
              </w:rPr>
              <w:t xml:space="preserve"> a Taxonomiei, începând exclusiv cu criteriul </w:t>
            </w:r>
            <w:r w:rsidRPr="00DD3C6B">
              <w:rPr>
                <w:rFonts w:ascii="Times New Roman" w:eastAsia="Calibri" w:hAnsi="Times New Roman" w:cs="Times New Roman"/>
                <w:b/>
                <w:bCs/>
                <w:noProof/>
              </w:rPr>
              <w:t>„Contribuție Substanțială”</w:t>
            </w:r>
            <w:r w:rsidRPr="00DD3C6B">
              <w:rPr>
                <w:rFonts w:ascii="Times New Roman" w:eastAsia="Calibri" w:hAnsi="Times New Roman" w:cs="Times New Roman"/>
                <w:noProof/>
              </w:rPr>
              <w:t xml:space="preserve"> (Substantial Contribution). Criteriile </w:t>
            </w:r>
            <w:r w:rsidRPr="00DD3C6B">
              <w:rPr>
                <w:rFonts w:ascii="Times New Roman" w:eastAsia="Calibri" w:hAnsi="Times New Roman" w:cs="Times New Roman"/>
                <w:b/>
                <w:bCs/>
                <w:noProof/>
              </w:rPr>
              <w:t>„Do No Significant Harm”</w:t>
            </w:r>
            <w:r w:rsidRPr="00DD3C6B">
              <w:rPr>
                <w:rFonts w:ascii="Times New Roman" w:eastAsia="Calibri" w:hAnsi="Times New Roman" w:cs="Times New Roman"/>
                <w:noProof/>
              </w:rPr>
              <w:t xml:space="preserve"> (DNSH) și </w:t>
            </w:r>
            <w:r w:rsidRPr="00DD3C6B">
              <w:rPr>
                <w:rFonts w:ascii="Times New Roman" w:eastAsia="Calibri" w:hAnsi="Times New Roman" w:cs="Times New Roman"/>
                <w:b/>
                <w:bCs/>
                <w:noProof/>
              </w:rPr>
              <w:t>„Minimum Social Safeguards”</w:t>
            </w:r>
            <w:r w:rsidRPr="00DD3C6B">
              <w:rPr>
                <w:rFonts w:ascii="Times New Roman" w:eastAsia="Calibri" w:hAnsi="Times New Roman" w:cs="Times New Roman"/>
                <w:noProof/>
              </w:rPr>
              <w:t xml:space="preserve"> (MSS) </w:t>
            </w:r>
            <w:r w:rsidRPr="00DD3C6B">
              <w:rPr>
                <w:rFonts w:ascii="Times New Roman" w:eastAsia="Calibri" w:hAnsi="Times New Roman" w:cs="Times New Roman"/>
                <w:b/>
                <w:bCs/>
                <w:noProof/>
              </w:rPr>
              <w:t>ar trebui introduse ulterior</w:t>
            </w:r>
            <w:r w:rsidRPr="00DD3C6B">
              <w:rPr>
                <w:rFonts w:ascii="Times New Roman" w:eastAsia="Calibri" w:hAnsi="Times New Roman" w:cs="Times New Roman"/>
                <w:noProof/>
              </w:rPr>
              <w:t xml:space="preserve">, după o perioadă de tranziție de minimum 18–24 luni. O astfel de abordare ar permite pieței să se adapteze progresiv, să dezvolte capacitățile instituționale necesare și să evite reducerea artificială a numărului de activități eligibile. În faza inițială, atât </w:t>
            </w:r>
            <w:r w:rsidRPr="00DD3C6B">
              <w:rPr>
                <w:rFonts w:ascii="Times New Roman" w:eastAsia="Calibri" w:hAnsi="Times New Roman" w:cs="Times New Roman"/>
                <w:b/>
                <w:bCs/>
                <w:noProof/>
              </w:rPr>
              <w:t xml:space="preserve">activitățile „Taxonomy-eligible”, </w:t>
            </w:r>
            <w:r w:rsidRPr="00DD3C6B">
              <w:rPr>
                <w:rFonts w:ascii="Times New Roman" w:eastAsia="Calibri" w:hAnsi="Times New Roman" w:cs="Times New Roman"/>
                <w:noProof/>
              </w:rPr>
              <w:t>cât și cele</w:t>
            </w:r>
            <w:r w:rsidRPr="00DD3C6B">
              <w:rPr>
                <w:rFonts w:ascii="Times New Roman" w:eastAsia="Calibri" w:hAnsi="Times New Roman" w:cs="Times New Roman"/>
                <w:b/>
                <w:bCs/>
                <w:noProof/>
              </w:rPr>
              <w:t xml:space="preserve"> „Taxonomy-aligned” ar putea fi considerate investiții durabile</w:t>
            </w:r>
            <w:r w:rsidRPr="00DD3C6B">
              <w:rPr>
                <w:rFonts w:ascii="Times New Roman" w:eastAsia="Calibri" w:hAnsi="Times New Roman" w:cs="Times New Roman"/>
                <w:noProof/>
              </w:rPr>
              <w:t xml:space="preserve">, urmând ca, după perioada de tranziție, doar activitățile complet aliniate să fie clasificate ca atare. </w:t>
            </w:r>
          </w:p>
          <w:p w14:paraId="7D532275" w14:textId="4C46A7D1" w:rsidR="00EB0784" w:rsidRPr="00DD3C6B" w:rsidRDefault="00EB0784" w:rsidP="00AC5A28">
            <w:pPr>
              <w:jc w:val="both"/>
              <w:rPr>
                <w:rFonts w:ascii="Times New Roman" w:eastAsia="Times New Roman" w:hAnsi="Times New Roman"/>
                <w:lang w:val="ro-RO"/>
              </w:rPr>
            </w:pPr>
            <w:r w:rsidRPr="00DD3C6B">
              <w:rPr>
                <w:rFonts w:ascii="Times New Roman" w:eastAsia="Calibri" w:hAnsi="Times New Roman" w:cs="Times New Roman"/>
                <w:noProof/>
              </w:rPr>
              <w:t xml:space="preserve">Experiența Uniunii Europene demonstrează că aplicarea taxonomiei este un </w:t>
            </w:r>
            <w:r w:rsidRPr="00DD3C6B">
              <w:rPr>
                <w:rFonts w:ascii="Times New Roman" w:eastAsia="Calibri" w:hAnsi="Times New Roman" w:cs="Times New Roman"/>
                <w:b/>
                <w:bCs/>
                <w:noProof/>
              </w:rPr>
              <w:t>proces complex și tehnic</w:t>
            </w:r>
            <w:r w:rsidRPr="00DD3C6B">
              <w:rPr>
                <w:rFonts w:ascii="Times New Roman" w:eastAsia="Calibri" w:hAnsi="Times New Roman" w:cs="Times New Roman"/>
                <w:noProof/>
              </w:rPr>
              <w:t xml:space="preserve">. Începând cu 2024, băncile din UE raportează Green Asset Ratio (GAR), însă datele publice arată </w:t>
            </w:r>
            <w:r w:rsidRPr="00DD3C6B">
              <w:rPr>
                <w:rFonts w:ascii="Times New Roman" w:eastAsia="Calibri" w:hAnsi="Times New Roman" w:cs="Times New Roman"/>
                <w:b/>
                <w:bCs/>
                <w:noProof/>
              </w:rPr>
              <w:t>dificultăți semnificative în determinarea eligibilității și alinierii activelor,</w:t>
            </w:r>
            <w:r w:rsidRPr="00DD3C6B">
              <w:rPr>
                <w:rFonts w:ascii="Times New Roman" w:eastAsia="Calibri" w:hAnsi="Times New Roman" w:cs="Times New Roman"/>
                <w:noProof/>
              </w:rPr>
              <w:t xml:space="preserve"> inclusiv în raportarea bazată pe CapEx. În acest context, aplicarea cumulativă și imediată a tuturor criteriilor într-o piață emergentă, fără infrastructură instituțională adecvată, ar putea reduce drastic volumul activităților considerate eligibile și ar limita mobilizarea capitalului către investiții sustenabile.</w:t>
            </w:r>
          </w:p>
        </w:tc>
        <w:tc>
          <w:tcPr>
            <w:tcW w:w="1458" w:type="pct"/>
          </w:tcPr>
          <w:p w14:paraId="6A42407C" w14:textId="77777777" w:rsidR="000D197E" w:rsidRPr="004E67A3" w:rsidRDefault="000D197E" w:rsidP="000D197E">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3340ECB7" w14:textId="77777777" w:rsidR="000D197E" w:rsidRDefault="000D197E" w:rsidP="000D197E">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w:t>
            </w:r>
          </w:p>
          <w:p w14:paraId="5CC5EF10" w14:textId="77777777" w:rsidR="000D197E" w:rsidRDefault="000D197E" w:rsidP="000D197E">
            <w:pPr>
              <w:jc w:val="both"/>
              <w:rPr>
                <w:rFonts w:ascii="Times New Roman" w:hAnsi="Times New Roman" w:cs="Times New Roman"/>
              </w:rPr>
            </w:pPr>
            <w:r>
              <w:rPr>
                <w:rFonts w:ascii="Times New Roman" w:hAnsi="Times New Roman" w:cs="Times New Roman"/>
              </w:rPr>
              <w:t xml:space="preserve">Totodată, prevederi specifice sectorului financiar, cum ar fi mod de aplicare, gradualitate, mecanism de raportare etc. urmează a fi stabilite și prevăzute ulterior aprobării proiectului dat, prin acte normative ale regulatorilor sectorului financiar (Banca Națională a Moldovei în cazul băncilor), acestea fiind cu aplicabilitate dedicată expres participanților pieței financiare. </w:t>
            </w:r>
          </w:p>
          <w:p w14:paraId="30712233" w14:textId="77777777" w:rsidR="000D197E" w:rsidRDefault="000D197E" w:rsidP="000D197E">
            <w:pPr>
              <w:jc w:val="both"/>
              <w:rPr>
                <w:rFonts w:ascii="Times New Roman" w:hAnsi="Times New Roman" w:cs="Times New Roman"/>
              </w:rPr>
            </w:pPr>
            <w:r>
              <w:rPr>
                <w:rFonts w:ascii="Times New Roman" w:hAnsi="Times New Roman" w:cs="Times New Roman"/>
              </w:rPr>
              <w:t>Anume din acest considerent, proiectul prevede o perioadă de 12 luni din data publicării pentru intrarea în vigoare a acesteia.</w:t>
            </w:r>
          </w:p>
          <w:p w14:paraId="795DCF39" w14:textId="721F9F95" w:rsidR="00EB0784" w:rsidRPr="00882F72" w:rsidRDefault="000D197E" w:rsidP="000D197E">
            <w:pPr>
              <w:jc w:val="both"/>
              <w:rPr>
                <w:rFonts w:ascii="Times New Roman" w:eastAsia="Calibri" w:hAnsi="Times New Roman" w:cs="Times New Roman"/>
                <w:b/>
                <w:bCs/>
              </w:rPr>
            </w:pPr>
            <w:r>
              <w:rPr>
                <w:rFonts w:ascii="Times New Roman" w:hAnsi="Times New Roman" w:cs="Times New Roman"/>
              </w:rPr>
              <w:t>În partea ce ține de indicatorul GAR, acest aspect va constitui obiect de reglementare în cadrul proiectelor de acte normative subsecvente (acte normative ale regulatorilor pieței financiare dedicate mecanismului de raportare, etc.).</w:t>
            </w:r>
          </w:p>
        </w:tc>
      </w:tr>
      <w:tr w:rsidR="00DA050C" w:rsidRPr="00882F72" w14:paraId="66F7C328" w14:textId="77777777" w:rsidTr="00F968A9">
        <w:tc>
          <w:tcPr>
            <w:tcW w:w="797" w:type="pct"/>
            <w:vMerge/>
          </w:tcPr>
          <w:p w14:paraId="3802E2DA" w14:textId="11E41B06"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47B3DEF1" w14:textId="77777777" w:rsidR="00DA050C" w:rsidRPr="00882F72" w:rsidRDefault="00DA050C" w:rsidP="00DA050C">
            <w:pPr>
              <w:pStyle w:val="ListParagraph"/>
              <w:numPr>
                <w:ilvl w:val="0"/>
                <w:numId w:val="1"/>
              </w:numPr>
              <w:ind w:left="256" w:hanging="256"/>
              <w:rPr>
                <w:rFonts w:ascii="Times New Roman" w:eastAsia="Calibri" w:hAnsi="Times New Roman" w:cs="Times New Roman"/>
                <w:noProof/>
              </w:rPr>
            </w:pPr>
          </w:p>
        </w:tc>
        <w:tc>
          <w:tcPr>
            <w:tcW w:w="2505" w:type="pct"/>
          </w:tcPr>
          <w:p w14:paraId="61C59A16" w14:textId="76B98F1A" w:rsidR="00DA050C" w:rsidRPr="00DD3C6B" w:rsidRDefault="00DA050C" w:rsidP="00AC5A28">
            <w:pPr>
              <w:jc w:val="both"/>
              <w:rPr>
                <w:rFonts w:ascii="Times New Roman" w:eastAsia="Times New Roman" w:hAnsi="Times New Roman"/>
                <w:lang w:val="ro-RO"/>
              </w:rPr>
            </w:pPr>
            <w:r w:rsidRPr="00DD3C6B">
              <w:rPr>
                <w:rFonts w:ascii="Times New Roman" w:eastAsia="Calibri" w:hAnsi="Times New Roman" w:cs="Times New Roman"/>
                <w:noProof/>
              </w:rPr>
              <w:t xml:space="preserve">Termenul general prevăzut în proiect – </w:t>
            </w:r>
            <w:r w:rsidRPr="00DD3C6B">
              <w:rPr>
                <w:rFonts w:ascii="Times New Roman" w:eastAsia="Calibri" w:hAnsi="Times New Roman" w:cs="Times New Roman"/>
                <w:b/>
                <w:bCs/>
                <w:noProof/>
              </w:rPr>
              <w:t>„cel puțin 12 luni” – este insuficient</w:t>
            </w:r>
            <w:r w:rsidRPr="00DD3C6B">
              <w:rPr>
                <w:rFonts w:ascii="Times New Roman" w:eastAsia="Calibri" w:hAnsi="Times New Roman" w:cs="Times New Roman"/>
                <w:noProof/>
              </w:rPr>
              <w:t xml:space="preserve"> pentru o implementare coerentă. Instituțiile de credit au nevoie de un interval rezonabil pentru ajustarea politicilor interne, a metodologiilor de evaluare, a sistemelor informatice și a proceselor operaționale. În lipsa unui calendar detaliat, cu etape intermediare și responsabilități clar definite, implementarea riscă să fie neuniformă și să genereze incertitudine atât pentru sectorul financiar, cât și pentru mediul de afaceri. În special IMM-urile, care dispun de resurse limitate, pot întâmpina dificultăți majore în adaptarea rapidă la noile cerințe, ceea ce le poate restricționa accesul la finanțare verde. Pentru participanții la piața financiară, o perioadă de tranziție insuficientă poate conduce la reducerea bazei de clienți bancabili și la creșterea riscului de concentrare.</w:t>
            </w:r>
          </w:p>
        </w:tc>
        <w:tc>
          <w:tcPr>
            <w:tcW w:w="1458" w:type="pct"/>
          </w:tcPr>
          <w:p w14:paraId="145D8553" w14:textId="77777777" w:rsidR="00DD16E9" w:rsidRPr="004E67A3" w:rsidRDefault="00DD16E9" w:rsidP="00DD16E9">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62D07BE5" w14:textId="77777777" w:rsidR="00DD16E9" w:rsidRDefault="00DD16E9" w:rsidP="00DD16E9">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w:t>
            </w:r>
          </w:p>
          <w:p w14:paraId="732DE99D" w14:textId="77777777" w:rsidR="00DD16E9" w:rsidRDefault="00DD16E9" w:rsidP="00DD16E9">
            <w:pPr>
              <w:jc w:val="both"/>
              <w:rPr>
                <w:rFonts w:ascii="Times New Roman" w:hAnsi="Times New Roman" w:cs="Times New Roman"/>
              </w:rPr>
            </w:pPr>
            <w:r>
              <w:rPr>
                <w:rFonts w:ascii="Times New Roman" w:hAnsi="Times New Roman" w:cs="Times New Roman"/>
              </w:rPr>
              <w:t xml:space="preserve">Totodată, prevederi specifice sectorului financiar, cum ar fi mod de aplicare, gradualitate, mecanism de raportare etc. urmează a fi stabilite și prevăzute ulterior aprobării proiectului dat, prin acte normative ale regulatorilor sectorului financiar (Banca Națională a Moldovei în cazul băncilor), acestea fiind cu aplicabilitate dedicată expres participanților pieței financiare. </w:t>
            </w:r>
          </w:p>
          <w:p w14:paraId="74B53679" w14:textId="6E0FC669" w:rsidR="00DA050C" w:rsidRPr="00DD16E9" w:rsidRDefault="00DD16E9" w:rsidP="00DD16E9">
            <w:pPr>
              <w:jc w:val="both"/>
              <w:rPr>
                <w:rFonts w:ascii="Times New Roman" w:hAnsi="Times New Roman" w:cs="Times New Roman"/>
              </w:rPr>
            </w:pPr>
            <w:r>
              <w:rPr>
                <w:rFonts w:ascii="Times New Roman" w:hAnsi="Times New Roman" w:cs="Times New Roman"/>
              </w:rPr>
              <w:lastRenderedPageBreak/>
              <w:t>Anume din acest considerent, proiectul prevede o perioadă de 12 luni din data publicării pentru intrarea în vigoare a acesteia.</w:t>
            </w:r>
          </w:p>
        </w:tc>
      </w:tr>
      <w:tr w:rsidR="00DD16E9" w:rsidRPr="00882F72" w14:paraId="187BF7D6" w14:textId="77777777" w:rsidTr="00F968A9">
        <w:tc>
          <w:tcPr>
            <w:tcW w:w="797" w:type="pct"/>
            <w:vMerge/>
          </w:tcPr>
          <w:p w14:paraId="6BB38E91" w14:textId="0E6A1479" w:rsidR="00DD16E9" w:rsidRPr="00882F72" w:rsidRDefault="00DD16E9" w:rsidP="00DA050C">
            <w:pPr>
              <w:tabs>
                <w:tab w:val="left" w:pos="355"/>
              </w:tabs>
              <w:jc w:val="center"/>
              <w:rPr>
                <w:rFonts w:ascii="Times New Roman" w:eastAsia="Calibri" w:hAnsi="Times New Roman" w:cs="Times New Roman"/>
                <w:b/>
                <w:bCs/>
              </w:rPr>
            </w:pPr>
          </w:p>
        </w:tc>
        <w:tc>
          <w:tcPr>
            <w:tcW w:w="240" w:type="pct"/>
          </w:tcPr>
          <w:p w14:paraId="79F3D3E5" w14:textId="77777777" w:rsidR="00DD16E9" w:rsidRPr="00882F72" w:rsidRDefault="00DD16E9" w:rsidP="00DA050C">
            <w:pPr>
              <w:pStyle w:val="ListParagraph"/>
              <w:numPr>
                <w:ilvl w:val="0"/>
                <w:numId w:val="1"/>
              </w:numPr>
              <w:ind w:left="256" w:hanging="256"/>
              <w:rPr>
                <w:rFonts w:ascii="Times New Roman" w:eastAsia="Calibri" w:hAnsi="Times New Roman" w:cs="Times New Roman"/>
                <w:noProof/>
              </w:rPr>
            </w:pPr>
          </w:p>
        </w:tc>
        <w:tc>
          <w:tcPr>
            <w:tcW w:w="2505" w:type="pct"/>
          </w:tcPr>
          <w:p w14:paraId="62714231" w14:textId="5A7C9F30" w:rsidR="00DD16E9" w:rsidRPr="00DD3C6B" w:rsidRDefault="00DD16E9" w:rsidP="00AC5A28">
            <w:pPr>
              <w:jc w:val="both"/>
              <w:rPr>
                <w:rFonts w:ascii="Times New Roman" w:eastAsia="Times New Roman" w:hAnsi="Times New Roman"/>
                <w:lang w:val="ro-RO"/>
              </w:rPr>
            </w:pPr>
            <w:r w:rsidRPr="00DD3C6B">
              <w:rPr>
                <w:rFonts w:ascii="Times New Roman" w:eastAsia="Calibri" w:hAnsi="Times New Roman" w:cs="Times New Roman"/>
                <w:noProof/>
              </w:rPr>
              <w:t xml:space="preserve">Din perspectiva aplicării criteriului </w:t>
            </w:r>
            <w:r w:rsidRPr="00DD3C6B">
              <w:rPr>
                <w:rFonts w:ascii="Times New Roman" w:eastAsia="Calibri" w:hAnsi="Times New Roman" w:cs="Times New Roman"/>
                <w:b/>
                <w:bCs/>
                <w:noProof/>
              </w:rPr>
              <w:t>DNSH</w:t>
            </w:r>
            <w:r w:rsidRPr="00DD3C6B">
              <w:rPr>
                <w:rFonts w:ascii="Times New Roman" w:eastAsia="Calibri" w:hAnsi="Times New Roman" w:cs="Times New Roman"/>
                <w:noProof/>
              </w:rPr>
              <w:t xml:space="preserve">, proiectul nu oferă o metodologie completă și clară. Considerăm că evaluarea conformității cu DNSH nu ar trebui delegată integral instituțiilor de credit, întrucât acestea nu dispun de competențele tehnice necesare pentru evaluări de mediu complexe. O soluție viabilă ar fi </w:t>
            </w:r>
            <w:r w:rsidRPr="00DD3C6B">
              <w:rPr>
                <w:rFonts w:ascii="Times New Roman" w:eastAsia="Calibri" w:hAnsi="Times New Roman" w:cs="Times New Roman"/>
                <w:b/>
                <w:bCs/>
                <w:noProof/>
              </w:rPr>
              <w:t>instituirea unui mecanism de certificare</w:t>
            </w:r>
            <w:r w:rsidRPr="00DD3C6B">
              <w:rPr>
                <w:rFonts w:ascii="Times New Roman" w:eastAsia="Calibri" w:hAnsi="Times New Roman" w:cs="Times New Roman"/>
                <w:noProof/>
              </w:rPr>
              <w:t xml:space="preserve"> la nivelul autorităților publice competente, prin emiterea unui document oficial de conformitate, cu valabilitate limitată și reevaluare periodică. În absența unui astfel de mecanism, procesul de creditare riscă să fie prelungit semnificativ, cu impact negativ asupra experienței clienților și asupra costurilor operaționale.</w:t>
            </w:r>
          </w:p>
        </w:tc>
        <w:tc>
          <w:tcPr>
            <w:tcW w:w="1458" w:type="pct"/>
            <w:vMerge w:val="restart"/>
          </w:tcPr>
          <w:p w14:paraId="7F3F3D8F" w14:textId="77777777" w:rsidR="00DD16E9" w:rsidRPr="008311F2" w:rsidRDefault="00DD16E9" w:rsidP="00DD16E9">
            <w:pPr>
              <w:rPr>
                <w:rFonts w:ascii="Times New Roman" w:hAnsi="Times New Roman" w:cs="Times New Roman"/>
                <w:b/>
                <w:bCs/>
              </w:rPr>
            </w:pPr>
            <w:r w:rsidRPr="008311F2">
              <w:rPr>
                <w:rFonts w:ascii="Times New Roman" w:hAnsi="Times New Roman" w:cs="Times New Roman"/>
                <w:b/>
                <w:bCs/>
              </w:rPr>
              <w:t xml:space="preserve">Se </w:t>
            </w:r>
            <w:r>
              <w:rPr>
                <w:rFonts w:ascii="Times New Roman" w:hAnsi="Times New Roman" w:cs="Times New Roman"/>
                <w:b/>
                <w:bCs/>
              </w:rPr>
              <w:t>acceptă parțial</w:t>
            </w:r>
          </w:p>
          <w:p w14:paraId="382991E8" w14:textId="77777777" w:rsidR="00DD16E9" w:rsidRDefault="00DD16E9" w:rsidP="00DD16E9">
            <w:pPr>
              <w:jc w:val="both"/>
            </w:pPr>
            <w:r w:rsidRPr="008311F2">
              <w:rPr>
                <w:rFonts w:ascii="Times New Roman" w:hAnsi="Times New Roman" w:cs="Times New Roman"/>
              </w:rPr>
              <w:t>Anexa nr.2 la proiectul Hotărârii privind Taxonomia include c</w:t>
            </w:r>
            <w:r w:rsidRPr="008311F2">
              <w:rPr>
                <w:rFonts w:ascii="Times New Roman" w:hAnsi="Times New Roman" w:cs="Times New Roman"/>
                <w:noProof/>
              </w:rPr>
              <w:t>riteriile tehnice de examinare pentru activități grupate pe obiective.</w:t>
            </w:r>
            <w:r>
              <w:t xml:space="preserve"> </w:t>
            </w:r>
          </w:p>
          <w:p w14:paraId="2E0532D6" w14:textId="2DCF4DF8" w:rsidR="00DD16E9" w:rsidRPr="00882F72" w:rsidRDefault="00DD16E9" w:rsidP="00706A8A">
            <w:pPr>
              <w:jc w:val="both"/>
              <w:rPr>
                <w:rFonts w:ascii="Times New Roman" w:eastAsia="Calibri" w:hAnsi="Times New Roman" w:cs="Times New Roman"/>
                <w:b/>
                <w:bCs/>
              </w:rPr>
            </w:pPr>
            <w:r w:rsidRPr="00B00154">
              <w:rPr>
                <w:rFonts w:ascii="Times New Roman" w:hAnsi="Times New Roman" w:cs="Times New Roman"/>
              </w:rPr>
              <w:t>De asemenea, î</w:t>
            </w:r>
            <w:r w:rsidRPr="00B00154">
              <w:rPr>
                <w:rFonts w:ascii="Times New Roman" w:hAnsi="Times New Roman" w:cs="Times New Roman"/>
                <w:noProof/>
              </w:rPr>
              <w:t>ntru asigurarea implementării prevederilor Taxonomiei și elaborarea cadrului normativ secundar necesar s-a stabilit că proiectul de act normativ va intra în vigoare în termen de 12 luni de la publicare, termen în care autoritățile de resort vor veni cu ajustările și elaborările de rigoare (fapt specificat la pct. 8 și 9 din nota de fundamentare).</w:t>
            </w:r>
          </w:p>
        </w:tc>
      </w:tr>
      <w:tr w:rsidR="00DD16E9" w:rsidRPr="00882F72" w14:paraId="05883671" w14:textId="77777777" w:rsidTr="00F968A9">
        <w:tc>
          <w:tcPr>
            <w:tcW w:w="797" w:type="pct"/>
            <w:vMerge/>
          </w:tcPr>
          <w:p w14:paraId="2EBC45C1" w14:textId="16169358" w:rsidR="00DD16E9" w:rsidRPr="00882F72" w:rsidRDefault="00DD16E9" w:rsidP="00DA050C">
            <w:pPr>
              <w:tabs>
                <w:tab w:val="left" w:pos="355"/>
              </w:tabs>
              <w:jc w:val="center"/>
              <w:rPr>
                <w:rFonts w:ascii="Times New Roman" w:eastAsia="Calibri" w:hAnsi="Times New Roman" w:cs="Times New Roman"/>
                <w:b/>
                <w:bCs/>
              </w:rPr>
            </w:pPr>
          </w:p>
        </w:tc>
        <w:tc>
          <w:tcPr>
            <w:tcW w:w="240" w:type="pct"/>
          </w:tcPr>
          <w:p w14:paraId="2E25F37F" w14:textId="77777777" w:rsidR="00DD16E9" w:rsidRPr="00882F72" w:rsidRDefault="00DD16E9"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07CCDB14" w14:textId="1A14E1C5" w:rsidR="00DD16E9" w:rsidRPr="00DD3C6B" w:rsidRDefault="00DD16E9" w:rsidP="00AC5A28">
            <w:pPr>
              <w:ind w:left="-27"/>
              <w:jc w:val="both"/>
              <w:rPr>
                <w:rFonts w:ascii="Times New Roman" w:eastAsia="Calibri" w:hAnsi="Times New Roman" w:cs="Times New Roman"/>
                <w:noProof/>
              </w:rPr>
            </w:pPr>
            <w:r w:rsidRPr="00DD3C6B">
              <w:rPr>
                <w:rFonts w:ascii="Times New Roman" w:eastAsia="Calibri" w:hAnsi="Times New Roman" w:cs="Times New Roman"/>
                <w:noProof/>
              </w:rPr>
              <w:t>În cazul criteriilor privind „</w:t>
            </w:r>
            <w:r w:rsidRPr="00DD3C6B">
              <w:rPr>
                <w:rFonts w:ascii="Times New Roman" w:eastAsia="Calibri" w:hAnsi="Times New Roman" w:cs="Times New Roman"/>
                <w:b/>
                <w:bCs/>
                <w:noProof/>
              </w:rPr>
              <w:t>Minimum Social Safeguards</w:t>
            </w:r>
            <w:r w:rsidRPr="00DD3C6B">
              <w:rPr>
                <w:rFonts w:ascii="Times New Roman" w:eastAsia="Calibri" w:hAnsi="Times New Roman" w:cs="Times New Roman"/>
                <w:noProof/>
              </w:rPr>
              <w:t xml:space="preserve">”, este necesară </w:t>
            </w:r>
            <w:r w:rsidRPr="00DD3C6B">
              <w:rPr>
                <w:rFonts w:ascii="Times New Roman" w:eastAsia="Calibri" w:hAnsi="Times New Roman" w:cs="Times New Roman"/>
                <w:b/>
                <w:bCs/>
                <w:noProof/>
              </w:rPr>
              <w:t xml:space="preserve">clarificarea instituției competente </w:t>
            </w:r>
            <w:r w:rsidRPr="00DD3C6B">
              <w:rPr>
                <w:rFonts w:ascii="Times New Roman" w:eastAsia="Calibri" w:hAnsi="Times New Roman" w:cs="Times New Roman"/>
                <w:noProof/>
              </w:rPr>
              <w:t xml:space="preserve">pentru validarea conformității și, eventual, </w:t>
            </w:r>
            <w:r w:rsidRPr="00DD3C6B">
              <w:rPr>
                <w:rFonts w:ascii="Times New Roman" w:eastAsia="Calibri" w:hAnsi="Times New Roman" w:cs="Times New Roman"/>
                <w:b/>
                <w:bCs/>
                <w:noProof/>
              </w:rPr>
              <w:t>dezvoltarea unei baze de date naționale</w:t>
            </w:r>
            <w:r w:rsidRPr="00DD3C6B">
              <w:rPr>
                <w:rFonts w:ascii="Times New Roman" w:eastAsia="Calibri" w:hAnsi="Times New Roman" w:cs="Times New Roman"/>
                <w:noProof/>
              </w:rPr>
              <w:t xml:space="preserve"> care să permită verificarea transparentă și uniformă a acestor criterii. În lipsa unor instrumente instituționale adecvate, sarcina de conformitate ar fi transferată disproporționat către participanții la piața financiară, fără a exista obligații legale simetrice pentru beneficiarii finanțărilor.</w:t>
            </w:r>
          </w:p>
        </w:tc>
        <w:tc>
          <w:tcPr>
            <w:tcW w:w="1458" w:type="pct"/>
            <w:vMerge/>
          </w:tcPr>
          <w:p w14:paraId="58FD3933" w14:textId="6EECFA6E" w:rsidR="00DD16E9" w:rsidRPr="00882F72" w:rsidRDefault="00DD16E9" w:rsidP="00DD16E9">
            <w:pPr>
              <w:rPr>
                <w:rFonts w:ascii="Times New Roman" w:eastAsia="Calibri" w:hAnsi="Times New Roman" w:cs="Times New Roman"/>
                <w:b/>
                <w:bCs/>
              </w:rPr>
            </w:pPr>
          </w:p>
        </w:tc>
      </w:tr>
      <w:tr w:rsidR="00DA050C" w:rsidRPr="00882F72" w14:paraId="52B545BD" w14:textId="77777777" w:rsidTr="00F968A9">
        <w:tc>
          <w:tcPr>
            <w:tcW w:w="797" w:type="pct"/>
            <w:vMerge/>
          </w:tcPr>
          <w:p w14:paraId="6CCC7447" w14:textId="7DD0628B"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3C23CA3B" w14:textId="77777777" w:rsidR="00DA050C" w:rsidRPr="00882F72"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7A95BF60" w14:textId="00FB1A12" w:rsidR="00DA050C" w:rsidRPr="00DD3C6B" w:rsidRDefault="00DA050C"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Este necesară clarificarea obiectivului urmărit: dacă, de exemplu, la momentul inițial participanții la piața financiară ar declara un nivel de 0,5–1% de activități aliniate, care ar fi rezultatul așteptat și care ar fi traiectoria ulterioară de creștere? Fără un cadru strategic clar, taxonomia riscă să fie percepută exclusiv ca un exercițiu de conformitate, nu ca un instrument real de orientare a fluxurilor de capital către activități cu impact redus asupra mediului.</w:t>
            </w:r>
          </w:p>
        </w:tc>
        <w:tc>
          <w:tcPr>
            <w:tcW w:w="1458" w:type="pct"/>
          </w:tcPr>
          <w:p w14:paraId="6803734D" w14:textId="77777777" w:rsidR="00DD16E9" w:rsidRDefault="00DD16E9" w:rsidP="00DD16E9">
            <w:pPr>
              <w:rPr>
                <w:rFonts w:ascii="Times New Roman" w:eastAsia="Calibri" w:hAnsi="Times New Roman" w:cs="Times New Roman"/>
                <w:b/>
                <w:bCs/>
              </w:rPr>
            </w:pPr>
            <w:r>
              <w:rPr>
                <w:rFonts w:ascii="Times New Roman" w:eastAsia="Calibri" w:hAnsi="Times New Roman" w:cs="Times New Roman"/>
                <w:b/>
                <w:bCs/>
              </w:rPr>
              <w:t>Se acceptă parțial.</w:t>
            </w:r>
          </w:p>
          <w:p w14:paraId="5DDBC22E" w14:textId="742A1C1E" w:rsidR="00DA050C" w:rsidRPr="00DD16E9" w:rsidRDefault="00DD16E9" w:rsidP="00DD16E9">
            <w:pPr>
              <w:jc w:val="both"/>
              <w:rPr>
                <w:rFonts w:ascii="Times New Roman" w:eastAsia="Calibri" w:hAnsi="Times New Roman" w:cs="Times New Roman"/>
                <w:bCs/>
              </w:rPr>
            </w:pPr>
            <w:r w:rsidRPr="0094419E">
              <w:rPr>
                <w:rFonts w:ascii="Times New Roman" w:eastAsia="Calibri" w:hAnsi="Times New Roman" w:cs="Times New Roman"/>
                <w:bCs/>
              </w:rPr>
              <w:t>Nota de fundamentare stabilește obiectivele și finalitățile urmărite prin proiectul de act normativ propus.</w:t>
            </w:r>
            <w:r>
              <w:rPr>
                <w:rFonts w:ascii="Times New Roman" w:eastAsia="Calibri" w:hAnsi="Times New Roman" w:cs="Times New Roman"/>
                <w:bCs/>
              </w:rPr>
              <w:t xml:space="preserve"> La etapa actuală, se consideră prematur o astfel de estimare (nivelul activităților aliniate raportate de bănci). O dată cu stabilirea cadrului de raportare și aliniere a tuturor aspectelor la standardele europene și funcționarea acestora în practică va fi posibilă o estimare mai precisă a impactului cu eventuala identificare a oportunităților de intervenție în scop de accelerare a tranziției către o economie verde. </w:t>
            </w:r>
          </w:p>
        </w:tc>
      </w:tr>
      <w:tr w:rsidR="00DD16E9" w:rsidRPr="00882F72" w14:paraId="57C5CA9E" w14:textId="77777777" w:rsidTr="00F968A9">
        <w:tc>
          <w:tcPr>
            <w:tcW w:w="797" w:type="pct"/>
            <w:vMerge/>
          </w:tcPr>
          <w:p w14:paraId="4C2BB8AD" w14:textId="3ABE1C54" w:rsidR="00DD16E9" w:rsidRPr="00882F72" w:rsidRDefault="00DD16E9" w:rsidP="00DA050C">
            <w:pPr>
              <w:tabs>
                <w:tab w:val="left" w:pos="355"/>
              </w:tabs>
              <w:jc w:val="center"/>
              <w:rPr>
                <w:rFonts w:ascii="Times New Roman" w:eastAsia="Calibri" w:hAnsi="Times New Roman" w:cs="Times New Roman"/>
                <w:b/>
                <w:bCs/>
              </w:rPr>
            </w:pPr>
          </w:p>
        </w:tc>
        <w:tc>
          <w:tcPr>
            <w:tcW w:w="240" w:type="pct"/>
          </w:tcPr>
          <w:p w14:paraId="00D40B9A" w14:textId="77777777" w:rsidR="00DD16E9" w:rsidRPr="00882F72" w:rsidRDefault="00DD16E9"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7007D006" w14:textId="77777777" w:rsidR="00DD16E9" w:rsidRDefault="00DD16E9" w:rsidP="00DD16E9">
            <w:pPr>
              <w:ind w:left="-27"/>
              <w:jc w:val="both"/>
              <w:rPr>
                <w:rFonts w:ascii="Times New Roman" w:eastAsia="Calibri" w:hAnsi="Times New Roman" w:cs="Times New Roman"/>
                <w:noProof/>
              </w:rPr>
            </w:pPr>
            <w:r w:rsidRPr="00DD3C6B">
              <w:rPr>
                <w:rFonts w:ascii="Times New Roman" w:eastAsia="Calibri" w:hAnsi="Times New Roman" w:cs="Times New Roman"/>
                <w:noProof/>
              </w:rPr>
              <w:t xml:space="preserve">Proiectul nu clarifică în mod expres de la ce moment participanții la piața financiară vor fi obligați să raporteze tranzacțiile durabile în baza taxonomiei, ce indicatori vor trebui raportați, care va fi formatul raportării și care sunt criteriile concrete aplicabile. În Nota explicativă este menționată metodologia pentru companiile nefinanciare mari, care vor raporta în baza Legii contabilității și raportării financiare nr. 287/2017 , însă nu este prevăzut explicit regimul aplicabil instituțiilor de credit. </w:t>
            </w:r>
          </w:p>
          <w:p w14:paraId="2524EDA3" w14:textId="7631D00F" w:rsidR="00DD16E9" w:rsidRPr="00DD3C6B" w:rsidRDefault="00DD16E9" w:rsidP="00DD16E9">
            <w:pPr>
              <w:ind w:left="-27"/>
              <w:jc w:val="both"/>
              <w:rPr>
                <w:rFonts w:ascii="Times New Roman" w:eastAsia="Calibri" w:hAnsi="Times New Roman" w:cs="Times New Roman"/>
                <w:noProof/>
              </w:rPr>
            </w:pPr>
            <w:r w:rsidRPr="00DD3C6B">
              <w:rPr>
                <w:rFonts w:ascii="Times New Roman" w:eastAsia="Calibri" w:hAnsi="Times New Roman" w:cs="Times New Roman"/>
                <w:noProof/>
              </w:rPr>
              <w:t>În lipsa unor dispoziții clare, rămân deschise mai multe întrebări esențiale:</w:t>
            </w:r>
          </w:p>
          <w:p w14:paraId="14BD3F63" w14:textId="77777777" w:rsidR="00DD16E9" w:rsidRPr="00882F72" w:rsidRDefault="00DD16E9" w:rsidP="00DD16E9">
            <w:pPr>
              <w:pStyle w:val="ListParagraph"/>
              <w:numPr>
                <w:ilvl w:val="0"/>
                <w:numId w:val="2"/>
              </w:numPr>
              <w:ind w:left="256" w:hanging="283"/>
              <w:jc w:val="both"/>
              <w:rPr>
                <w:rFonts w:ascii="Times New Roman" w:eastAsia="Calibri" w:hAnsi="Times New Roman" w:cs="Times New Roman"/>
                <w:noProof/>
              </w:rPr>
            </w:pPr>
            <w:r w:rsidRPr="00882F72">
              <w:rPr>
                <w:rFonts w:ascii="Times New Roman" w:eastAsia="Calibri" w:hAnsi="Times New Roman" w:cs="Times New Roman"/>
                <w:noProof/>
              </w:rPr>
              <w:t>dacă participanții la piața financiară vor avea obligația de a raporta Green Asset Ratio (GAR) sau alți indicatori similari;</w:t>
            </w:r>
          </w:p>
          <w:p w14:paraId="3B358325" w14:textId="77777777" w:rsidR="00DD16E9" w:rsidRPr="00882F72" w:rsidRDefault="00DD16E9" w:rsidP="00DD16E9">
            <w:pPr>
              <w:pStyle w:val="ListParagraph"/>
              <w:numPr>
                <w:ilvl w:val="0"/>
                <w:numId w:val="2"/>
              </w:numPr>
              <w:ind w:left="256" w:hanging="283"/>
              <w:jc w:val="both"/>
              <w:rPr>
                <w:rFonts w:ascii="Times New Roman" w:eastAsia="Calibri" w:hAnsi="Times New Roman" w:cs="Times New Roman"/>
                <w:noProof/>
              </w:rPr>
            </w:pPr>
            <w:r w:rsidRPr="00882F72">
              <w:rPr>
                <w:rFonts w:ascii="Times New Roman" w:eastAsia="Calibri" w:hAnsi="Times New Roman" w:cs="Times New Roman"/>
                <w:noProof/>
              </w:rPr>
              <w:t>în ce act normativ va fi prevăzută această obligație;</w:t>
            </w:r>
          </w:p>
          <w:p w14:paraId="0EF4F58A" w14:textId="77777777" w:rsidR="00DD16E9" w:rsidRPr="00882F72" w:rsidRDefault="00DD16E9" w:rsidP="00DD16E9">
            <w:pPr>
              <w:pStyle w:val="ListParagraph"/>
              <w:numPr>
                <w:ilvl w:val="0"/>
                <w:numId w:val="2"/>
              </w:numPr>
              <w:ind w:left="256" w:hanging="283"/>
              <w:jc w:val="both"/>
              <w:rPr>
                <w:rFonts w:ascii="Times New Roman" w:eastAsia="Calibri" w:hAnsi="Times New Roman" w:cs="Times New Roman"/>
                <w:noProof/>
              </w:rPr>
            </w:pPr>
            <w:r w:rsidRPr="00882F72">
              <w:rPr>
                <w:rFonts w:ascii="Times New Roman" w:eastAsia="Calibri" w:hAnsi="Times New Roman" w:cs="Times New Roman"/>
                <w:noProof/>
              </w:rPr>
              <w:t>care va fi metodologia oficială de calcul;</w:t>
            </w:r>
          </w:p>
          <w:p w14:paraId="667C7377" w14:textId="77777777" w:rsidR="00DD16E9" w:rsidRPr="00882F72" w:rsidRDefault="00DD16E9" w:rsidP="00DD16E9">
            <w:pPr>
              <w:pStyle w:val="ListParagraph"/>
              <w:numPr>
                <w:ilvl w:val="0"/>
                <w:numId w:val="2"/>
              </w:numPr>
              <w:ind w:left="256" w:hanging="283"/>
              <w:jc w:val="both"/>
              <w:rPr>
                <w:rFonts w:ascii="Times New Roman" w:eastAsia="Calibri" w:hAnsi="Times New Roman" w:cs="Times New Roman"/>
                <w:noProof/>
              </w:rPr>
            </w:pPr>
            <w:r w:rsidRPr="00882F72">
              <w:rPr>
                <w:rFonts w:ascii="Times New Roman" w:eastAsia="Calibri" w:hAnsi="Times New Roman" w:cs="Times New Roman"/>
                <w:noProof/>
              </w:rPr>
              <w:lastRenderedPageBreak/>
              <w:t xml:space="preserve">când se va considera implementată taxonomia din perspectiva sectorului bancar; </w:t>
            </w:r>
          </w:p>
          <w:p w14:paraId="4F668F3F" w14:textId="77777777" w:rsidR="00DD16E9" w:rsidRPr="00882F72" w:rsidRDefault="00DD16E9" w:rsidP="00DD16E9">
            <w:pPr>
              <w:pStyle w:val="ListParagraph"/>
              <w:numPr>
                <w:ilvl w:val="0"/>
                <w:numId w:val="2"/>
              </w:numPr>
              <w:ind w:left="256" w:hanging="283"/>
              <w:jc w:val="both"/>
              <w:rPr>
                <w:rFonts w:ascii="Times New Roman" w:eastAsia="Calibri" w:hAnsi="Times New Roman" w:cs="Times New Roman"/>
                <w:noProof/>
              </w:rPr>
            </w:pPr>
            <w:r w:rsidRPr="00882F72">
              <w:rPr>
                <w:rFonts w:ascii="Times New Roman" w:eastAsia="Calibri" w:hAnsi="Times New Roman" w:cs="Times New Roman"/>
                <w:noProof/>
              </w:rPr>
              <w:t>care va fi termenul primei raportări și dacă aceasta va avea caracter voluntar sau obligatoriu.</w:t>
            </w:r>
          </w:p>
          <w:p w14:paraId="44589565" w14:textId="2C9236C2" w:rsidR="00DD16E9" w:rsidRPr="00DD3C6B" w:rsidRDefault="00DD16E9" w:rsidP="00DD16E9">
            <w:pPr>
              <w:ind w:left="-27"/>
              <w:jc w:val="both"/>
              <w:rPr>
                <w:rFonts w:ascii="Times New Roman" w:eastAsia="Calibri" w:hAnsi="Times New Roman" w:cs="Times New Roman"/>
                <w:noProof/>
              </w:rPr>
            </w:pPr>
            <w:r w:rsidRPr="00882F72">
              <w:rPr>
                <w:rFonts w:ascii="Times New Roman" w:eastAsia="Calibri" w:hAnsi="Times New Roman" w:cs="Times New Roman"/>
                <w:noProof/>
              </w:rPr>
              <w:t>Aceste aspecte sunt fundamentale pentru evaluarea impactului operațional și prudențial asupra instituțiilor de credit și necesită clarificare înainte de adoptarea cadrului normativ.</w:t>
            </w:r>
          </w:p>
        </w:tc>
        <w:tc>
          <w:tcPr>
            <w:tcW w:w="1458" w:type="pct"/>
            <w:vMerge w:val="restart"/>
          </w:tcPr>
          <w:p w14:paraId="75FD6F94" w14:textId="77777777" w:rsidR="00DD16E9" w:rsidRPr="004E67A3" w:rsidRDefault="00DD16E9" w:rsidP="00DD16E9">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lastRenderedPageBreak/>
              <w:t xml:space="preserve">Se </w:t>
            </w:r>
            <w:r>
              <w:rPr>
                <w:rFonts w:ascii="Times New Roman" w:eastAsia="Times New Roman" w:hAnsi="Times New Roman" w:cs="Times New Roman"/>
                <w:b/>
                <w:bCs/>
                <w:color w:val="000000"/>
              </w:rPr>
              <w:t>acceptă parțial</w:t>
            </w:r>
          </w:p>
          <w:p w14:paraId="156827A6" w14:textId="3D5D47BC" w:rsidR="00DD16E9" w:rsidRPr="00882F72" w:rsidRDefault="00DD16E9" w:rsidP="00DD16E9">
            <w:pPr>
              <w:jc w:val="both"/>
              <w:rPr>
                <w:rFonts w:ascii="Times New Roman" w:eastAsia="Calibri" w:hAnsi="Times New Roman" w:cs="Times New Roman"/>
                <w:b/>
                <w:bCs/>
              </w:rPr>
            </w:pPr>
            <w:r w:rsidRPr="00BD663D">
              <w:rPr>
                <w:rFonts w:ascii="Times New Roman" w:hAnsi="Times New Roman" w:cs="Times New Roman"/>
              </w:rPr>
              <w:t xml:space="preserve">Proiectul Hotărârii privind Taxonomia pentru finanțare durabilă stabilește un cadru general privind activitățile economice ce se consideră durabile </w:t>
            </w:r>
            <w:r>
              <w:rPr>
                <w:rFonts w:ascii="Times New Roman" w:hAnsi="Times New Roman" w:cs="Times New Roman"/>
              </w:rPr>
              <w:t>din punct de vedere al mediului. Aspecte mai detaliate privind gradul de aplicare al Taxonomiei, obligativitatea acesteia, precum și mecanismul de raportare urmează a fi stabilit ulterior de către autoritățile de reglementare (fapt specificat la pct. 8 și 9 din nota de fundamentare).</w:t>
            </w:r>
            <w:r w:rsidRPr="00BD663D">
              <w:rPr>
                <w:rFonts w:ascii="Times New Roman" w:hAnsi="Times New Roman" w:cs="Times New Roman"/>
              </w:rPr>
              <w:t xml:space="preserve"> </w:t>
            </w:r>
            <w:r>
              <w:rPr>
                <w:rFonts w:ascii="Times New Roman" w:hAnsi="Times New Roman" w:cs="Times New Roman"/>
              </w:rPr>
              <w:t xml:space="preserve">Respectiv, pentru sectorul financiar, regulatorii </w:t>
            </w:r>
            <w:r>
              <w:rPr>
                <w:rFonts w:ascii="Times New Roman" w:hAnsi="Times New Roman" w:cs="Times New Roman"/>
              </w:rPr>
              <w:lastRenderedPageBreak/>
              <w:t xml:space="preserve">pieței financiare vor veni cu un proiect de act normativ subsecvent prin care vor stabili mecanismul de raportare, precum și eventuala gradualitate în aplicare. </w:t>
            </w:r>
          </w:p>
        </w:tc>
      </w:tr>
      <w:tr w:rsidR="00DD16E9" w:rsidRPr="00882F72" w14:paraId="5EA8F3EE" w14:textId="77777777" w:rsidTr="00F968A9">
        <w:tc>
          <w:tcPr>
            <w:tcW w:w="797" w:type="pct"/>
            <w:vMerge/>
          </w:tcPr>
          <w:p w14:paraId="698BD86B" w14:textId="03F3041E" w:rsidR="00DD16E9" w:rsidRPr="00882F72" w:rsidRDefault="00DD16E9" w:rsidP="00DA050C">
            <w:pPr>
              <w:tabs>
                <w:tab w:val="left" w:pos="355"/>
              </w:tabs>
              <w:jc w:val="center"/>
              <w:rPr>
                <w:rFonts w:ascii="Times New Roman" w:eastAsia="Calibri" w:hAnsi="Times New Roman" w:cs="Times New Roman"/>
                <w:b/>
                <w:bCs/>
              </w:rPr>
            </w:pPr>
          </w:p>
        </w:tc>
        <w:tc>
          <w:tcPr>
            <w:tcW w:w="240" w:type="pct"/>
          </w:tcPr>
          <w:p w14:paraId="15D8C7E3" w14:textId="77777777" w:rsidR="00DD16E9" w:rsidRPr="00882F72" w:rsidRDefault="00DD16E9" w:rsidP="00DA050C">
            <w:pPr>
              <w:pStyle w:val="ListParagraph"/>
              <w:numPr>
                <w:ilvl w:val="0"/>
                <w:numId w:val="1"/>
              </w:numPr>
              <w:ind w:left="256" w:hanging="256"/>
              <w:rPr>
                <w:rFonts w:ascii="Times New Roman" w:eastAsia="Calibri" w:hAnsi="Times New Roman" w:cs="Times New Roman"/>
                <w:noProof/>
              </w:rPr>
            </w:pPr>
          </w:p>
        </w:tc>
        <w:tc>
          <w:tcPr>
            <w:tcW w:w="2505" w:type="pct"/>
          </w:tcPr>
          <w:p w14:paraId="34FA8259" w14:textId="2301C469" w:rsidR="00DD16E9" w:rsidRPr="00DD3C6B" w:rsidRDefault="00DD16E9" w:rsidP="00AC5A28">
            <w:pPr>
              <w:jc w:val="both"/>
              <w:rPr>
                <w:rFonts w:ascii="Times New Roman" w:eastAsia="Times New Roman" w:hAnsi="Times New Roman"/>
                <w:lang w:val="ro-RO"/>
              </w:rPr>
            </w:pPr>
            <w:r w:rsidRPr="00DD3C6B">
              <w:rPr>
                <w:rFonts w:ascii="Times New Roman" w:eastAsia="Calibri" w:hAnsi="Times New Roman" w:cs="Times New Roman"/>
                <w:noProof/>
              </w:rPr>
              <w:t>Nu este clar dacă participanții la piața financiară vor trebui să elaboreze metodologii interne distincte privind „tratarea creditelor durabile” în baza taxonomiei, dacă acestea vor necesita aprobare sau validare din partea autorității de supraveghere și care va fi procedura de implementare. În lipsa unor orientări clare, există riscul dezvoltării unor practici divergente între instituții, afectând comparabilitatea și coerența datelor raportate la nivel de sistem.</w:t>
            </w:r>
          </w:p>
        </w:tc>
        <w:tc>
          <w:tcPr>
            <w:tcW w:w="1458" w:type="pct"/>
            <w:vMerge/>
          </w:tcPr>
          <w:p w14:paraId="09676561" w14:textId="70798EF5" w:rsidR="00DD16E9" w:rsidRPr="00882F72" w:rsidRDefault="00DD16E9" w:rsidP="00DA050C">
            <w:pPr>
              <w:rPr>
                <w:rFonts w:ascii="Times New Roman" w:eastAsia="Calibri" w:hAnsi="Times New Roman" w:cs="Times New Roman"/>
                <w:b/>
                <w:bCs/>
              </w:rPr>
            </w:pPr>
          </w:p>
        </w:tc>
      </w:tr>
      <w:tr w:rsidR="00DD16E9" w:rsidRPr="00882F72" w14:paraId="09C63472" w14:textId="77777777" w:rsidTr="00F968A9">
        <w:tc>
          <w:tcPr>
            <w:tcW w:w="797" w:type="pct"/>
            <w:vMerge/>
          </w:tcPr>
          <w:p w14:paraId="5F38DC60" w14:textId="7BFEB443" w:rsidR="00DD16E9" w:rsidRPr="00882F72" w:rsidRDefault="00DD16E9" w:rsidP="00DA050C">
            <w:pPr>
              <w:tabs>
                <w:tab w:val="left" w:pos="355"/>
              </w:tabs>
              <w:jc w:val="center"/>
              <w:rPr>
                <w:rFonts w:ascii="Times New Roman" w:eastAsia="Calibri" w:hAnsi="Times New Roman" w:cs="Times New Roman"/>
                <w:b/>
                <w:bCs/>
              </w:rPr>
            </w:pPr>
          </w:p>
        </w:tc>
        <w:tc>
          <w:tcPr>
            <w:tcW w:w="240" w:type="pct"/>
          </w:tcPr>
          <w:p w14:paraId="197A9ACC" w14:textId="77777777" w:rsidR="00DD16E9" w:rsidRDefault="00DD16E9"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236B3B4C" w14:textId="68FC8647" w:rsidR="00DD16E9" w:rsidRPr="00DD3C6B" w:rsidRDefault="00DD16E9"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O altă zonă de incertitudine vizează noțiunea de „entitate mare de interes public” și dacă doar aceste entități din categoria companiilor nefinanciare vor fi obligate să utilizeze taxonomia și să raporteze activitățile eligibile și aliniate. Este necesară clarificarea existenței unei liste oficiale sau a unor criterii obiective de determinare.</w:t>
            </w:r>
          </w:p>
        </w:tc>
        <w:tc>
          <w:tcPr>
            <w:tcW w:w="1458" w:type="pct"/>
            <w:vMerge w:val="restart"/>
          </w:tcPr>
          <w:p w14:paraId="30CD90A3" w14:textId="77777777" w:rsidR="00DD16E9" w:rsidRPr="004E67A3" w:rsidRDefault="00DD16E9" w:rsidP="00DD16E9">
            <w:pPr>
              <w:rPr>
                <w:rFonts w:ascii="Times New Roman" w:eastAsia="Times New Roman" w:hAnsi="Times New Roman" w:cs="Times New Roman"/>
                <w:b/>
                <w:bCs/>
                <w:color w:val="000000"/>
              </w:rPr>
            </w:pPr>
            <w:r w:rsidRPr="004E67A3">
              <w:rPr>
                <w:rFonts w:ascii="Times New Roman" w:eastAsia="Times New Roman" w:hAnsi="Times New Roman" w:cs="Times New Roman"/>
                <w:b/>
                <w:bCs/>
                <w:color w:val="000000"/>
              </w:rPr>
              <w:t xml:space="preserve">Se </w:t>
            </w:r>
            <w:r>
              <w:rPr>
                <w:rFonts w:ascii="Times New Roman" w:eastAsia="Times New Roman" w:hAnsi="Times New Roman" w:cs="Times New Roman"/>
                <w:b/>
                <w:bCs/>
                <w:color w:val="000000"/>
              </w:rPr>
              <w:t>acceptă parțial</w:t>
            </w:r>
          </w:p>
          <w:p w14:paraId="63CEA614" w14:textId="593283A5" w:rsidR="00DD16E9" w:rsidRPr="00882F72" w:rsidRDefault="00DD16E9" w:rsidP="00DD16E9">
            <w:pPr>
              <w:jc w:val="both"/>
              <w:rPr>
                <w:rFonts w:ascii="Times New Roman" w:eastAsia="Calibri" w:hAnsi="Times New Roman" w:cs="Times New Roman"/>
                <w:b/>
                <w:bCs/>
              </w:rPr>
            </w:pPr>
            <w:r w:rsidRPr="00BD663D">
              <w:rPr>
                <w:rFonts w:ascii="Times New Roman" w:hAnsi="Times New Roman" w:cs="Times New Roman"/>
              </w:rPr>
              <w:t xml:space="preserve">Proiectul Hotărârii privind Taxonomia pentru finanțare durabilă stabilește un cadru general privind activitățile economice ce se consideră durabile </w:t>
            </w:r>
            <w:r>
              <w:rPr>
                <w:rFonts w:ascii="Times New Roman" w:hAnsi="Times New Roman" w:cs="Times New Roman"/>
              </w:rPr>
              <w:t>din punct de vedere al mediului. Aspecte mai detaliate privind gradul de aplicare al Taxonomiei, obligativitatea acesteia, precum și mecanismul de raportare urmează a fi stabilit ulterior de către autoritățile de reglementare (fapt specificat la pct. 8 și 9 din nota de fundamentare).</w:t>
            </w:r>
            <w:r w:rsidRPr="00BD663D">
              <w:rPr>
                <w:rFonts w:ascii="Times New Roman" w:hAnsi="Times New Roman" w:cs="Times New Roman"/>
              </w:rPr>
              <w:t xml:space="preserve"> </w:t>
            </w:r>
            <w:r>
              <w:rPr>
                <w:rFonts w:ascii="Times New Roman" w:hAnsi="Times New Roman" w:cs="Times New Roman"/>
              </w:rPr>
              <w:t>Respectiv, pentru sectorul financiar, regulatorii pieței financiare vor veni cu un proiect de act normativ subsecvent prin care vor stabili mecanismul de raportare, precum și eventuala gradualitate în aplicare. În partea ce ține de cadrul de reglementare CSRD, ce urmează a fi transpus în legislația națională prin amendarea Legii nr.287/2017, acestea vor servi drept temei juridic de aplicare pentru entitățile ce sunt vizate de Legea nr.287/2017.</w:t>
            </w:r>
          </w:p>
        </w:tc>
      </w:tr>
      <w:tr w:rsidR="00DD16E9" w:rsidRPr="00882F72" w14:paraId="35F52947" w14:textId="77777777" w:rsidTr="00F968A9">
        <w:tc>
          <w:tcPr>
            <w:tcW w:w="797" w:type="pct"/>
            <w:vMerge/>
          </w:tcPr>
          <w:p w14:paraId="66A4F1FB" w14:textId="0E298FB3" w:rsidR="00DD16E9" w:rsidRPr="00882F72" w:rsidRDefault="00DD16E9" w:rsidP="00DA050C">
            <w:pPr>
              <w:tabs>
                <w:tab w:val="left" w:pos="355"/>
              </w:tabs>
              <w:jc w:val="center"/>
              <w:rPr>
                <w:rFonts w:ascii="Times New Roman" w:eastAsia="Calibri" w:hAnsi="Times New Roman" w:cs="Times New Roman"/>
                <w:b/>
                <w:bCs/>
              </w:rPr>
            </w:pPr>
          </w:p>
        </w:tc>
        <w:tc>
          <w:tcPr>
            <w:tcW w:w="240" w:type="pct"/>
          </w:tcPr>
          <w:p w14:paraId="537E0B19" w14:textId="77777777" w:rsidR="00DD16E9" w:rsidRDefault="00DD16E9"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60E42A9C" w14:textId="037C87A5" w:rsidR="00DD16E9" w:rsidRPr="00DD3C6B" w:rsidRDefault="00DD16E9"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Nota menționează legătura strânsă dintre Taxonomie și Directiva privind raportarea de sustenabilitate (CSRD), însă în Republica Moldova companiile, inclusiv participanții la piața financiară, nu au obligația de a raporta în baza CSRD sau a altor standarde echivalente. Se impune clarificarea temeiului juridic în baza căruia ar apărea obligația de aplicare și raportare a taxonomiei la nivel național. În plus, la nivelul Uniunii Europene, pachetul „omnibus” a simplificat semnificativ cerințele de raportare CSRD, majorând pragurile de aplicare (de exemplu 1000 angajați și cifră de afaceri de peste 450 mil. EUR). Această tendință de simplificare ar trebui avută în vedere și în context național, pentru a evita impunerea unor cerințe mai restrictive decât cele aplicabile în statele membre.</w:t>
            </w:r>
          </w:p>
        </w:tc>
        <w:tc>
          <w:tcPr>
            <w:tcW w:w="1458" w:type="pct"/>
            <w:vMerge/>
          </w:tcPr>
          <w:p w14:paraId="2C438940" w14:textId="77777777" w:rsidR="00DD16E9" w:rsidRPr="00882F72" w:rsidRDefault="00DD16E9" w:rsidP="00DA050C">
            <w:pPr>
              <w:jc w:val="center"/>
              <w:rPr>
                <w:rFonts w:ascii="Times New Roman" w:eastAsia="Calibri" w:hAnsi="Times New Roman" w:cs="Times New Roman"/>
                <w:b/>
                <w:bCs/>
              </w:rPr>
            </w:pPr>
          </w:p>
        </w:tc>
      </w:tr>
      <w:tr w:rsidR="00DA050C" w:rsidRPr="00882F72" w14:paraId="5A5391C8" w14:textId="77777777" w:rsidTr="00F968A9">
        <w:tc>
          <w:tcPr>
            <w:tcW w:w="797" w:type="pct"/>
            <w:vMerge/>
          </w:tcPr>
          <w:p w14:paraId="5761A1F7" w14:textId="55CA8D91"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3BC27D88" w14:textId="77777777" w:rsidR="00DA050C"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578F5386" w14:textId="021D68D4" w:rsidR="00DA050C" w:rsidRPr="00DD3C6B" w:rsidRDefault="00DA050C"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Rămâne neclară versiunea codurilor NACE care va fi utilizată (2.0 sau 2.1), dacă aceasta va fi actualizată în timp și cum vor fi gestionate eventualele diferențe între clasificările naționale și cele europene. Pentru sectorul bancar, stabilitatea și claritatea clasificării activităților economice sunt esențiale pentru implementarea coerentă a taxonomiei.</w:t>
            </w:r>
          </w:p>
        </w:tc>
        <w:tc>
          <w:tcPr>
            <w:tcW w:w="1458" w:type="pct"/>
          </w:tcPr>
          <w:p w14:paraId="546AC98F" w14:textId="77777777" w:rsidR="00DD16E9" w:rsidRPr="004E67A3" w:rsidRDefault="00DD16E9" w:rsidP="00DD16E9">
            <w:pPr>
              <w:rPr>
                <w:rFonts w:ascii="Times New Roman" w:hAnsi="Times New Roman" w:cs="Times New Roman"/>
                <w:b/>
                <w:bCs/>
              </w:rPr>
            </w:pPr>
            <w:r w:rsidRPr="004E67A3">
              <w:rPr>
                <w:rFonts w:ascii="Times New Roman" w:hAnsi="Times New Roman" w:cs="Times New Roman"/>
                <w:b/>
                <w:bCs/>
              </w:rPr>
              <w:t xml:space="preserve">Se </w:t>
            </w:r>
            <w:r>
              <w:rPr>
                <w:rFonts w:ascii="Times New Roman" w:hAnsi="Times New Roman" w:cs="Times New Roman"/>
                <w:b/>
                <w:bCs/>
              </w:rPr>
              <w:t>acceptă parțial</w:t>
            </w:r>
          </w:p>
          <w:p w14:paraId="308430DE" w14:textId="58B59064" w:rsidR="00DA050C" w:rsidRPr="00DD16E9" w:rsidRDefault="00DD16E9" w:rsidP="00DD16E9">
            <w:pPr>
              <w:jc w:val="both"/>
              <w:rPr>
                <w:rFonts w:ascii="Times New Roman" w:hAnsi="Times New Roman" w:cs="Times New Roman"/>
              </w:rPr>
            </w:pPr>
            <w:r w:rsidRPr="004E67A3">
              <w:rPr>
                <w:rFonts w:ascii="Times New Roman" w:hAnsi="Times New Roman" w:cs="Times New Roman"/>
              </w:rPr>
              <w:t xml:space="preserve">Versiunea finală a taxonomiei utilizează Clasificatorul </w:t>
            </w:r>
            <w:proofErr w:type="spellStart"/>
            <w:r w:rsidRPr="004E67A3">
              <w:rPr>
                <w:rFonts w:ascii="Times New Roman" w:hAnsi="Times New Roman" w:cs="Times New Roman"/>
              </w:rPr>
              <w:t>activităţilor</w:t>
            </w:r>
            <w:proofErr w:type="spellEnd"/>
            <w:r w:rsidRPr="004E67A3">
              <w:rPr>
                <w:rFonts w:ascii="Times New Roman" w:hAnsi="Times New Roman" w:cs="Times New Roman"/>
              </w:rPr>
              <w:t xml:space="preserve"> din economia Moldovei (CAEM-2). CAEM-2 este elaborat pe baza armonizării cu versiunea oficială a Clasificării statistice a activităților economice în Comunitatea Europeană (Revizuirea 2) - </w:t>
            </w:r>
            <w:proofErr w:type="spellStart"/>
            <w:r w:rsidRPr="004E67A3">
              <w:rPr>
                <w:rFonts w:ascii="Times New Roman" w:hAnsi="Times New Roman" w:cs="Times New Roman"/>
              </w:rPr>
              <w:t>Statistical</w:t>
            </w:r>
            <w:proofErr w:type="spellEnd"/>
            <w:r w:rsidRPr="004E67A3">
              <w:rPr>
                <w:rFonts w:ascii="Times New Roman" w:hAnsi="Times New Roman" w:cs="Times New Roman"/>
              </w:rPr>
              <w:t xml:space="preserve"> </w:t>
            </w:r>
            <w:proofErr w:type="spellStart"/>
            <w:r w:rsidRPr="004E67A3">
              <w:rPr>
                <w:rFonts w:ascii="Times New Roman" w:hAnsi="Times New Roman" w:cs="Times New Roman"/>
              </w:rPr>
              <w:t>classification</w:t>
            </w:r>
            <w:proofErr w:type="spellEnd"/>
            <w:r w:rsidRPr="004E67A3">
              <w:rPr>
                <w:rFonts w:ascii="Times New Roman" w:hAnsi="Times New Roman" w:cs="Times New Roman"/>
              </w:rPr>
              <w:t xml:space="preserve"> of economic </w:t>
            </w:r>
            <w:proofErr w:type="spellStart"/>
            <w:r w:rsidRPr="004E67A3">
              <w:rPr>
                <w:rFonts w:ascii="Times New Roman" w:hAnsi="Times New Roman" w:cs="Times New Roman"/>
              </w:rPr>
              <w:t>activities</w:t>
            </w:r>
            <w:proofErr w:type="spellEnd"/>
            <w:r w:rsidRPr="004E67A3">
              <w:rPr>
                <w:rFonts w:ascii="Times New Roman" w:hAnsi="Times New Roman" w:cs="Times New Roman"/>
              </w:rPr>
              <w:t xml:space="preserve"> in </w:t>
            </w:r>
            <w:proofErr w:type="spellStart"/>
            <w:r w:rsidRPr="004E67A3">
              <w:rPr>
                <w:rFonts w:ascii="Times New Roman" w:hAnsi="Times New Roman" w:cs="Times New Roman"/>
              </w:rPr>
              <w:t>the</w:t>
            </w:r>
            <w:proofErr w:type="spellEnd"/>
            <w:r w:rsidRPr="004E67A3">
              <w:rPr>
                <w:rFonts w:ascii="Times New Roman" w:hAnsi="Times New Roman" w:cs="Times New Roman"/>
              </w:rPr>
              <w:t xml:space="preserve"> European </w:t>
            </w:r>
            <w:proofErr w:type="spellStart"/>
            <w:r w:rsidRPr="004E67A3">
              <w:rPr>
                <w:rFonts w:ascii="Times New Roman" w:hAnsi="Times New Roman" w:cs="Times New Roman"/>
              </w:rPr>
              <w:t>Community</w:t>
            </w:r>
            <w:proofErr w:type="spellEnd"/>
            <w:r w:rsidRPr="004E67A3">
              <w:rPr>
                <w:rFonts w:ascii="Times New Roman" w:hAnsi="Times New Roman" w:cs="Times New Roman"/>
              </w:rPr>
              <w:t xml:space="preserve"> (NACE Rev.2) prin </w:t>
            </w:r>
            <w:r w:rsidRPr="004E67A3">
              <w:rPr>
                <w:rFonts w:ascii="Times New Roman" w:hAnsi="Times New Roman" w:cs="Times New Roman"/>
              </w:rPr>
              <w:lastRenderedPageBreak/>
              <w:t xml:space="preserve">păstrarea în CAEM-2 a codurilor (până la patru caractere inclusiv) și denumirilor grupărilor relevante fără a schimba domeniul de aplicare al conceptelor și asigură conformitatea </w:t>
            </w:r>
            <w:r>
              <w:rPr>
                <w:rFonts w:ascii="Times New Roman" w:hAnsi="Times New Roman" w:cs="Times New Roman"/>
              </w:rPr>
              <w:t>deplină</w:t>
            </w:r>
            <w:r w:rsidRPr="004E67A3">
              <w:rPr>
                <w:rFonts w:ascii="Times New Roman" w:hAnsi="Times New Roman" w:cs="Times New Roman"/>
              </w:rPr>
              <w:t>.</w:t>
            </w:r>
            <w:r>
              <w:rPr>
                <w:rFonts w:ascii="Times New Roman" w:hAnsi="Times New Roman" w:cs="Times New Roman"/>
              </w:rPr>
              <w:t xml:space="preserve"> Referințele corespunzătoare la CAEM-2 sunt asigurate pe întreg conținutul Anexei 1 din proiectul Taxonomiei, efectuându-se precizările de rigoare inclusiv la pct.15 din proiectul Taxonomiei.</w:t>
            </w:r>
          </w:p>
        </w:tc>
      </w:tr>
      <w:tr w:rsidR="00DA050C" w:rsidRPr="00882F72" w14:paraId="105F8AF3" w14:textId="77777777" w:rsidTr="00F968A9">
        <w:tc>
          <w:tcPr>
            <w:tcW w:w="797" w:type="pct"/>
            <w:vMerge/>
          </w:tcPr>
          <w:p w14:paraId="6364CDF6" w14:textId="3408F8C3"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28414992" w14:textId="77777777" w:rsidR="00DA050C"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2D3E3A2C" w14:textId="1C7C75AB" w:rsidR="00DA050C" w:rsidRPr="00DD3C6B" w:rsidRDefault="00DA050C"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 xml:space="preserve">O problemă structurală majoră este lipsa infrastructurii informaționale și instituționale necesare aplicării taxonomiei. În prezent, nu există suficiente surse oficiale de colectare și verificare a informațiilor (certificate, baze de date, registre, rapoarte standardizate) care să permită demonstrarea eligibilității și alinierii activităților. În absența unor astfel de instrumente, responsabilitatea de colectare și validare a datelor ar reveni în mod disproporționat participanții la piața financiară, ceea ce ar genera costuri suplimentare, întârzieri în procesul de creditare și riscuri de conformitate. </w:t>
            </w:r>
            <w:r w:rsidR="00DD16E9" w:rsidRPr="00DD3C6B">
              <w:rPr>
                <w:rFonts w:ascii="Times New Roman" w:eastAsia="Calibri" w:hAnsi="Times New Roman" w:cs="Times New Roman"/>
                <w:noProof/>
              </w:rPr>
              <w:t>Pentru ca taxonomia să producă efecte reale și să mobilizeze capital către investiții sustenabile, aceasta trebuie însoțită de mecanisme de stimulare economică. Fără subvenții, garanții de stat, asistență tehnică sau alte instrumente de sprijin, există riscul ca mecanismul să fie perceput exclusiv ca o obligație de conformitate, nu ca un instrument de transformare economică. De asemenea, procesul trebuie să fie administrativ accesibil și susținut de un cadru normativ coerent, care să stabilească obligații clare și pentru beneficiarii finanțărilor. În faza inițială, recomandăm focalizarea pe domenii prioritare și clar definite – energie regenerabilă, eficiență energetică, reciclare, transport verde, clădiri verzi – pentru care există deja practici și criterii tehnice relativ clare. În cazul clădirilor verzi, este esențială clarificarea autorității competente pentru certificare, a criteriilor aplicabile și a eventualei instituiri a unui registru oficial. Fără un cadru metodologic și instituțional clar, există riscul aplicării neuniforme a criteriilor și al raportării divergente.</w:t>
            </w:r>
          </w:p>
        </w:tc>
        <w:tc>
          <w:tcPr>
            <w:tcW w:w="1458" w:type="pct"/>
          </w:tcPr>
          <w:p w14:paraId="3C2D21C7" w14:textId="77777777" w:rsidR="00706A8A" w:rsidRPr="008311F2" w:rsidRDefault="00706A8A" w:rsidP="00706A8A">
            <w:pPr>
              <w:rPr>
                <w:rFonts w:ascii="Times New Roman" w:hAnsi="Times New Roman" w:cs="Times New Roman"/>
                <w:b/>
                <w:bCs/>
              </w:rPr>
            </w:pPr>
            <w:r>
              <w:rPr>
                <w:rFonts w:ascii="Times New Roman" w:hAnsi="Times New Roman" w:cs="Times New Roman"/>
                <w:b/>
                <w:bCs/>
              </w:rPr>
              <w:t>Nu se acceptă.</w:t>
            </w:r>
          </w:p>
          <w:p w14:paraId="474A81BA" w14:textId="2A75B306" w:rsidR="00DA050C" w:rsidRPr="00882F72" w:rsidRDefault="00706A8A" w:rsidP="00706A8A">
            <w:pPr>
              <w:jc w:val="both"/>
              <w:rPr>
                <w:rFonts w:ascii="Times New Roman" w:eastAsia="Calibri" w:hAnsi="Times New Roman" w:cs="Times New Roman"/>
                <w:b/>
                <w:bCs/>
              </w:rPr>
            </w:pPr>
            <w:r>
              <w:rPr>
                <w:rFonts w:ascii="Times New Roman" w:hAnsi="Times New Roman" w:cs="Times New Roman"/>
              </w:rPr>
              <w:t xml:space="preserve">Eventualele subvenții, asistență tehnică sau alt tip de facilități nu constituie obiectul de reglementare al respectivului proiect de act normativ. Acesta </w:t>
            </w:r>
            <w:r w:rsidRPr="00B2225F">
              <w:rPr>
                <w:rFonts w:ascii="Times New Roman" w:hAnsi="Times New Roman" w:cs="Times New Roman"/>
              </w:rPr>
              <w:t>stabilește un cadru general privind activitățile economice ce se consideră durabile din punct de vedere al mediului.</w:t>
            </w:r>
            <w:r>
              <w:rPr>
                <w:rFonts w:ascii="Times New Roman" w:hAnsi="Times New Roman" w:cs="Times New Roman"/>
              </w:rPr>
              <w:t xml:space="preserve"> Aspectele date ar putea constitui subiect de discuții după finalizarea elaborării cadrului normativ secundar de punere în aplicare a prevederilor Taxonomiei.</w:t>
            </w:r>
          </w:p>
        </w:tc>
      </w:tr>
      <w:tr w:rsidR="00DA050C" w:rsidRPr="00882F72" w14:paraId="4B448468" w14:textId="77777777" w:rsidTr="00F968A9">
        <w:tc>
          <w:tcPr>
            <w:tcW w:w="797" w:type="pct"/>
            <w:vMerge/>
          </w:tcPr>
          <w:p w14:paraId="27C8367D" w14:textId="2A34DDDB"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18871C15" w14:textId="77777777" w:rsidR="00DA050C"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46DF14E7" w14:textId="13C171A1" w:rsidR="00DA050C" w:rsidRPr="00DD3C6B" w:rsidRDefault="00DA050C"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În sectorul agricol, aplicarea taxonomiei necesită o abordare adaptată specificului ÎMM-urilor. Introducerea unor criterii simplificate și recunoașterea explicită a practicilor precum agricultura fără arat, rotația culturilor și irigarea inteligentă prin picurare ar permite integrarea sustenabilă a acestui sector, fără a crea bariere administrative excesive.</w:t>
            </w:r>
          </w:p>
        </w:tc>
        <w:tc>
          <w:tcPr>
            <w:tcW w:w="1458" w:type="pct"/>
          </w:tcPr>
          <w:p w14:paraId="3CDFA8F6" w14:textId="77777777" w:rsidR="00706A8A" w:rsidRPr="004E67A3" w:rsidRDefault="00706A8A" w:rsidP="00706A8A">
            <w:pPr>
              <w:rPr>
                <w:rFonts w:ascii="Times New Roman" w:hAnsi="Times New Roman" w:cs="Times New Roman"/>
                <w:b/>
                <w:bCs/>
              </w:rPr>
            </w:pPr>
            <w:r>
              <w:rPr>
                <w:rFonts w:ascii="Times New Roman" w:hAnsi="Times New Roman" w:cs="Times New Roman"/>
                <w:b/>
                <w:bCs/>
              </w:rPr>
              <w:t>Nu se acceptă</w:t>
            </w:r>
            <w:r w:rsidRPr="004E67A3">
              <w:rPr>
                <w:rFonts w:ascii="Times New Roman" w:hAnsi="Times New Roman" w:cs="Times New Roman"/>
                <w:b/>
                <w:bCs/>
              </w:rPr>
              <w:t>.</w:t>
            </w:r>
          </w:p>
          <w:p w14:paraId="6B61B371" w14:textId="77777777" w:rsidR="00706A8A" w:rsidRPr="004E67A3" w:rsidRDefault="00706A8A" w:rsidP="00706A8A">
            <w:pPr>
              <w:jc w:val="both"/>
              <w:rPr>
                <w:rFonts w:ascii="Times New Roman" w:hAnsi="Times New Roman" w:cs="Times New Roman"/>
              </w:rPr>
            </w:pPr>
            <w:r w:rsidRPr="004E67A3">
              <w:rPr>
                <w:rFonts w:ascii="Times New Roman" w:hAnsi="Times New Roman" w:cs="Times New Roman"/>
              </w:rPr>
              <w:t>Regulamentele delegate UE care stabilesc criterii tehnice de examinare – în special Regulamentul delegat (UE) 2021/2139 și Regulamentul delegat (UE) 2023/2486 acoperă anumite activități economice, dar nu includ încă agricultura ca sector definit cu propriile criterii tehnice.</w:t>
            </w:r>
          </w:p>
          <w:p w14:paraId="1E2DDA3B" w14:textId="77777777" w:rsidR="00706A8A" w:rsidRPr="004E67A3" w:rsidRDefault="00706A8A" w:rsidP="00706A8A">
            <w:pPr>
              <w:jc w:val="both"/>
              <w:rPr>
                <w:rFonts w:ascii="Times New Roman" w:hAnsi="Times New Roman" w:cs="Times New Roman"/>
              </w:rPr>
            </w:pPr>
            <w:r w:rsidRPr="004E67A3">
              <w:rPr>
                <w:rFonts w:ascii="Times New Roman" w:hAnsi="Times New Roman" w:cs="Times New Roman"/>
              </w:rPr>
              <w:t xml:space="preserve">Platforma privind finanțarea durabilă, care consiliază Comisia Europeană cu privire la eventuala necesitate de a actualiza criteriile tehnice de examinare, a publicat </w:t>
            </w:r>
            <w:hyperlink r:id="rId10" w:history="1">
              <w:r w:rsidRPr="004E67A3">
                <w:rPr>
                  <w:rStyle w:val="Hyperlink"/>
                  <w:rFonts w:ascii="Times New Roman" w:hAnsi="Times New Roman" w:cs="Times New Roman"/>
                </w:rPr>
                <w:t>rapoarte și recomandări</w:t>
              </w:r>
            </w:hyperlink>
            <w:r w:rsidRPr="004E67A3">
              <w:rPr>
                <w:rFonts w:ascii="Times New Roman" w:hAnsi="Times New Roman" w:cs="Times New Roman"/>
              </w:rPr>
              <w:t xml:space="preserve"> privind includerea unor activități </w:t>
            </w:r>
            <w:r w:rsidRPr="004E67A3">
              <w:rPr>
                <w:rFonts w:ascii="Times New Roman" w:hAnsi="Times New Roman" w:cs="Times New Roman"/>
              </w:rPr>
              <w:lastRenderedPageBreak/>
              <w:t xml:space="preserve">economice suplimentare și modificarea actelor delegate privind taxonomia. Acestea includ recomandări pentru activități noi și revizuiri ale criteriilor tehnice de selecție, iar Comisia </w:t>
            </w:r>
            <w:r>
              <w:rPr>
                <w:rFonts w:ascii="Times New Roman" w:hAnsi="Times New Roman" w:cs="Times New Roman"/>
              </w:rPr>
              <w:t xml:space="preserve">europeană </w:t>
            </w:r>
            <w:r w:rsidRPr="004E67A3">
              <w:rPr>
                <w:rFonts w:ascii="Times New Roman" w:hAnsi="Times New Roman" w:cs="Times New Roman"/>
              </w:rPr>
              <w:t>urmează să examineze și să adopte, la necesitate, viitoare acte delegate care să pună în aplicare aceste recomandări.</w:t>
            </w:r>
          </w:p>
          <w:p w14:paraId="6019DDBA" w14:textId="77777777" w:rsidR="00706A8A" w:rsidRDefault="00706A8A" w:rsidP="00706A8A">
            <w:pPr>
              <w:jc w:val="both"/>
              <w:rPr>
                <w:rFonts w:ascii="Times New Roman" w:hAnsi="Times New Roman" w:cs="Times New Roman"/>
              </w:rPr>
            </w:pPr>
            <w:r>
              <w:rPr>
                <w:rFonts w:ascii="Times New Roman" w:hAnsi="Times New Roman" w:cs="Times New Roman"/>
              </w:rPr>
              <w:t>Mai mult decât atât, la momentul actual, inclusiv în domeniul agriculturii au loc măsuri de aliniere a legislației și a practicilor naționale la normele și standardele UE în vederea perfecționării și îmbunătățirii proceselor agricole.</w:t>
            </w:r>
          </w:p>
          <w:p w14:paraId="7731C44C" w14:textId="5B5C0FAC" w:rsidR="00DA050C" w:rsidRPr="00882F72" w:rsidRDefault="00706A8A" w:rsidP="00706A8A">
            <w:pPr>
              <w:jc w:val="both"/>
              <w:rPr>
                <w:rFonts w:ascii="Times New Roman" w:eastAsia="Calibri" w:hAnsi="Times New Roman" w:cs="Times New Roman"/>
                <w:b/>
                <w:bCs/>
              </w:rPr>
            </w:pPr>
            <w:r>
              <w:rPr>
                <w:rFonts w:ascii="Times New Roman" w:hAnsi="Times New Roman" w:cs="Times New Roman"/>
              </w:rPr>
              <w:t>Respectiv, domeniul agriculturii va fi inclusiv în prevederile Taxonomiei la o etapă ulterioară, reieșind din evoluțiile reglementărilor și practicilor în aplicare atât la nivel național, cât și internațional</w:t>
            </w:r>
          </w:p>
        </w:tc>
      </w:tr>
      <w:tr w:rsidR="00DA050C" w:rsidRPr="00882F72" w14:paraId="5C74DAC6" w14:textId="77777777" w:rsidTr="00F968A9">
        <w:tc>
          <w:tcPr>
            <w:tcW w:w="797" w:type="pct"/>
            <w:vMerge/>
          </w:tcPr>
          <w:p w14:paraId="71B2EAAC" w14:textId="4E7DCD36"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331C8833" w14:textId="77777777" w:rsidR="00DA050C"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77E1C78F" w14:textId="78C9CE68" w:rsidR="00DA050C" w:rsidRPr="00DD3C6B" w:rsidRDefault="00DA050C"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Este esențială elaborarea unor ghiduri sau orientări privind creditarea verde, care să conțină criterii minime și clar definite pentru recunoașterea creditelor „verzi”. Aceste orientări ar trebui integrate într-un cadru simplificat și pragmatic, eventual intermediar, care să permită o tranziție graduală către alinierea deplină la taxonomie. În lipsa unui astfel de cadru, există riscul ca finanțările cu impact pozitiv asupra mediului să nu fie recunoscute formal ca fiind aliniate, ceea ce ar descuraja utilizarea mecanismului.</w:t>
            </w:r>
          </w:p>
        </w:tc>
        <w:tc>
          <w:tcPr>
            <w:tcW w:w="1458" w:type="pct"/>
          </w:tcPr>
          <w:p w14:paraId="4057DFD1" w14:textId="77777777" w:rsidR="00706A8A" w:rsidRDefault="00706A8A" w:rsidP="00706A8A">
            <w:pPr>
              <w:tabs>
                <w:tab w:val="left" w:pos="4753"/>
              </w:tabs>
              <w:ind w:right="21"/>
              <w:rPr>
                <w:rFonts w:ascii="Times New Roman" w:hAnsi="Times New Roman" w:cs="Times New Roman"/>
                <w:b/>
                <w:bCs/>
                <w:noProof/>
              </w:rPr>
            </w:pPr>
            <w:r>
              <w:rPr>
                <w:rFonts w:ascii="Times New Roman" w:hAnsi="Times New Roman" w:cs="Times New Roman"/>
                <w:b/>
                <w:bCs/>
                <w:noProof/>
              </w:rPr>
              <w:t>Se acceptă parțial.</w:t>
            </w:r>
          </w:p>
          <w:p w14:paraId="063220AF" w14:textId="77777777" w:rsidR="00706A8A" w:rsidRDefault="00706A8A" w:rsidP="00706A8A">
            <w:pPr>
              <w:jc w:val="both"/>
              <w:rPr>
                <w:rFonts w:ascii="Times New Roman" w:hAnsi="Times New Roman" w:cs="Times New Roman"/>
              </w:rPr>
            </w:pPr>
            <w:r>
              <w:rPr>
                <w:rFonts w:ascii="Times New Roman" w:hAnsi="Times New Roman" w:cs="Times New Roman"/>
              </w:rPr>
              <w:t xml:space="preserve">Proiectul </w:t>
            </w:r>
            <w:r w:rsidRPr="00113896">
              <w:rPr>
                <w:rFonts w:ascii="Times New Roman" w:hAnsi="Times New Roman" w:cs="Times New Roman"/>
              </w:rPr>
              <w:t xml:space="preserve">Hotărârii privind Taxonomia </w:t>
            </w:r>
            <w:r>
              <w:rPr>
                <w:rFonts w:ascii="Times New Roman" w:hAnsi="Times New Roman" w:cs="Times New Roman"/>
              </w:rPr>
              <w:t xml:space="preserve">pentru finanțare durabilă stabilește un cadru general privind activitățile economice ce se consideră durabile din punct de vedere al mediului. </w:t>
            </w:r>
          </w:p>
          <w:p w14:paraId="4C1C7F30" w14:textId="77777777" w:rsidR="00706A8A" w:rsidRDefault="00706A8A" w:rsidP="00706A8A">
            <w:pPr>
              <w:jc w:val="both"/>
              <w:rPr>
                <w:rFonts w:ascii="Times New Roman" w:hAnsi="Times New Roman" w:cs="Times New Roman"/>
              </w:rPr>
            </w:pPr>
            <w:r>
              <w:rPr>
                <w:rFonts w:ascii="Times New Roman" w:hAnsi="Times New Roman" w:cs="Times New Roman"/>
              </w:rPr>
              <w:t xml:space="preserve">Totodată, prevederi specifice sectorului financiar, cum ar fi mod de aplicare, gradualitate, mecanism de raportare etc. urmează a fi stabilite și prevăzute ulterior aprobării proiectului dat, prin acte normative ale regulatorilor sectorului financiar (Banca Națională a Moldovei în cazul băncilor), acestea fiind cu aplicabilitate dedicată expres participanților pieței financiare. </w:t>
            </w:r>
          </w:p>
          <w:p w14:paraId="2BB1BB8D" w14:textId="5F0C8B55" w:rsidR="00DA050C" w:rsidRPr="00706A8A" w:rsidRDefault="00706A8A" w:rsidP="00706A8A">
            <w:pPr>
              <w:jc w:val="both"/>
              <w:rPr>
                <w:rFonts w:ascii="Times New Roman" w:hAnsi="Times New Roman" w:cs="Times New Roman"/>
              </w:rPr>
            </w:pPr>
            <w:r>
              <w:rPr>
                <w:rFonts w:ascii="Times New Roman" w:hAnsi="Times New Roman" w:cs="Times New Roman"/>
              </w:rPr>
              <w:t>Anume din acest considerent, proiectul prevede o perioadă de 12 luni din data publicării pentru intrarea în vigoare a acesteia.</w:t>
            </w:r>
          </w:p>
        </w:tc>
      </w:tr>
      <w:tr w:rsidR="00DA050C" w:rsidRPr="00882F72" w14:paraId="5DBA0ECF" w14:textId="77777777" w:rsidTr="00F968A9">
        <w:tc>
          <w:tcPr>
            <w:tcW w:w="797" w:type="pct"/>
            <w:vMerge/>
          </w:tcPr>
          <w:p w14:paraId="48C8955A" w14:textId="01BB9AE3"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27292926" w14:textId="77777777" w:rsidR="00DA050C"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52166AF2" w14:textId="1A66985B" w:rsidR="00DA050C" w:rsidRPr="00DD3C6B" w:rsidRDefault="00DA050C" w:rsidP="00AC5A28">
            <w:pPr>
              <w:ind w:left="-27"/>
              <w:jc w:val="both"/>
              <w:rPr>
                <w:rFonts w:ascii="Times New Roman" w:eastAsia="Times New Roman" w:hAnsi="Times New Roman"/>
                <w:lang w:val="ro-RO"/>
              </w:rPr>
            </w:pPr>
            <w:r w:rsidRPr="00DD3C6B">
              <w:rPr>
                <w:rFonts w:ascii="Times New Roman" w:eastAsia="Calibri" w:hAnsi="Times New Roman" w:cs="Times New Roman"/>
                <w:noProof/>
              </w:rPr>
              <w:t>Având în vedere importanța strategică a proiectului Taxonomiei privind finanțarea durabilă și impactul său transversal – nu doar asupra sectorului financiar, ci și asupra întregului mediu de afaceri – considerăm oportună organizarea, în perioada următoare, a unei ședințe dedicate sau a unui eveniment public de prezentare detaliată a conceptului, obiectivelor și implicațiilor practice ale proiectului. Un astfel de exercițiu de dialog ar contribui la o mai bună înțelegere a cadrului propus, la clarificarea aspectelor tehnice și la asigurarea unei implementări coerente și predictibile, în linie cu realitățile economice și capacitatea de conformare a pieței.</w:t>
            </w:r>
          </w:p>
        </w:tc>
        <w:tc>
          <w:tcPr>
            <w:tcW w:w="1458" w:type="pct"/>
          </w:tcPr>
          <w:p w14:paraId="61F3D6A3" w14:textId="77777777" w:rsidR="00DA050C" w:rsidRPr="00706A8A" w:rsidRDefault="00706A8A" w:rsidP="00706A8A">
            <w:pPr>
              <w:jc w:val="both"/>
              <w:rPr>
                <w:rFonts w:ascii="Times New Roman" w:eastAsia="Calibri" w:hAnsi="Times New Roman" w:cs="Times New Roman"/>
                <w:b/>
                <w:bCs/>
              </w:rPr>
            </w:pPr>
            <w:r w:rsidRPr="00706A8A">
              <w:rPr>
                <w:rFonts w:ascii="Times New Roman" w:eastAsia="Calibri" w:hAnsi="Times New Roman" w:cs="Times New Roman"/>
                <w:b/>
                <w:bCs/>
              </w:rPr>
              <w:t>Se acceptă parțial</w:t>
            </w:r>
          </w:p>
          <w:p w14:paraId="047E0595" w14:textId="77777777" w:rsidR="00706A8A" w:rsidRP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În colaborare cu Corporația Financiară Internațională (IFC), Banca Națională a Moldovei (BNM), începând din luna decembrie 2024, a organizat un șir de evenimente, după cum urmează:</w:t>
            </w:r>
          </w:p>
          <w:p w14:paraId="71A8E677" w14:textId="77777777" w:rsidR="00706A8A" w:rsidRP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 xml:space="preserve">1) În luna decembrie 2024, au fost organizate 2 sesiuni cu privire la dezvoltarea strategiei de </w:t>
            </w:r>
            <w:r w:rsidRPr="00706A8A">
              <w:rPr>
                <w:rFonts w:ascii="Times New Roman" w:eastAsia="Calibri" w:hAnsi="Times New Roman" w:cs="Times New Roman"/>
                <w:bCs/>
              </w:rPr>
              <w:lastRenderedPageBreak/>
              <w:t>finanțare durabilă, transformarea durabilă a entităților financiare și oportunitățile de finanțare durabilă.</w:t>
            </w:r>
          </w:p>
          <w:p w14:paraId="779E4C0D" w14:textId="77777777" w:rsidR="00706A8A" w:rsidRP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 xml:space="preserve">2) În luna iulie 2025, au fost organizate alte 2 sesiuni - o sesiune cu privire la gestionarea riscurilor de mediu, sociale și de guvernanță și o sesiune cu privire la taxonomia pentru finanțare durabilă.  </w:t>
            </w:r>
          </w:p>
          <w:p w14:paraId="0ED8936D" w14:textId="77777777" w:rsidR="00706A8A" w:rsidRP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 xml:space="preserve">3) În luna septembrie 2025, a fost organizat un atelier online dedicat aplicării taxonomiei pentru finanțare durabilă în Republica Moldova, la care au participat membrii Grupului consultativ pentru finanțare durabilă.      </w:t>
            </w:r>
          </w:p>
          <w:p w14:paraId="259C6416" w14:textId="77777777" w:rsidR="00706A8A" w:rsidRP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4) În luna decembrie 2025, a fost organizat un atelier de prezentare a proiectului taxonomiei pentru finanțare durabilă, cu exemple aferente modului de evaluare a alinierii pentru diverse activități economice. Atelierul a fost dedicat reprezentanților Grupului consultativ pentru finanțare durabilă.</w:t>
            </w:r>
          </w:p>
          <w:p w14:paraId="4580C0F5" w14:textId="77777777" w:rsid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5) În luna ianuarie 2026, a fost organizat un atelier online cu privire la impactul riscului climatic asupra sectorului asigurărilor din Republica Moldova, cu participarea reprezentanților BNM și societăților de asigurare.</w:t>
            </w:r>
          </w:p>
          <w:p w14:paraId="4111AA2B" w14:textId="288914FF" w:rsidR="00706A8A" w:rsidRPr="00706A8A" w:rsidRDefault="00706A8A" w:rsidP="00706A8A">
            <w:pPr>
              <w:jc w:val="both"/>
              <w:rPr>
                <w:rFonts w:ascii="Times New Roman" w:eastAsia="Calibri" w:hAnsi="Times New Roman" w:cs="Times New Roman"/>
                <w:bCs/>
              </w:rPr>
            </w:pPr>
            <w:r>
              <w:rPr>
                <w:rFonts w:ascii="Times New Roman" w:eastAsia="Calibri" w:hAnsi="Times New Roman" w:cs="Times New Roman"/>
                <w:bCs/>
              </w:rPr>
              <w:t>La evenimentele prenotate, au participat reprezentanți ai sectorului bancar, al asigurărilor și al autorităților publice naționale reieșind din domeniile de competență ale acestora.</w:t>
            </w:r>
          </w:p>
        </w:tc>
      </w:tr>
      <w:tr w:rsidR="00DA050C" w:rsidRPr="00882F72" w14:paraId="0A0C69E6" w14:textId="77777777" w:rsidTr="00F968A9">
        <w:tc>
          <w:tcPr>
            <w:tcW w:w="797" w:type="pct"/>
            <w:vMerge/>
          </w:tcPr>
          <w:p w14:paraId="1756CE60" w14:textId="77777777" w:rsidR="00DA050C" w:rsidRPr="00882F72" w:rsidRDefault="00DA050C" w:rsidP="00DA050C">
            <w:pPr>
              <w:tabs>
                <w:tab w:val="left" w:pos="355"/>
              </w:tabs>
              <w:jc w:val="center"/>
              <w:rPr>
                <w:rFonts w:ascii="Times New Roman" w:eastAsia="Calibri" w:hAnsi="Times New Roman" w:cs="Times New Roman"/>
                <w:b/>
                <w:bCs/>
              </w:rPr>
            </w:pPr>
          </w:p>
        </w:tc>
        <w:tc>
          <w:tcPr>
            <w:tcW w:w="240" w:type="pct"/>
          </w:tcPr>
          <w:p w14:paraId="6800DF4E" w14:textId="77777777" w:rsidR="00DA050C" w:rsidRDefault="00DA050C" w:rsidP="00DA050C">
            <w:pPr>
              <w:pStyle w:val="ListParagraph"/>
              <w:numPr>
                <w:ilvl w:val="0"/>
                <w:numId w:val="1"/>
              </w:numPr>
              <w:ind w:left="256" w:hanging="283"/>
              <w:rPr>
                <w:rFonts w:ascii="Times New Roman" w:eastAsia="Calibri" w:hAnsi="Times New Roman" w:cs="Times New Roman"/>
                <w:noProof/>
              </w:rPr>
            </w:pPr>
          </w:p>
        </w:tc>
        <w:tc>
          <w:tcPr>
            <w:tcW w:w="2505" w:type="pct"/>
          </w:tcPr>
          <w:p w14:paraId="783804C6" w14:textId="247FC02F" w:rsidR="00DA050C" w:rsidRPr="00DD3C6B" w:rsidRDefault="00DA050C" w:rsidP="00AC5A28">
            <w:pPr>
              <w:ind w:left="-27"/>
              <w:jc w:val="both"/>
              <w:rPr>
                <w:rFonts w:ascii="Times New Roman" w:eastAsia="Calibri" w:hAnsi="Times New Roman" w:cs="Times New Roman"/>
                <w:noProof/>
              </w:rPr>
            </w:pPr>
            <w:r w:rsidRPr="00DD3C6B">
              <w:rPr>
                <w:rFonts w:ascii="Times New Roman" w:eastAsia="Calibri" w:hAnsi="Times New Roman" w:cs="Times New Roman"/>
                <w:noProof/>
              </w:rPr>
              <w:t>I</w:t>
            </w:r>
            <w:r w:rsidRPr="00DD3C6B">
              <w:rPr>
                <w:rFonts w:ascii="Times New Roman" w:eastAsia="Calibri" w:hAnsi="Times New Roman" w:cs="Times New Roman"/>
                <w:noProof/>
                <w:lang w:val="ro-RO"/>
              </w:rPr>
              <w:t>mplementarea Taxonomiei trebuie să fie graduală, proporțională și susținută instituțional. Fără o etapizare clară, un calendar predictibil și instrumente de sprijin adecvate, există riscul ca mecanismul să limiteze creditarea verde în loc să o stimuleze. Obiectivul strategic trebuie să fie mobilizarea capitalului către investiții sustenabile, nu crearea unei poveri administrative suplimentare pentru sectorul financiar și pentru economie în ansamblu.</w:t>
            </w:r>
          </w:p>
        </w:tc>
        <w:tc>
          <w:tcPr>
            <w:tcW w:w="1458" w:type="pct"/>
          </w:tcPr>
          <w:p w14:paraId="35328892" w14:textId="77777777" w:rsidR="00DA050C" w:rsidRDefault="00706A8A" w:rsidP="00706A8A">
            <w:pPr>
              <w:rPr>
                <w:rFonts w:ascii="Times New Roman" w:eastAsia="Calibri" w:hAnsi="Times New Roman" w:cs="Times New Roman"/>
                <w:b/>
                <w:bCs/>
              </w:rPr>
            </w:pPr>
            <w:r>
              <w:rPr>
                <w:rFonts w:ascii="Times New Roman" w:eastAsia="Calibri" w:hAnsi="Times New Roman" w:cs="Times New Roman"/>
                <w:b/>
                <w:bCs/>
              </w:rPr>
              <w:t>Se acceptă parțial.</w:t>
            </w:r>
          </w:p>
          <w:p w14:paraId="181C2036" w14:textId="206D3FCB" w:rsidR="00706A8A" w:rsidRPr="00706A8A" w:rsidRDefault="00706A8A" w:rsidP="00706A8A">
            <w:pPr>
              <w:jc w:val="both"/>
              <w:rPr>
                <w:rFonts w:ascii="Times New Roman" w:eastAsia="Calibri" w:hAnsi="Times New Roman" w:cs="Times New Roman"/>
                <w:bCs/>
              </w:rPr>
            </w:pPr>
            <w:r w:rsidRPr="00706A8A">
              <w:rPr>
                <w:rFonts w:ascii="Times New Roman" w:eastAsia="Calibri" w:hAnsi="Times New Roman" w:cs="Times New Roman"/>
                <w:bCs/>
              </w:rPr>
              <w:t xml:space="preserve">În scopul facilitării implementării Taxonomiei, s-a prevăzut intrarea în vigoare a acesteia în termen de </w:t>
            </w:r>
            <w:r w:rsidR="00AC40EE">
              <w:rPr>
                <w:rFonts w:ascii="Times New Roman" w:eastAsia="Calibri" w:hAnsi="Times New Roman" w:cs="Times New Roman"/>
                <w:bCs/>
              </w:rPr>
              <w:t>12 luni din data publicării. Ulterior, în cadrul secundar al regulatorilor pieței financiare urmează a fi stabilit un calendar expres de aplicabilitate și raportare al prevederilor Taxonomiei.</w:t>
            </w:r>
          </w:p>
        </w:tc>
      </w:tr>
      <w:tr w:rsidR="00DA050C" w:rsidRPr="00882F72" w14:paraId="6A367663" w14:textId="77777777" w:rsidTr="00F968A9">
        <w:trPr>
          <w:trHeight w:val="978"/>
        </w:trPr>
        <w:tc>
          <w:tcPr>
            <w:tcW w:w="797" w:type="pct"/>
          </w:tcPr>
          <w:p w14:paraId="24713280" w14:textId="2AB4B219" w:rsidR="00DA050C" w:rsidRPr="00882F72" w:rsidRDefault="00DA050C" w:rsidP="00AC5A28">
            <w:pPr>
              <w:tabs>
                <w:tab w:val="left" w:pos="355"/>
              </w:tabs>
              <w:rPr>
                <w:rFonts w:ascii="Times New Roman" w:eastAsia="Calibri" w:hAnsi="Times New Roman" w:cs="Times New Roman"/>
                <w:b/>
                <w:bCs/>
              </w:rPr>
            </w:pPr>
            <w:r w:rsidRPr="00EB0784">
              <w:rPr>
                <w:rFonts w:ascii="Times New Roman" w:eastAsia="Calibri" w:hAnsi="Times New Roman" w:cs="Times New Roman"/>
                <w:b/>
                <w:bCs/>
              </w:rPr>
              <w:lastRenderedPageBreak/>
              <w:t xml:space="preserve">Comisia Națională a Pieței Financiare </w:t>
            </w:r>
          </w:p>
          <w:p w14:paraId="07707998" w14:textId="5AD1EB2E" w:rsidR="00DA050C" w:rsidRPr="00AC5A28" w:rsidRDefault="00DA050C" w:rsidP="00DA050C">
            <w:pPr>
              <w:pStyle w:val="ListParagraph"/>
              <w:tabs>
                <w:tab w:val="left" w:pos="355"/>
              </w:tabs>
              <w:ind w:left="0"/>
              <w:rPr>
                <w:rFonts w:ascii="Times New Roman" w:eastAsia="Calibri" w:hAnsi="Times New Roman" w:cs="Times New Roman"/>
              </w:rPr>
            </w:pPr>
            <w:r w:rsidRPr="00882F72">
              <w:rPr>
                <w:rFonts w:ascii="Times New Roman" w:eastAsia="Calibri" w:hAnsi="Times New Roman" w:cs="Times New Roman"/>
              </w:rPr>
              <w:t>nr. 03-4/600 din 26.02.2026</w:t>
            </w:r>
          </w:p>
        </w:tc>
        <w:tc>
          <w:tcPr>
            <w:tcW w:w="240" w:type="pct"/>
          </w:tcPr>
          <w:p w14:paraId="5DF1E49E" w14:textId="77777777" w:rsidR="00DA050C" w:rsidRPr="006215FE" w:rsidRDefault="00DA050C">
            <w:pPr>
              <w:pStyle w:val="ListParagraph"/>
              <w:numPr>
                <w:ilvl w:val="0"/>
                <w:numId w:val="10"/>
              </w:numPr>
              <w:rPr>
                <w:rFonts w:ascii="Times New Roman" w:eastAsia="Calibri" w:hAnsi="Times New Roman" w:cs="Times New Roman"/>
              </w:rPr>
            </w:pPr>
          </w:p>
        </w:tc>
        <w:tc>
          <w:tcPr>
            <w:tcW w:w="2505" w:type="pct"/>
          </w:tcPr>
          <w:p w14:paraId="00F57CE3" w14:textId="21483A63" w:rsidR="00DA050C" w:rsidRPr="00882F72" w:rsidRDefault="00DD16E9" w:rsidP="00AC5A28">
            <w:pPr>
              <w:jc w:val="both"/>
              <w:rPr>
                <w:rFonts w:ascii="Times New Roman" w:eastAsia="Calibri" w:hAnsi="Times New Roman" w:cs="Times New Roman"/>
                <w:noProof/>
              </w:rPr>
            </w:pPr>
            <w:r>
              <w:rPr>
                <w:rFonts w:ascii="Times New Roman" w:eastAsia="Calibri" w:hAnsi="Times New Roman" w:cs="Times New Roman"/>
              </w:rPr>
              <w:t>Lipsă de</w:t>
            </w:r>
            <w:r w:rsidR="00DA050C" w:rsidRPr="00882F72">
              <w:rPr>
                <w:rFonts w:ascii="Times New Roman" w:eastAsia="Calibri" w:hAnsi="Times New Roman" w:cs="Times New Roman"/>
              </w:rPr>
              <w:t xml:space="preserve"> obiecții/propuneri (recomandări)</w:t>
            </w:r>
          </w:p>
        </w:tc>
        <w:tc>
          <w:tcPr>
            <w:tcW w:w="1458" w:type="pct"/>
          </w:tcPr>
          <w:p w14:paraId="64C4BA93" w14:textId="2A67B7D3" w:rsidR="00DA050C" w:rsidRPr="00882F72" w:rsidRDefault="00DA050C" w:rsidP="00DA050C">
            <w:pPr>
              <w:rPr>
                <w:rFonts w:ascii="Times New Roman" w:eastAsia="Calibri" w:hAnsi="Times New Roman" w:cs="Times New Roman"/>
                <w:b/>
                <w:bCs/>
              </w:rPr>
            </w:pPr>
            <w:r w:rsidRPr="00882F72">
              <w:rPr>
                <w:rFonts w:ascii="Times New Roman" w:eastAsia="Calibri" w:hAnsi="Times New Roman" w:cs="Times New Roman"/>
                <w:b/>
                <w:bCs/>
              </w:rPr>
              <w:t>S-a luat act</w:t>
            </w:r>
          </w:p>
        </w:tc>
      </w:tr>
      <w:tr w:rsidR="00DA050C" w:rsidRPr="00882F72" w14:paraId="6DF2A4D6" w14:textId="77777777" w:rsidTr="00F968A9">
        <w:tc>
          <w:tcPr>
            <w:tcW w:w="797" w:type="pct"/>
          </w:tcPr>
          <w:p w14:paraId="3226E88D" w14:textId="77777777" w:rsidR="00DA050C" w:rsidRPr="00EB0784" w:rsidRDefault="00DA050C" w:rsidP="00DA050C">
            <w:pPr>
              <w:tabs>
                <w:tab w:val="left" w:pos="355"/>
              </w:tabs>
              <w:rPr>
                <w:rFonts w:ascii="Times New Roman" w:eastAsia="Calibri" w:hAnsi="Times New Roman" w:cs="Times New Roman"/>
                <w:b/>
                <w:bCs/>
              </w:rPr>
            </w:pPr>
            <w:r w:rsidRPr="00EB0784">
              <w:rPr>
                <w:rFonts w:ascii="Times New Roman" w:eastAsia="Calibri" w:hAnsi="Times New Roman" w:cs="Times New Roman"/>
                <w:b/>
                <w:bCs/>
              </w:rPr>
              <w:t>Congresul Autorităților Locale din Moldova</w:t>
            </w:r>
          </w:p>
          <w:p w14:paraId="30DB49AF" w14:textId="77777777" w:rsidR="00DA050C" w:rsidRDefault="00DA050C" w:rsidP="00DA050C">
            <w:pPr>
              <w:tabs>
                <w:tab w:val="left" w:pos="355"/>
              </w:tabs>
              <w:rPr>
                <w:rFonts w:ascii="Times New Roman" w:eastAsia="Calibri" w:hAnsi="Times New Roman" w:cs="Times New Roman"/>
                <w:b/>
                <w:bCs/>
              </w:rPr>
            </w:pPr>
          </w:p>
          <w:p w14:paraId="4F16FF3A" w14:textId="7A224EAB" w:rsidR="00DA050C" w:rsidRPr="00D93BA3" w:rsidRDefault="00DA050C" w:rsidP="00DA050C">
            <w:pPr>
              <w:tabs>
                <w:tab w:val="left" w:pos="355"/>
              </w:tabs>
              <w:rPr>
                <w:rFonts w:ascii="Times New Roman" w:eastAsia="Calibri" w:hAnsi="Times New Roman" w:cs="Times New Roman"/>
              </w:rPr>
            </w:pPr>
            <w:r w:rsidRPr="00D93BA3">
              <w:rPr>
                <w:rFonts w:ascii="Times New Roman" w:eastAsia="Calibri" w:hAnsi="Times New Roman" w:cs="Times New Roman"/>
                <w:lang w:val="ro-RO"/>
              </w:rPr>
              <w:t>nr.67 din 09 martie 2026</w:t>
            </w:r>
          </w:p>
        </w:tc>
        <w:tc>
          <w:tcPr>
            <w:tcW w:w="240" w:type="pct"/>
          </w:tcPr>
          <w:p w14:paraId="574908F8" w14:textId="77777777" w:rsidR="00DA050C" w:rsidRPr="006215FE" w:rsidRDefault="00DA050C">
            <w:pPr>
              <w:pStyle w:val="ListParagraph"/>
              <w:numPr>
                <w:ilvl w:val="0"/>
                <w:numId w:val="11"/>
              </w:numPr>
              <w:rPr>
                <w:rFonts w:ascii="Times New Roman" w:eastAsia="Calibri" w:hAnsi="Times New Roman" w:cs="Times New Roman"/>
                <w:lang w:val="ro-RO"/>
              </w:rPr>
            </w:pPr>
          </w:p>
        </w:tc>
        <w:tc>
          <w:tcPr>
            <w:tcW w:w="2505" w:type="pct"/>
          </w:tcPr>
          <w:p w14:paraId="10DDC41B" w14:textId="23DC58D8" w:rsidR="00DA050C" w:rsidRPr="00D93BA3" w:rsidRDefault="00DA050C" w:rsidP="00AC5A28">
            <w:pPr>
              <w:jc w:val="both"/>
              <w:rPr>
                <w:rFonts w:ascii="Times New Roman" w:eastAsia="Calibri" w:hAnsi="Times New Roman" w:cs="Times New Roman"/>
                <w:lang w:val="ro-RO"/>
              </w:rPr>
            </w:pPr>
            <w:r w:rsidRPr="00D93BA3">
              <w:rPr>
                <w:rFonts w:ascii="Times New Roman" w:eastAsia="Calibri" w:hAnsi="Times New Roman" w:cs="Times New Roman"/>
                <w:lang w:val="ro-RO"/>
              </w:rPr>
              <w:t>Proiectul poartă un caracter general și urmărește scopul de</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transpunere a unor regulamente ale Uniunii Europene în vederea facilitării tranziției către o economie</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verde și circulară și prevenirii poluării mediului.</w:t>
            </w:r>
          </w:p>
          <w:p w14:paraId="404A20DF" w14:textId="3FF9AF8E" w:rsidR="00DA050C" w:rsidRPr="006215FE" w:rsidRDefault="00DA050C" w:rsidP="00AC5A28">
            <w:pPr>
              <w:jc w:val="both"/>
              <w:rPr>
                <w:rFonts w:ascii="Times New Roman" w:eastAsia="Calibri" w:hAnsi="Times New Roman" w:cs="Times New Roman"/>
                <w:i/>
                <w:iCs/>
                <w:lang w:val="ro-RO"/>
              </w:rPr>
            </w:pPr>
            <w:r w:rsidRPr="00D93BA3">
              <w:rPr>
                <w:rFonts w:ascii="Times New Roman" w:eastAsia="Calibri" w:hAnsi="Times New Roman" w:cs="Times New Roman"/>
                <w:lang w:val="ro-RO"/>
              </w:rPr>
              <w:t xml:space="preserve">În același timp atragem atenția că așa componente din Proiect cum ar fi </w:t>
            </w:r>
            <w:r w:rsidRPr="00D93BA3">
              <w:rPr>
                <w:rFonts w:ascii="Times New Roman" w:eastAsia="Calibri" w:hAnsi="Times New Roman" w:cs="Times New Roman"/>
                <w:i/>
                <w:iCs/>
                <w:lang w:val="ro-RO"/>
              </w:rPr>
              <w:t>furnizarea apei,</w:t>
            </w:r>
            <w:r>
              <w:rPr>
                <w:rFonts w:ascii="Times New Roman" w:eastAsia="Calibri" w:hAnsi="Times New Roman" w:cs="Times New Roman"/>
                <w:i/>
                <w:iCs/>
                <w:lang w:val="ro-RO"/>
              </w:rPr>
              <w:t xml:space="preserve"> </w:t>
            </w:r>
            <w:r w:rsidRPr="00D93BA3">
              <w:rPr>
                <w:rFonts w:ascii="Times New Roman" w:eastAsia="Calibri" w:hAnsi="Times New Roman" w:cs="Times New Roman"/>
                <w:i/>
                <w:iCs/>
                <w:lang w:val="ro-RO"/>
              </w:rPr>
              <w:t xml:space="preserve">lucrările de canalizare, activitățile de gestionare a deșeurilor </w:t>
            </w:r>
            <w:r w:rsidRPr="00D93BA3">
              <w:rPr>
                <w:rFonts w:ascii="Times New Roman" w:eastAsia="Calibri" w:hAnsi="Times New Roman" w:cs="Times New Roman"/>
                <w:lang w:val="ro-RO"/>
              </w:rPr>
              <w:t>au un impact direct asupra APL și altor</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servicii publice locale (întreprinderi municipale, etc.), având în vedere că prestarea serviciilor publice</w:t>
            </w:r>
            <w:r w:rsidRPr="00D93BA3">
              <w:rPr>
                <w:rFonts w:ascii="TimesNewRomanPSMT" w:hAnsi="TimesNewRomanPSMT" w:cs="TimesNewRomanPSMT"/>
                <w:lang w:val="ro-RO"/>
              </w:rPr>
              <w:t xml:space="preserve"> </w:t>
            </w:r>
            <w:r w:rsidRPr="00D93BA3">
              <w:rPr>
                <w:rFonts w:ascii="Times New Roman" w:eastAsia="Calibri" w:hAnsi="Times New Roman" w:cs="Times New Roman"/>
                <w:lang w:val="ro-RO"/>
              </w:rPr>
              <w:t>comunale este o competență proprie a APL. Respectiv, nu am găsit în Proiect o estimare a costurilor</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noilor reglementări, care efectiv trebuie acoperite din bugetele locale. De asemenea apare dilema</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dacă noile produse financiare, care vor fi oferite de instituțiile financiare conform standardelor</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economiei verzi și circulare, vor fi accesibile pentru APL și nu vor afecta serviciile locale prestate</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populației (energie termică, aprovizionarea cu apă și servicii de canalizare, servicii de evacuare a</w:t>
            </w:r>
            <w:r>
              <w:rPr>
                <w:rFonts w:ascii="Times New Roman" w:eastAsia="Calibri" w:hAnsi="Times New Roman" w:cs="Times New Roman"/>
                <w:lang w:val="ro-RO"/>
              </w:rPr>
              <w:t xml:space="preserve"> </w:t>
            </w:r>
            <w:r w:rsidRPr="00D93BA3">
              <w:rPr>
                <w:rFonts w:ascii="Times New Roman" w:eastAsia="Calibri" w:hAnsi="Times New Roman" w:cs="Times New Roman"/>
                <w:lang w:val="ro-RO"/>
              </w:rPr>
              <w:t xml:space="preserve">deșeurilor, etc.). </w:t>
            </w:r>
            <w:r w:rsidRPr="00D93BA3">
              <w:rPr>
                <w:rFonts w:ascii="Times New Roman" w:eastAsia="Calibri" w:hAnsi="Times New Roman" w:cs="Times New Roman"/>
                <w:b/>
                <w:bCs/>
                <w:i/>
                <w:iCs/>
                <w:lang w:val="ro-RO"/>
              </w:rPr>
              <w:t>În acest context propunem ca în partea introductivă a Proiectului (cum ar fi pct. 4</w:t>
            </w:r>
            <w:r>
              <w:rPr>
                <w:rFonts w:ascii="Times New Roman" w:eastAsia="Calibri" w:hAnsi="Times New Roman" w:cs="Times New Roman"/>
                <w:b/>
                <w:bCs/>
                <w:i/>
                <w:iCs/>
                <w:lang w:val="ro-RO"/>
              </w:rPr>
              <w:t xml:space="preserve"> </w:t>
            </w:r>
            <w:r w:rsidRPr="00D93BA3">
              <w:rPr>
                <w:rFonts w:ascii="Times New Roman" w:eastAsia="Calibri" w:hAnsi="Times New Roman" w:cs="Times New Roman"/>
                <w:b/>
                <w:bCs/>
                <w:i/>
                <w:iCs/>
                <w:lang w:val="ro-RO"/>
              </w:rPr>
              <w:t>și mai departe din parte dispozitivă a Proiectului) să fie prevăzut posibilitatea creării unui</w:t>
            </w:r>
            <w:r>
              <w:rPr>
                <w:rFonts w:ascii="Times New Roman" w:eastAsia="Calibri" w:hAnsi="Times New Roman" w:cs="Times New Roman"/>
                <w:b/>
                <w:bCs/>
                <w:i/>
                <w:iCs/>
                <w:lang w:val="ro-RO"/>
              </w:rPr>
              <w:t xml:space="preserve"> </w:t>
            </w:r>
            <w:r w:rsidRPr="00D93BA3">
              <w:rPr>
                <w:rFonts w:ascii="Times New Roman" w:eastAsia="Calibri" w:hAnsi="Times New Roman" w:cs="Times New Roman"/>
                <w:b/>
                <w:bCs/>
                <w:i/>
                <w:iCs/>
                <w:lang w:val="ro-RO"/>
              </w:rPr>
              <w:t>mecanism de cofinanțare a proiectelor de investiții la nivel local care corespund Taxonomiei</w:t>
            </w:r>
            <w:r>
              <w:rPr>
                <w:rFonts w:ascii="Times New Roman" w:eastAsia="Calibri" w:hAnsi="Times New Roman" w:cs="Times New Roman"/>
                <w:b/>
                <w:bCs/>
                <w:i/>
                <w:iCs/>
                <w:lang w:val="ro-RO"/>
              </w:rPr>
              <w:t xml:space="preserve"> </w:t>
            </w:r>
            <w:r w:rsidRPr="00D93BA3">
              <w:rPr>
                <w:rFonts w:ascii="Times New Roman" w:eastAsia="Calibri" w:hAnsi="Times New Roman" w:cs="Times New Roman"/>
                <w:b/>
                <w:bCs/>
                <w:i/>
                <w:iCs/>
                <w:lang w:val="ro-RO"/>
              </w:rPr>
              <w:t>pentru finanțare durabilă.</w:t>
            </w:r>
          </w:p>
        </w:tc>
        <w:tc>
          <w:tcPr>
            <w:tcW w:w="1458" w:type="pct"/>
          </w:tcPr>
          <w:p w14:paraId="3B997008" w14:textId="77777777" w:rsidR="00DA050C" w:rsidRDefault="005B2CC7" w:rsidP="00DA050C">
            <w:pPr>
              <w:rPr>
                <w:rFonts w:ascii="Times New Roman" w:eastAsia="Calibri" w:hAnsi="Times New Roman" w:cs="Times New Roman"/>
                <w:b/>
                <w:bCs/>
              </w:rPr>
            </w:pPr>
            <w:r>
              <w:rPr>
                <w:rFonts w:ascii="Times New Roman" w:eastAsia="Calibri" w:hAnsi="Times New Roman" w:cs="Times New Roman"/>
                <w:b/>
                <w:bCs/>
              </w:rPr>
              <w:t>Se acceptă parțial.</w:t>
            </w:r>
          </w:p>
          <w:p w14:paraId="76DBEBD1" w14:textId="2F5E6ED4" w:rsidR="005B2CC7" w:rsidRPr="00EB2513" w:rsidRDefault="005B2CC7" w:rsidP="00EB2513">
            <w:pPr>
              <w:jc w:val="both"/>
              <w:rPr>
                <w:rFonts w:ascii="Times New Roman" w:eastAsia="Calibri" w:hAnsi="Times New Roman" w:cs="Times New Roman"/>
                <w:bCs/>
              </w:rPr>
            </w:pPr>
            <w:r w:rsidRPr="00EB2513">
              <w:rPr>
                <w:rFonts w:ascii="Times New Roman" w:eastAsia="Calibri" w:hAnsi="Times New Roman" w:cs="Times New Roman"/>
                <w:bCs/>
              </w:rPr>
              <w:t xml:space="preserve">Proiectul de act normativ prevede o perioadă de intrare în vigoare de 12 luni </w:t>
            </w:r>
            <w:r w:rsidR="00EB2513">
              <w:rPr>
                <w:rFonts w:ascii="Times New Roman" w:eastAsia="Calibri" w:hAnsi="Times New Roman" w:cs="Times New Roman"/>
                <w:bCs/>
              </w:rPr>
              <w:t>din data publicării, perioadă de timp necesară ajustării/ elaborării cadrului normativ necesar de punere în aplicare a prevederilor Taxonomiei. De asemenea, ținem să precizăm că a</w:t>
            </w:r>
            <w:r w:rsidR="00EB2513" w:rsidRPr="00EB2513">
              <w:rPr>
                <w:rFonts w:ascii="Times New Roman" w:eastAsia="Calibri" w:hAnsi="Times New Roman" w:cs="Times New Roman"/>
                <w:bCs/>
              </w:rPr>
              <w:t>utorităților publice centrale și locale</w:t>
            </w:r>
            <w:r w:rsidR="00EB2513">
              <w:rPr>
                <w:rFonts w:ascii="Times New Roman" w:eastAsia="Calibri" w:hAnsi="Times New Roman" w:cs="Times New Roman"/>
                <w:bCs/>
              </w:rPr>
              <w:t xml:space="preserve"> urmează să aplice prevederile Taxonomiei</w:t>
            </w:r>
            <w:r w:rsidR="00EB2513" w:rsidRPr="00EB2513">
              <w:rPr>
                <w:rFonts w:ascii="Times New Roman" w:eastAsia="Calibri" w:hAnsi="Times New Roman" w:cs="Times New Roman"/>
                <w:bCs/>
              </w:rPr>
              <w:t xml:space="preserve"> în conformitate cu legislația în domeniul finanțelor publice și achizițiilor publice.</w:t>
            </w:r>
            <w:r w:rsidR="00EB2513">
              <w:rPr>
                <w:rFonts w:ascii="Times New Roman" w:eastAsia="Calibri" w:hAnsi="Times New Roman" w:cs="Times New Roman"/>
                <w:bCs/>
              </w:rPr>
              <w:t xml:space="preserve"> Respectiv, după aprobarea Taxonomiei, urmează a fi efectuate ajustările de rigoare la cadrul de reglement aferent finanțelor publice și achizițiilor publice ce vor preciza condițiile de aplicare a Taxonomiei pentru APL.</w:t>
            </w:r>
          </w:p>
        </w:tc>
      </w:tr>
      <w:tr w:rsidR="00DA050C" w:rsidRPr="00882F72" w14:paraId="3FE92696" w14:textId="77777777" w:rsidTr="00F968A9">
        <w:tc>
          <w:tcPr>
            <w:tcW w:w="797" w:type="pct"/>
          </w:tcPr>
          <w:p w14:paraId="1F9F5C41" w14:textId="76BE5848" w:rsidR="00DA050C" w:rsidRPr="00EB0784" w:rsidRDefault="00DA050C" w:rsidP="00DA050C">
            <w:pPr>
              <w:tabs>
                <w:tab w:val="left" w:pos="251"/>
                <w:tab w:val="left" w:pos="355"/>
              </w:tabs>
              <w:rPr>
                <w:rFonts w:ascii="Times New Roman" w:eastAsia="Calibri" w:hAnsi="Times New Roman" w:cs="Times New Roman"/>
                <w:b/>
                <w:bCs/>
              </w:rPr>
            </w:pPr>
            <w:r w:rsidRPr="00EB0784">
              <w:rPr>
                <w:rFonts w:ascii="Times New Roman" w:eastAsia="Calibri" w:hAnsi="Times New Roman" w:cs="Times New Roman"/>
                <w:b/>
                <w:bCs/>
              </w:rPr>
              <w:t>„INTACT ASIGURĂRI GENERALE” SA</w:t>
            </w:r>
          </w:p>
          <w:p w14:paraId="3FA2E927" w14:textId="77777777" w:rsidR="00DA050C" w:rsidRPr="00882F72" w:rsidRDefault="00DA050C" w:rsidP="00DA050C">
            <w:pPr>
              <w:pStyle w:val="ListParagraph"/>
              <w:tabs>
                <w:tab w:val="left" w:pos="251"/>
                <w:tab w:val="left" w:pos="355"/>
              </w:tabs>
              <w:ind w:left="0"/>
              <w:rPr>
                <w:rFonts w:ascii="Times New Roman" w:eastAsia="Calibri" w:hAnsi="Times New Roman" w:cs="Times New Roman"/>
                <w:b/>
                <w:bCs/>
              </w:rPr>
            </w:pPr>
          </w:p>
          <w:p w14:paraId="6305BE33" w14:textId="67D75834" w:rsidR="00DA050C" w:rsidRPr="00882F72" w:rsidRDefault="00DA050C" w:rsidP="00DA050C">
            <w:pPr>
              <w:pStyle w:val="ListParagraph"/>
              <w:tabs>
                <w:tab w:val="left" w:pos="355"/>
              </w:tabs>
              <w:ind w:left="0"/>
              <w:rPr>
                <w:rFonts w:ascii="Times New Roman" w:eastAsia="Calibri" w:hAnsi="Times New Roman" w:cs="Times New Roman"/>
                <w:b/>
                <w:bCs/>
              </w:rPr>
            </w:pPr>
            <w:r w:rsidRPr="00882F72">
              <w:rPr>
                <w:rFonts w:ascii="Times New Roman" w:eastAsia="Calibri" w:hAnsi="Times New Roman" w:cs="Times New Roman"/>
              </w:rPr>
              <w:t>nr. 511 din 26.02.2026</w:t>
            </w:r>
          </w:p>
        </w:tc>
        <w:tc>
          <w:tcPr>
            <w:tcW w:w="240" w:type="pct"/>
          </w:tcPr>
          <w:p w14:paraId="567FA54D" w14:textId="77777777" w:rsidR="00DA050C" w:rsidRPr="006215FE" w:rsidRDefault="00DA050C">
            <w:pPr>
              <w:pStyle w:val="ListParagraph"/>
              <w:numPr>
                <w:ilvl w:val="0"/>
                <w:numId w:val="12"/>
              </w:numPr>
              <w:rPr>
                <w:rFonts w:ascii="Times New Roman" w:eastAsia="Calibri" w:hAnsi="Times New Roman" w:cs="Times New Roman"/>
              </w:rPr>
            </w:pPr>
          </w:p>
        </w:tc>
        <w:tc>
          <w:tcPr>
            <w:tcW w:w="2505" w:type="pct"/>
          </w:tcPr>
          <w:p w14:paraId="53D9E69D" w14:textId="27E9FC45" w:rsidR="00DA050C" w:rsidRPr="00882F72" w:rsidRDefault="00DA050C" w:rsidP="00AC5A28">
            <w:pPr>
              <w:jc w:val="both"/>
              <w:rPr>
                <w:rFonts w:ascii="Times New Roman" w:eastAsia="Calibri" w:hAnsi="Times New Roman" w:cs="Times New Roman"/>
              </w:rPr>
            </w:pPr>
            <w:r w:rsidRPr="00882F72">
              <w:rPr>
                <w:rFonts w:ascii="Times New Roman" w:eastAsia="Calibri" w:hAnsi="Times New Roman" w:cs="Times New Roman"/>
              </w:rPr>
              <w:t xml:space="preserve">Proiectul Hotărârii de Guvern privind aprobarea Taxonomiei pentru finanțare durabilă reprezintă un pas important în consolidarea transparenței, dezvoltarea pieței financiare și integrarea principiilor de sustenabilitate în produsele financiare, inclusiv cele din domeniul asigurărilor, însă intervine cu următoarele propuneri/obiecții și anume: </w:t>
            </w:r>
          </w:p>
          <w:p w14:paraId="5E14FDDD" w14:textId="77777777" w:rsidR="00DA050C" w:rsidRPr="00882F72" w:rsidRDefault="00DA050C">
            <w:pPr>
              <w:pStyle w:val="ListParagraph"/>
              <w:numPr>
                <w:ilvl w:val="0"/>
                <w:numId w:val="4"/>
              </w:numPr>
              <w:jc w:val="both"/>
              <w:rPr>
                <w:rFonts w:ascii="Times New Roman" w:eastAsia="Calibri" w:hAnsi="Times New Roman" w:cs="Times New Roman"/>
              </w:rPr>
            </w:pPr>
            <w:r w:rsidRPr="00882F72">
              <w:rPr>
                <w:rFonts w:ascii="Times New Roman" w:eastAsia="Calibri" w:hAnsi="Times New Roman" w:cs="Times New Roman"/>
              </w:rPr>
              <w:t xml:space="preserve">lipsa unor </w:t>
            </w:r>
            <w:r w:rsidRPr="00882F72">
              <w:rPr>
                <w:rFonts w:ascii="Times New Roman" w:eastAsia="Calibri" w:hAnsi="Times New Roman" w:cs="Times New Roman"/>
                <w:b/>
                <w:bCs/>
              </w:rPr>
              <w:t xml:space="preserve">criterii tehnice specifice </w:t>
            </w:r>
            <w:r w:rsidRPr="00882F72">
              <w:rPr>
                <w:rFonts w:ascii="Times New Roman" w:eastAsia="Calibri" w:hAnsi="Times New Roman" w:cs="Times New Roman"/>
              </w:rPr>
              <w:t>pentru produsele de asigurare;</w:t>
            </w:r>
          </w:p>
          <w:p w14:paraId="7903C308" w14:textId="4FF0A5C9" w:rsidR="00DA050C" w:rsidRPr="00882F72" w:rsidRDefault="00DA050C">
            <w:pPr>
              <w:pStyle w:val="ListParagraph"/>
              <w:numPr>
                <w:ilvl w:val="0"/>
                <w:numId w:val="4"/>
              </w:numPr>
              <w:jc w:val="both"/>
              <w:rPr>
                <w:rFonts w:ascii="Times New Roman" w:eastAsia="Calibri" w:hAnsi="Times New Roman" w:cs="Times New Roman"/>
              </w:rPr>
            </w:pPr>
            <w:r w:rsidRPr="00882F72">
              <w:rPr>
                <w:rFonts w:ascii="Times New Roman" w:eastAsia="Calibri" w:hAnsi="Times New Roman" w:cs="Times New Roman"/>
                <w:b/>
                <w:bCs/>
              </w:rPr>
              <w:t>neclaritatea aplicării</w:t>
            </w:r>
            <w:r w:rsidRPr="00882F72">
              <w:rPr>
                <w:rFonts w:ascii="Times New Roman" w:eastAsia="Calibri" w:hAnsi="Times New Roman" w:cs="Times New Roman"/>
              </w:rPr>
              <w:t xml:space="preserve"> asupra produselor tradiționale și obligatorii de asigurare;</w:t>
            </w:r>
          </w:p>
          <w:p w14:paraId="6F7C076A" w14:textId="281B0101" w:rsidR="00DA050C" w:rsidRPr="00EB2513" w:rsidRDefault="00DA050C">
            <w:pPr>
              <w:pStyle w:val="ListParagraph"/>
              <w:numPr>
                <w:ilvl w:val="0"/>
                <w:numId w:val="4"/>
              </w:numPr>
              <w:jc w:val="both"/>
              <w:rPr>
                <w:rFonts w:ascii="Times New Roman" w:eastAsia="Calibri" w:hAnsi="Times New Roman" w:cs="Times New Roman"/>
              </w:rPr>
            </w:pPr>
            <w:r w:rsidRPr="00882F72">
              <w:rPr>
                <w:rFonts w:ascii="Times New Roman" w:eastAsia="Calibri" w:hAnsi="Times New Roman" w:cs="Times New Roman"/>
              </w:rPr>
              <w:t xml:space="preserve">posibile </w:t>
            </w:r>
            <w:r w:rsidRPr="00882F72">
              <w:rPr>
                <w:rFonts w:ascii="Times New Roman" w:eastAsia="Calibri" w:hAnsi="Times New Roman" w:cs="Times New Roman"/>
                <w:b/>
                <w:bCs/>
              </w:rPr>
              <w:t>costuri administrative și operaționale</w:t>
            </w:r>
            <w:r w:rsidRPr="00882F72">
              <w:rPr>
                <w:rFonts w:ascii="Times New Roman" w:eastAsia="Calibri" w:hAnsi="Times New Roman" w:cs="Times New Roman"/>
              </w:rPr>
              <w:t xml:space="preserve"> semnificative.</w:t>
            </w:r>
          </w:p>
          <w:p w14:paraId="522D2DC1" w14:textId="665BEC10" w:rsidR="00DA050C" w:rsidRPr="00882F72" w:rsidRDefault="00DA050C" w:rsidP="00AC5A28">
            <w:pPr>
              <w:jc w:val="both"/>
              <w:rPr>
                <w:rFonts w:ascii="Times New Roman" w:eastAsia="Calibri" w:hAnsi="Times New Roman" w:cs="Times New Roman"/>
                <w:lang w:val="ro-RO"/>
              </w:rPr>
            </w:pPr>
            <w:r w:rsidRPr="00A85D4B">
              <w:rPr>
                <w:rFonts w:ascii="Times New Roman" w:eastAsia="Calibri" w:hAnsi="Times New Roman" w:cs="Times New Roman"/>
                <w:lang w:val="ro-RO"/>
              </w:rPr>
              <w:t xml:space="preserve">Recomandări: </w:t>
            </w:r>
          </w:p>
          <w:p w14:paraId="165BCAE8" w14:textId="77777777" w:rsidR="00DA050C" w:rsidRPr="00882F72" w:rsidRDefault="00DA050C">
            <w:pPr>
              <w:pStyle w:val="ListParagraph"/>
              <w:numPr>
                <w:ilvl w:val="0"/>
                <w:numId w:val="5"/>
              </w:numPr>
              <w:jc w:val="both"/>
              <w:rPr>
                <w:rFonts w:ascii="Times New Roman" w:eastAsia="Calibri" w:hAnsi="Times New Roman" w:cs="Times New Roman"/>
                <w:lang w:val="ro-RO"/>
              </w:rPr>
            </w:pPr>
            <w:r w:rsidRPr="00882F72">
              <w:rPr>
                <w:rFonts w:ascii="Times New Roman" w:eastAsia="Calibri" w:hAnsi="Times New Roman" w:cs="Times New Roman"/>
                <w:lang w:val="ro-RO"/>
              </w:rPr>
              <w:t xml:space="preserve">elaborarea unor </w:t>
            </w:r>
            <w:r w:rsidRPr="00882F72">
              <w:rPr>
                <w:rFonts w:ascii="Times New Roman" w:eastAsia="Calibri" w:hAnsi="Times New Roman" w:cs="Times New Roman"/>
                <w:b/>
                <w:bCs/>
                <w:lang w:val="ro-RO"/>
              </w:rPr>
              <w:t>ghiduri sectoriale dedicate</w:t>
            </w:r>
            <w:r w:rsidRPr="00882F72">
              <w:rPr>
                <w:rFonts w:ascii="Times New Roman" w:eastAsia="Calibri" w:hAnsi="Times New Roman" w:cs="Times New Roman"/>
                <w:lang w:val="ro-RO"/>
              </w:rPr>
              <w:t xml:space="preserve"> domeniului asigurărilor; </w:t>
            </w:r>
          </w:p>
          <w:p w14:paraId="16D8EC98" w14:textId="77777777" w:rsidR="00DA050C" w:rsidRPr="00882F72" w:rsidRDefault="00DA050C">
            <w:pPr>
              <w:pStyle w:val="ListParagraph"/>
              <w:numPr>
                <w:ilvl w:val="0"/>
                <w:numId w:val="5"/>
              </w:numPr>
              <w:jc w:val="both"/>
              <w:rPr>
                <w:rFonts w:ascii="Times New Roman" w:eastAsia="Calibri" w:hAnsi="Times New Roman" w:cs="Times New Roman"/>
                <w:lang w:val="ro-RO"/>
              </w:rPr>
            </w:pPr>
            <w:r w:rsidRPr="00882F72">
              <w:rPr>
                <w:rFonts w:ascii="Times New Roman" w:eastAsia="Calibri" w:hAnsi="Times New Roman" w:cs="Times New Roman"/>
                <w:lang w:val="ro-RO"/>
              </w:rPr>
              <w:t xml:space="preserve">stabilirea unor </w:t>
            </w:r>
            <w:r w:rsidRPr="00882F72">
              <w:rPr>
                <w:rFonts w:ascii="Times New Roman" w:eastAsia="Calibri" w:hAnsi="Times New Roman" w:cs="Times New Roman"/>
                <w:b/>
                <w:bCs/>
                <w:lang w:val="ro-RO"/>
              </w:rPr>
              <w:t>criterii tehnice clare</w:t>
            </w:r>
            <w:r w:rsidRPr="00882F72">
              <w:rPr>
                <w:rFonts w:ascii="Times New Roman" w:eastAsia="Calibri" w:hAnsi="Times New Roman" w:cs="Times New Roman"/>
                <w:lang w:val="ro-RO"/>
              </w:rPr>
              <w:t xml:space="preserve"> pentru produsele de asigurare; </w:t>
            </w:r>
          </w:p>
          <w:p w14:paraId="2C102F86" w14:textId="77777777" w:rsidR="00DA050C" w:rsidRPr="00882F72" w:rsidRDefault="00DA050C">
            <w:pPr>
              <w:pStyle w:val="ListParagraph"/>
              <w:numPr>
                <w:ilvl w:val="0"/>
                <w:numId w:val="5"/>
              </w:numPr>
              <w:jc w:val="both"/>
              <w:rPr>
                <w:rFonts w:ascii="Times New Roman" w:eastAsia="Calibri" w:hAnsi="Times New Roman" w:cs="Times New Roman"/>
                <w:lang w:val="ro-RO"/>
              </w:rPr>
            </w:pPr>
            <w:r w:rsidRPr="00882F72">
              <w:rPr>
                <w:rFonts w:ascii="Times New Roman" w:eastAsia="Calibri" w:hAnsi="Times New Roman" w:cs="Times New Roman"/>
                <w:lang w:val="ro-RO"/>
              </w:rPr>
              <w:t xml:space="preserve">introducerea unor </w:t>
            </w:r>
            <w:r w:rsidRPr="00882F72">
              <w:rPr>
                <w:rFonts w:ascii="Times New Roman" w:eastAsia="Calibri" w:hAnsi="Times New Roman" w:cs="Times New Roman"/>
                <w:b/>
                <w:bCs/>
                <w:lang w:val="ro-RO"/>
              </w:rPr>
              <w:t>perioade de tranziție proporționale</w:t>
            </w:r>
            <w:r w:rsidRPr="00882F72">
              <w:rPr>
                <w:rFonts w:ascii="Times New Roman" w:eastAsia="Calibri" w:hAnsi="Times New Roman" w:cs="Times New Roman"/>
                <w:lang w:val="ro-RO"/>
              </w:rPr>
              <w:t xml:space="preserve">; </w:t>
            </w:r>
          </w:p>
          <w:p w14:paraId="7986A5EC" w14:textId="77777777" w:rsidR="00DA050C" w:rsidRPr="00882F72" w:rsidRDefault="00DA050C">
            <w:pPr>
              <w:pStyle w:val="ListParagraph"/>
              <w:numPr>
                <w:ilvl w:val="0"/>
                <w:numId w:val="5"/>
              </w:numPr>
              <w:jc w:val="both"/>
              <w:rPr>
                <w:rFonts w:ascii="Times New Roman" w:eastAsia="Calibri" w:hAnsi="Times New Roman" w:cs="Times New Roman"/>
                <w:lang w:val="ro-RO"/>
              </w:rPr>
            </w:pPr>
            <w:r w:rsidRPr="00882F72">
              <w:rPr>
                <w:rFonts w:ascii="Times New Roman" w:eastAsia="Calibri" w:hAnsi="Times New Roman" w:cs="Times New Roman"/>
                <w:lang w:val="ro-RO"/>
              </w:rPr>
              <w:t xml:space="preserve">organizarea </w:t>
            </w:r>
            <w:r w:rsidRPr="00882F72">
              <w:rPr>
                <w:rFonts w:ascii="Times New Roman" w:eastAsia="Calibri" w:hAnsi="Times New Roman" w:cs="Times New Roman"/>
                <w:b/>
                <w:bCs/>
                <w:lang w:val="ro-RO"/>
              </w:rPr>
              <w:t>consultărilor tehnice</w:t>
            </w:r>
            <w:r w:rsidRPr="00882F72">
              <w:rPr>
                <w:rFonts w:ascii="Times New Roman" w:eastAsia="Calibri" w:hAnsi="Times New Roman" w:cs="Times New Roman"/>
                <w:lang w:val="ro-RO"/>
              </w:rPr>
              <w:t xml:space="preserve"> dedicate sectorului asigurărilor. </w:t>
            </w:r>
          </w:p>
          <w:p w14:paraId="6E5E9659" w14:textId="2DEB1101" w:rsidR="004331D6" w:rsidRPr="00882F72" w:rsidRDefault="00DA050C" w:rsidP="00AC5A28">
            <w:pPr>
              <w:jc w:val="both"/>
              <w:rPr>
                <w:rFonts w:ascii="Times New Roman" w:eastAsia="Calibri" w:hAnsi="Times New Roman" w:cs="Times New Roman"/>
                <w:lang w:val="ro-RO"/>
              </w:rPr>
            </w:pPr>
            <w:r w:rsidRPr="00882F72">
              <w:rPr>
                <w:rFonts w:ascii="Times New Roman" w:eastAsia="Calibri" w:hAnsi="Times New Roman" w:cs="Times New Roman"/>
                <w:lang w:val="ro-RO"/>
              </w:rPr>
              <w:t xml:space="preserve">Proiectul este susținut în principiu, </w:t>
            </w:r>
            <w:r w:rsidRPr="00882F72">
              <w:rPr>
                <w:rFonts w:ascii="Times New Roman" w:eastAsia="Calibri" w:hAnsi="Times New Roman" w:cs="Times New Roman"/>
                <w:b/>
                <w:bCs/>
                <w:lang w:val="ro-RO"/>
              </w:rPr>
              <w:t>cu recomandarea completării acestuia cu reglementări și clarificări specifice domeniului asigurărilor</w:t>
            </w:r>
            <w:r w:rsidRPr="00882F72">
              <w:rPr>
                <w:rFonts w:ascii="Times New Roman" w:eastAsia="Calibri" w:hAnsi="Times New Roman" w:cs="Times New Roman"/>
                <w:lang w:val="ro-RO"/>
              </w:rPr>
              <w:t>, pentru asigurarea unei implementări eficiente și proporționale.</w:t>
            </w:r>
          </w:p>
        </w:tc>
        <w:tc>
          <w:tcPr>
            <w:tcW w:w="1458" w:type="pct"/>
          </w:tcPr>
          <w:p w14:paraId="22E52356" w14:textId="77777777" w:rsidR="00DA050C" w:rsidRDefault="00EB2513" w:rsidP="00DA050C">
            <w:pPr>
              <w:rPr>
                <w:rFonts w:ascii="Times New Roman" w:eastAsia="Calibri" w:hAnsi="Times New Roman" w:cs="Times New Roman"/>
                <w:b/>
              </w:rPr>
            </w:pPr>
            <w:r w:rsidRPr="00EB2513">
              <w:rPr>
                <w:rFonts w:ascii="Times New Roman" w:eastAsia="Calibri" w:hAnsi="Times New Roman" w:cs="Times New Roman"/>
                <w:b/>
              </w:rPr>
              <w:t>Se acceptă parțial.</w:t>
            </w:r>
          </w:p>
          <w:p w14:paraId="105356C0" w14:textId="6831974A" w:rsidR="00EB2513" w:rsidRDefault="00EB2513" w:rsidP="00EB2513">
            <w:pPr>
              <w:jc w:val="both"/>
              <w:rPr>
                <w:rFonts w:ascii="Times New Roman" w:eastAsia="Calibri" w:hAnsi="Times New Roman" w:cs="Times New Roman"/>
                <w:b/>
              </w:rPr>
            </w:pPr>
            <w:r w:rsidRPr="00BD663D">
              <w:rPr>
                <w:rFonts w:ascii="Times New Roman" w:hAnsi="Times New Roman" w:cs="Times New Roman"/>
              </w:rPr>
              <w:t xml:space="preserve">Proiectul Hotărârii privind Taxonomia pentru finanțare durabilă stabilește un cadru general privind activitățile economice ce se consideră durabile </w:t>
            </w:r>
            <w:r>
              <w:rPr>
                <w:rFonts w:ascii="Times New Roman" w:hAnsi="Times New Roman" w:cs="Times New Roman"/>
              </w:rPr>
              <w:t>din punct de vedere al mediului. Aspecte mai detaliate privind gradul de aplicare al Taxonomiei, obligativitatea acesteia, precum și mecanismul de raportare, eventuale etapizări în aplicare urmează a fi stabilite ulterior de către autoritățile de reglementare (fapt specificat la pct. 8 și 9 din nota de fundamentare).</w:t>
            </w:r>
            <w:r w:rsidRPr="00BD663D">
              <w:rPr>
                <w:rFonts w:ascii="Times New Roman" w:hAnsi="Times New Roman" w:cs="Times New Roman"/>
              </w:rPr>
              <w:t xml:space="preserve"> </w:t>
            </w:r>
            <w:r>
              <w:rPr>
                <w:rFonts w:ascii="Times New Roman" w:hAnsi="Times New Roman" w:cs="Times New Roman"/>
              </w:rPr>
              <w:t>Anume din aceste considerente și s-a stabilit un termen de 12 luni pentru intrarea în vigoare a acesteia – pentru a asigura punerea în aplicare a prevederilor Taxonomiei. Respectiv, pentru sectorul financiar, regulatorii pieței financiare vor veni cu un proiect de act normativ subsecvent prin care vor stabili mecanismul de raportare, precum și eventuala gradualitate în aplicare, acesta urmând a fi discutat inițial cu mediul de afaceri.</w:t>
            </w:r>
          </w:p>
          <w:p w14:paraId="3DBABCC8" w14:textId="4E76DE8D" w:rsidR="00EB2513" w:rsidRPr="00EB2513" w:rsidRDefault="00EB2513" w:rsidP="00EB2513">
            <w:pPr>
              <w:jc w:val="both"/>
              <w:rPr>
                <w:rFonts w:ascii="Times New Roman" w:eastAsia="Calibri" w:hAnsi="Times New Roman" w:cs="Times New Roman"/>
                <w:b/>
              </w:rPr>
            </w:pPr>
            <w:r>
              <w:rPr>
                <w:rFonts w:ascii="Times New Roman" w:eastAsia="Calibri" w:hAnsi="Times New Roman" w:cs="Times New Roman"/>
                <w:bCs/>
              </w:rPr>
              <w:lastRenderedPageBreak/>
              <w:t>Totodată, precizăm că î</w:t>
            </w:r>
            <w:r w:rsidRPr="00706A8A">
              <w:rPr>
                <w:rFonts w:ascii="Times New Roman" w:eastAsia="Calibri" w:hAnsi="Times New Roman" w:cs="Times New Roman"/>
                <w:bCs/>
              </w:rPr>
              <w:t xml:space="preserve">n luna ianuarie 2026, a fost organizat un atelier online cu privire la impactul riscului climatic asupra sectorului asigurărilor din Republica Moldova, cu participarea reprezentanților BNM și </w:t>
            </w:r>
            <w:r>
              <w:rPr>
                <w:rFonts w:ascii="Times New Roman" w:eastAsia="Calibri" w:hAnsi="Times New Roman" w:cs="Times New Roman"/>
                <w:bCs/>
              </w:rPr>
              <w:t xml:space="preserve">a </w:t>
            </w:r>
            <w:r w:rsidRPr="00706A8A">
              <w:rPr>
                <w:rFonts w:ascii="Times New Roman" w:eastAsia="Calibri" w:hAnsi="Times New Roman" w:cs="Times New Roman"/>
                <w:bCs/>
              </w:rPr>
              <w:t>societăților de asigurare.</w:t>
            </w:r>
          </w:p>
        </w:tc>
      </w:tr>
      <w:tr w:rsidR="00DA050C" w:rsidRPr="00882F72" w14:paraId="33029525" w14:textId="77777777" w:rsidTr="00F968A9">
        <w:tc>
          <w:tcPr>
            <w:tcW w:w="797" w:type="pct"/>
          </w:tcPr>
          <w:p w14:paraId="7F946940" w14:textId="77777777" w:rsidR="00DA050C" w:rsidRPr="00EB0784" w:rsidRDefault="00DA050C" w:rsidP="00DA050C">
            <w:pPr>
              <w:tabs>
                <w:tab w:val="left" w:pos="355"/>
              </w:tabs>
              <w:rPr>
                <w:rFonts w:ascii="Times New Roman" w:eastAsia="Calibri" w:hAnsi="Times New Roman" w:cs="Times New Roman"/>
                <w:b/>
                <w:bCs/>
              </w:rPr>
            </w:pPr>
            <w:r w:rsidRPr="00EB0784">
              <w:rPr>
                <w:rFonts w:ascii="Times New Roman" w:eastAsia="Calibri" w:hAnsi="Times New Roman" w:cs="Times New Roman"/>
                <w:b/>
                <w:bCs/>
              </w:rPr>
              <w:lastRenderedPageBreak/>
              <w:t>Ministerul Agriculturii și Industriei Alimentare</w:t>
            </w:r>
          </w:p>
          <w:p w14:paraId="7B96B435" w14:textId="77777777" w:rsidR="00DA050C" w:rsidRPr="00882F72" w:rsidRDefault="00DA050C" w:rsidP="00DA050C">
            <w:pPr>
              <w:pStyle w:val="ListParagraph"/>
              <w:tabs>
                <w:tab w:val="left" w:pos="355"/>
              </w:tabs>
              <w:rPr>
                <w:rFonts w:ascii="Times New Roman" w:eastAsia="Calibri" w:hAnsi="Times New Roman" w:cs="Times New Roman"/>
                <w:b/>
                <w:bCs/>
              </w:rPr>
            </w:pPr>
          </w:p>
          <w:p w14:paraId="18C3FB00" w14:textId="5F8C4E1D" w:rsidR="00DA050C" w:rsidRPr="00EB0784" w:rsidRDefault="00DA050C" w:rsidP="00DA050C">
            <w:pPr>
              <w:tabs>
                <w:tab w:val="left" w:pos="251"/>
                <w:tab w:val="left" w:pos="355"/>
              </w:tabs>
              <w:rPr>
                <w:rFonts w:ascii="Times New Roman" w:eastAsia="Calibri" w:hAnsi="Times New Roman" w:cs="Times New Roman"/>
                <w:b/>
                <w:bCs/>
              </w:rPr>
            </w:pPr>
            <w:r w:rsidRPr="00882F72">
              <w:rPr>
                <w:rFonts w:ascii="Times New Roman" w:eastAsia="Calibri" w:hAnsi="Times New Roman" w:cs="Times New Roman"/>
              </w:rPr>
              <w:t>nr. 2026PHG-606 din 02.03.2026</w:t>
            </w:r>
          </w:p>
        </w:tc>
        <w:tc>
          <w:tcPr>
            <w:tcW w:w="240" w:type="pct"/>
          </w:tcPr>
          <w:p w14:paraId="3180E16E" w14:textId="77777777" w:rsidR="00DA050C" w:rsidRPr="006215FE" w:rsidRDefault="00DA050C">
            <w:pPr>
              <w:pStyle w:val="ListParagraph"/>
              <w:numPr>
                <w:ilvl w:val="0"/>
                <w:numId w:val="13"/>
              </w:numPr>
              <w:rPr>
                <w:rFonts w:ascii="Times New Roman" w:eastAsia="Calibri" w:hAnsi="Times New Roman" w:cs="Times New Roman"/>
              </w:rPr>
            </w:pPr>
          </w:p>
        </w:tc>
        <w:tc>
          <w:tcPr>
            <w:tcW w:w="2505" w:type="pct"/>
          </w:tcPr>
          <w:p w14:paraId="5D0FDCD5" w14:textId="4CBD1988" w:rsidR="00DA050C" w:rsidRPr="00882F72" w:rsidRDefault="00A67D2D" w:rsidP="00AC5A28">
            <w:pPr>
              <w:jc w:val="both"/>
              <w:rPr>
                <w:rFonts w:ascii="Times New Roman" w:eastAsia="Calibri" w:hAnsi="Times New Roman" w:cs="Times New Roman"/>
              </w:rPr>
            </w:pPr>
            <w:r>
              <w:rPr>
                <w:rFonts w:ascii="Times New Roman" w:eastAsia="Calibri" w:hAnsi="Times New Roman" w:cs="Times New Roman"/>
              </w:rPr>
              <w:t>P</w:t>
            </w:r>
            <w:r w:rsidR="00DA050C" w:rsidRPr="00882F72">
              <w:rPr>
                <w:rFonts w:ascii="Times New Roman" w:eastAsia="Calibri" w:hAnsi="Times New Roman" w:cs="Times New Roman"/>
              </w:rPr>
              <w:t xml:space="preserve">otrivit art. 14 alin. (1) din Legea nr. 100/2017 cu privire la actele normative, „Hotărârea Guvernului este un act care se adoptă de către Guvern pentru organizarea executării legilor”. În speță, însă, articolele din Legile indicate de către autorul proiectului drept temei pentru adoptarea Hotărârii supusă avizării, conțin </w:t>
            </w:r>
            <w:r w:rsidR="00DA050C" w:rsidRPr="00882F72">
              <w:rPr>
                <w:rFonts w:ascii="Times New Roman" w:eastAsia="Calibri" w:hAnsi="Times New Roman" w:cs="Times New Roman"/>
                <w:b/>
                <w:bCs/>
              </w:rPr>
              <w:t>norme generice</w:t>
            </w:r>
            <w:r w:rsidR="00DA050C" w:rsidRPr="00882F72">
              <w:rPr>
                <w:rFonts w:ascii="Times New Roman" w:eastAsia="Calibri" w:hAnsi="Times New Roman" w:cs="Times New Roman"/>
              </w:rPr>
              <w:t xml:space="preserve"> care reglementează competența Guvernului de a adopta acte normative. Or, în opinia Ministerului, </w:t>
            </w:r>
            <w:r w:rsidR="00DA050C" w:rsidRPr="00882F72">
              <w:rPr>
                <w:rFonts w:ascii="Times New Roman" w:eastAsia="Calibri" w:hAnsi="Times New Roman" w:cs="Times New Roman"/>
                <w:b/>
                <w:bCs/>
              </w:rPr>
              <w:t>aceste prevederi nu sunt suficiente</w:t>
            </w:r>
            <w:r w:rsidR="00DA050C" w:rsidRPr="00882F72">
              <w:rPr>
                <w:rFonts w:ascii="Times New Roman" w:eastAsia="Calibri" w:hAnsi="Times New Roman" w:cs="Times New Roman"/>
              </w:rPr>
              <w:t xml:space="preserve"> pentru ca Guvernul să adopte Taxonomia pentru finanțarea durabilă, </w:t>
            </w:r>
            <w:r w:rsidR="00DA050C" w:rsidRPr="00882F72">
              <w:rPr>
                <w:rFonts w:ascii="Times New Roman" w:eastAsia="Calibri" w:hAnsi="Times New Roman" w:cs="Times New Roman"/>
                <w:b/>
                <w:bCs/>
              </w:rPr>
              <w:t>fiind necesare norme materiale</w:t>
            </w:r>
            <w:r w:rsidR="00DA050C" w:rsidRPr="00882F72">
              <w:rPr>
                <w:rFonts w:ascii="Times New Roman" w:eastAsia="Calibri" w:hAnsi="Times New Roman" w:cs="Times New Roman"/>
              </w:rPr>
              <w:t xml:space="preserve">, fie din domeniul investițiilor, fie din domeniu mediului, prin care să se împuternicească Guvernul să aprobe Taxonomia invocată. </w:t>
            </w:r>
          </w:p>
          <w:p w14:paraId="3854F5CE" w14:textId="1A5D2827" w:rsidR="00DA050C" w:rsidRPr="00882F72" w:rsidRDefault="00DA050C" w:rsidP="00AC5A28">
            <w:pPr>
              <w:jc w:val="both"/>
              <w:rPr>
                <w:rFonts w:ascii="Times New Roman" w:eastAsia="Calibri" w:hAnsi="Times New Roman" w:cs="Times New Roman"/>
              </w:rPr>
            </w:pPr>
            <w:r w:rsidRPr="00882F72">
              <w:rPr>
                <w:rFonts w:ascii="Times New Roman" w:eastAsia="Calibri" w:hAnsi="Times New Roman" w:cs="Times New Roman"/>
              </w:rPr>
              <w:t xml:space="preserve">În această ordine de idei, autorul proiectului urmează să identifice </w:t>
            </w:r>
            <w:r w:rsidRPr="00882F72">
              <w:rPr>
                <w:rFonts w:ascii="Times New Roman" w:eastAsia="Calibri" w:hAnsi="Times New Roman" w:cs="Times New Roman"/>
                <w:b/>
                <w:bCs/>
              </w:rPr>
              <w:t>temeiul legal</w:t>
            </w:r>
            <w:r w:rsidRPr="00882F72">
              <w:rPr>
                <w:rFonts w:ascii="Times New Roman" w:eastAsia="Calibri" w:hAnsi="Times New Roman" w:cs="Times New Roman"/>
              </w:rPr>
              <w:t xml:space="preserve"> pentru proiectul supus avizării sau, după caz, să inițieze elaborarea unui act normativ prin care să se creeze acest temei legal.</w:t>
            </w:r>
          </w:p>
        </w:tc>
        <w:tc>
          <w:tcPr>
            <w:tcW w:w="1458" w:type="pct"/>
          </w:tcPr>
          <w:p w14:paraId="24F12642" w14:textId="5B7A7C29" w:rsidR="005E5C6E" w:rsidRPr="00EB2513" w:rsidRDefault="004331D6" w:rsidP="00DA050C">
            <w:pPr>
              <w:rPr>
                <w:rFonts w:ascii="Times New Roman" w:eastAsia="Calibri" w:hAnsi="Times New Roman" w:cs="Times New Roman"/>
                <w:b/>
                <w:bCs/>
                <w:sz w:val="20"/>
                <w:szCs w:val="20"/>
              </w:rPr>
            </w:pPr>
            <w:r w:rsidRPr="00EB2513">
              <w:rPr>
                <w:rFonts w:ascii="Times New Roman" w:eastAsia="Calibri" w:hAnsi="Times New Roman" w:cs="Times New Roman"/>
                <w:b/>
                <w:bCs/>
                <w:sz w:val="20"/>
                <w:szCs w:val="20"/>
              </w:rPr>
              <w:t xml:space="preserve">Se </w:t>
            </w:r>
            <w:r w:rsidR="00EB2513" w:rsidRPr="00EB2513">
              <w:rPr>
                <w:rFonts w:ascii="Times New Roman" w:eastAsia="Calibri" w:hAnsi="Times New Roman" w:cs="Times New Roman"/>
                <w:b/>
                <w:bCs/>
                <w:sz w:val="20"/>
                <w:szCs w:val="20"/>
              </w:rPr>
              <w:t>acceptă parțial</w:t>
            </w:r>
          </w:p>
          <w:p w14:paraId="2E66A632" w14:textId="1C897A4F" w:rsidR="004331D6" w:rsidRPr="004331D6" w:rsidRDefault="004331D6" w:rsidP="00EB2513">
            <w:pPr>
              <w:jc w:val="both"/>
              <w:rPr>
                <w:rFonts w:ascii="Times New Roman" w:eastAsia="Calibri" w:hAnsi="Times New Roman" w:cs="Times New Roman"/>
                <w:color w:val="C00000"/>
                <w:sz w:val="20"/>
                <w:szCs w:val="20"/>
              </w:rPr>
            </w:pPr>
            <w:r w:rsidRPr="00EB2513">
              <w:rPr>
                <w:rFonts w:ascii="Times New Roman" w:eastAsia="Calibri" w:hAnsi="Times New Roman" w:cs="Times New Roman"/>
                <w:sz w:val="20"/>
                <w:szCs w:val="20"/>
              </w:rPr>
              <w:t>Pe l</w:t>
            </w:r>
            <w:r w:rsidR="00A51DD0">
              <w:rPr>
                <w:rFonts w:ascii="Times New Roman" w:eastAsia="Calibri" w:hAnsi="Times New Roman" w:cs="Times New Roman"/>
                <w:sz w:val="20"/>
                <w:szCs w:val="20"/>
              </w:rPr>
              <w:t>â</w:t>
            </w:r>
            <w:r w:rsidRPr="00EB2513">
              <w:rPr>
                <w:rFonts w:ascii="Times New Roman" w:eastAsia="Calibri" w:hAnsi="Times New Roman" w:cs="Times New Roman"/>
                <w:sz w:val="20"/>
                <w:szCs w:val="20"/>
              </w:rPr>
              <w:t xml:space="preserve">ngă prevederile din </w:t>
            </w:r>
            <w:r w:rsidRPr="00EB2513">
              <w:rPr>
                <w:rFonts w:ascii="Times New Roman" w:eastAsia="Times New Roman" w:hAnsi="Times New Roman" w:cs="Times New Roman"/>
                <w:sz w:val="20"/>
                <w:szCs w:val="20"/>
                <w:lang w:eastAsia="en-GB"/>
              </w:rPr>
              <w:t>art. 37 alin. (1) din Legea nr. 136/2017 cu privire la Guvern, art. 14 alin. (1) din Legea nr. 100/2017 cu privire la actele normative, elaborarea p</w:t>
            </w:r>
            <w:r w:rsidRPr="00EB2513">
              <w:rPr>
                <w:rFonts w:ascii="Times New Roman" w:eastAsia="Calibri" w:hAnsi="Times New Roman" w:cs="Times New Roman"/>
                <w:sz w:val="20"/>
                <w:szCs w:val="20"/>
              </w:rPr>
              <w:t xml:space="preserve">roiectului </w:t>
            </w:r>
            <w:proofErr w:type="spellStart"/>
            <w:r w:rsidRPr="00EB2513">
              <w:rPr>
                <w:rFonts w:ascii="Times New Roman" w:eastAsia="Calibri" w:hAnsi="Times New Roman" w:cs="Times New Roman"/>
                <w:sz w:val="20"/>
                <w:szCs w:val="20"/>
              </w:rPr>
              <w:t>hotărîrii</w:t>
            </w:r>
            <w:proofErr w:type="spellEnd"/>
            <w:r w:rsidRPr="00EB2513">
              <w:rPr>
                <w:rFonts w:ascii="Times New Roman" w:eastAsia="Calibri" w:hAnsi="Times New Roman" w:cs="Times New Roman"/>
                <w:sz w:val="20"/>
                <w:szCs w:val="20"/>
              </w:rPr>
              <w:t xml:space="preserve"> este condiționat și de </w:t>
            </w:r>
            <w:r w:rsidRPr="00EB2513">
              <w:rPr>
                <w:rFonts w:ascii="Times New Roman" w:eastAsia="Times New Roman" w:hAnsi="Times New Roman" w:cs="Times New Roman"/>
                <w:sz w:val="20"/>
                <w:szCs w:val="20"/>
                <w:lang w:eastAsia="en-GB"/>
              </w:rPr>
              <w:t>obiectivele (nr. 1, nr. 10) prevăzute de Legea nr. 315/2022 pentru aprobarea Strategiei naționale de dezvoltare „Moldova Europeană 2030</w:t>
            </w:r>
            <w:r w:rsidR="00EB2513" w:rsidRPr="00EB2513">
              <w:rPr>
                <w:rFonts w:ascii="Times New Roman" w:eastAsia="Times New Roman" w:hAnsi="Times New Roman" w:cs="Times New Roman"/>
                <w:sz w:val="20"/>
                <w:szCs w:val="20"/>
                <w:lang w:eastAsia="en-GB"/>
              </w:rPr>
              <w:t>, fapt precizat inclusiv în nota de fundamentare a proiectului.</w:t>
            </w:r>
          </w:p>
        </w:tc>
      </w:tr>
      <w:tr w:rsidR="00AC5A28" w:rsidRPr="00882F72" w14:paraId="126AB3F3" w14:textId="77777777" w:rsidTr="00F968A9">
        <w:tc>
          <w:tcPr>
            <w:tcW w:w="797" w:type="pct"/>
          </w:tcPr>
          <w:p w14:paraId="33FCD999" w14:textId="77777777" w:rsidR="00AC5A28" w:rsidRPr="00EB0784" w:rsidRDefault="00AC5A28" w:rsidP="00AC5A28">
            <w:pPr>
              <w:tabs>
                <w:tab w:val="left" w:pos="355"/>
              </w:tabs>
              <w:rPr>
                <w:rFonts w:ascii="Times New Roman" w:eastAsia="Calibri" w:hAnsi="Times New Roman" w:cs="Times New Roman"/>
                <w:b/>
                <w:bCs/>
              </w:rPr>
            </w:pPr>
            <w:r w:rsidRPr="00EB0784">
              <w:rPr>
                <w:rFonts w:ascii="Times New Roman" w:eastAsia="Calibri" w:hAnsi="Times New Roman" w:cs="Times New Roman"/>
                <w:b/>
                <w:bCs/>
              </w:rPr>
              <w:t>Ministerul Dezvoltării Economice și Digitalizării</w:t>
            </w:r>
          </w:p>
          <w:p w14:paraId="06348546" w14:textId="77777777" w:rsidR="00AC5A28" w:rsidRPr="00882F72" w:rsidRDefault="00AC5A28" w:rsidP="00AC5A28">
            <w:pPr>
              <w:pStyle w:val="ListParagraph"/>
              <w:tabs>
                <w:tab w:val="left" w:pos="355"/>
              </w:tabs>
              <w:ind w:left="0"/>
              <w:rPr>
                <w:rFonts w:ascii="Times New Roman" w:eastAsia="Calibri" w:hAnsi="Times New Roman" w:cs="Times New Roman"/>
                <w:b/>
                <w:bCs/>
              </w:rPr>
            </w:pPr>
          </w:p>
          <w:p w14:paraId="5F81EA84" w14:textId="27E974DF" w:rsidR="00AC5A28" w:rsidRPr="00EB0784" w:rsidRDefault="00AC5A28" w:rsidP="00AC5A28">
            <w:pPr>
              <w:tabs>
                <w:tab w:val="left" w:pos="355"/>
              </w:tabs>
              <w:rPr>
                <w:rFonts w:ascii="Times New Roman" w:eastAsia="Calibri" w:hAnsi="Times New Roman" w:cs="Times New Roman"/>
                <w:b/>
                <w:bCs/>
              </w:rPr>
            </w:pPr>
            <w:r w:rsidRPr="00882F72">
              <w:rPr>
                <w:rFonts w:ascii="Times New Roman" w:eastAsia="Calibri" w:hAnsi="Times New Roman" w:cs="Times New Roman"/>
              </w:rPr>
              <w:t>nr. 10/2-696 din 27.02.2026</w:t>
            </w:r>
          </w:p>
        </w:tc>
        <w:tc>
          <w:tcPr>
            <w:tcW w:w="240" w:type="pct"/>
          </w:tcPr>
          <w:p w14:paraId="160EA8BE" w14:textId="733803F7" w:rsidR="00AC5A28" w:rsidRPr="00AC5A28" w:rsidRDefault="00AC5A28">
            <w:pPr>
              <w:pStyle w:val="ListParagraph"/>
              <w:numPr>
                <w:ilvl w:val="0"/>
                <w:numId w:val="16"/>
              </w:numPr>
              <w:rPr>
                <w:rFonts w:ascii="Times New Roman" w:eastAsia="Calibri" w:hAnsi="Times New Roman" w:cs="Times New Roman"/>
              </w:rPr>
            </w:pPr>
          </w:p>
        </w:tc>
        <w:tc>
          <w:tcPr>
            <w:tcW w:w="2505" w:type="pct"/>
          </w:tcPr>
          <w:p w14:paraId="2A1C4844" w14:textId="77777777" w:rsidR="00AC5A28" w:rsidRPr="00882F72" w:rsidRDefault="00AC5A28" w:rsidP="00A67D2D">
            <w:pPr>
              <w:jc w:val="both"/>
              <w:rPr>
                <w:rFonts w:ascii="Times New Roman" w:eastAsia="Calibri" w:hAnsi="Times New Roman" w:cs="Times New Roman"/>
                <w:noProof/>
              </w:rPr>
            </w:pPr>
            <w:r w:rsidRPr="00882F72">
              <w:rPr>
                <w:rFonts w:ascii="Times New Roman" w:eastAsia="Calibri" w:hAnsi="Times New Roman" w:cs="Times New Roman"/>
                <w:noProof/>
              </w:rPr>
              <w:t xml:space="preserve">În conformitate cu prevederile art. 12 alin. (1) și alin. (3) din Legea nr. 20/2016 privind standardizarea națională, standardele și alte documente de standardizare europene, internaționale, interstatale și ale altor state </w:t>
            </w:r>
            <w:r w:rsidRPr="00882F72">
              <w:rPr>
                <w:rFonts w:ascii="Times New Roman" w:eastAsia="Calibri" w:hAnsi="Times New Roman" w:cs="Times New Roman"/>
                <w:b/>
                <w:bCs/>
                <w:noProof/>
              </w:rPr>
              <w:t>pot fi aplicate pe teritoriul Republicii Moldova doar prin adoptarea acestora ca standarde moldovenești</w:t>
            </w:r>
            <w:r w:rsidRPr="00882F72">
              <w:rPr>
                <w:rFonts w:ascii="Times New Roman" w:eastAsia="Calibri" w:hAnsi="Times New Roman" w:cs="Times New Roman"/>
                <w:noProof/>
              </w:rPr>
              <w:t>, în conformitate cu regulile de standardizare națională și cu normele stabilite de organizațiile internaționale de profil.</w:t>
            </w:r>
          </w:p>
          <w:p w14:paraId="1A0D24E8" w14:textId="77777777" w:rsidR="00AC5A28" w:rsidRPr="00882F72" w:rsidRDefault="00AC5A28" w:rsidP="00A67D2D">
            <w:pPr>
              <w:jc w:val="both"/>
              <w:rPr>
                <w:rFonts w:ascii="Times New Roman" w:eastAsia="Calibri" w:hAnsi="Times New Roman" w:cs="Times New Roman"/>
                <w:noProof/>
              </w:rPr>
            </w:pPr>
            <w:r w:rsidRPr="00882F72">
              <w:rPr>
                <w:rFonts w:ascii="Times New Roman" w:eastAsia="Calibri" w:hAnsi="Times New Roman" w:cs="Times New Roman"/>
                <w:noProof/>
              </w:rPr>
              <w:t xml:space="preserve">Prin urmare, se impune </w:t>
            </w:r>
            <w:r w:rsidRPr="00882F72">
              <w:rPr>
                <w:rFonts w:ascii="Times New Roman" w:eastAsia="Calibri" w:hAnsi="Times New Roman" w:cs="Times New Roman"/>
                <w:b/>
                <w:bCs/>
                <w:noProof/>
              </w:rPr>
              <w:t>indicarea corectă a denumirii standardelor</w:t>
            </w:r>
            <w:r w:rsidRPr="00882F72">
              <w:rPr>
                <w:rFonts w:ascii="Times New Roman" w:eastAsia="Calibri" w:hAnsi="Times New Roman" w:cs="Times New Roman"/>
                <w:noProof/>
              </w:rPr>
              <w:t xml:space="preserve"> respectând cerințele de armonizare cu standardele naționale. </w:t>
            </w:r>
          </w:p>
          <w:p w14:paraId="054DA7B6" w14:textId="77777777" w:rsidR="00AC5A28" w:rsidRPr="00882F72" w:rsidRDefault="00AC5A28" w:rsidP="00A67D2D">
            <w:pPr>
              <w:jc w:val="both"/>
              <w:rPr>
                <w:rFonts w:ascii="Times New Roman" w:eastAsia="Calibri" w:hAnsi="Times New Roman" w:cs="Times New Roman"/>
                <w:noProof/>
              </w:rPr>
            </w:pPr>
            <w:r w:rsidRPr="008420FE">
              <w:rPr>
                <w:rFonts w:ascii="Times New Roman" w:eastAsia="Calibri" w:hAnsi="Times New Roman" w:cs="Times New Roman"/>
                <w:noProof/>
              </w:rPr>
              <w:t>Astfel, la Capitolul II punctul 3. Industria prelucrătoare, din colonița ,, Acte normative conexe și standarde internaționale textul ,,EN ISO 10077-1:2017“ de substituit cu textul „SM EN ISO 10077-2:2018” și textul ,, ISO 14067:2018“ de substituit cu textul ,,SM EN ISO 14067:2018“. Menționăm că observația este valabilă și pentru toate cazurile similare din cuprinsul proiectului.</w:t>
            </w:r>
          </w:p>
          <w:p w14:paraId="0F2792EA" w14:textId="77777777" w:rsidR="00AC5A28" w:rsidRPr="00882F72" w:rsidRDefault="00AC5A28" w:rsidP="00A67D2D">
            <w:pPr>
              <w:jc w:val="both"/>
              <w:rPr>
                <w:rFonts w:ascii="Times New Roman" w:eastAsia="Calibri" w:hAnsi="Times New Roman" w:cs="Times New Roman"/>
                <w:noProof/>
              </w:rPr>
            </w:pPr>
            <w:r w:rsidRPr="00882F72">
              <w:rPr>
                <w:rFonts w:ascii="Times New Roman" w:eastAsia="Calibri" w:hAnsi="Times New Roman" w:cs="Times New Roman"/>
                <w:noProof/>
              </w:rPr>
              <w:t xml:space="preserve">Totodată, potrivit art. 15 din aceeași lege, în scopul facilitării aplicării legislației, standardele moldovenești pot fi utilizate ca referințe directe, indirecte, datate sau nedatate în actele normative. Se reiterează că, </w:t>
            </w:r>
            <w:r w:rsidRPr="00882F72">
              <w:rPr>
                <w:rFonts w:ascii="Times New Roman" w:eastAsia="Calibri" w:hAnsi="Times New Roman" w:cs="Times New Roman"/>
                <w:b/>
                <w:bCs/>
                <w:noProof/>
              </w:rPr>
              <w:t>referințele directe sunt permise exclusiv la standardele moldovenești publicate în limba română</w:t>
            </w:r>
            <w:r w:rsidRPr="00882F72">
              <w:rPr>
                <w:rFonts w:ascii="Times New Roman" w:eastAsia="Calibri" w:hAnsi="Times New Roman" w:cs="Times New Roman"/>
                <w:noProof/>
              </w:rPr>
              <w:t xml:space="preserve">. În situațiile în care aceste standarde nu sunt disponibile pe pagina oficială www.standard.md, recomandăm </w:t>
            </w:r>
            <w:r w:rsidRPr="00882F72">
              <w:rPr>
                <w:rFonts w:ascii="Times New Roman" w:eastAsia="Calibri" w:hAnsi="Times New Roman" w:cs="Times New Roman"/>
                <w:b/>
                <w:bCs/>
                <w:noProof/>
              </w:rPr>
              <w:t>contactarea Institutului de Standardizare al Republicii Moldova pentru clarificarea și soluționarea cazului</w:t>
            </w:r>
            <w:r w:rsidRPr="00882F72">
              <w:rPr>
                <w:rFonts w:ascii="Times New Roman" w:eastAsia="Calibri" w:hAnsi="Times New Roman" w:cs="Times New Roman"/>
                <w:noProof/>
              </w:rPr>
              <w:t xml:space="preserve">, cu respectarea prevederilor legislației în vigoare. </w:t>
            </w:r>
          </w:p>
          <w:p w14:paraId="4B6C2BE2" w14:textId="7C3BCB68" w:rsidR="00AC5A28" w:rsidRPr="00882F72" w:rsidRDefault="00AC5A28" w:rsidP="00AC5A28">
            <w:pPr>
              <w:jc w:val="both"/>
              <w:rPr>
                <w:rFonts w:ascii="Times New Roman" w:eastAsia="Calibri" w:hAnsi="Times New Roman" w:cs="Times New Roman"/>
              </w:rPr>
            </w:pPr>
            <w:r w:rsidRPr="00882F72">
              <w:rPr>
                <w:rFonts w:ascii="Times New Roman" w:eastAsia="Calibri" w:hAnsi="Times New Roman" w:cs="Times New Roman"/>
                <w:noProof/>
              </w:rPr>
              <w:lastRenderedPageBreak/>
              <w:t xml:space="preserve">În acest context, recomandăm </w:t>
            </w:r>
            <w:r w:rsidRPr="00882F72">
              <w:rPr>
                <w:rFonts w:ascii="Times New Roman" w:eastAsia="Calibri" w:hAnsi="Times New Roman" w:cs="Times New Roman"/>
                <w:b/>
                <w:bCs/>
                <w:noProof/>
              </w:rPr>
              <w:t>revizuirea și actualizarea corespunzătoare a tuturor referințelor la standarde</w:t>
            </w:r>
            <w:r w:rsidRPr="00882F72">
              <w:rPr>
                <w:rFonts w:ascii="Times New Roman" w:eastAsia="Calibri" w:hAnsi="Times New Roman" w:cs="Times New Roman"/>
                <w:noProof/>
              </w:rPr>
              <w:t>, în conformitate cu legislația națională privind standardizarea și cu standardele armonizate aplicabile în Republica Moldova.</w:t>
            </w:r>
          </w:p>
        </w:tc>
        <w:tc>
          <w:tcPr>
            <w:tcW w:w="1458" w:type="pct"/>
          </w:tcPr>
          <w:p w14:paraId="148EA984" w14:textId="77777777" w:rsidR="00AC5A28" w:rsidRPr="00EB2513" w:rsidRDefault="00AC5A28" w:rsidP="00DA050C">
            <w:pPr>
              <w:rPr>
                <w:rFonts w:ascii="Times New Roman" w:eastAsia="Calibri" w:hAnsi="Times New Roman" w:cs="Times New Roman"/>
                <w:b/>
                <w:bCs/>
                <w:sz w:val="20"/>
                <w:szCs w:val="20"/>
              </w:rPr>
            </w:pPr>
            <w:r w:rsidRPr="00EB2513">
              <w:rPr>
                <w:rFonts w:ascii="Times New Roman" w:eastAsia="Calibri" w:hAnsi="Times New Roman" w:cs="Times New Roman"/>
                <w:b/>
                <w:bCs/>
                <w:sz w:val="20"/>
                <w:szCs w:val="20"/>
              </w:rPr>
              <w:lastRenderedPageBreak/>
              <w:t>Se acceptă.</w:t>
            </w:r>
          </w:p>
          <w:p w14:paraId="0FDC530C" w14:textId="6C912BED" w:rsidR="00EB2513" w:rsidRPr="00EB2513" w:rsidRDefault="00EB2513" w:rsidP="00DA050C">
            <w:pPr>
              <w:rPr>
                <w:rFonts w:ascii="Times New Roman" w:eastAsia="Calibri" w:hAnsi="Times New Roman" w:cs="Times New Roman"/>
                <w:bCs/>
                <w:color w:val="C00000"/>
                <w:sz w:val="20"/>
                <w:szCs w:val="20"/>
              </w:rPr>
            </w:pPr>
            <w:r w:rsidRPr="00EB2513">
              <w:rPr>
                <w:rFonts w:ascii="Times New Roman" w:eastAsia="Calibri" w:hAnsi="Times New Roman" w:cs="Times New Roman"/>
                <w:bCs/>
                <w:sz w:val="20"/>
                <w:szCs w:val="20"/>
              </w:rPr>
              <w:t>Proiectul a fost ajustat conform propunerii.</w:t>
            </w:r>
          </w:p>
        </w:tc>
      </w:tr>
      <w:tr w:rsidR="0011010C" w:rsidRPr="00882F72" w14:paraId="585CA395" w14:textId="77777777" w:rsidTr="00F968A9">
        <w:tc>
          <w:tcPr>
            <w:tcW w:w="797" w:type="pct"/>
            <w:vMerge w:val="restart"/>
          </w:tcPr>
          <w:p w14:paraId="2DF6F043" w14:textId="77777777" w:rsidR="0011010C" w:rsidRPr="00EB0784" w:rsidRDefault="0011010C" w:rsidP="005B2CC7">
            <w:pPr>
              <w:tabs>
                <w:tab w:val="left" w:pos="355"/>
              </w:tabs>
              <w:rPr>
                <w:rFonts w:ascii="Times New Roman" w:eastAsia="Calibri" w:hAnsi="Times New Roman" w:cs="Times New Roman"/>
                <w:b/>
                <w:bCs/>
              </w:rPr>
            </w:pPr>
            <w:r w:rsidRPr="00EB0784">
              <w:rPr>
                <w:rFonts w:ascii="Times New Roman" w:eastAsia="Calibri" w:hAnsi="Times New Roman" w:cs="Times New Roman"/>
                <w:b/>
                <w:bCs/>
              </w:rPr>
              <w:t>Ministerul Infrastructurii și Dezvoltării Regionale</w:t>
            </w:r>
          </w:p>
          <w:p w14:paraId="756BF8FA" w14:textId="77777777" w:rsidR="0011010C" w:rsidRDefault="0011010C" w:rsidP="005B2CC7">
            <w:pPr>
              <w:tabs>
                <w:tab w:val="left" w:pos="355"/>
              </w:tabs>
              <w:ind w:left="360"/>
              <w:rPr>
                <w:rFonts w:ascii="Times New Roman" w:eastAsia="Calibri" w:hAnsi="Times New Roman" w:cs="Times New Roman"/>
                <w:b/>
                <w:bCs/>
              </w:rPr>
            </w:pPr>
          </w:p>
          <w:p w14:paraId="405584F8" w14:textId="4A3B8954" w:rsidR="0011010C" w:rsidRPr="00EB0784" w:rsidRDefault="0011010C" w:rsidP="005B2CC7">
            <w:pPr>
              <w:tabs>
                <w:tab w:val="left" w:pos="355"/>
              </w:tabs>
              <w:rPr>
                <w:rFonts w:ascii="Times New Roman" w:eastAsia="Calibri" w:hAnsi="Times New Roman" w:cs="Times New Roman"/>
                <w:b/>
                <w:bCs/>
              </w:rPr>
            </w:pPr>
            <w:r w:rsidRPr="006215FE">
              <w:rPr>
                <w:rFonts w:ascii="Times New Roman" w:eastAsia="Calibri" w:hAnsi="Times New Roman" w:cs="Times New Roman"/>
              </w:rPr>
              <w:t>nr. 04-1108 din 06.03.2026</w:t>
            </w:r>
          </w:p>
        </w:tc>
        <w:tc>
          <w:tcPr>
            <w:tcW w:w="240" w:type="pct"/>
          </w:tcPr>
          <w:p w14:paraId="2BDAFB02" w14:textId="31402B60" w:rsidR="0011010C" w:rsidRPr="005B2CC7" w:rsidRDefault="0011010C" w:rsidP="005B2CC7">
            <w:pPr>
              <w:ind w:left="116"/>
              <w:rPr>
                <w:rFonts w:ascii="Times New Roman" w:eastAsia="Calibri" w:hAnsi="Times New Roman" w:cs="Times New Roman"/>
              </w:rPr>
            </w:pPr>
            <w:r>
              <w:rPr>
                <w:rFonts w:ascii="Times New Roman" w:eastAsia="Calibri" w:hAnsi="Times New Roman" w:cs="Times New Roman"/>
              </w:rPr>
              <w:t>1.</w:t>
            </w:r>
          </w:p>
        </w:tc>
        <w:tc>
          <w:tcPr>
            <w:tcW w:w="2505" w:type="pct"/>
          </w:tcPr>
          <w:p w14:paraId="691034C1"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Se constată că proiectul preia identic termenele din Regulamentele Delegate ale UE, care stabilesc pragul de </w:t>
            </w:r>
            <w:r w:rsidRPr="006215FE">
              <w:rPr>
                <w:rFonts w:ascii="Times New Roman" w:eastAsia="Calibri" w:hAnsi="Times New Roman" w:cs="Times New Roman"/>
                <w:b/>
                <w:bCs/>
                <w:noProof/>
                <w:lang w:val="ro-RO"/>
              </w:rPr>
              <w:t xml:space="preserve">1 ianuarie 2026 </w:t>
            </w:r>
            <w:r w:rsidRPr="006215FE">
              <w:rPr>
                <w:rFonts w:ascii="Times New Roman" w:eastAsia="Calibri" w:hAnsi="Times New Roman" w:cs="Times New Roman"/>
                <w:noProof/>
                <w:lang w:val="ro-RO"/>
              </w:rPr>
              <w:t xml:space="preserve">pentru cerința de emisii zero la anumite categorii de vehicule. </w:t>
            </w:r>
          </w:p>
          <w:p w14:paraId="2DC4B6C4" w14:textId="77777777" w:rsidR="0011010C" w:rsidRPr="00DC031E" w:rsidRDefault="0011010C" w:rsidP="005B2CC7">
            <w:pPr>
              <w:jc w:val="both"/>
              <w:rPr>
                <w:rFonts w:ascii="Times New Roman" w:eastAsia="Calibri" w:hAnsi="Times New Roman" w:cs="Times New Roman"/>
                <w:noProof/>
                <w:lang w:val="ro-RO"/>
              </w:rPr>
            </w:pPr>
            <w:r w:rsidRPr="00DC031E">
              <w:rPr>
                <w:rFonts w:ascii="Times New Roman" w:eastAsia="Calibri" w:hAnsi="Times New Roman" w:cs="Times New Roman"/>
                <w:noProof/>
                <w:lang w:val="ro-RO"/>
              </w:rPr>
              <w:t xml:space="preserve">Totodată, Ministerul Infrastructurii și Dezvoltării Regionale este autoritatea responsabilă pentru transpunerea în legislația națională a prevederilor Regulamentelor (UE) 2019/631 și 2019/1242, acțiune planificată pentru anul 2028. Suplimentar, proiectul legii privind omologarea și supravegherea pieței vehiculelor rutiere, care stabilește aspectele administrative ale procesului de omologare prevede intrarea în vigoare a cerințelor tehnice de la 1 ianuarie 2029. </w:t>
            </w:r>
          </w:p>
          <w:p w14:paraId="6EA45132" w14:textId="77777777" w:rsidR="0011010C" w:rsidRPr="00DC031E" w:rsidRDefault="0011010C" w:rsidP="005B2CC7">
            <w:pPr>
              <w:jc w:val="both"/>
              <w:rPr>
                <w:rFonts w:ascii="Times New Roman" w:eastAsia="Calibri" w:hAnsi="Times New Roman" w:cs="Times New Roman"/>
                <w:noProof/>
                <w:lang w:val="ro-RO"/>
              </w:rPr>
            </w:pPr>
            <w:r w:rsidRPr="00DC031E">
              <w:rPr>
                <w:rFonts w:ascii="Times New Roman" w:eastAsia="Calibri" w:hAnsi="Times New Roman" w:cs="Times New Roman"/>
                <w:noProof/>
                <w:lang w:val="ro-RO"/>
              </w:rPr>
              <w:t xml:space="preserve">Astfel, pentru activitățile </w:t>
            </w:r>
            <w:r w:rsidRPr="00DC031E">
              <w:rPr>
                <w:rFonts w:ascii="Times New Roman" w:eastAsia="Calibri" w:hAnsi="Times New Roman" w:cs="Times New Roman"/>
                <w:b/>
                <w:bCs/>
                <w:noProof/>
                <w:lang w:val="ro-RO"/>
              </w:rPr>
              <w:t xml:space="preserve">3.3, 6.5 și 6.6 </w:t>
            </w:r>
            <w:r w:rsidRPr="00DC031E">
              <w:rPr>
                <w:rFonts w:ascii="Times New Roman" w:eastAsia="Calibri" w:hAnsi="Times New Roman" w:cs="Times New Roman"/>
                <w:noProof/>
                <w:lang w:val="ro-RO"/>
              </w:rPr>
              <w:t xml:space="preserve">din proiectul Anexei nr.1, în vederea asigurării corelării cu calendarul național de transpunere a acquis-ului Uniunii Europene, se propune examinarea oportunității introducerii unei clauze tranzitorii sau a unei note tehnice </w:t>
            </w:r>
            <w:r w:rsidRPr="00DC031E">
              <w:rPr>
                <w:rFonts w:ascii="Times New Roman" w:eastAsia="Calibri" w:hAnsi="Times New Roman" w:cs="Times New Roman"/>
                <w:b/>
                <w:bCs/>
                <w:noProof/>
                <w:lang w:val="ro-RO"/>
              </w:rPr>
              <w:t>în Anexa nr. 1</w:t>
            </w:r>
            <w:r w:rsidRPr="00DC031E">
              <w:rPr>
                <w:rFonts w:ascii="Times New Roman" w:eastAsia="Calibri" w:hAnsi="Times New Roman" w:cs="Times New Roman"/>
                <w:noProof/>
                <w:lang w:val="ro-RO"/>
              </w:rPr>
              <w:t xml:space="preserve">, cu următorul conținut: </w:t>
            </w:r>
          </w:p>
          <w:p w14:paraId="0ADC3833" w14:textId="30CBDCC2" w:rsidR="0011010C" w:rsidRPr="00882F72" w:rsidRDefault="0011010C" w:rsidP="005B2CC7">
            <w:pPr>
              <w:jc w:val="both"/>
              <w:rPr>
                <w:rFonts w:ascii="Times New Roman" w:eastAsia="Calibri" w:hAnsi="Times New Roman" w:cs="Times New Roman"/>
                <w:noProof/>
              </w:rPr>
            </w:pPr>
            <w:r w:rsidRPr="00DC031E">
              <w:rPr>
                <w:rFonts w:ascii="Times New Roman" w:eastAsia="Calibri" w:hAnsi="Times New Roman" w:cs="Times New Roman"/>
                <w:noProof/>
                <w:lang w:val="ro-RO"/>
              </w:rPr>
              <w:t>„</w:t>
            </w:r>
            <w:r w:rsidRPr="00DC031E">
              <w:rPr>
                <w:rFonts w:ascii="Times New Roman" w:eastAsia="Calibri" w:hAnsi="Times New Roman" w:cs="Times New Roman"/>
                <w:i/>
                <w:iCs/>
                <w:noProof/>
                <w:lang w:val="ro-RO"/>
              </w:rPr>
              <w:t>Prin derogare de la termenele stabilite la literele (f) și (h) ale activităților3.3, 6.5 și 6.6, pentru vehiculele din categoriile M1, N1, N2 și N3, criteriile de emisii vor fi aplicate gradual, în corelare cu calendarul național de transpunere a acquis-ului UE (anul 2029). Până la data de 31 decembrie 2028, sunt considerate eligibile activele care respectă standardele de emisii prevăzute în legislația națională în vigoare, criteriile de emisii zero devenind obligatorii pentru raportarea alinierii la Taxonomie începând cu 1 ianuarie 2029</w:t>
            </w:r>
            <w:r w:rsidRPr="00DC031E">
              <w:rPr>
                <w:rFonts w:ascii="Times New Roman" w:eastAsia="Calibri" w:hAnsi="Times New Roman" w:cs="Times New Roman"/>
                <w:noProof/>
                <w:lang w:val="ro-RO"/>
              </w:rPr>
              <w:t>”.</w:t>
            </w:r>
          </w:p>
        </w:tc>
        <w:tc>
          <w:tcPr>
            <w:tcW w:w="1458" w:type="pct"/>
          </w:tcPr>
          <w:p w14:paraId="6F87A2CA" w14:textId="77777777" w:rsidR="0011010C" w:rsidRPr="00D66DA6" w:rsidRDefault="0011010C" w:rsidP="005B2CC7">
            <w:pPr>
              <w:rPr>
                <w:rFonts w:ascii="Times New Roman" w:eastAsia="Calibri" w:hAnsi="Times New Roman" w:cs="Times New Roman"/>
                <w:b/>
                <w:bCs/>
                <w:sz w:val="20"/>
                <w:szCs w:val="20"/>
              </w:rPr>
            </w:pPr>
            <w:r w:rsidRPr="00D66DA6">
              <w:rPr>
                <w:rFonts w:ascii="Times New Roman" w:eastAsia="Calibri" w:hAnsi="Times New Roman" w:cs="Times New Roman"/>
                <w:b/>
                <w:bCs/>
                <w:sz w:val="20"/>
                <w:szCs w:val="20"/>
              </w:rPr>
              <w:t>Se acceptă parțial.</w:t>
            </w:r>
          </w:p>
          <w:p w14:paraId="3D64A00B" w14:textId="795BD8D1" w:rsidR="0011010C" w:rsidRDefault="0011010C" w:rsidP="00193644">
            <w:pPr>
              <w:jc w:val="both"/>
              <w:rPr>
                <w:rFonts w:ascii="Times New Roman" w:eastAsia="Calibri" w:hAnsi="Times New Roman" w:cs="Times New Roman"/>
                <w:b/>
                <w:bCs/>
                <w:color w:val="C00000"/>
                <w:sz w:val="20"/>
                <w:szCs w:val="20"/>
              </w:rPr>
            </w:pPr>
            <w:r>
              <w:rPr>
                <w:rFonts w:ascii="Times New Roman" w:eastAsia="Calibri" w:hAnsi="Times New Roman" w:cs="Times New Roman"/>
                <w:bCs/>
              </w:rPr>
              <w:t>Propunerea urmează a fi examinată suplimentar  în coroborare cu angajamentele asumate la Capitolul 9 „Servicii financiare”.</w:t>
            </w:r>
          </w:p>
        </w:tc>
      </w:tr>
      <w:tr w:rsidR="0011010C" w:rsidRPr="00882F72" w14:paraId="5515CFC3" w14:textId="77777777" w:rsidTr="00800EB7">
        <w:tc>
          <w:tcPr>
            <w:tcW w:w="797" w:type="pct"/>
            <w:vMerge/>
          </w:tcPr>
          <w:p w14:paraId="18C6F8D9" w14:textId="77777777" w:rsidR="0011010C" w:rsidRPr="00EB0784" w:rsidRDefault="0011010C" w:rsidP="005B2CC7">
            <w:pPr>
              <w:tabs>
                <w:tab w:val="left" w:pos="355"/>
              </w:tabs>
              <w:rPr>
                <w:rFonts w:ascii="Times New Roman" w:eastAsia="Calibri" w:hAnsi="Times New Roman" w:cs="Times New Roman"/>
                <w:b/>
                <w:bCs/>
              </w:rPr>
            </w:pPr>
          </w:p>
        </w:tc>
        <w:tc>
          <w:tcPr>
            <w:tcW w:w="240" w:type="pct"/>
          </w:tcPr>
          <w:p w14:paraId="24456BE2" w14:textId="77777777" w:rsidR="0011010C" w:rsidRPr="00AC5A28" w:rsidRDefault="0011010C">
            <w:pPr>
              <w:pStyle w:val="ListParagraph"/>
              <w:numPr>
                <w:ilvl w:val="0"/>
                <w:numId w:val="16"/>
              </w:numPr>
              <w:rPr>
                <w:rFonts w:ascii="Times New Roman" w:eastAsia="Calibri" w:hAnsi="Times New Roman" w:cs="Times New Roman"/>
              </w:rPr>
            </w:pPr>
          </w:p>
        </w:tc>
        <w:tc>
          <w:tcPr>
            <w:tcW w:w="2505" w:type="pct"/>
          </w:tcPr>
          <w:p w14:paraId="17E0C00B"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Având în vedere că hotărârea va intra în vigoare la 12 luni de la data publicării și raportat situației la zi, în cazul unor termene de referință preluate din textele actelor a Uniunii Europene (de ex. „31 decembrie 2025”) se constată ca fiind depășite în raport cu momentul aplicării cadrului normativ național. </w:t>
            </w:r>
          </w:p>
          <w:p w14:paraId="24341700"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În acest scop, considerăm judicios fie să se asigure revizuirea aspectelor temporale prin actualizarea acestora la zi, fie examinarea posibilității includerii unei noi prevederi în textul propriu-zis al proiectului hotărârii, care să clarifice modul de aplicare a acestor repere temporale. </w:t>
            </w:r>
          </w:p>
          <w:p w14:paraId="164888C8" w14:textId="7D632CE5" w:rsidR="0011010C" w:rsidRPr="00882F72" w:rsidRDefault="0011010C" w:rsidP="005B2CC7">
            <w:pPr>
              <w:jc w:val="both"/>
              <w:rPr>
                <w:rFonts w:ascii="Times New Roman" w:eastAsia="Calibri" w:hAnsi="Times New Roman" w:cs="Times New Roman"/>
                <w:noProof/>
              </w:rPr>
            </w:pPr>
            <w:r w:rsidRPr="00DC031E">
              <w:rPr>
                <w:rFonts w:ascii="Times New Roman" w:eastAsia="Calibri" w:hAnsi="Times New Roman" w:cs="Times New Roman"/>
                <w:noProof/>
                <w:lang w:val="ro-RO"/>
              </w:rPr>
              <w:t>În acest sens, propunem completarea proiectului de hotărâre cu un punct, care va avea următorul cuprins: „</w:t>
            </w:r>
            <w:r w:rsidRPr="00DC031E">
              <w:rPr>
                <w:rFonts w:ascii="Times New Roman" w:eastAsia="Calibri" w:hAnsi="Times New Roman" w:cs="Times New Roman"/>
                <w:i/>
                <w:iCs/>
                <w:noProof/>
                <w:lang w:val="ro-RO"/>
              </w:rPr>
              <w:t>Criteriile tehnice de examinare care conțin termene de referință anterioare datei de intrare în vigoare a prezentei hotărâri se consideră repere de performanță tehnologică, raportate la calendarul general de decarbonizare și la etapele de implementare a documentelor de politici naționale relevante.</w:t>
            </w:r>
            <w:r w:rsidRPr="00DC031E">
              <w:rPr>
                <w:rFonts w:ascii="Times New Roman" w:eastAsia="Calibri" w:hAnsi="Times New Roman" w:cs="Times New Roman"/>
                <w:noProof/>
                <w:lang w:val="ro-RO"/>
              </w:rPr>
              <w:t>”.</w:t>
            </w:r>
          </w:p>
        </w:tc>
        <w:tc>
          <w:tcPr>
            <w:tcW w:w="1458" w:type="pct"/>
          </w:tcPr>
          <w:p w14:paraId="1462AE6E" w14:textId="77777777" w:rsidR="0011010C" w:rsidRPr="00D66DA6" w:rsidRDefault="0011010C" w:rsidP="00193644">
            <w:pPr>
              <w:rPr>
                <w:rFonts w:ascii="Times New Roman" w:eastAsia="Calibri" w:hAnsi="Times New Roman" w:cs="Times New Roman"/>
                <w:b/>
                <w:bCs/>
                <w:sz w:val="20"/>
                <w:szCs w:val="20"/>
              </w:rPr>
            </w:pPr>
            <w:r w:rsidRPr="00D66DA6">
              <w:rPr>
                <w:rFonts w:ascii="Times New Roman" w:eastAsia="Calibri" w:hAnsi="Times New Roman" w:cs="Times New Roman"/>
                <w:b/>
                <w:bCs/>
                <w:sz w:val="20"/>
                <w:szCs w:val="20"/>
              </w:rPr>
              <w:t>Se acceptă parțial.</w:t>
            </w:r>
          </w:p>
          <w:p w14:paraId="77B425AA" w14:textId="59FD6003" w:rsidR="0011010C" w:rsidRDefault="0011010C" w:rsidP="00193644">
            <w:pPr>
              <w:jc w:val="both"/>
              <w:rPr>
                <w:rFonts w:ascii="Times New Roman" w:eastAsia="Calibri" w:hAnsi="Times New Roman" w:cs="Times New Roman"/>
                <w:b/>
                <w:bCs/>
                <w:color w:val="C00000"/>
                <w:sz w:val="20"/>
                <w:szCs w:val="20"/>
              </w:rPr>
            </w:pPr>
            <w:r>
              <w:rPr>
                <w:rFonts w:ascii="Times New Roman" w:eastAsia="Calibri" w:hAnsi="Times New Roman" w:cs="Times New Roman"/>
                <w:bCs/>
              </w:rPr>
              <w:t>Propunerea urmează a fi examinată suplimentar  în coroborare cu angajamentele asumate la Capitolul 9 „Servicii financiare”.</w:t>
            </w:r>
          </w:p>
        </w:tc>
      </w:tr>
      <w:tr w:rsidR="0011010C" w:rsidRPr="00882F72" w14:paraId="2B5B2573" w14:textId="77777777" w:rsidTr="00F968A9">
        <w:trPr>
          <w:trHeight w:val="551"/>
        </w:trPr>
        <w:tc>
          <w:tcPr>
            <w:tcW w:w="797" w:type="pct"/>
            <w:vMerge w:val="restart"/>
          </w:tcPr>
          <w:p w14:paraId="469577C3" w14:textId="77777777" w:rsidR="0011010C" w:rsidRPr="00EB0784" w:rsidRDefault="0011010C" w:rsidP="005B2CC7">
            <w:pPr>
              <w:tabs>
                <w:tab w:val="left" w:pos="355"/>
              </w:tabs>
              <w:rPr>
                <w:rFonts w:ascii="Times New Roman" w:eastAsia="Calibri" w:hAnsi="Times New Roman" w:cs="Times New Roman"/>
                <w:b/>
                <w:bCs/>
              </w:rPr>
            </w:pPr>
            <w:r w:rsidRPr="00EB0784">
              <w:rPr>
                <w:rFonts w:ascii="Times New Roman" w:eastAsia="Calibri" w:hAnsi="Times New Roman" w:cs="Times New Roman"/>
                <w:b/>
                <w:bCs/>
              </w:rPr>
              <w:t>Ministerul Energiei</w:t>
            </w:r>
          </w:p>
          <w:p w14:paraId="435A1ED6" w14:textId="77777777" w:rsidR="0011010C" w:rsidRPr="00E42CB9" w:rsidRDefault="0011010C" w:rsidP="005B2CC7">
            <w:pPr>
              <w:tabs>
                <w:tab w:val="left" w:pos="355"/>
              </w:tabs>
              <w:rPr>
                <w:rFonts w:ascii="Times New Roman" w:eastAsia="Calibri" w:hAnsi="Times New Roman" w:cs="Times New Roman"/>
                <w:lang w:val="ro-RO"/>
              </w:rPr>
            </w:pPr>
          </w:p>
          <w:p w14:paraId="3D5F2E2B" w14:textId="5BD3286E" w:rsidR="0011010C" w:rsidRPr="00E42CB9" w:rsidRDefault="0011010C" w:rsidP="005B2CC7">
            <w:pPr>
              <w:tabs>
                <w:tab w:val="left" w:pos="355"/>
              </w:tabs>
              <w:rPr>
                <w:rFonts w:ascii="Times New Roman" w:eastAsia="Calibri" w:hAnsi="Times New Roman" w:cs="Times New Roman"/>
                <w:b/>
                <w:bCs/>
              </w:rPr>
            </w:pPr>
            <w:r w:rsidRPr="00E42CB9">
              <w:rPr>
                <w:rFonts w:ascii="Times New Roman" w:eastAsia="Calibri" w:hAnsi="Times New Roman" w:cs="Times New Roman"/>
                <w:lang w:val="ro-RO"/>
              </w:rPr>
              <w:t>nr. 05-543 din 9 martie 2026</w:t>
            </w:r>
          </w:p>
        </w:tc>
        <w:tc>
          <w:tcPr>
            <w:tcW w:w="240" w:type="pct"/>
          </w:tcPr>
          <w:p w14:paraId="00612AA8" w14:textId="77777777" w:rsidR="0011010C" w:rsidRPr="00E42CB9" w:rsidRDefault="0011010C">
            <w:pPr>
              <w:pStyle w:val="ListParagraph"/>
              <w:numPr>
                <w:ilvl w:val="0"/>
                <w:numId w:val="8"/>
              </w:numPr>
              <w:ind w:left="555"/>
              <w:rPr>
                <w:rFonts w:ascii="Times New Roman" w:eastAsia="Calibri" w:hAnsi="Times New Roman" w:cs="Times New Roman"/>
                <w:noProof/>
                <w:lang w:val="ro-RO"/>
              </w:rPr>
            </w:pPr>
          </w:p>
        </w:tc>
        <w:tc>
          <w:tcPr>
            <w:tcW w:w="2505" w:type="pct"/>
          </w:tcPr>
          <w:p w14:paraId="68B1DEB6" w14:textId="54C0B80A"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Se consideră necesară completarea proiectului cu prevederi care să reglementeze aplicarea graduală a criteriilor taxonomiei, inclusiv prin instituirea unei perioade de tranziție de până la 3 ani de la data intrării în vigoare a actului normativ. </w:t>
            </w:r>
          </w:p>
          <w:p w14:paraId="6D436CA9"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În acest sens, se propune ca, în perioada de tranziție, aplicarea criteriilor taxonomiei să fie realizată etapizat, cu prioritate pentru proiectele investiționale finanțate din surse </w:t>
            </w:r>
            <w:r w:rsidRPr="006215FE">
              <w:rPr>
                <w:rFonts w:ascii="Times New Roman" w:eastAsia="Calibri" w:hAnsi="Times New Roman" w:cs="Times New Roman"/>
                <w:noProof/>
                <w:lang w:val="ro-RO"/>
              </w:rPr>
              <w:lastRenderedPageBreak/>
              <w:t xml:space="preserve">externe. Totodată, autoritatea publică responsabilă urmează să asigure elaborarea și aprobarea ghidurilor metodologice necesare pentru interpretarea și aplicarea criteriilor tehnice, precum și consolidarea capacităților instituționale, inclusiv prin instruirea personalului și asigurarea unei coordonări interinstituționale eficiente. </w:t>
            </w:r>
          </w:p>
          <w:p w14:paraId="003112F0"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Necesitatea instituirii unei perioade de tranziție rezultă din complexitatea cadrului propus și din impactul acestuia asupra proceselor de elaborare și implementare a politicilor publice și a proiectelor investiționale, în special în sectorul energetic. Aplicarea imediată și integrală a cerințelor taxonomiei ar putea genera dificultăți de aplicare la nivel instituțional, în lipsa unei expertize consolidate în domeniul finanțării durabile, precum și riscuri de întârziere sau blocare a unor proiecte investiționale, inclusiv a celor de importanță strategică pentru securitatea energetică. </w:t>
            </w:r>
          </w:p>
          <w:p w14:paraId="61701C03"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De asemenea, implementarea graduală este justificată de necesitatea adaptării cadrului normativ și a instrumentelor de sprijin existente, precum și de asigurarea unui mediu investițional predictibil, care să permită actorilor economici să se conformeze noilor cerințe fără a afecta continuitatea investițiilor. În același timp, o abordare etapizată va permite menținerea unui echilibru între obiectivele de mediu și necesitățile de dezvoltare a sectorului energetic, inclusiv prin facilitarea promovării proiectelor de tranziție în perioada de adaptare. </w:t>
            </w:r>
          </w:p>
          <w:p w14:paraId="077B07AF" w14:textId="021B03DE"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În aceste condiții, instituirea unei perioade de tranziție și aplicarea graduală a taxonomiei reprezintă o măsură necesară pentru asigurarea unei implementări coerente, eficiente și predictibile a cadrului de finanțare durabilă, evitându-se eventuale blocaje instituționale și investiționale.</w:t>
            </w:r>
          </w:p>
        </w:tc>
        <w:tc>
          <w:tcPr>
            <w:tcW w:w="1458" w:type="pct"/>
          </w:tcPr>
          <w:p w14:paraId="087EADDB" w14:textId="77777777" w:rsidR="0011010C" w:rsidRDefault="0011010C" w:rsidP="00A51DD0">
            <w:pPr>
              <w:rPr>
                <w:rFonts w:ascii="Times New Roman" w:eastAsia="Calibri" w:hAnsi="Times New Roman" w:cs="Times New Roman"/>
                <w:b/>
              </w:rPr>
            </w:pPr>
            <w:r w:rsidRPr="00EB2513">
              <w:rPr>
                <w:rFonts w:ascii="Times New Roman" w:eastAsia="Calibri" w:hAnsi="Times New Roman" w:cs="Times New Roman"/>
                <w:b/>
              </w:rPr>
              <w:lastRenderedPageBreak/>
              <w:t>Se acceptă parțial.</w:t>
            </w:r>
          </w:p>
          <w:p w14:paraId="15E272CF" w14:textId="2F89FEDF" w:rsidR="0011010C" w:rsidRPr="00882F72" w:rsidRDefault="0011010C" w:rsidP="00A51DD0">
            <w:pPr>
              <w:jc w:val="both"/>
              <w:rPr>
                <w:rFonts w:ascii="Times New Roman" w:eastAsia="Calibri" w:hAnsi="Times New Roman" w:cs="Times New Roman"/>
              </w:rPr>
            </w:pPr>
            <w:r w:rsidRPr="00BD663D">
              <w:rPr>
                <w:rFonts w:ascii="Times New Roman" w:hAnsi="Times New Roman" w:cs="Times New Roman"/>
              </w:rPr>
              <w:t xml:space="preserve">Proiectul Hotărârii privind Taxonomia pentru finanțare durabilă stabilește un cadru general privind activitățile economice ce se consideră durabile </w:t>
            </w:r>
            <w:r>
              <w:rPr>
                <w:rFonts w:ascii="Times New Roman" w:hAnsi="Times New Roman" w:cs="Times New Roman"/>
              </w:rPr>
              <w:t xml:space="preserve">din punct de vedere al mediului. Aspecte </w:t>
            </w:r>
            <w:r>
              <w:rPr>
                <w:rFonts w:ascii="Times New Roman" w:hAnsi="Times New Roman" w:cs="Times New Roman"/>
              </w:rPr>
              <w:lastRenderedPageBreak/>
              <w:t>mai detaliate privind gradul de aplicare al Taxonomiei, obligativitatea acesteia, precum și mecanismul de raportare, eventuale etapizări în aplicare urmează a fi stabilite ulterior de către autoritățile de reglementare și alte autorități publice reieșind din domeniul de competență (fapt specificat la pct. 8 și 9 din nota de fundamentare).</w:t>
            </w:r>
            <w:r w:rsidRPr="00BD663D">
              <w:rPr>
                <w:rFonts w:ascii="Times New Roman" w:hAnsi="Times New Roman" w:cs="Times New Roman"/>
              </w:rPr>
              <w:t xml:space="preserve"> </w:t>
            </w:r>
            <w:r>
              <w:rPr>
                <w:rFonts w:ascii="Times New Roman" w:hAnsi="Times New Roman" w:cs="Times New Roman"/>
              </w:rPr>
              <w:t xml:space="preserve">Anume din aceste considerente și s-a stabilit un termen de 12 luni pentru intrarea în vigoare a acesteia – pentru a asigura punerea în aplicare a prevederilor Taxonomiei. </w:t>
            </w:r>
          </w:p>
        </w:tc>
      </w:tr>
      <w:tr w:rsidR="0011010C" w:rsidRPr="00882F72" w14:paraId="38EAF6EF" w14:textId="77777777" w:rsidTr="00F968A9">
        <w:trPr>
          <w:trHeight w:val="2404"/>
        </w:trPr>
        <w:tc>
          <w:tcPr>
            <w:tcW w:w="797" w:type="pct"/>
            <w:vMerge/>
          </w:tcPr>
          <w:p w14:paraId="4DC52A98" w14:textId="77777777" w:rsidR="0011010C" w:rsidRDefault="0011010C" w:rsidP="005B2CC7">
            <w:pPr>
              <w:pStyle w:val="ListParagraph"/>
              <w:tabs>
                <w:tab w:val="left" w:pos="355"/>
              </w:tabs>
              <w:rPr>
                <w:rFonts w:ascii="Times New Roman" w:eastAsia="Calibri" w:hAnsi="Times New Roman" w:cs="Times New Roman"/>
                <w:b/>
                <w:bCs/>
              </w:rPr>
            </w:pPr>
          </w:p>
        </w:tc>
        <w:tc>
          <w:tcPr>
            <w:tcW w:w="240" w:type="pct"/>
          </w:tcPr>
          <w:p w14:paraId="76EA15D3" w14:textId="77777777" w:rsidR="0011010C" w:rsidRPr="00E42CB9" w:rsidRDefault="0011010C">
            <w:pPr>
              <w:pStyle w:val="ListParagraph"/>
              <w:numPr>
                <w:ilvl w:val="0"/>
                <w:numId w:val="8"/>
              </w:numPr>
              <w:ind w:left="555"/>
              <w:rPr>
                <w:rFonts w:ascii="Times New Roman" w:eastAsia="Calibri" w:hAnsi="Times New Roman" w:cs="Times New Roman"/>
                <w:noProof/>
                <w:lang w:val="ro-RO"/>
              </w:rPr>
            </w:pPr>
          </w:p>
        </w:tc>
        <w:tc>
          <w:tcPr>
            <w:tcW w:w="2505" w:type="pct"/>
          </w:tcPr>
          <w:p w14:paraId="729D0CEC" w14:textId="2AAE2C66"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Se propune completarea proiectului cu o prevedere expresă potrivit căreia: </w:t>
            </w:r>
          </w:p>
          <w:p w14:paraId="038A932D" w14:textId="77777777"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 xml:space="preserve">Aplicarea Taxonomiei nu aduce atingere competențelor autorităților publice de a promova, aproba și implementa proiecte strategice necesare asigurării securității energetice a Republicii Moldova, în conformitate cu legislația în vigoare. </w:t>
            </w:r>
          </w:p>
          <w:p w14:paraId="1FFFE59C" w14:textId="0E76EDB9" w:rsidR="0011010C" w:rsidRPr="006215FE" w:rsidRDefault="0011010C" w:rsidP="005B2CC7">
            <w:pPr>
              <w:jc w:val="both"/>
              <w:rPr>
                <w:rFonts w:ascii="Times New Roman" w:eastAsia="Calibri" w:hAnsi="Times New Roman" w:cs="Times New Roman"/>
                <w:noProof/>
                <w:lang w:val="ro-RO"/>
              </w:rPr>
            </w:pPr>
            <w:r w:rsidRPr="006215FE">
              <w:rPr>
                <w:rFonts w:ascii="Times New Roman" w:eastAsia="Calibri" w:hAnsi="Times New Roman" w:cs="Times New Roman"/>
                <w:noProof/>
                <w:lang w:val="ro-RO"/>
              </w:rPr>
              <w:t>În absența unei asemenea clarificări, există riscul unor interpretări restrictive care ar putea afecta promovarea investițiilor strategice în infrastructura energetică. Având în vedere caracterul strategic al securității energetice și necesitatea menținerii continuității aprovizionării, se impune delimitarea expresă a efectelor taxonomiei, pentru a preveni eventuale blocaje investiționale și a asigura aplicarea proporțională a cadrului normativ.</w:t>
            </w:r>
          </w:p>
        </w:tc>
        <w:tc>
          <w:tcPr>
            <w:tcW w:w="1458" w:type="pct"/>
          </w:tcPr>
          <w:p w14:paraId="5F4D0B27" w14:textId="77777777" w:rsidR="0011010C" w:rsidRPr="00A51DD0" w:rsidRDefault="0011010C" w:rsidP="005B2CC7">
            <w:pPr>
              <w:rPr>
                <w:rFonts w:ascii="Times New Roman" w:eastAsia="Calibri" w:hAnsi="Times New Roman" w:cs="Times New Roman"/>
                <w:b/>
                <w:bCs/>
              </w:rPr>
            </w:pPr>
            <w:r w:rsidRPr="00A51DD0">
              <w:rPr>
                <w:rFonts w:ascii="Times New Roman" w:eastAsia="Calibri" w:hAnsi="Times New Roman" w:cs="Times New Roman"/>
                <w:b/>
                <w:bCs/>
              </w:rPr>
              <w:t>Nu se acceptă.</w:t>
            </w:r>
          </w:p>
          <w:p w14:paraId="371843BA" w14:textId="111F127E" w:rsidR="0011010C" w:rsidRPr="00882F72" w:rsidRDefault="0011010C" w:rsidP="00A51DD0">
            <w:pPr>
              <w:jc w:val="both"/>
              <w:rPr>
                <w:rFonts w:ascii="Times New Roman" w:eastAsia="Calibri" w:hAnsi="Times New Roman" w:cs="Times New Roman"/>
              </w:rPr>
            </w:pPr>
            <w:r>
              <w:rPr>
                <w:rFonts w:ascii="Times New Roman" w:eastAsia="Calibri" w:hAnsi="Times New Roman" w:cs="Times New Roman"/>
              </w:rPr>
              <w:t>Prevederile Taxonomiei vin să faciliteze aplicarea acesteia de către mediul de afaceri și acei agenți economici care-și doresc să implementeze aspecte de durabilitate în activitatea sa. Aspecte mai specifice aferente unui domeniu sau altul urmează a fi stabilite sau prevăzute în cadrul normativ subsecvent al autorităților administrației publice reieșind din domeniul de competență, precum și obiectivele setate la nivel de sector/ instituție.</w:t>
            </w:r>
          </w:p>
        </w:tc>
      </w:tr>
      <w:tr w:rsidR="0011010C" w:rsidRPr="00882F72" w14:paraId="0FB4934B" w14:textId="77777777" w:rsidTr="00F968A9">
        <w:trPr>
          <w:trHeight w:val="3345"/>
        </w:trPr>
        <w:tc>
          <w:tcPr>
            <w:tcW w:w="797" w:type="pct"/>
            <w:vMerge/>
          </w:tcPr>
          <w:p w14:paraId="5EAF29DB" w14:textId="77777777" w:rsidR="0011010C" w:rsidRDefault="0011010C" w:rsidP="005B2CC7">
            <w:pPr>
              <w:pStyle w:val="ListParagraph"/>
              <w:tabs>
                <w:tab w:val="left" w:pos="355"/>
              </w:tabs>
              <w:rPr>
                <w:rFonts w:ascii="Times New Roman" w:eastAsia="Calibri" w:hAnsi="Times New Roman" w:cs="Times New Roman"/>
                <w:b/>
                <w:bCs/>
              </w:rPr>
            </w:pPr>
          </w:p>
        </w:tc>
        <w:tc>
          <w:tcPr>
            <w:tcW w:w="240" w:type="pct"/>
          </w:tcPr>
          <w:p w14:paraId="7530BA25" w14:textId="77777777" w:rsidR="0011010C" w:rsidRPr="00E42CB9" w:rsidRDefault="0011010C">
            <w:pPr>
              <w:pStyle w:val="ListParagraph"/>
              <w:numPr>
                <w:ilvl w:val="0"/>
                <w:numId w:val="8"/>
              </w:numPr>
              <w:autoSpaceDE w:val="0"/>
              <w:autoSpaceDN w:val="0"/>
              <w:adjustRightInd w:val="0"/>
              <w:ind w:left="555"/>
              <w:rPr>
                <w:rFonts w:ascii="Times New Roman" w:hAnsi="Times New Roman" w:cs="Times New Roman"/>
                <w:color w:val="000000"/>
                <w:lang w:val="ro-RO"/>
              </w:rPr>
            </w:pPr>
          </w:p>
        </w:tc>
        <w:tc>
          <w:tcPr>
            <w:tcW w:w="2505" w:type="pct"/>
          </w:tcPr>
          <w:p w14:paraId="0D83CA33" w14:textId="0D5446E7"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Se propune completarea Notei de fundamentare prin detalierea compartimentului privind impactul financiar al proiectului, inclusiv prin estimarea costurilor directe și indirecte generate de implementarea taxonomiei și prin evaluarea implicațiilor asupra finanțării și implementării proiectelor investiționale, în special în sectoarele strategice. </w:t>
            </w:r>
          </w:p>
          <w:p w14:paraId="12DA23D0" w14:textId="77777777"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Deși proiectul menționează lipsa unui impact direct asupra bugetului public național, nu sunt evaluate și estimate costurile generate de aplicarea prevederilor acestuia, inclusiv cele aferente. </w:t>
            </w:r>
          </w:p>
          <w:p w14:paraId="00741AE2" w14:textId="13F7573B"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Totodată, analiza nu reflectă impactul potențial asupra finanțării proiectelor investiționale, în special în sectoarele strategice, cum este sectorul energetic, unde aplicarea criteriilor taxonomiei poate condiționa eligibilitatea proiectelor pentru finanțare externă și poate genera necesitatea ajustării acestora sau identificării unor surse alternative de finanțare. </w:t>
            </w:r>
          </w:p>
          <w:p w14:paraId="00E5B112" w14:textId="01380920" w:rsidR="0011010C" w:rsidRPr="006215FE" w:rsidRDefault="0011010C" w:rsidP="005B2CC7">
            <w:pPr>
              <w:jc w:val="both"/>
              <w:rPr>
                <w:rFonts w:ascii="Times New Roman" w:eastAsia="Calibri" w:hAnsi="Times New Roman" w:cs="Times New Roman"/>
                <w:noProof/>
                <w:lang w:val="ro-RO"/>
              </w:rPr>
            </w:pPr>
            <w:r w:rsidRPr="006215FE">
              <w:rPr>
                <w:rFonts w:ascii="Times New Roman" w:hAnsi="Times New Roman" w:cs="Times New Roman"/>
                <w:color w:val="000000"/>
                <w:lang w:val="ro-RO"/>
              </w:rPr>
              <w:t>În acest context, se consideră necesară completarea compartimentului privind impactul financiar, inclusiv prin estimarea costurilor indirecte și evaluarea implicațiilor asupra implementării proiectelor investiționale, pentru a asigura o analiză completă și fundamentată a impactului proiectului.</w:t>
            </w:r>
          </w:p>
        </w:tc>
        <w:tc>
          <w:tcPr>
            <w:tcW w:w="1458" w:type="pct"/>
          </w:tcPr>
          <w:p w14:paraId="3F8F93ED" w14:textId="01645C9B" w:rsidR="0011010C" w:rsidRPr="00A16170" w:rsidRDefault="0011010C" w:rsidP="005B2CC7">
            <w:pPr>
              <w:rPr>
                <w:rFonts w:ascii="Times New Roman" w:eastAsia="Calibri" w:hAnsi="Times New Roman" w:cs="Times New Roman"/>
                <w:b/>
                <w:bCs/>
              </w:rPr>
            </w:pPr>
            <w:r>
              <w:rPr>
                <w:rFonts w:ascii="Times New Roman" w:eastAsia="Calibri" w:hAnsi="Times New Roman" w:cs="Times New Roman"/>
                <w:b/>
                <w:bCs/>
              </w:rPr>
              <w:t xml:space="preserve">Nu se </w:t>
            </w:r>
            <w:r w:rsidRPr="00A16170">
              <w:rPr>
                <w:rFonts w:ascii="Times New Roman" w:eastAsia="Calibri" w:hAnsi="Times New Roman" w:cs="Times New Roman"/>
                <w:b/>
                <w:bCs/>
              </w:rPr>
              <w:t>acceptă.</w:t>
            </w:r>
          </w:p>
          <w:p w14:paraId="06C6B258" w14:textId="712AE8AA" w:rsidR="0011010C" w:rsidRPr="00882F72" w:rsidRDefault="0011010C" w:rsidP="00A16170">
            <w:pPr>
              <w:jc w:val="both"/>
              <w:rPr>
                <w:rFonts w:ascii="Times New Roman" w:eastAsia="Calibri" w:hAnsi="Times New Roman" w:cs="Times New Roman"/>
              </w:rPr>
            </w:pPr>
            <w:r>
              <w:rPr>
                <w:rFonts w:ascii="Times New Roman" w:hAnsi="Times New Roman"/>
                <w:shd w:val="clear" w:color="auto" w:fill="FFFFFF"/>
              </w:rPr>
              <w:t>Nota de fundamentare prevede că p</w:t>
            </w:r>
            <w:r w:rsidRPr="00F03488">
              <w:rPr>
                <w:rFonts w:ascii="Times New Roman" w:hAnsi="Times New Roman"/>
                <w:shd w:val="clear" w:color="auto" w:fill="FFFFFF"/>
              </w:rPr>
              <w:t xml:space="preserve">roiectul nu prevede un impact direct asupra componentelor bugetului public național. În cazul în care la aplicarea prevederilor Taxonomiei de către autoritățile publice vor fi careva costuri indirecte, acestea vor fi acoperite în limita alocațiilor bugetare </w:t>
            </w:r>
            <w:r w:rsidRPr="00A23FF0">
              <w:rPr>
                <w:rFonts w:ascii="Times New Roman" w:hAnsi="Times New Roman" w:cs="Times New Roman"/>
                <w:shd w:val="clear" w:color="auto" w:fill="FFFFFF"/>
              </w:rPr>
              <w:t>disponibile.</w:t>
            </w:r>
            <w:r w:rsidRPr="00A23FF0">
              <w:rPr>
                <w:rFonts w:ascii="Times New Roman" w:hAnsi="Times New Roman" w:cs="Times New Roman"/>
                <w:color w:val="000000" w:themeColor="text1"/>
              </w:rPr>
              <w:t xml:space="preserve"> În partea ce ține de mediul privat, </w:t>
            </w:r>
            <w:r w:rsidRPr="00A23FF0">
              <w:rPr>
                <w:rStyle w:val="SubtleEmphasis"/>
                <w:rFonts w:ascii="Times New Roman" w:hAnsi="Times New Roman" w:cs="Times New Roman"/>
                <w:i w:val="0"/>
                <w:iCs w:val="0"/>
                <w:color w:val="000000" w:themeColor="text1"/>
              </w:rPr>
              <w:t>costurile alinierii la Taxonomie variază semnificativ în funcție de dimensiunea și sectorul companiei.</w:t>
            </w:r>
          </w:p>
        </w:tc>
      </w:tr>
      <w:tr w:rsidR="0011010C" w:rsidRPr="00882F72" w14:paraId="3597B090" w14:textId="77777777" w:rsidTr="00F968A9">
        <w:trPr>
          <w:trHeight w:val="1259"/>
        </w:trPr>
        <w:tc>
          <w:tcPr>
            <w:tcW w:w="797" w:type="pct"/>
            <w:vMerge/>
          </w:tcPr>
          <w:p w14:paraId="19B67297" w14:textId="77777777" w:rsidR="0011010C" w:rsidRDefault="0011010C" w:rsidP="005B2CC7">
            <w:pPr>
              <w:pStyle w:val="ListParagraph"/>
              <w:tabs>
                <w:tab w:val="left" w:pos="355"/>
              </w:tabs>
              <w:rPr>
                <w:rFonts w:ascii="Times New Roman" w:eastAsia="Calibri" w:hAnsi="Times New Roman" w:cs="Times New Roman"/>
                <w:b/>
                <w:bCs/>
              </w:rPr>
            </w:pPr>
          </w:p>
        </w:tc>
        <w:tc>
          <w:tcPr>
            <w:tcW w:w="240" w:type="pct"/>
          </w:tcPr>
          <w:p w14:paraId="74826FD3" w14:textId="77777777" w:rsidR="0011010C" w:rsidRPr="00D2589B" w:rsidRDefault="0011010C">
            <w:pPr>
              <w:pStyle w:val="ListParagraph"/>
              <w:numPr>
                <w:ilvl w:val="0"/>
                <w:numId w:val="8"/>
              </w:numPr>
              <w:autoSpaceDE w:val="0"/>
              <w:autoSpaceDN w:val="0"/>
              <w:adjustRightInd w:val="0"/>
              <w:ind w:left="555"/>
              <w:rPr>
                <w:rFonts w:ascii="Times New Roman" w:hAnsi="Times New Roman" w:cs="Times New Roman"/>
                <w:color w:val="000000"/>
                <w:lang w:val="ro-RO"/>
              </w:rPr>
            </w:pPr>
          </w:p>
        </w:tc>
        <w:tc>
          <w:tcPr>
            <w:tcW w:w="2505" w:type="pct"/>
          </w:tcPr>
          <w:p w14:paraId="3A398923" w14:textId="6962206A"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Se propune completarea proiectului cu o prevedere distinctă privind elaborarea ghidurilor metodologice sectoriale pentru aplicarea criteriilor taxonomiei. </w:t>
            </w:r>
          </w:p>
          <w:p w14:paraId="29BC46D0" w14:textId="797AC1E6"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Text propus pentru includere în proiect: „Autoritatea publică responsabilă de coordonarea implementării prezentei Hotărâri va elabora și aproba, în termen de 12 luni de la intrarea în vigoare a acesteia, ghiduri metodologice sectoriale privind aplicarea criteriilor tehnice de examinare și a principiului «Do No </w:t>
            </w:r>
            <w:proofErr w:type="spellStart"/>
            <w:r w:rsidRPr="006215FE">
              <w:rPr>
                <w:rFonts w:ascii="Times New Roman" w:hAnsi="Times New Roman" w:cs="Times New Roman"/>
                <w:color w:val="000000"/>
                <w:lang w:val="ro-RO"/>
              </w:rPr>
              <w:t>Significant</w:t>
            </w:r>
            <w:proofErr w:type="spellEnd"/>
            <w:r w:rsidRPr="006215FE">
              <w:rPr>
                <w:rFonts w:ascii="Times New Roman" w:hAnsi="Times New Roman" w:cs="Times New Roman"/>
                <w:color w:val="000000"/>
                <w:lang w:val="ro-RO"/>
              </w:rPr>
              <w:t xml:space="preserve"> </w:t>
            </w:r>
            <w:proofErr w:type="spellStart"/>
            <w:r w:rsidRPr="006215FE">
              <w:rPr>
                <w:rFonts w:ascii="Times New Roman" w:hAnsi="Times New Roman" w:cs="Times New Roman"/>
                <w:color w:val="000000"/>
                <w:lang w:val="ro-RO"/>
              </w:rPr>
              <w:t>Harm</w:t>
            </w:r>
            <w:proofErr w:type="spellEnd"/>
            <w:r w:rsidRPr="006215FE">
              <w:rPr>
                <w:rFonts w:ascii="Times New Roman" w:hAnsi="Times New Roman" w:cs="Times New Roman"/>
                <w:color w:val="000000"/>
                <w:lang w:val="ro-RO"/>
              </w:rPr>
              <w:t xml:space="preserve">», pentru domeniile relevante, inclusiv sectorul energetic.” Proiectul stabilește criterii tehnice complexe, care presupun evaluări sectoriale detaliate privind contribuția substanțială la obiectivele de mediu și respectarea principiului „Do No </w:t>
            </w:r>
            <w:proofErr w:type="spellStart"/>
            <w:r w:rsidRPr="006215FE">
              <w:rPr>
                <w:rFonts w:ascii="Times New Roman" w:hAnsi="Times New Roman" w:cs="Times New Roman"/>
                <w:color w:val="000000"/>
                <w:lang w:val="ro-RO"/>
              </w:rPr>
              <w:t>Significant</w:t>
            </w:r>
            <w:proofErr w:type="spellEnd"/>
            <w:r w:rsidRPr="006215FE">
              <w:rPr>
                <w:rFonts w:ascii="Times New Roman" w:hAnsi="Times New Roman" w:cs="Times New Roman"/>
                <w:color w:val="000000"/>
                <w:lang w:val="ro-RO"/>
              </w:rPr>
              <w:t xml:space="preserve"> </w:t>
            </w:r>
            <w:proofErr w:type="spellStart"/>
            <w:r w:rsidRPr="006215FE">
              <w:rPr>
                <w:rFonts w:ascii="Times New Roman" w:hAnsi="Times New Roman" w:cs="Times New Roman"/>
                <w:color w:val="000000"/>
                <w:lang w:val="ro-RO"/>
              </w:rPr>
              <w:t>Harm</w:t>
            </w:r>
            <w:proofErr w:type="spellEnd"/>
            <w:r w:rsidRPr="006215FE">
              <w:rPr>
                <w:rFonts w:ascii="Times New Roman" w:hAnsi="Times New Roman" w:cs="Times New Roman"/>
                <w:color w:val="000000"/>
                <w:lang w:val="ro-RO"/>
              </w:rPr>
              <w:t xml:space="preserve">”. În lipsa unor ghiduri metodologice clare, există riscul unor interpretări divergente și al aplicării neuniforme a criteriilor, ceea ce poate genera incertitudine juridică și blocaje în procesul de aprobare și finanțare a proiectelor investiționale. </w:t>
            </w:r>
          </w:p>
          <w:p w14:paraId="0756D869" w14:textId="5D93D346"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Elaborarea ghidurilor sectoriale va asigura o aplicare coerentă și predictibilă a taxonomiei, va sprijini autoritățile publice și actorii economici în procesul de conformare și va contribui la prevenirea riscurilor investiționale, în special în sectoarele strategice, cum este sectorul energetic. Totodată, această măsură este în concordanță cu bunele practici europene privind implementarea cadrului de finanțare durabilă.</w:t>
            </w:r>
          </w:p>
        </w:tc>
        <w:tc>
          <w:tcPr>
            <w:tcW w:w="1458" w:type="pct"/>
          </w:tcPr>
          <w:p w14:paraId="13C7EC07" w14:textId="4A2DC3D6" w:rsidR="0011010C" w:rsidRDefault="0011010C" w:rsidP="005B2CC7">
            <w:pPr>
              <w:rPr>
                <w:rFonts w:ascii="Times New Roman" w:eastAsia="Calibri" w:hAnsi="Times New Roman" w:cs="Times New Roman"/>
                <w:b/>
                <w:bCs/>
              </w:rPr>
            </w:pPr>
            <w:r>
              <w:rPr>
                <w:rFonts w:ascii="Times New Roman" w:eastAsia="Calibri" w:hAnsi="Times New Roman" w:cs="Times New Roman"/>
                <w:b/>
                <w:bCs/>
              </w:rPr>
              <w:t>Nu se acceptă</w:t>
            </w:r>
            <w:r w:rsidRPr="00A16170">
              <w:rPr>
                <w:rFonts w:ascii="Times New Roman" w:eastAsia="Calibri" w:hAnsi="Times New Roman" w:cs="Times New Roman"/>
                <w:b/>
                <w:bCs/>
              </w:rPr>
              <w:t>.</w:t>
            </w:r>
          </w:p>
          <w:p w14:paraId="3B698383" w14:textId="3F55E3A1" w:rsidR="0011010C" w:rsidRPr="00A16170" w:rsidRDefault="0011010C" w:rsidP="005B2CC7">
            <w:pPr>
              <w:rPr>
                <w:rFonts w:ascii="Times New Roman" w:eastAsia="Calibri" w:hAnsi="Times New Roman" w:cs="Times New Roman"/>
                <w:b/>
                <w:bCs/>
              </w:rPr>
            </w:pPr>
            <w:r>
              <w:rPr>
                <w:rFonts w:ascii="Times New Roman" w:eastAsia="Calibri" w:hAnsi="Times New Roman" w:cs="Times New Roman"/>
                <w:b/>
                <w:bCs/>
              </w:rPr>
              <w:t>Pct. 2 din proiectul de Hotărâre prevede:</w:t>
            </w:r>
          </w:p>
          <w:p w14:paraId="67570CA5" w14:textId="77777777" w:rsidR="0011010C" w:rsidRPr="00A23FF0" w:rsidRDefault="0011010C" w:rsidP="00A23FF0">
            <w:pPr>
              <w:widowControl w:val="0"/>
              <w:tabs>
                <w:tab w:val="left" w:pos="426"/>
                <w:tab w:val="left" w:pos="993"/>
              </w:tabs>
              <w:ind w:left="319" w:hanging="283"/>
              <w:jc w:val="both"/>
              <w:rPr>
                <w:rFonts w:ascii="Times New Roman" w:eastAsia="Times New Roman" w:hAnsi="Times New Roman" w:cs="Times New Roman"/>
              </w:rPr>
            </w:pPr>
            <w:r w:rsidRPr="00A23FF0">
              <w:rPr>
                <w:rFonts w:ascii="Times New Roman" w:eastAsia="Times New Roman" w:hAnsi="Times New Roman" w:cs="Times New Roman"/>
              </w:rPr>
              <w:t>2. Autoritățile administrației publice centrale:</w:t>
            </w:r>
          </w:p>
          <w:p w14:paraId="118D0B22" w14:textId="77777777" w:rsidR="0011010C" w:rsidRPr="00A23FF0" w:rsidRDefault="0011010C">
            <w:pPr>
              <w:pStyle w:val="ListParagraph"/>
              <w:widowControl w:val="0"/>
              <w:numPr>
                <w:ilvl w:val="1"/>
                <w:numId w:val="17"/>
              </w:numPr>
              <w:tabs>
                <w:tab w:val="left" w:pos="426"/>
                <w:tab w:val="left" w:pos="993"/>
              </w:tabs>
              <w:jc w:val="both"/>
              <w:rPr>
                <w:rFonts w:ascii="Times New Roman" w:eastAsia="Times New Roman" w:hAnsi="Times New Roman" w:cs="Times New Roman"/>
              </w:rPr>
            </w:pPr>
            <w:r w:rsidRPr="00A23FF0">
              <w:rPr>
                <w:rFonts w:ascii="Times New Roman" w:eastAsia="Calibri" w:hAnsi="Times New Roman" w:cs="Times New Roman"/>
                <w:bCs/>
                <w:iCs/>
              </w:rPr>
              <w:t>vor prezenta Guvernului propuneri privind aducerea legislației în conformitate cu prevederile Taxonomiei;</w:t>
            </w:r>
          </w:p>
          <w:p w14:paraId="6AF0CE1F" w14:textId="77777777" w:rsidR="0011010C" w:rsidRPr="00A23FF0" w:rsidRDefault="0011010C">
            <w:pPr>
              <w:pStyle w:val="ListParagraph"/>
              <w:widowControl w:val="0"/>
              <w:numPr>
                <w:ilvl w:val="1"/>
                <w:numId w:val="17"/>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vor aduce actele sale normative în conformitate cu prevederile Taxonomiei;</w:t>
            </w:r>
          </w:p>
          <w:p w14:paraId="33207300" w14:textId="77777777" w:rsidR="0011010C" w:rsidRPr="00A23FF0" w:rsidRDefault="0011010C">
            <w:pPr>
              <w:pStyle w:val="ListParagraph"/>
              <w:widowControl w:val="0"/>
              <w:numPr>
                <w:ilvl w:val="1"/>
                <w:numId w:val="17"/>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 xml:space="preserve"> vor asigura elaborarea și aprobarea actelor normative necesare pentru punerea în aplicare a Taxonomiei.</w:t>
            </w:r>
          </w:p>
          <w:p w14:paraId="29B8E78C" w14:textId="57CE328E" w:rsidR="0011010C" w:rsidRPr="00882F72" w:rsidRDefault="0011010C" w:rsidP="002825AF">
            <w:pPr>
              <w:jc w:val="both"/>
              <w:rPr>
                <w:rFonts w:ascii="Times New Roman" w:eastAsia="Calibri" w:hAnsi="Times New Roman" w:cs="Times New Roman"/>
              </w:rPr>
            </w:pPr>
            <w:r w:rsidRPr="002825AF">
              <w:rPr>
                <w:rFonts w:ascii="Times New Roman" w:eastAsia="Calibri" w:hAnsi="Times New Roman" w:cs="Times New Roman"/>
              </w:rPr>
              <w:t>Respectiv, în dependență de domeniul de competență, autoritățile și instituțiile de resort urmează să-și ajusteze cadrul normativ relevant în scopul facilitării implementării Taxonomiei.</w:t>
            </w:r>
          </w:p>
        </w:tc>
      </w:tr>
      <w:tr w:rsidR="0011010C" w:rsidRPr="00882F72" w14:paraId="54B87E53" w14:textId="77777777" w:rsidTr="00F968A9">
        <w:trPr>
          <w:trHeight w:val="976"/>
        </w:trPr>
        <w:tc>
          <w:tcPr>
            <w:tcW w:w="797" w:type="pct"/>
            <w:vMerge/>
          </w:tcPr>
          <w:p w14:paraId="7CB9CD89" w14:textId="77777777" w:rsidR="0011010C" w:rsidRDefault="0011010C" w:rsidP="005B2CC7">
            <w:pPr>
              <w:pStyle w:val="ListParagraph"/>
              <w:tabs>
                <w:tab w:val="left" w:pos="355"/>
              </w:tabs>
              <w:rPr>
                <w:rFonts w:ascii="Times New Roman" w:eastAsia="Calibri" w:hAnsi="Times New Roman" w:cs="Times New Roman"/>
                <w:b/>
                <w:bCs/>
              </w:rPr>
            </w:pPr>
          </w:p>
        </w:tc>
        <w:tc>
          <w:tcPr>
            <w:tcW w:w="240" w:type="pct"/>
          </w:tcPr>
          <w:p w14:paraId="31474F7A" w14:textId="77777777" w:rsidR="0011010C" w:rsidRPr="00222480" w:rsidRDefault="0011010C">
            <w:pPr>
              <w:pStyle w:val="ListParagraph"/>
              <w:numPr>
                <w:ilvl w:val="0"/>
                <w:numId w:val="8"/>
              </w:numPr>
              <w:autoSpaceDE w:val="0"/>
              <w:autoSpaceDN w:val="0"/>
              <w:adjustRightInd w:val="0"/>
              <w:ind w:left="555"/>
              <w:rPr>
                <w:rFonts w:ascii="Times New Roman" w:hAnsi="Times New Roman" w:cs="Times New Roman"/>
                <w:color w:val="000000"/>
                <w:lang w:val="ro-RO"/>
              </w:rPr>
            </w:pPr>
          </w:p>
        </w:tc>
        <w:tc>
          <w:tcPr>
            <w:tcW w:w="2505" w:type="pct"/>
          </w:tcPr>
          <w:p w14:paraId="72EA969C" w14:textId="4B08F261"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În vederea asigurării coerenței cadrului normativ și a corelării cu legislația națională relevantă, se propun următoarele completări și ajustări: </w:t>
            </w:r>
          </w:p>
          <w:p w14:paraId="2CA0E1A6" w14:textId="3DF1881B"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1.</w:t>
            </w:r>
            <w:r w:rsidRPr="006215FE">
              <w:rPr>
                <w:rFonts w:ascii="Times New Roman" w:hAnsi="Times New Roman" w:cs="Times New Roman"/>
                <w:b/>
                <w:bCs/>
                <w:color w:val="000000"/>
                <w:lang w:val="ro-RO"/>
              </w:rPr>
              <w:t xml:space="preserve"> Cod 3.5 – </w:t>
            </w:r>
            <w:r w:rsidRPr="006215FE">
              <w:rPr>
                <w:rFonts w:ascii="Times New Roman" w:hAnsi="Times New Roman" w:cs="Times New Roman"/>
                <w:color w:val="000000"/>
                <w:lang w:val="ro-RO"/>
              </w:rPr>
              <w:t xml:space="preserve">se va completa cu Legea nr. 282/2023 privind performanța energetică a clădirilor; </w:t>
            </w:r>
          </w:p>
          <w:p w14:paraId="32FD6443"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2. </w:t>
            </w:r>
            <w:r w:rsidRPr="006215FE">
              <w:rPr>
                <w:rFonts w:ascii="Times New Roman" w:hAnsi="Times New Roman" w:cs="Times New Roman"/>
                <w:b/>
                <w:bCs/>
                <w:color w:val="000000"/>
                <w:lang w:val="ro-RO"/>
              </w:rPr>
              <w:t xml:space="preserve">Cod 4.9 </w:t>
            </w:r>
            <w:r w:rsidRPr="006215FE">
              <w:rPr>
                <w:rFonts w:ascii="Times New Roman" w:hAnsi="Times New Roman" w:cs="Times New Roman"/>
                <w:color w:val="000000"/>
                <w:lang w:val="ro-RO"/>
              </w:rPr>
              <w:t xml:space="preserve">– se va completa cu Hotărârea Guvernului nr. 652/2025 cu privire la aprobarea Programului de transformare digitală a domeniului energetic al Republicii Moldova pentru anii 2026–2030; </w:t>
            </w:r>
          </w:p>
          <w:p w14:paraId="3DFC38B4"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lastRenderedPageBreak/>
              <w:t xml:space="preserve">3. </w:t>
            </w:r>
            <w:r w:rsidRPr="006215FE">
              <w:rPr>
                <w:rFonts w:ascii="Times New Roman" w:hAnsi="Times New Roman" w:cs="Times New Roman"/>
                <w:b/>
                <w:bCs/>
                <w:color w:val="000000"/>
                <w:lang w:val="ro-RO"/>
              </w:rPr>
              <w:t xml:space="preserve">Cod 7.1 – </w:t>
            </w:r>
            <w:r w:rsidRPr="006215FE">
              <w:rPr>
                <w:rFonts w:ascii="Times New Roman" w:hAnsi="Times New Roman" w:cs="Times New Roman"/>
                <w:color w:val="000000"/>
                <w:lang w:val="ro-RO"/>
              </w:rPr>
              <w:t xml:space="preserve">se va exclude ,,Hotărârea Guvernului nr. 1060/2023 cu privire la organizarea și funcționarea Instituției Publice Centrul Național pentru Energie Durabilă”; </w:t>
            </w:r>
          </w:p>
          <w:p w14:paraId="10182D7B"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4. </w:t>
            </w:r>
            <w:r w:rsidRPr="006215FE">
              <w:rPr>
                <w:rFonts w:ascii="Times New Roman" w:hAnsi="Times New Roman" w:cs="Times New Roman"/>
                <w:b/>
                <w:bCs/>
                <w:color w:val="000000"/>
                <w:lang w:val="ro-RO"/>
              </w:rPr>
              <w:t xml:space="preserve">Cod 7.3 – </w:t>
            </w:r>
            <w:r w:rsidRPr="006215FE">
              <w:rPr>
                <w:rFonts w:ascii="Times New Roman" w:hAnsi="Times New Roman" w:cs="Times New Roman"/>
                <w:color w:val="000000"/>
                <w:lang w:val="ro-RO"/>
              </w:rPr>
              <w:t>se va exclude (Ministerul Energiei);</w:t>
            </w:r>
            <w:r w:rsidRPr="006215FE">
              <w:rPr>
                <w:rFonts w:ascii="Times New Roman" w:hAnsi="Times New Roman" w:cs="Times New Roman"/>
                <w:b/>
                <w:bCs/>
                <w:color w:val="000000"/>
                <w:lang w:val="ro-RO"/>
              </w:rPr>
              <w:t xml:space="preserve"> </w:t>
            </w:r>
          </w:p>
          <w:p w14:paraId="0A95843B"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5. </w:t>
            </w:r>
            <w:r w:rsidRPr="006215FE">
              <w:rPr>
                <w:rFonts w:ascii="Times New Roman" w:hAnsi="Times New Roman" w:cs="Times New Roman"/>
                <w:b/>
                <w:bCs/>
                <w:color w:val="000000"/>
                <w:lang w:val="ro-RO"/>
              </w:rPr>
              <w:t xml:space="preserve">Cod 7.6 – </w:t>
            </w:r>
            <w:r w:rsidRPr="006215FE">
              <w:rPr>
                <w:rFonts w:ascii="Times New Roman" w:hAnsi="Times New Roman" w:cs="Times New Roman"/>
                <w:color w:val="000000"/>
                <w:lang w:val="ro-RO"/>
              </w:rPr>
              <w:t xml:space="preserve">se va completa cu Hotărârea Guvernului nr. 652/2025 cu privire la aprobarea Programului de transformare digitală a domeniului energetic al Republicii Moldova pentru anii 2026–2030; </w:t>
            </w:r>
          </w:p>
          <w:p w14:paraId="24FE75EB"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6. </w:t>
            </w:r>
            <w:r w:rsidRPr="006215FE">
              <w:rPr>
                <w:rFonts w:ascii="Times New Roman" w:hAnsi="Times New Roman" w:cs="Times New Roman"/>
                <w:b/>
                <w:bCs/>
                <w:color w:val="000000"/>
                <w:lang w:val="ro-RO"/>
              </w:rPr>
              <w:t xml:space="preserve">Cod 7.7 – </w:t>
            </w:r>
            <w:r w:rsidRPr="006215FE">
              <w:rPr>
                <w:rFonts w:ascii="Times New Roman" w:hAnsi="Times New Roman" w:cs="Times New Roman"/>
                <w:color w:val="000000"/>
                <w:lang w:val="ro-RO"/>
              </w:rPr>
              <w:t xml:space="preserve">,,Hotărârea Guvernului nr. 622/2024 pentru aprobarea Regulamentului cu privire la calificarea și înregistrarea evaluatorilor energetici, a inspectorilor sistemelor de încălzire și a inspectorilor sistemelor de ventilare și condiționare” se va substitui cu ,,Hotărârea Guvernului nr. 621/2024 Regulamentul privind procedura de certificare a performanței energetice a clădirilor și unităților clădirilor”; </w:t>
            </w:r>
          </w:p>
          <w:p w14:paraId="50FE91D6"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7. </w:t>
            </w:r>
            <w:r w:rsidRPr="006215FE">
              <w:rPr>
                <w:rFonts w:ascii="Times New Roman" w:hAnsi="Times New Roman" w:cs="Times New Roman"/>
                <w:b/>
                <w:bCs/>
                <w:color w:val="000000"/>
                <w:lang w:val="ro-RO"/>
              </w:rPr>
              <w:t xml:space="preserve">Cod 9.1 și 9.2 – </w:t>
            </w:r>
            <w:r w:rsidRPr="006215FE">
              <w:rPr>
                <w:rFonts w:ascii="Times New Roman" w:hAnsi="Times New Roman" w:cs="Times New Roman"/>
                <w:color w:val="000000"/>
                <w:lang w:val="ro-RO"/>
              </w:rPr>
              <w:t xml:space="preserve">se va completa cu Legea nr. 225/2024 cu privire la spațiile de testare inovativă în materie de reglementare în domeniul energiei; </w:t>
            </w:r>
          </w:p>
          <w:p w14:paraId="512D93EF"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8. </w:t>
            </w:r>
            <w:r w:rsidRPr="006215FE">
              <w:rPr>
                <w:rFonts w:ascii="Times New Roman" w:hAnsi="Times New Roman" w:cs="Times New Roman"/>
                <w:b/>
                <w:bCs/>
                <w:color w:val="000000"/>
                <w:lang w:val="ro-RO"/>
              </w:rPr>
              <w:t xml:space="preserve">CEY 5.6 - </w:t>
            </w:r>
            <w:r w:rsidRPr="006215FE">
              <w:rPr>
                <w:rFonts w:ascii="Times New Roman" w:hAnsi="Times New Roman" w:cs="Times New Roman"/>
                <w:color w:val="000000"/>
                <w:lang w:val="ro-RO"/>
              </w:rPr>
              <w:t>se va exclude actele normative conexe și standarde internaționale ne fiind tangențiale Pieței pentru comerțul cu bunuri second-hand destinate reutilizării si anume Legea nr. 151/2014 și HG nr.750/2016 cu regulamentele;</w:t>
            </w:r>
            <w:r w:rsidRPr="006215FE">
              <w:rPr>
                <w:rFonts w:ascii="Times New Roman" w:hAnsi="Times New Roman" w:cs="Times New Roman"/>
                <w:b/>
                <w:bCs/>
                <w:color w:val="000000"/>
                <w:lang w:val="ro-RO"/>
              </w:rPr>
              <w:t xml:space="preserve"> </w:t>
            </w:r>
          </w:p>
          <w:p w14:paraId="5C9125D1"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9. </w:t>
            </w:r>
            <w:r w:rsidRPr="006215FE">
              <w:rPr>
                <w:rFonts w:ascii="Times New Roman" w:hAnsi="Times New Roman" w:cs="Times New Roman"/>
                <w:b/>
                <w:bCs/>
                <w:color w:val="000000"/>
                <w:lang w:val="ro-RO"/>
              </w:rPr>
              <w:t xml:space="preserve">CC 7.2-7.6 – </w:t>
            </w:r>
            <w:r w:rsidRPr="006215FE">
              <w:rPr>
                <w:rFonts w:ascii="Times New Roman" w:hAnsi="Times New Roman" w:cs="Times New Roman"/>
                <w:color w:val="000000"/>
                <w:lang w:val="ro-RO"/>
              </w:rPr>
              <w:t xml:space="preserve">se va completa cu: </w:t>
            </w:r>
          </w:p>
          <w:p w14:paraId="5BDD79CE" w14:textId="77777777" w:rsidR="0011010C" w:rsidRPr="006215FE" w:rsidRDefault="0011010C" w:rsidP="005B2CC7">
            <w:pPr>
              <w:autoSpaceDE w:val="0"/>
              <w:autoSpaceDN w:val="0"/>
              <w:adjustRightInd w:val="0"/>
              <w:jc w:val="both"/>
              <w:rPr>
                <w:rFonts w:ascii="Times New Roman" w:hAnsi="Times New Roman" w:cs="Times New Roman"/>
                <w:color w:val="000000"/>
                <w:sz w:val="28"/>
                <w:szCs w:val="28"/>
                <w:lang w:val="ro-RO"/>
              </w:rPr>
            </w:pPr>
            <w:r w:rsidRPr="006215FE">
              <w:rPr>
                <w:rFonts w:ascii="Times New Roman" w:hAnsi="Times New Roman" w:cs="Times New Roman"/>
                <w:color w:val="000000"/>
                <w:lang w:val="ro-RO"/>
              </w:rPr>
              <w:t>- Legea nr. 282/2023 privind performanța energetică a clădirilor.</w:t>
            </w:r>
            <w:r w:rsidRPr="006215FE">
              <w:rPr>
                <w:rFonts w:ascii="Times New Roman" w:hAnsi="Times New Roman" w:cs="Times New Roman"/>
                <w:color w:val="000000"/>
                <w:sz w:val="28"/>
                <w:szCs w:val="28"/>
                <w:lang w:val="ro-RO"/>
              </w:rPr>
              <w:t xml:space="preserve"> </w:t>
            </w:r>
          </w:p>
          <w:p w14:paraId="2C1078D5" w14:textId="71EAE844" w:rsidR="0011010C" w:rsidRPr="006215FE" w:rsidRDefault="0011010C" w:rsidP="005B2CC7">
            <w:pPr>
              <w:autoSpaceDE w:val="0"/>
              <w:autoSpaceDN w:val="0"/>
              <w:adjustRightInd w:val="0"/>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 Hotărârea Guvernului nr. 621/2024 pentru aprobarea Regulamentului privind procedura de certificare a performanței energetice a clădirilor și a unităților de clădire; </w:t>
            </w:r>
          </w:p>
          <w:p w14:paraId="68F9B53E" w14:textId="07F84E23" w:rsidR="0011010C" w:rsidRDefault="0011010C" w:rsidP="005B2CC7">
            <w:pPr>
              <w:jc w:val="both"/>
              <w:rPr>
                <w:rFonts w:ascii="Times New Roman" w:hAnsi="Times New Roman" w:cs="Times New Roman"/>
                <w:color w:val="000000"/>
                <w:lang w:val="ro-RO"/>
              </w:rPr>
            </w:pPr>
            <w:r>
              <w:rPr>
                <w:rFonts w:ascii="Times New Roman" w:hAnsi="Times New Roman" w:cs="Times New Roman"/>
                <w:color w:val="000000"/>
                <w:lang w:val="ro-RO"/>
              </w:rPr>
              <w:t xml:space="preserve">- </w:t>
            </w:r>
            <w:r w:rsidRPr="006215FE">
              <w:rPr>
                <w:rFonts w:ascii="Times New Roman" w:hAnsi="Times New Roman" w:cs="Times New Roman"/>
                <w:color w:val="000000"/>
                <w:lang w:val="ro-RO"/>
              </w:rPr>
              <w:t>Ordinul Ministerului Infrastructurii și Dezvoltării Regionale nr. 135/2025</w:t>
            </w:r>
            <w:r>
              <w:rPr>
                <w:rFonts w:ascii="Times New Roman" w:hAnsi="Times New Roman" w:cs="Times New Roman"/>
                <w:color w:val="000000"/>
                <w:lang w:val="ro-RO"/>
              </w:rPr>
              <w:t xml:space="preserve"> </w:t>
            </w:r>
            <w:r w:rsidRPr="006215FE">
              <w:rPr>
                <w:rFonts w:ascii="Times New Roman" w:hAnsi="Times New Roman" w:cs="Times New Roman"/>
                <w:color w:val="000000"/>
                <w:lang w:val="ro-RO"/>
              </w:rPr>
              <w:t>- NCM M.01.01:2025. Performanța energetică a clădirilor. Cerințe minime de performanță energetică a clădirilor</w:t>
            </w:r>
            <w:r>
              <w:rPr>
                <w:rFonts w:ascii="Times New Roman" w:hAnsi="Times New Roman" w:cs="Times New Roman"/>
                <w:color w:val="000000"/>
                <w:lang w:val="ro-RO"/>
              </w:rPr>
              <w:t>;</w:t>
            </w:r>
          </w:p>
          <w:p w14:paraId="310A0D54" w14:textId="4786101E"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Ordinul Ministerului Infrastructurii și Dezvoltării Regionale nr. 161/2025</w:t>
            </w:r>
            <w:r>
              <w:rPr>
                <w:rFonts w:ascii="Times New Roman" w:hAnsi="Times New Roman" w:cs="Times New Roman"/>
                <w:color w:val="000000"/>
                <w:lang w:val="ro-RO"/>
              </w:rPr>
              <w:t xml:space="preserve"> </w:t>
            </w:r>
            <w:r w:rsidRPr="006215FE">
              <w:rPr>
                <w:rFonts w:ascii="Times New Roman" w:hAnsi="Times New Roman" w:cs="Times New Roman"/>
                <w:color w:val="000000"/>
                <w:lang w:val="ro-RO"/>
              </w:rPr>
              <w:t>- NCM M.01.02:2025. Performanța energetică a clădirilor. Metodologia de calcul al performanței energetice a clădirilor.</w:t>
            </w:r>
          </w:p>
          <w:p w14:paraId="69AE2FAF" w14:textId="6D968C0F"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10.</w:t>
            </w:r>
            <w:r w:rsidRPr="006215FE">
              <w:rPr>
                <w:rFonts w:ascii="Times New Roman" w:hAnsi="Times New Roman" w:cs="Times New Roman"/>
                <w:b/>
                <w:bCs/>
                <w:color w:val="000000"/>
                <w:lang w:val="ro-RO"/>
              </w:rPr>
              <w:t xml:space="preserve"> BIO 2.1. – se va completa cu: </w:t>
            </w:r>
          </w:p>
          <w:p w14:paraId="5A683ECD"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 Legea nr. 282/2023 privind performanța energetică a clădirilor; </w:t>
            </w:r>
          </w:p>
          <w:p w14:paraId="6C3E281F" w14:textId="77777777"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 Hotărârea Guvernului nr. 621/2024 pentru aprobarea Regulamentului privind procedura de certificare a performanței energetice a clădirilor și a unităților de clădire; </w:t>
            </w:r>
          </w:p>
          <w:p w14:paraId="393D4642" w14:textId="0D452F2A" w:rsidR="0011010C" w:rsidRDefault="0011010C" w:rsidP="005B2CC7">
            <w:pPr>
              <w:jc w:val="both"/>
              <w:rPr>
                <w:rFonts w:ascii="Times New Roman" w:hAnsi="Times New Roman" w:cs="Times New Roman"/>
                <w:color w:val="000000"/>
                <w:lang w:val="ro-RO"/>
              </w:rPr>
            </w:pPr>
            <w:r>
              <w:rPr>
                <w:rFonts w:ascii="Times New Roman" w:hAnsi="Times New Roman" w:cs="Times New Roman"/>
                <w:color w:val="000000"/>
                <w:lang w:val="ro-RO"/>
              </w:rPr>
              <w:t xml:space="preserve">- </w:t>
            </w:r>
            <w:r w:rsidRPr="006215FE">
              <w:rPr>
                <w:rFonts w:ascii="Times New Roman" w:hAnsi="Times New Roman" w:cs="Times New Roman"/>
                <w:color w:val="000000"/>
                <w:lang w:val="ro-RO"/>
              </w:rPr>
              <w:t>Ordinul Ministerului Infrastructurii și Dezvoltării Regionale nr. 135/2025</w:t>
            </w:r>
            <w:r>
              <w:rPr>
                <w:rFonts w:ascii="Times New Roman" w:hAnsi="Times New Roman" w:cs="Times New Roman"/>
                <w:color w:val="000000"/>
                <w:lang w:val="ro-RO"/>
              </w:rPr>
              <w:t xml:space="preserve"> </w:t>
            </w:r>
            <w:r w:rsidRPr="006215FE">
              <w:rPr>
                <w:rFonts w:ascii="Times New Roman" w:hAnsi="Times New Roman" w:cs="Times New Roman"/>
                <w:color w:val="000000"/>
                <w:lang w:val="ro-RO"/>
              </w:rPr>
              <w:t>- NCM M.01.01:2025. Performanța energetică a clădirilor. Cerințe minime de performanță energetică a clădirilor</w:t>
            </w:r>
          </w:p>
          <w:p w14:paraId="7F0F05C4" w14:textId="01C17DF9" w:rsidR="0011010C" w:rsidRPr="006215FE" w:rsidRDefault="0011010C" w:rsidP="005B2CC7">
            <w:pPr>
              <w:jc w:val="both"/>
              <w:rPr>
                <w:rFonts w:ascii="Times New Roman" w:hAnsi="Times New Roman" w:cs="Times New Roman"/>
                <w:color w:val="000000"/>
                <w:lang w:val="ro-RO"/>
              </w:rPr>
            </w:pPr>
            <w:r w:rsidRPr="006215FE">
              <w:rPr>
                <w:rFonts w:ascii="Times New Roman" w:hAnsi="Times New Roman" w:cs="Times New Roman"/>
                <w:color w:val="000000"/>
                <w:lang w:val="ro-RO"/>
              </w:rPr>
              <w:t xml:space="preserve"> - Ordinul Ministerului Infrastructurii și Dezvoltării Regionale nr. 161/2025</w:t>
            </w:r>
            <w:r>
              <w:rPr>
                <w:rFonts w:ascii="Times New Roman" w:hAnsi="Times New Roman" w:cs="Times New Roman"/>
                <w:color w:val="000000"/>
                <w:lang w:val="ro-RO"/>
              </w:rPr>
              <w:t xml:space="preserve"> </w:t>
            </w:r>
            <w:r w:rsidRPr="006215FE">
              <w:rPr>
                <w:rFonts w:ascii="Times New Roman" w:hAnsi="Times New Roman" w:cs="Times New Roman"/>
                <w:color w:val="000000"/>
                <w:lang w:val="ro-RO"/>
              </w:rPr>
              <w:t>- NCM M.01.02:2025. Performanța energetică a clădirilor. Metodologia de calcul al performanței energetice a clădirilor.</w:t>
            </w:r>
          </w:p>
        </w:tc>
        <w:tc>
          <w:tcPr>
            <w:tcW w:w="1458" w:type="pct"/>
          </w:tcPr>
          <w:p w14:paraId="5582E904" w14:textId="77777777" w:rsidR="0011010C" w:rsidRPr="00193644" w:rsidRDefault="0011010C" w:rsidP="005B2CC7">
            <w:pPr>
              <w:rPr>
                <w:rFonts w:ascii="Times New Roman" w:eastAsia="Calibri" w:hAnsi="Times New Roman" w:cs="Times New Roman"/>
                <w:b/>
                <w:bCs/>
              </w:rPr>
            </w:pPr>
            <w:r w:rsidRPr="00193644">
              <w:rPr>
                <w:rFonts w:ascii="Times New Roman" w:eastAsia="Calibri" w:hAnsi="Times New Roman" w:cs="Times New Roman"/>
                <w:b/>
                <w:bCs/>
              </w:rPr>
              <w:lastRenderedPageBreak/>
              <w:t>Se acceptă.</w:t>
            </w:r>
          </w:p>
          <w:p w14:paraId="7E5D19EC" w14:textId="4DE5FF08" w:rsidR="0011010C" w:rsidRPr="00193644" w:rsidRDefault="0011010C" w:rsidP="00193644">
            <w:pPr>
              <w:jc w:val="both"/>
              <w:rPr>
                <w:rFonts w:ascii="Times New Roman" w:eastAsia="Calibri" w:hAnsi="Times New Roman" w:cs="Times New Roman"/>
                <w:bCs/>
              </w:rPr>
            </w:pPr>
            <w:r w:rsidRPr="00193644">
              <w:rPr>
                <w:rFonts w:ascii="Times New Roman" w:eastAsia="Calibri" w:hAnsi="Times New Roman" w:cs="Times New Roman"/>
                <w:bCs/>
              </w:rPr>
              <w:t>Proiectul a fost completat conform propunerii.</w:t>
            </w:r>
          </w:p>
        </w:tc>
      </w:tr>
      <w:tr w:rsidR="0011010C" w:rsidRPr="00882F72" w14:paraId="087F35DB" w14:textId="77777777" w:rsidTr="00F968A9">
        <w:trPr>
          <w:trHeight w:val="3345"/>
        </w:trPr>
        <w:tc>
          <w:tcPr>
            <w:tcW w:w="797" w:type="pct"/>
            <w:vMerge/>
          </w:tcPr>
          <w:p w14:paraId="3200D178" w14:textId="77777777" w:rsidR="0011010C" w:rsidRDefault="0011010C" w:rsidP="005B2CC7">
            <w:pPr>
              <w:pStyle w:val="ListParagraph"/>
              <w:tabs>
                <w:tab w:val="left" w:pos="355"/>
              </w:tabs>
              <w:rPr>
                <w:rFonts w:ascii="Times New Roman" w:eastAsia="Calibri" w:hAnsi="Times New Roman" w:cs="Times New Roman"/>
                <w:b/>
                <w:bCs/>
              </w:rPr>
            </w:pPr>
          </w:p>
        </w:tc>
        <w:tc>
          <w:tcPr>
            <w:tcW w:w="240" w:type="pct"/>
          </w:tcPr>
          <w:p w14:paraId="59711214" w14:textId="77777777" w:rsidR="0011010C" w:rsidRPr="00222480" w:rsidRDefault="0011010C">
            <w:pPr>
              <w:pStyle w:val="ListParagraph"/>
              <w:numPr>
                <w:ilvl w:val="0"/>
                <w:numId w:val="8"/>
              </w:numPr>
              <w:autoSpaceDE w:val="0"/>
              <w:autoSpaceDN w:val="0"/>
              <w:adjustRightInd w:val="0"/>
              <w:ind w:left="555"/>
              <w:rPr>
                <w:rFonts w:ascii="Times New Roman" w:hAnsi="Times New Roman" w:cs="Times New Roman"/>
                <w:color w:val="000000"/>
                <w:lang w:val="ro-RO"/>
              </w:rPr>
            </w:pPr>
          </w:p>
        </w:tc>
        <w:tc>
          <w:tcPr>
            <w:tcW w:w="2505" w:type="pct"/>
          </w:tcPr>
          <w:p w14:paraId="6470BB03" w14:textId="17C0C5CD" w:rsidR="0011010C" w:rsidRPr="006215FE" w:rsidRDefault="0011010C" w:rsidP="005B2CC7">
            <w:pPr>
              <w:autoSpaceDE w:val="0"/>
              <w:autoSpaceDN w:val="0"/>
              <w:adjustRightInd w:val="0"/>
              <w:jc w:val="both"/>
              <w:rPr>
                <w:rFonts w:ascii="Times New Roman" w:hAnsi="Times New Roman" w:cs="Times New Roman"/>
                <w:color w:val="000000"/>
                <w:sz w:val="28"/>
                <w:szCs w:val="28"/>
                <w:lang w:val="ro-RO"/>
              </w:rPr>
            </w:pPr>
            <w:r w:rsidRPr="006215FE">
              <w:rPr>
                <w:rFonts w:ascii="Times New Roman" w:hAnsi="Times New Roman" w:cs="Times New Roman"/>
                <w:color w:val="000000"/>
                <w:lang w:val="ro-RO"/>
              </w:rPr>
              <w:t xml:space="preserve">Suplimentar, se propune reformularea activității D35.30 </w:t>
            </w:r>
            <w:r w:rsidRPr="006215FE">
              <w:rPr>
                <w:rFonts w:ascii="Times New Roman" w:hAnsi="Times New Roman" w:cs="Times New Roman"/>
                <w:i/>
                <w:iCs/>
                <w:color w:val="000000"/>
                <w:lang w:val="ro-RO"/>
              </w:rPr>
              <w:t>„Construirea, renovarea și exploatarea conductelor și a infrastructurii aferente pentru distribuția energiei termice și a răcirii până la punctul termic (stația termică) sau la schimbătorul de căldură”</w:t>
            </w:r>
            <w:r w:rsidRPr="006215FE">
              <w:rPr>
                <w:rFonts w:ascii="Times New Roman" w:hAnsi="Times New Roman" w:cs="Times New Roman"/>
                <w:color w:val="000000"/>
                <w:lang w:val="ro-RO"/>
              </w:rPr>
              <w:t xml:space="preserve">. Formularea actuală </w:t>
            </w:r>
            <w:r w:rsidRPr="006215FE">
              <w:rPr>
                <w:rFonts w:ascii="Times New Roman" w:hAnsi="Times New Roman" w:cs="Times New Roman"/>
                <w:i/>
                <w:iCs/>
                <w:color w:val="000000"/>
                <w:lang w:val="ro-RO"/>
              </w:rPr>
              <w:t>„Construirea, renovarea și exploatarea conductelor și a infrastructurii asociate pentru distribuția încălzirii și răcirii, care se termină în stația de transformare sau la schimbătorul de căldură”</w:t>
            </w:r>
            <w:r w:rsidRPr="006215FE">
              <w:rPr>
                <w:rFonts w:ascii="Times New Roman" w:hAnsi="Times New Roman" w:cs="Times New Roman"/>
                <w:color w:val="000000"/>
                <w:lang w:val="ro-RO"/>
              </w:rPr>
              <w:t xml:space="preserve"> utilizează termenul </w:t>
            </w:r>
            <w:r w:rsidRPr="006215FE">
              <w:rPr>
                <w:rFonts w:ascii="Times New Roman" w:hAnsi="Times New Roman" w:cs="Times New Roman"/>
                <w:i/>
                <w:iCs/>
                <w:color w:val="000000"/>
                <w:lang w:val="ro-RO"/>
              </w:rPr>
              <w:t>„stație de transformare”</w:t>
            </w:r>
            <w:r w:rsidRPr="006215FE">
              <w:rPr>
                <w:rFonts w:ascii="Times New Roman" w:hAnsi="Times New Roman" w:cs="Times New Roman"/>
                <w:color w:val="000000"/>
                <w:lang w:val="ro-RO"/>
              </w:rPr>
              <w:t xml:space="preserve">, care este specific sistemelor electroenergetice și poate crea confuzii în contextul sistemelor de termoficare. De asemenea, expresia </w:t>
            </w:r>
            <w:r w:rsidRPr="006215FE">
              <w:rPr>
                <w:rFonts w:ascii="Times New Roman" w:hAnsi="Times New Roman" w:cs="Times New Roman"/>
                <w:i/>
                <w:iCs/>
                <w:color w:val="000000"/>
                <w:lang w:val="ro-RO"/>
              </w:rPr>
              <w:t>„care se termină în”</w:t>
            </w:r>
            <w:r w:rsidRPr="006215FE">
              <w:rPr>
                <w:rFonts w:ascii="Times New Roman" w:hAnsi="Times New Roman" w:cs="Times New Roman"/>
                <w:color w:val="000000"/>
                <w:lang w:val="ro-RO"/>
              </w:rPr>
              <w:t xml:space="preserve"> reprezintă o traducere literală din legislația UE și nu este specifică stilului normativ al actelor legislative. Modificarea propusă îmbunătățește claritatea terminologică și aliniază textul proiectului la terminologia utilizată în legislația națională privind energia termică și eficiența energetică.</w:t>
            </w:r>
          </w:p>
        </w:tc>
        <w:tc>
          <w:tcPr>
            <w:tcW w:w="1458" w:type="pct"/>
          </w:tcPr>
          <w:p w14:paraId="7B11245B" w14:textId="239E4951"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53C35ACC" w14:textId="784B2AC4" w:rsidR="0011010C" w:rsidRPr="00A23D26" w:rsidRDefault="0011010C" w:rsidP="00A23D26">
            <w:pPr>
              <w:jc w:val="both"/>
              <w:rPr>
                <w:rFonts w:ascii="Times New Roman" w:eastAsia="Calibri" w:hAnsi="Times New Roman" w:cs="Times New Roman"/>
                <w:bCs/>
              </w:rPr>
            </w:pPr>
            <w:r w:rsidRPr="00A23D26">
              <w:rPr>
                <w:rFonts w:ascii="Times New Roman" w:eastAsia="Calibri" w:hAnsi="Times New Roman" w:cs="Times New Roman"/>
                <w:bCs/>
              </w:rPr>
              <w:t>Proiectul a fost completat conform propunerii.</w:t>
            </w:r>
          </w:p>
        </w:tc>
      </w:tr>
      <w:tr w:rsidR="0011010C" w:rsidRPr="00882F72" w14:paraId="161C8E46" w14:textId="77777777" w:rsidTr="00F968A9">
        <w:trPr>
          <w:trHeight w:val="1871"/>
        </w:trPr>
        <w:tc>
          <w:tcPr>
            <w:tcW w:w="797" w:type="pct"/>
            <w:vMerge w:val="restart"/>
          </w:tcPr>
          <w:p w14:paraId="224E0312" w14:textId="2247B202" w:rsidR="0011010C" w:rsidRPr="00EB0784" w:rsidRDefault="0011010C" w:rsidP="005B2CC7">
            <w:pPr>
              <w:tabs>
                <w:tab w:val="left" w:pos="355"/>
              </w:tabs>
              <w:rPr>
                <w:rFonts w:ascii="Times New Roman" w:eastAsia="Calibri" w:hAnsi="Times New Roman" w:cs="Times New Roman"/>
                <w:b/>
                <w:bCs/>
              </w:rPr>
            </w:pPr>
            <w:r w:rsidRPr="00EB0784">
              <w:rPr>
                <w:rFonts w:ascii="Times New Roman" w:eastAsia="Calibri" w:hAnsi="Times New Roman" w:cs="Times New Roman"/>
                <w:b/>
                <w:bCs/>
              </w:rPr>
              <w:lastRenderedPageBreak/>
              <w:t>Ministerul Mediului</w:t>
            </w:r>
          </w:p>
          <w:p w14:paraId="3FE12F9B" w14:textId="77777777" w:rsidR="0011010C" w:rsidRDefault="0011010C" w:rsidP="005B2CC7">
            <w:pPr>
              <w:tabs>
                <w:tab w:val="left" w:pos="355"/>
              </w:tabs>
              <w:ind w:left="360"/>
              <w:rPr>
                <w:rFonts w:ascii="Times New Roman" w:eastAsia="Calibri" w:hAnsi="Times New Roman" w:cs="Times New Roman"/>
                <w:b/>
                <w:bCs/>
              </w:rPr>
            </w:pPr>
          </w:p>
          <w:p w14:paraId="712543A2" w14:textId="2BAA199B" w:rsidR="0011010C" w:rsidRPr="00261295" w:rsidRDefault="0011010C" w:rsidP="005B2CC7">
            <w:pPr>
              <w:tabs>
                <w:tab w:val="left" w:pos="355"/>
              </w:tabs>
              <w:rPr>
                <w:rFonts w:ascii="Times New Roman" w:eastAsia="Calibri" w:hAnsi="Times New Roman" w:cs="Times New Roman"/>
              </w:rPr>
            </w:pPr>
            <w:r>
              <w:rPr>
                <w:rFonts w:ascii="Times New Roman" w:eastAsia="Calibri" w:hAnsi="Times New Roman" w:cs="Times New Roman"/>
              </w:rPr>
              <w:t>n</w:t>
            </w:r>
            <w:r w:rsidRPr="00261295">
              <w:rPr>
                <w:rFonts w:ascii="Times New Roman" w:eastAsia="Calibri" w:hAnsi="Times New Roman" w:cs="Times New Roman"/>
              </w:rPr>
              <w:t>r. 10-07/604 din 02.03.2026</w:t>
            </w:r>
          </w:p>
        </w:tc>
        <w:tc>
          <w:tcPr>
            <w:tcW w:w="240" w:type="pct"/>
          </w:tcPr>
          <w:p w14:paraId="3508AB51" w14:textId="77777777" w:rsidR="0011010C" w:rsidRPr="005A05AE" w:rsidRDefault="0011010C">
            <w:pPr>
              <w:pStyle w:val="ListParagraph"/>
              <w:numPr>
                <w:ilvl w:val="0"/>
                <w:numId w:val="14"/>
              </w:numPr>
              <w:rPr>
                <w:rFonts w:ascii="Times New Roman" w:eastAsia="Calibri" w:hAnsi="Times New Roman" w:cs="Times New Roman"/>
                <w:b/>
                <w:bCs/>
                <w:noProof/>
                <w:lang w:val="ro-RO"/>
              </w:rPr>
            </w:pPr>
          </w:p>
        </w:tc>
        <w:tc>
          <w:tcPr>
            <w:tcW w:w="2505" w:type="pct"/>
          </w:tcPr>
          <w:p w14:paraId="50129DB1" w14:textId="058E0955"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La proiectul de hotărâre: </w:t>
            </w:r>
          </w:p>
          <w:p w14:paraId="3DA08FE5" w14:textId="75386B16" w:rsidR="0011010C" w:rsidRPr="00882F72" w:rsidRDefault="0011010C" w:rsidP="005B2CC7">
            <w:pPr>
              <w:jc w:val="both"/>
              <w:rPr>
                <w:rFonts w:ascii="Times New Roman" w:eastAsia="Calibri" w:hAnsi="Times New Roman" w:cs="Times New Roman"/>
                <w:noProof/>
              </w:rPr>
            </w:pPr>
            <w:r w:rsidRPr="00261295">
              <w:rPr>
                <w:rFonts w:ascii="Times New Roman" w:eastAsia="Calibri" w:hAnsi="Times New Roman" w:cs="Times New Roman"/>
                <w:noProof/>
                <w:lang w:val="ro-RO"/>
              </w:rPr>
              <w:t>Numerotarea de la pct. 2 urmează a fi ajustată ținând cont de prevederile art. 52 alin. (3) din Legea nr. 100/2017 cu privire la actele normative, conform căruia punctele se divizează în subpuncte care se numerotează prin adăugarea consecutivă a cifrelor arabe, până la gradul de detaliere necesar. Astfel, lit. a) se va substitui cu subpct. „2.1.”, lit. b) cu subpct. „2.2.”, iar lit. c) cu subpct. „2.3.”</w:t>
            </w:r>
          </w:p>
        </w:tc>
        <w:tc>
          <w:tcPr>
            <w:tcW w:w="1458" w:type="pct"/>
          </w:tcPr>
          <w:p w14:paraId="29B85F47" w14:textId="77777777" w:rsidR="0011010C" w:rsidRDefault="0011010C" w:rsidP="005B2CC7">
            <w:pPr>
              <w:rPr>
                <w:rFonts w:ascii="Times New Roman" w:eastAsia="Calibri" w:hAnsi="Times New Roman" w:cs="Times New Roman"/>
                <w:b/>
                <w:bCs/>
              </w:rPr>
            </w:pPr>
            <w:r w:rsidRPr="00C6708E">
              <w:rPr>
                <w:rFonts w:ascii="Times New Roman" w:eastAsia="Calibri" w:hAnsi="Times New Roman" w:cs="Times New Roman"/>
                <w:b/>
                <w:bCs/>
              </w:rPr>
              <w:t>Se acceptă</w:t>
            </w:r>
          </w:p>
          <w:p w14:paraId="53BD0959" w14:textId="64399BE2" w:rsidR="0011010C" w:rsidRPr="00C6708E"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11655EC9" w14:textId="77777777" w:rsidTr="00F968A9">
        <w:trPr>
          <w:trHeight w:val="1257"/>
        </w:trPr>
        <w:tc>
          <w:tcPr>
            <w:tcW w:w="797" w:type="pct"/>
            <w:vMerge/>
          </w:tcPr>
          <w:p w14:paraId="11BDDF00" w14:textId="77777777" w:rsidR="0011010C" w:rsidRPr="00261295" w:rsidRDefault="0011010C" w:rsidP="005B2CC7">
            <w:pPr>
              <w:tabs>
                <w:tab w:val="left" w:pos="355"/>
              </w:tabs>
              <w:rPr>
                <w:rFonts w:ascii="Times New Roman" w:eastAsia="Calibri" w:hAnsi="Times New Roman" w:cs="Times New Roman"/>
                <w:b/>
                <w:bCs/>
              </w:rPr>
            </w:pPr>
          </w:p>
        </w:tc>
        <w:tc>
          <w:tcPr>
            <w:tcW w:w="240" w:type="pct"/>
          </w:tcPr>
          <w:p w14:paraId="4498B2F9" w14:textId="77777777" w:rsidR="0011010C" w:rsidRPr="005A05AE" w:rsidRDefault="0011010C">
            <w:pPr>
              <w:pStyle w:val="ListParagraph"/>
              <w:numPr>
                <w:ilvl w:val="0"/>
                <w:numId w:val="14"/>
              </w:numPr>
              <w:rPr>
                <w:rFonts w:ascii="Times New Roman" w:eastAsia="Calibri" w:hAnsi="Times New Roman" w:cs="Times New Roman"/>
                <w:b/>
                <w:bCs/>
                <w:noProof/>
                <w:lang w:val="ro-RO"/>
              </w:rPr>
            </w:pPr>
          </w:p>
        </w:tc>
        <w:tc>
          <w:tcPr>
            <w:tcW w:w="2505" w:type="pct"/>
          </w:tcPr>
          <w:p w14:paraId="2AC8F6FB" w14:textId="28A10710"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La conținutul proiectului de act normativ: </w:t>
            </w:r>
          </w:p>
          <w:p w14:paraId="7AB7D7F1"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Proiectul este elaborat în scopul transpunerii în legislația națională a taxonomiei pentru finanțare durabilă, care în ansamblu încurajează investițiile sustenabile și ca rezultat prin implementarea acestui sistem, mediul va beneficia de o gestionare mai eficientă a resurselor naturale, reducerea poluării, protecția biodiversității și ecosistemelor precum și sprijinirea tranziției către o economie cu emisii reduse de carbon. </w:t>
            </w:r>
          </w:p>
          <w:p w14:paraId="79E433CE"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Totuși, preluarea directă a limbajului utilizat în actele UE, fără o adaptare corespunzătoare la cadrul normativ național, îngreunează înțelegerea și aplicarea corectă a drepturilor și obligațiilor prevăzute pentru autorități și instituții. </w:t>
            </w:r>
          </w:p>
          <w:p w14:paraId="42A45E65" w14:textId="77777777" w:rsidR="0011010C" w:rsidRPr="004331D6" w:rsidRDefault="0011010C" w:rsidP="005B2CC7">
            <w:pPr>
              <w:jc w:val="both"/>
              <w:rPr>
                <w:rFonts w:ascii="Times New Roman" w:eastAsia="Calibri" w:hAnsi="Times New Roman" w:cs="Times New Roman"/>
                <w:noProof/>
                <w:lang w:val="ro-RO"/>
              </w:rPr>
            </w:pPr>
            <w:r w:rsidRPr="004331D6">
              <w:rPr>
                <w:rFonts w:ascii="Times New Roman" w:eastAsia="Calibri" w:hAnsi="Times New Roman" w:cs="Times New Roman"/>
                <w:noProof/>
                <w:lang w:val="ro-RO"/>
              </w:rPr>
              <w:t xml:space="preserve">Proiectul necesită a fi ajustat prin prisma renumerotării prevederilor, conform recomandării de la proiectul de hotărâre, iar prevederile de la pct. 19 - 28 nu reflectă norme juridice, ci conține explicații, trimiteri la Ghidurile OCDE privind întreprinderile multinaționale și detalieri, ceea ce îngreunează înțelegerea normelor, și în consecință aplicarea acestora în practică. </w:t>
            </w:r>
          </w:p>
          <w:p w14:paraId="36C62C92" w14:textId="77777777" w:rsidR="0011010C" w:rsidRPr="004331D6" w:rsidRDefault="0011010C" w:rsidP="005B2CC7">
            <w:pPr>
              <w:jc w:val="both"/>
              <w:rPr>
                <w:rFonts w:ascii="Times New Roman" w:eastAsia="Calibri" w:hAnsi="Times New Roman" w:cs="Times New Roman"/>
                <w:noProof/>
                <w:lang w:val="ro-RO"/>
              </w:rPr>
            </w:pPr>
            <w:r w:rsidRPr="004331D6">
              <w:rPr>
                <w:rFonts w:ascii="Times New Roman" w:eastAsia="Calibri" w:hAnsi="Times New Roman" w:cs="Times New Roman"/>
                <w:noProof/>
                <w:lang w:val="ro-RO"/>
              </w:rPr>
              <w:t xml:space="preserve">Astfel, proiectul urmează a fi ajustat pentru a asigura o implementare eficientă a normelor, iar la redactarea proiectului se va ține cont de normele de tehnică legislativă. </w:t>
            </w:r>
          </w:p>
          <w:p w14:paraId="6BA8BBBF" w14:textId="77777777" w:rsidR="0011010C" w:rsidRPr="00E41464" w:rsidRDefault="0011010C" w:rsidP="005B2CC7">
            <w:pPr>
              <w:jc w:val="both"/>
              <w:rPr>
                <w:rFonts w:ascii="Times New Roman" w:eastAsia="Calibri" w:hAnsi="Times New Roman" w:cs="Times New Roman"/>
                <w:noProof/>
                <w:color w:val="000000" w:themeColor="text1"/>
                <w:lang w:val="ro-RO"/>
              </w:rPr>
            </w:pPr>
            <w:r w:rsidRPr="004331D6">
              <w:rPr>
                <w:rFonts w:ascii="Times New Roman" w:eastAsia="Calibri" w:hAnsi="Times New Roman" w:cs="Times New Roman"/>
                <w:noProof/>
                <w:lang w:val="ro-RO"/>
              </w:rPr>
              <w:t xml:space="preserve">De </w:t>
            </w:r>
            <w:r w:rsidRPr="00E41464">
              <w:rPr>
                <w:rFonts w:ascii="Times New Roman" w:eastAsia="Calibri" w:hAnsi="Times New Roman" w:cs="Times New Roman"/>
                <w:noProof/>
                <w:color w:val="000000" w:themeColor="text1"/>
                <w:lang w:val="ro-RO"/>
              </w:rPr>
              <w:t xml:space="preserve">asemenea, se recomandă excluderea referințelor la proiecte de acte normative planificate, deoarece acestea nu produc efecte juridice. </w:t>
            </w:r>
          </w:p>
          <w:p w14:paraId="43377F01" w14:textId="77777777" w:rsidR="0011010C" w:rsidRPr="00E41464" w:rsidRDefault="0011010C" w:rsidP="005B2CC7">
            <w:pPr>
              <w:jc w:val="both"/>
              <w:rPr>
                <w:rFonts w:ascii="Times New Roman" w:eastAsia="Calibri" w:hAnsi="Times New Roman" w:cs="Times New Roman"/>
                <w:noProof/>
                <w:color w:val="000000" w:themeColor="text1"/>
                <w:lang w:val="ro-RO"/>
              </w:rPr>
            </w:pPr>
            <w:r w:rsidRPr="00E41464">
              <w:rPr>
                <w:rFonts w:ascii="Times New Roman" w:eastAsia="Calibri" w:hAnsi="Times New Roman" w:cs="Times New Roman"/>
                <w:noProof/>
                <w:color w:val="000000" w:themeColor="text1"/>
                <w:lang w:val="ro-RO"/>
              </w:rPr>
              <w:t xml:space="preserve">Se constată că proiectul face referire la resursele marine, în conformitate cu Regulamentul (UE) 2020/852. Având în vedere că Republica Moldova nu dispune de </w:t>
            </w:r>
            <w:r w:rsidRPr="00E41464">
              <w:rPr>
                <w:rFonts w:ascii="Times New Roman" w:eastAsia="Calibri" w:hAnsi="Times New Roman" w:cs="Times New Roman"/>
                <w:noProof/>
                <w:color w:val="000000" w:themeColor="text1"/>
                <w:lang w:val="ro-RO"/>
              </w:rPr>
              <w:lastRenderedPageBreak/>
              <w:t xml:space="preserve">ape marine, această componentă nu este aplicabilă în context național. Astfel, se recomandă excluderea referințelor la resursele marine. </w:t>
            </w:r>
          </w:p>
          <w:p w14:paraId="3C20C995" w14:textId="2688D632" w:rsidR="0011010C" w:rsidRPr="00261295" w:rsidRDefault="0011010C" w:rsidP="005B2CC7">
            <w:pPr>
              <w:jc w:val="both"/>
              <w:rPr>
                <w:rFonts w:ascii="Times New Roman" w:eastAsia="Calibri" w:hAnsi="Times New Roman" w:cs="Times New Roman"/>
                <w:noProof/>
                <w:lang w:val="ro-RO"/>
              </w:rPr>
            </w:pPr>
            <w:r w:rsidRPr="00E41464">
              <w:rPr>
                <w:rFonts w:ascii="Times New Roman" w:eastAsia="Calibri" w:hAnsi="Times New Roman" w:cs="Times New Roman"/>
                <w:noProof/>
                <w:color w:val="000000" w:themeColor="text1"/>
                <w:lang w:val="ro-RO"/>
              </w:rPr>
              <w:t xml:space="preserve">Totodată, se constată că proiectul face referire la ape de coastă </w:t>
            </w:r>
            <w:r w:rsidRPr="004331D6">
              <w:rPr>
                <w:rFonts w:ascii="Times New Roman" w:eastAsia="Calibri" w:hAnsi="Times New Roman" w:cs="Times New Roman"/>
                <w:noProof/>
                <w:lang w:val="ro-RO"/>
              </w:rPr>
              <w:t>și ape de tranziție. Având în vedere că Republica Moldova nu dispune de astfel de categorii de corpuri de apă, în sensul Directivei - cadru Apă, aceste prevederi nu sunt aplicabile în context național. Prin urmare, se recomandă excluderea referințelor respective.</w:t>
            </w:r>
          </w:p>
        </w:tc>
        <w:tc>
          <w:tcPr>
            <w:tcW w:w="1458" w:type="pct"/>
          </w:tcPr>
          <w:p w14:paraId="07EF6277" w14:textId="77777777" w:rsidR="0011010C" w:rsidRDefault="0011010C" w:rsidP="005B2CC7">
            <w:pPr>
              <w:rPr>
                <w:rFonts w:ascii="Times New Roman" w:eastAsia="Calibri" w:hAnsi="Times New Roman" w:cs="Times New Roman"/>
              </w:rPr>
            </w:pPr>
          </w:p>
          <w:p w14:paraId="33CDCD8E" w14:textId="0385B60F" w:rsidR="0011010C" w:rsidRPr="00A23FF0" w:rsidRDefault="0011010C" w:rsidP="005B2CC7">
            <w:pPr>
              <w:rPr>
                <w:rFonts w:ascii="Times New Roman" w:hAnsi="Times New Roman" w:cs="Times New Roman"/>
                <w:b/>
                <w:bCs/>
                <w:color w:val="000000" w:themeColor="text1"/>
              </w:rPr>
            </w:pPr>
            <w:r w:rsidRPr="00A23FF0">
              <w:rPr>
                <w:rFonts w:ascii="Times New Roman" w:hAnsi="Times New Roman" w:cs="Times New Roman"/>
                <w:b/>
                <w:bCs/>
                <w:color w:val="000000" w:themeColor="text1"/>
              </w:rPr>
              <w:t>Se acceptă parțial.</w:t>
            </w:r>
          </w:p>
          <w:p w14:paraId="6AC1FE57" w14:textId="5412D1CD" w:rsidR="0011010C" w:rsidRPr="00A23FF0" w:rsidRDefault="0011010C" w:rsidP="00A23FF0">
            <w:pPr>
              <w:jc w:val="both"/>
              <w:rPr>
                <w:rFonts w:ascii="Times New Roman" w:hAnsi="Times New Roman" w:cs="Times New Roman"/>
                <w:color w:val="000000" w:themeColor="text1"/>
              </w:rPr>
            </w:pPr>
            <w:r w:rsidRPr="00A23FF0">
              <w:rPr>
                <w:rFonts w:ascii="Times New Roman" w:hAnsi="Times New Roman" w:cs="Times New Roman"/>
                <w:color w:val="000000" w:themeColor="text1"/>
              </w:rPr>
              <w:t xml:space="preserve">Ca rezultat al avizelor instituțiilor și autorităților de resort, </w:t>
            </w:r>
            <w:r>
              <w:rPr>
                <w:rFonts w:ascii="Times New Roman" w:hAnsi="Times New Roman" w:cs="Times New Roman"/>
                <w:color w:val="000000" w:themeColor="text1"/>
              </w:rPr>
              <w:t>unele prevederi și noțiunii, terminologii au fost revăzute conform cadrului legal aplicabil.</w:t>
            </w:r>
          </w:p>
          <w:p w14:paraId="133928BC" w14:textId="77777777" w:rsidR="0011010C" w:rsidRDefault="0011010C" w:rsidP="005B2CC7">
            <w:pPr>
              <w:rPr>
                <w:rFonts w:ascii="Times New Roman" w:hAnsi="Times New Roman" w:cs="Times New Roman"/>
                <w:b/>
                <w:bCs/>
                <w:color w:val="C00000"/>
              </w:rPr>
            </w:pPr>
          </w:p>
          <w:p w14:paraId="2EE74D30" w14:textId="77777777" w:rsidR="0011010C" w:rsidRDefault="0011010C" w:rsidP="005B2CC7">
            <w:pPr>
              <w:rPr>
                <w:rFonts w:ascii="Times New Roman" w:hAnsi="Times New Roman" w:cs="Times New Roman"/>
                <w:b/>
                <w:bCs/>
                <w:color w:val="C00000"/>
              </w:rPr>
            </w:pPr>
          </w:p>
          <w:p w14:paraId="70F25D73" w14:textId="77777777" w:rsidR="0011010C" w:rsidRDefault="0011010C" w:rsidP="005B2CC7">
            <w:pPr>
              <w:rPr>
                <w:rFonts w:ascii="Times New Roman" w:hAnsi="Times New Roman" w:cs="Times New Roman"/>
                <w:b/>
                <w:bCs/>
                <w:color w:val="C00000"/>
              </w:rPr>
            </w:pPr>
          </w:p>
          <w:p w14:paraId="72E0D78C" w14:textId="77777777" w:rsidR="0011010C" w:rsidRDefault="0011010C" w:rsidP="005B2CC7">
            <w:pPr>
              <w:rPr>
                <w:rFonts w:ascii="Times New Roman" w:hAnsi="Times New Roman" w:cs="Times New Roman"/>
                <w:b/>
                <w:bCs/>
                <w:color w:val="C00000"/>
              </w:rPr>
            </w:pPr>
          </w:p>
          <w:p w14:paraId="1A4C683D" w14:textId="77777777" w:rsidR="0011010C" w:rsidRDefault="0011010C" w:rsidP="005B2CC7">
            <w:pPr>
              <w:rPr>
                <w:rFonts w:ascii="Times New Roman" w:hAnsi="Times New Roman" w:cs="Times New Roman"/>
                <w:b/>
                <w:bCs/>
                <w:color w:val="C00000"/>
              </w:rPr>
            </w:pPr>
          </w:p>
          <w:p w14:paraId="5A02BC83" w14:textId="77777777" w:rsidR="0011010C" w:rsidRDefault="0011010C" w:rsidP="005B2CC7">
            <w:pPr>
              <w:rPr>
                <w:rFonts w:ascii="Times New Roman" w:hAnsi="Times New Roman" w:cs="Times New Roman"/>
                <w:b/>
                <w:bCs/>
                <w:color w:val="C00000"/>
              </w:rPr>
            </w:pPr>
          </w:p>
          <w:p w14:paraId="3CCA4AC5" w14:textId="77777777" w:rsidR="0011010C" w:rsidRDefault="0011010C" w:rsidP="005B2CC7">
            <w:pPr>
              <w:rPr>
                <w:rFonts w:ascii="Times New Roman" w:hAnsi="Times New Roman" w:cs="Times New Roman"/>
                <w:b/>
                <w:bCs/>
                <w:color w:val="C00000"/>
              </w:rPr>
            </w:pPr>
          </w:p>
          <w:p w14:paraId="0CF165E1" w14:textId="77777777" w:rsidR="0011010C" w:rsidRDefault="0011010C" w:rsidP="005B2CC7">
            <w:pPr>
              <w:rPr>
                <w:rFonts w:ascii="Times New Roman" w:hAnsi="Times New Roman" w:cs="Times New Roman"/>
                <w:b/>
                <w:bCs/>
                <w:color w:val="C00000"/>
              </w:rPr>
            </w:pPr>
          </w:p>
          <w:p w14:paraId="1BE75067" w14:textId="77777777" w:rsidR="0011010C" w:rsidRDefault="0011010C" w:rsidP="005B2CC7">
            <w:pPr>
              <w:rPr>
                <w:rFonts w:ascii="Times New Roman" w:hAnsi="Times New Roman" w:cs="Times New Roman"/>
                <w:b/>
                <w:bCs/>
                <w:color w:val="C00000"/>
              </w:rPr>
            </w:pPr>
          </w:p>
          <w:p w14:paraId="03D30252" w14:textId="77777777" w:rsidR="0011010C" w:rsidRDefault="0011010C" w:rsidP="005B2CC7">
            <w:pPr>
              <w:rPr>
                <w:rFonts w:ascii="Times New Roman" w:hAnsi="Times New Roman" w:cs="Times New Roman"/>
                <w:b/>
                <w:bCs/>
                <w:color w:val="C00000"/>
              </w:rPr>
            </w:pPr>
          </w:p>
          <w:p w14:paraId="6DD734C8" w14:textId="77777777" w:rsidR="0011010C" w:rsidRDefault="0011010C" w:rsidP="005B2CC7">
            <w:pPr>
              <w:rPr>
                <w:rFonts w:ascii="Times New Roman" w:hAnsi="Times New Roman" w:cs="Times New Roman"/>
                <w:b/>
                <w:bCs/>
                <w:color w:val="C00000"/>
              </w:rPr>
            </w:pPr>
          </w:p>
          <w:p w14:paraId="330EE1BD" w14:textId="77777777" w:rsidR="0011010C" w:rsidRDefault="0011010C" w:rsidP="005B2CC7">
            <w:pPr>
              <w:rPr>
                <w:rFonts w:ascii="Times New Roman" w:hAnsi="Times New Roman" w:cs="Times New Roman"/>
                <w:b/>
                <w:bCs/>
                <w:color w:val="C00000"/>
              </w:rPr>
            </w:pPr>
          </w:p>
          <w:p w14:paraId="04270AAE" w14:textId="77777777" w:rsidR="0011010C" w:rsidRDefault="0011010C" w:rsidP="005B2CC7">
            <w:pPr>
              <w:rPr>
                <w:rFonts w:ascii="Times New Roman" w:hAnsi="Times New Roman" w:cs="Times New Roman"/>
                <w:b/>
                <w:bCs/>
                <w:color w:val="C00000"/>
              </w:rPr>
            </w:pPr>
          </w:p>
          <w:p w14:paraId="7C39ACE9" w14:textId="5CF6D3C5" w:rsidR="0011010C" w:rsidRPr="00E41464" w:rsidRDefault="0011010C" w:rsidP="005B2CC7">
            <w:pPr>
              <w:rPr>
                <w:rFonts w:ascii="Times New Roman" w:hAnsi="Times New Roman" w:cs="Times New Roman"/>
                <w:b/>
                <w:bCs/>
                <w:color w:val="000000" w:themeColor="text1"/>
              </w:rPr>
            </w:pPr>
            <w:r w:rsidRPr="00E41464">
              <w:rPr>
                <w:rFonts w:ascii="Times New Roman" w:hAnsi="Times New Roman" w:cs="Times New Roman"/>
                <w:b/>
                <w:bCs/>
                <w:color w:val="000000" w:themeColor="text1"/>
              </w:rPr>
              <w:t>Se acceptă</w:t>
            </w:r>
          </w:p>
          <w:p w14:paraId="50E23703" w14:textId="0D6AB31D" w:rsidR="0011010C" w:rsidRPr="004331D6" w:rsidRDefault="0011010C" w:rsidP="005B2CC7">
            <w:pPr>
              <w:rPr>
                <w:rFonts w:ascii="Times New Roman" w:eastAsia="Calibri" w:hAnsi="Times New Roman" w:cs="Times New Roman"/>
                <w:b/>
                <w:bCs/>
              </w:rPr>
            </w:pPr>
            <w:r w:rsidRPr="00E41464">
              <w:rPr>
                <w:rFonts w:ascii="Times New Roman" w:hAnsi="Times New Roman" w:cs="Times New Roman"/>
                <w:color w:val="000000" w:themeColor="text1"/>
              </w:rPr>
              <w:t xml:space="preserve">Referința la </w:t>
            </w:r>
            <w:r>
              <w:rPr>
                <w:rFonts w:ascii="Times New Roman" w:hAnsi="Times New Roman" w:cs="Times New Roman"/>
                <w:color w:val="000000" w:themeColor="text1"/>
              </w:rPr>
              <w:t>„</w:t>
            </w:r>
            <w:r w:rsidRPr="00E41464">
              <w:rPr>
                <w:rFonts w:ascii="Times New Roman" w:hAnsi="Times New Roman" w:cs="Times New Roman"/>
                <w:color w:val="000000" w:themeColor="text1"/>
              </w:rPr>
              <w:t>marine” a fost exclusă</w:t>
            </w:r>
            <w:r>
              <w:rPr>
                <w:rFonts w:ascii="Times New Roman" w:hAnsi="Times New Roman" w:cs="Times New Roman"/>
                <w:color w:val="000000" w:themeColor="text1"/>
              </w:rPr>
              <w:t xml:space="preserve"> din proiect.</w:t>
            </w:r>
          </w:p>
        </w:tc>
      </w:tr>
      <w:tr w:rsidR="0011010C" w:rsidRPr="00882F72" w14:paraId="34BB88E5" w14:textId="77777777" w:rsidTr="00F968A9">
        <w:trPr>
          <w:trHeight w:val="1871"/>
        </w:trPr>
        <w:tc>
          <w:tcPr>
            <w:tcW w:w="797" w:type="pct"/>
            <w:vMerge/>
          </w:tcPr>
          <w:p w14:paraId="662BD715" w14:textId="77777777" w:rsidR="0011010C" w:rsidRPr="00261295" w:rsidRDefault="0011010C" w:rsidP="005B2CC7">
            <w:pPr>
              <w:tabs>
                <w:tab w:val="left" w:pos="355"/>
              </w:tabs>
              <w:rPr>
                <w:rFonts w:ascii="Times New Roman" w:eastAsia="Calibri" w:hAnsi="Times New Roman" w:cs="Times New Roman"/>
                <w:b/>
                <w:bCs/>
              </w:rPr>
            </w:pPr>
          </w:p>
        </w:tc>
        <w:tc>
          <w:tcPr>
            <w:tcW w:w="240" w:type="pct"/>
          </w:tcPr>
          <w:p w14:paraId="56173F8B" w14:textId="77777777" w:rsidR="0011010C" w:rsidRPr="005A05AE" w:rsidRDefault="0011010C">
            <w:pPr>
              <w:pStyle w:val="ListParagraph"/>
              <w:numPr>
                <w:ilvl w:val="0"/>
                <w:numId w:val="14"/>
              </w:numPr>
              <w:rPr>
                <w:rFonts w:ascii="Times New Roman" w:eastAsia="Calibri" w:hAnsi="Times New Roman" w:cs="Times New Roman"/>
                <w:b/>
                <w:bCs/>
                <w:noProof/>
                <w:lang w:val="ro-RO"/>
              </w:rPr>
            </w:pPr>
          </w:p>
        </w:tc>
        <w:tc>
          <w:tcPr>
            <w:tcW w:w="2505" w:type="pct"/>
          </w:tcPr>
          <w:p w14:paraId="74E420C8" w14:textId="3116E335"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La Capitolul I. Dispoziții generale: </w:t>
            </w:r>
          </w:p>
          <w:p w14:paraId="6ECA7DCF"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 cuvântul „sustenabile” se va substitui cu termenul „durabile”, iar cuvântul „înconjurător” se va exclude în vederea utilizării consecvente a textului: „activități economice durabile din punct de vedere al mediului”, corespunzător formulării utilizate pe parcursul proiectului și în concordanță cu terminologia Regulamentului (UE) 2020/852. </w:t>
            </w:r>
          </w:p>
          <w:p w14:paraId="6949506E"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2 lit. a), textul „la energiile cu emisii scăzute de dioxid de carbon, asigurând o creștere pe termen lung, cunoscută și sub numele de tranziția către creșterea durabilă și incluzivă” se propune a fi substituit textul: „la energia cu emisii reduse de carbon, în vederea asigurării unei creșteri economice durabile”. </w:t>
            </w:r>
          </w:p>
          <w:p w14:paraId="3AE740FB" w14:textId="3C9F6AE5"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La pct. 2 lit. c), se propune reformularea textului cu următorul conținut: „instituirea unui cadru armonizat, care să asigure transparența pieței și să prevină practicile de dezinformare ecologică („greenwashing”)”.</w:t>
            </w:r>
          </w:p>
        </w:tc>
        <w:tc>
          <w:tcPr>
            <w:tcW w:w="1458" w:type="pct"/>
          </w:tcPr>
          <w:p w14:paraId="54875E13"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33F50E56" w14:textId="280DDFB9" w:rsidR="0011010C" w:rsidRDefault="0011010C" w:rsidP="005B2CC7">
            <w:pPr>
              <w:rPr>
                <w:rFonts w:ascii="Times New Roman" w:eastAsia="Calibri" w:hAnsi="Times New Roman" w:cs="Times New Roman"/>
              </w:rPr>
            </w:pPr>
            <w:r w:rsidRPr="00A23D26">
              <w:rPr>
                <w:rFonts w:ascii="Times New Roman" w:eastAsia="Calibri" w:hAnsi="Times New Roman" w:cs="Times New Roman"/>
                <w:bCs/>
              </w:rPr>
              <w:t>Proiectul a fost completat conform propunerii.</w:t>
            </w:r>
          </w:p>
          <w:p w14:paraId="6C3BB50F" w14:textId="77777777" w:rsidR="0011010C" w:rsidRDefault="0011010C" w:rsidP="005B2CC7">
            <w:pPr>
              <w:rPr>
                <w:rFonts w:ascii="Times New Roman" w:eastAsia="Calibri" w:hAnsi="Times New Roman" w:cs="Times New Roman"/>
              </w:rPr>
            </w:pPr>
          </w:p>
          <w:p w14:paraId="4CF09F66" w14:textId="77777777" w:rsidR="0011010C" w:rsidRDefault="0011010C" w:rsidP="005B2CC7">
            <w:pPr>
              <w:rPr>
                <w:rFonts w:ascii="Times New Roman" w:eastAsia="Calibri" w:hAnsi="Times New Roman" w:cs="Times New Roman"/>
              </w:rPr>
            </w:pPr>
          </w:p>
          <w:p w14:paraId="509835CD" w14:textId="77777777" w:rsidR="0011010C" w:rsidRDefault="0011010C" w:rsidP="005B2CC7">
            <w:pPr>
              <w:rPr>
                <w:rFonts w:ascii="Times New Roman" w:eastAsia="Calibri" w:hAnsi="Times New Roman" w:cs="Times New Roman"/>
              </w:rPr>
            </w:pPr>
          </w:p>
          <w:p w14:paraId="26ADEE08" w14:textId="77777777" w:rsidR="0011010C" w:rsidRDefault="0011010C" w:rsidP="005B2CC7">
            <w:pPr>
              <w:rPr>
                <w:rFonts w:ascii="Times New Roman" w:eastAsia="Calibri" w:hAnsi="Times New Roman" w:cs="Times New Roman"/>
              </w:rPr>
            </w:pPr>
          </w:p>
          <w:p w14:paraId="54B4BCCB" w14:textId="50D4D020" w:rsidR="0011010C" w:rsidRPr="00882F72" w:rsidRDefault="0011010C" w:rsidP="005B2CC7">
            <w:pPr>
              <w:rPr>
                <w:rFonts w:ascii="Times New Roman" w:eastAsia="Calibri" w:hAnsi="Times New Roman" w:cs="Times New Roman"/>
              </w:rPr>
            </w:pPr>
          </w:p>
        </w:tc>
      </w:tr>
      <w:tr w:rsidR="0011010C" w:rsidRPr="00882F72" w14:paraId="2B6F1B89" w14:textId="77777777" w:rsidTr="00F968A9">
        <w:trPr>
          <w:trHeight w:val="562"/>
        </w:trPr>
        <w:tc>
          <w:tcPr>
            <w:tcW w:w="797" w:type="pct"/>
            <w:vMerge/>
          </w:tcPr>
          <w:p w14:paraId="3C5FABEF" w14:textId="77777777" w:rsidR="0011010C" w:rsidRPr="00261295" w:rsidRDefault="0011010C" w:rsidP="005B2CC7">
            <w:pPr>
              <w:tabs>
                <w:tab w:val="left" w:pos="355"/>
              </w:tabs>
              <w:rPr>
                <w:rFonts w:ascii="Times New Roman" w:eastAsia="Calibri" w:hAnsi="Times New Roman" w:cs="Times New Roman"/>
                <w:b/>
                <w:bCs/>
              </w:rPr>
            </w:pPr>
          </w:p>
        </w:tc>
        <w:tc>
          <w:tcPr>
            <w:tcW w:w="240" w:type="pct"/>
          </w:tcPr>
          <w:p w14:paraId="3D53CF6F" w14:textId="77777777" w:rsidR="0011010C" w:rsidRPr="005A05AE" w:rsidRDefault="0011010C">
            <w:pPr>
              <w:pStyle w:val="ListParagraph"/>
              <w:numPr>
                <w:ilvl w:val="0"/>
                <w:numId w:val="14"/>
              </w:numPr>
              <w:rPr>
                <w:rFonts w:ascii="Times New Roman" w:eastAsia="Calibri" w:hAnsi="Times New Roman" w:cs="Times New Roman"/>
                <w:b/>
                <w:bCs/>
                <w:noProof/>
                <w:lang w:val="ro-RO"/>
              </w:rPr>
            </w:pPr>
          </w:p>
        </w:tc>
        <w:tc>
          <w:tcPr>
            <w:tcW w:w="2505" w:type="pct"/>
          </w:tcPr>
          <w:p w14:paraId="478F7B84"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La Capitolul III. Activități economice durabile din punctul de vedere al mediului, </w:t>
            </w:r>
          </w:p>
          <w:p w14:paraId="66826159"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Secțiunea I. Definițiile de „Contribuție Substanțială”: </w:t>
            </w:r>
          </w:p>
          <w:p w14:paraId="32DD90D7"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16.4, lit. d), textul ,,substanțele care prezintă motive de îngrijorare deosebită” se va substitui cu textul ,,substanțele cu risc înalt pentru sănătatea umană și pentru mediu”, astfel cum prevede Legea nr. 277/2018 privind substanțele chimice – cadrul primar de reglementare în domeniul gestionării substanțelor chimice. Totodată, sintagma ,,în dreptul Uniunii” se va exclude ca fiind irelevantă pentru cadrul normativ național. </w:t>
            </w:r>
          </w:p>
          <w:p w14:paraId="790A4518"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16.4 lit. j), după sintagma „incinerarea deșeurilor” se propune completarea cu textul „ , cu excepția incinerării deșeurilor reziduale/nereciclabile, efectuate în instalații autorizate, care respectă concluziile BAT aplicabile și valorile-limită de emisii (BAT-AEL).” </w:t>
            </w:r>
          </w:p>
          <w:p w14:paraId="5349A679" w14:textId="332DE2C0" w:rsidR="0011010C" w:rsidRPr="00D345AA"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16.6 lit. a), textul „habitatelor și a speciilor naturale și seminaturale” se va substitui cu textul „habitatelor naturale și seminaturale și a speciilor de floră și faună sălbatică”. </w:t>
            </w:r>
          </w:p>
        </w:tc>
        <w:tc>
          <w:tcPr>
            <w:tcW w:w="1458" w:type="pct"/>
          </w:tcPr>
          <w:p w14:paraId="7B93F0EB" w14:textId="77777777" w:rsidR="0011010C" w:rsidRPr="00A23D26" w:rsidRDefault="0011010C" w:rsidP="005B2CC7">
            <w:pPr>
              <w:rPr>
                <w:rFonts w:ascii="Times New Roman" w:eastAsia="Calibri" w:hAnsi="Times New Roman" w:cs="Times New Roman"/>
                <w:bCs/>
              </w:rPr>
            </w:pPr>
            <w:r w:rsidRPr="00A23D26">
              <w:rPr>
                <w:rFonts w:ascii="Times New Roman" w:eastAsia="Calibri" w:hAnsi="Times New Roman" w:cs="Times New Roman"/>
                <w:b/>
                <w:bCs/>
              </w:rPr>
              <w:t>Se acceptă</w:t>
            </w:r>
            <w:r w:rsidRPr="00A23D26">
              <w:rPr>
                <w:rFonts w:ascii="Times New Roman" w:eastAsia="Calibri" w:hAnsi="Times New Roman" w:cs="Times New Roman"/>
                <w:bCs/>
              </w:rPr>
              <w:t xml:space="preserve"> </w:t>
            </w:r>
          </w:p>
          <w:p w14:paraId="4B843EEE" w14:textId="0257C101"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4B6C7785" w14:textId="77777777" w:rsidTr="00F968A9">
        <w:trPr>
          <w:trHeight w:val="1259"/>
        </w:trPr>
        <w:tc>
          <w:tcPr>
            <w:tcW w:w="797" w:type="pct"/>
            <w:vMerge/>
          </w:tcPr>
          <w:p w14:paraId="31E7ED5B" w14:textId="77777777" w:rsidR="0011010C" w:rsidRPr="00261295" w:rsidRDefault="0011010C" w:rsidP="005B2CC7">
            <w:pPr>
              <w:tabs>
                <w:tab w:val="left" w:pos="355"/>
              </w:tabs>
              <w:rPr>
                <w:rFonts w:ascii="Times New Roman" w:eastAsia="Calibri" w:hAnsi="Times New Roman" w:cs="Times New Roman"/>
                <w:b/>
                <w:bCs/>
              </w:rPr>
            </w:pPr>
          </w:p>
        </w:tc>
        <w:tc>
          <w:tcPr>
            <w:tcW w:w="240" w:type="pct"/>
          </w:tcPr>
          <w:p w14:paraId="3C711970" w14:textId="77777777" w:rsidR="0011010C" w:rsidRPr="00D345AA" w:rsidRDefault="0011010C">
            <w:pPr>
              <w:pStyle w:val="ListParagraph"/>
              <w:numPr>
                <w:ilvl w:val="0"/>
                <w:numId w:val="14"/>
              </w:numPr>
              <w:rPr>
                <w:rFonts w:ascii="Times New Roman" w:eastAsia="Calibri" w:hAnsi="Times New Roman" w:cs="Times New Roman"/>
                <w:b/>
                <w:bCs/>
                <w:noProof/>
                <w:lang w:val="ro-RO"/>
              </w:rPr>
            </w:pPr>
          </w:p>
        </w:tc>
        <w:tc>
          <w:tcPr>
            <w:tcW w:w="2505" w:type="pct"/>
          </w:tcPr>
          <w:p w14:paraId="03D80FA2" w14:textId="02609BEC"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La Secțiunea II. Definițiile „A nu prejudicia în mod semnificativ” (DNSH): </w:t>
            </w:r>
          </w:p>
          <w:p w14:paraId="12DC61FB"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18, cu referire la textul „A nu prejudicia în mod semnificativ (DNSH)”, se constată o neconcordanță de terminologie fiind utilizată sintagma „daune nesemnificative”, deși logica descrierilor vizează prejudicierea/daunele semnificative. </w:t>
            </w:r>
          </w:p>
          <w:p w14:paraId="2BA784C8"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18.3 în vederea menținerii sensului prevăzut la art. 17 alin. (1) lit. (c) din Regulamentul (UE) 2020/852, textul „prejudiciază fie starea bună, fie” se va substitui </w:t>
            </w:r>
            <w:r w:rsidRPr="00261295">
              <w:rPr>
                <w:rFonts w:ascii="Times New Roman" w:eastAsia="Calibri" w:hAnsi="Times New Roman" w:cs="Times New Roman"/>
                <w:noProof/>
                <w:lang w:val="ro-RO"/>
              </w:rPr>
              <w:lastRenderedPageBreak/>
              <w:t xml:space="preserve">cu textul „este nocivă pentru starea bună sau pentru”, pentru a asigura concordanța terminologică cu actul european. </w:t>
            </w:r>
          </w:p>
          <w:p w14:paraId="549DBD64"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18.4 subpct. (ii), (unde este deja prevăzută excepția pentru „incinerarea deșeurilor periculoase nereciclabile”) se propune extinderea excepției, prin completarea cu următorul text: „precum și incinerarea deșeurilor reziduale/nereciclabile, atunci când aceasta are loc în instalații autorizate care respectă concluziile BAT și BAT-AEL aplicabile.” </w:t>
            </w:r>
          </w:p>
          <w:p w14:paraId="298993CD" w14:textId="2408F1F2"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noProof/>
                <w:lang w:val="ro-RO"/>
              </w:rPr>
              <w:t xml:space="preserve">La pct. 18.6 </w:t>
            </w:r>
            <w:r w:rsidRPr="00261295">
              <w:rPr>
                <w:rFonts w:ascii="Times New Roman" w:eastAsia="Calibri" w:hAnsi="Times New Roman" w:cs="Times New Roman"/>
                <w:i/>
                <w:iCs/>
                <w:noProof/>
                <w:lang w:val="ro-RO"/>
              </w:rPr>
              <w:t xml:space="preserve">DNSH în raport cu biodiversitatea, </w:t>
            </w:r>
            <w:r w:rsidRPr="00261295">
              <w:rPr>
                <w:rFonts w:ascii="Times New Roman" w:eastAsia="Calibri" w:hAnsi="Times New Roman" w:cs="Times New Roman"/>
                <w:noProof/>
                <w:lang w:val="ro-RO"/>
              </w:rPr>
              <w:t xml:space="preserve">după textul: „stării de conservare a habitatelor și a speciilor” se va completa cu textul „inclusiv prin pierderea habitatelor naturale, fragmentarea ecosistemelor sau introducerea speciilor invazive”. </w:t>
            </w:r>
          </w:p>
        </w:tc>
        <w:tc>
          <w:tcPr>
            <w:tcW w:w="1458" w:type="pct"/>
          </w:tcPr>
          <w:p w14:paraId="6A9C5BB5"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lastRenderedPageBreak/>
              <w:t>Se acceptă</w:t>
            </w:r>
          </w:p>
          <w:p w14:paraId="1DF7EDDA" w14:textId="044AE6AB"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79900177" w14:textId="77777777" w:rsidTr="00F968A9">
        <w:trPr>
          <w:trHeight w:val="850"/>
        </w:trPr>
        <w:tc>
          <w:tcPr>
            <w:tcW w:w="797" w:type="pct"/>
            <w:vMerge/>
          </w:tcPr>
          <w:p w14:paraId="55190726" w14:textId="77777777" w:rsidR="0011010C" w:rsidRPr="00261295" w:rsidRDefault="0011010C" w:rsidP="005B2CC7">
            <w:pPr>
              <w:tabs>
                <w:tab w:val="left" w:pos="355"/>
              </w:tabs>
              <w:rPr>
                <w:rFonts w:ascii="Times New Roman" w:eastAsia="Calibri" w:hAnsi="Times New Roman" w:cs="Times New Roman"/>
                <w:b/>
                <w:bCs/>
              </w:rPr>
            </w:pPr>
          </w:p>
        </w:tc>
        <w:tc>
          <w:tcPr>
            <w:tcW w:w="240" w:type="pct"/>
          </w:tcPr>
          <w:p w14:paraId="3C3432F8" w14:textId="77777777" w:rsidR="0011010C" w:rsidRPr="00D345AA" w:rsidRDefault="0011010C">
            <w:pPr>
              <w:pStyle w:val="ListParagraph"/>
              <w:numPr>
                <w:ilvl w:val="0"/>
                <w:numId w:val="14"/>
              </w:numPr>
              <w:rPr>
                <w:rFonts w:ascii="Times New Roman" w:eastAsia="Calibri" w:hAnsi="Times New Roman" w:cs="Times New Roman"/>
                <w:b/>
                <w:bCs/>
                <w:noProof/>
                <w:lang w:val="ro-RO"/>
              </w:rPr>
            </w:pPr>
          </w:p>
        </w:tc>
        <w:tc>
          <w:tcPr>
            <w:tcW w:w="2505" w:type="pct"/>
          </w:tcPr>
          <w:p w14:paraId="1819AE48" w14:textId="77777777" w:rsidR="0011010C" w:rsidRPr="00261295" w:rsidRDefault="0011010C" w:rsidP="005B2CC7">
            <w:pPr>
              <w:jc w:val="both"/>
              <w:rPr>
                <w:rFonts w:ascii="Times New Roman" w:eastAsia="Calibri" w:hAnsi="Times New Roman" w:cs="Times New Roman"/>
                <w:noProof/>
                <w:lang w:val="ro-RO"/>
              </w:rPr>
            </w:pPr>
            <w:r w:rsidRPr="00261295">
              <w:rPr>
                <w:rFonts w:ascii="Times New Roman" w:eastAsia="Calibri" w:hAnsi="Times New Roman" w:cs="Times New Roman"/>
                <w:b/>
                <w:bCs/>
                <w:noProof/>
                <w:lang w:val="ro-RO"/>
              </w:rPr>
              <w:t xml:space="preserve">La Secțiunea IV. Activități considerate tranzitorii sau de facilitare: </w:t>
            </w:r>
          </w:p>
          <w:p w14:paraId="399418BB" w14:textId="2C3FBB80" w:rsidR="0011010C" w:rsidRPr="00261295" w:rsidRDefault="0011010C" w:rsidP="005B2CC7">
            <w:pPr>
              <w:jc w:val="both"/>
              <w:rPr>
                <w:rFonts w:ascii="Times New Roman" w:eastAsia="Calibri" w:hAnsi="Times New Roman" w:cs="Times New Roman"/>
                <w:b/>
                <w:bCs/>
                <w:noProof/>
                <w:lang w:val="ro-RO"/>
              </w:rPr>
            </w:pPr>
            <w:r w:rsidRPr="00261295">
              <w:rPr>
                <w:rFonts w:ascii="Times New Roman" w:eastAsia="Calibri" w:hAnsi="Times New Roman" w:cs="Times New Roman"/>
                <w:noProof/>
                <w:lang w:val="ro-RO"/>
              </w:rPr>
              <w:t>La pct. 24, precum și la Anexa nr. 4, pct. 1, textul „activități cu zero impact asupra mediului” se va substitui cu textul „activități cu impact redus asupra mediului”.</w:t>
            </w:r>
          </w:p>
        </w:tc>
        <w:tc>
          <w:tcPr>
            <w:tcW w:w="1458" w:type="pct"/>
          </w:tcPr>
          <w:p w14:paraId="68713E3F"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01858019" w14:textId="31487585"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7D3FB9C1" w14:textId="77777777" w:rsidTr="00F968A9">
        <w:tc>
          <w:tcPr>
            <w:tcW w:w="797" w:type="pct"/>
            <w:vMerge/>
          </w:tcPr>
          <w:p w14:paraId="56D79912"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728C51BE" w14:textId="77777777" w:rsidR="0011010C" w:rsidRPr="00D345AA" w:rsidRDefault="0011010C">
            <w:pPr>
              <w:pStyle w:val="ListParagraph"/>
              <w:numPr>
                <w:ilvl w:val="0"/>
                <w:numId w:val="14"/>
              </w:numPr>
              <w:rPr>
                <w:rFonts w:ascii="Times New Roman" w:eastAsia="Calibri" w:hAnsi="Times New Roman" w:cs="Times New Roman"/>
                <w:b/>
                <w:bCs/>
                <w:lang w:val="ro-RO"/>
              </w:rPr>
            </w:pPr>
          </w:p>
        </w:tc>
        <w:tc>
          <w:tcPr>
            <w:tcW w:w="2505" w:type="pct"/>
          </w:tcPr>
          <w:p w14:paraId="060A8198" w14:textId="59E99F2C" w:rsidR="0011010C" w:rsidRPr="00E42CB9" w:rsidRDefault="0011010C" w:rsidP="005B2CC7">
            <w:pPr>
              <w:jc w:val="both"/>
              <w:rPr>
                <w:rFonts w:ascii="Times New Roman" w:eastAsia="Calibri" w:hAnsi="Times New Roman" w:cs="Times New Roman"/>
                <w:lang w:val="en-US"/>
              </w:rPr>
            </w:pPr>
            <w:r w:rsidRPr="009E17F3">
              <w:rPr>
                <w:rFonts w:ascii="Times New Roman" w:eastAsia="Calibri" w:hAnsi="Times New Roman" w:cs="Times New Roman"/>
                <w:b/>
                <w:bCs/>
                <w:lang w:val="ro-RO"/>
              </w:rPr>
              <w:t xml:space="preserve">La Anexa nr. 1, </w:t>
            </w:r>
          </w:p>
          <w:p w14:paraId="5C1A6ACD" w14:textId="77777777"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b/>
                <w:bCs/>
                <w:lang w:val="ro-RO"/>
              </w:rPr>
              <w:t xml:space="preserve">Capitolul IV. Activități eligibile în cadrul obiectivului de utilizare durabilă și protecției resurselor de apă: </w:t>
            </w:r>
          </w:p>
          <w:p w14:paraId="28182D38" w14:textId="7301A6EB"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La pct. 1. </w:t>
            </w:r>
            <w:r w:rsidRPr="00D345AA">
              <w:rPr>
                <w:rFonts w:ascii="Times New Roman" w:eastAsia="Calibri" w:hAnsi="Times New Roman" w:cs="Times New Roman"/>
                <w:i/>
                <w:iCs/>
                <w:lang w:val="ro-RO"/>
              </w:rPr>
              <w:t xml:space="preserve">Industria prelucrătoare </w:t>
            </w:r>
            <w:r w:rsidRPr="00D345AA">
              <w:rPr>
                <w:rFonts w:ascii="Times New Roman" w:eastAsia="Calibri" w:hAnsi="Times New Roman" w:cs="Times New Roman"/>
                <w:lang w:val="ro-RO"/>
              </w:rPr>
              <w:t>cod E36, F42.99, se constată că prevederile pct. 2 fac referire la gestionarea riscurilor privind menținerea calității apei și prevenirea stresului hidric, precum și la evaluarea impactului asupra apei, fără delimitarea clară a cadrului normativ aplicabil. În acest context, se menționează că regimul de protecție, utilizare și atingere a stării bune a corpurilor de apă este reglementat prin Legea apelor nr. 272/2011, inclusiv prin planurile de management ale districtelor bazinelor hidrografice și prin regimul autorizării folosinței speciale a apei. Totodată, evaluarea impactului asupra mediului este reglementată prin Legea nr. 86/2014 privind evaluarea impactului asupra mediului, care stabilește procedura de analiză a impactului asupra factorilor de mediu, inclusiv asupra resurselor de apă, pentru proiectele supuse evaluării. Se impune corelarea expresă a textului cu aceste acte normative, pentru a evita suprapuneri sau interpretări paralele ale obligațiilor privind protecția resurselor de apă.</w:t>
            </w:r>
          </w:p>
        </w:tc>
        <w:tc>
          <w:tcPr>
            <w:tcW w:w="1458" w:type="pct"/>
          </w:tcPr>
          <w:p w14:paraId="2B6B2344" w14:textId="77777777" w:rsidR="0011010C" w:rsidRPr="00A23D26" w:rsidRDefault="0011010C" w:rsidP="005B2CC7">
            <w:pPr>
              <w:pStyle w:val="oj-normal"/>
              <w:spacing w:before="120" w:beforeAutospacing="0" w:after="0" w:afterAutospacing="0"/>
              <w:jc w:val="both"/>
              <w:rPr>
                <w:rFonts w:eastAsia="Calibri"/>
                <w:b/>
                <w:bCs/>
              </w:rPr>
            </w:pPr>
            <w:r w:rsidRPr="00A23D26">
              <w:rPr>
                <w:rFonts w:eastAsia="Calibri"/>
                <w:b/>
                <w:bCs/>
              </w:rPr>
              <w:t xml:space="preserve">Se </w:t>
            </w:r>
            <w:proofErr w:type="spellStart"/>
            <w:r w:rsidRPr="00A23D26">
              <w:rPr>
                <w:rFonts w:eastAsia="Calibri"/>
                <w:b/>
                <w:bCs/>
              </w:rPr>
              <w:t>acceptă</w:t>
            </w:r>
            <w:proofErr w:type="spellEnd"/>
          </w:p>
          <w:p w14:paraId="428B837A" w14:textId="2A39C2F2" w:rsidR="0011010C" w:rsidRPr="00A23D26" w:rsidRDefault="0011010C" w:rsidP="005B2CC7">
            <w:pPr>
              <w:pStyle w:val="oj-normal"/>
              <w:spacing w:before="120" w:beforeAutospacing="0" w:after="0" w:afterAutospacing="0"/>
              <w:jc w:val="both"/>
              <w:rPr>
                <w:rFonts w:eastAsia="Calibri"/>
                <w:b/>
                <w:bCs/>
              </w:rPr>
            </w:pPr>
            <w:proofErr w:type="spellStart"/>
            <w:r w:rsidRPr="00A23D26">
              <w:rPr>
                <w:rFonts w:eastAsia="Calibri"/>
                <w:bCs/>
              </w:rPr>
              <w:t>Proiectul</w:t>
            </w:r>
            <w:proofErr w:type="spellEnd"/>
            <w:r w:rsidRPr="00A23D26">
              <w:rPr>
                <w:rFonts w:eastAsia="Calibri"/>
                <w:bCs/>
              </w:rPr>
              <w:t xml:space="preserve"> a </w:t>
            </w:r>
            <w:proofErr w:type="spellStart"/>
            <w:r w:rsidRPr="00A23D26">
              <w:rPr>
                <w:rFonts w:eastAsia="Calibri"/>
                <w:bCs/>
              </w:rPr>
              <w:t>fost</w:t>
            </w:r>
            <w:proofErr w:type="spellEnd"/>
            <w:r w:rsidRPr="00A23D26">
              <w:rPr>
                <w:rFonts w:eastAsia="Calibri"/>
                <w:bCs/>
              </w:rPr>
              <w:t xml:space="preserve"> </w:t>
            </w:r>
            <w:proofErr w:type="spellStart"/>
            <w:r w:rsidRPr="00A23D26">
              <w:rPr>
                <w:rFonts w:eastAsia="Calibri"/>
                <w:bCs/>
              </w:rPr>
              <w:t>completat</w:t>
            </w:r>
            <w:proofErr w:type="spellEnd"/>
            <w:r w:rsidRPr="00A23D26">
              <w:rPr>
                <w:rFonts w:eastAsia="Calibri"/>
                <w:bCs/>
              </w:rPr>
              <w:t xml:space="preserve"> conform </w:t>
            </w:r>
            <w:proofErr w:type="spellStart"/>
            <w:r w:rsidRPr="00A23D26">
              <w:rPr>
                <w:rFonts w:eastAsia="Calibri"/>
                <w:bCs/>
              </w:rPr>
              <w:t>propunerii</w:t>
            </w:r>
            <w:proofErr w:type="spellEnd"/>
            <w:r w:rsidRPr="00A23D26">
              <w:rPr>
                <w:rFonts w:eastAsia="Calibri"/>
                <w:bCs/>
              </w:rPr>
              <w:t>.</w:t>
            </w:r>
          </w:p>
        </w:tc>
      </w:tr>
      <w:tr w:rsidR="0011010C" w:rsidRPr="00882F72" w14:paraId="707847D0" w14:textId="77777777" w:rsidTr="00F968A9">
        <w:tc>
          <w:tcPr>
            <w:tcW w:w="797" w:type="pct"/>
            <w:vMerge/>
          </w:tcPr>
          <w:p w14:paraId="7B890DF2"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53E8E5BD" w14:textId="77777777" w:rsidR="0011010C" w:rsidRPr="00D345AA" w:rsidRDefault="0011010C">
            <w:pPr>
              <w:pStyle w:val="ListParagraph"/>
              <w:numPr>
                <w:ilvl w:val="0"/>
                <w:numId w:val="14"/>
              </w:numPr>
              <w:rPr>
                <w:rFonts w:ascii="Times New Roman" w:eastAsia="Calibri" w:hAnsi="Times New Roman" w:cs="Times New Roman"/>
                <w:b/>
                <w:bCs/>
                <w:lang w:val="ro-RO"/>
              </w:rPr>
            </w:pPr>
          </w:p>
        </w:tc>
        <w:tc>
          <w:tcPr>
            <w:tcW w:w="2505" w:type="pct"/>
          </w:tcPr>
          <w:p w14:paraId="58AFBB00" w14:textId="789495C6"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b/>
                <w:bCs/>
                <w:lang w:val="ro-RO"/>
              </w:rPr>
              <w:t xml:space="preserve">Capitolul V. Activități eligibile în cadrul obiectivului economia circulară: </w:t>
            </w:r>
            <w:r w:rsidRPr="00D345AA">
              <w:rPr>
                <w:rFonts w:ascii="Times New Roman" w:eastAsia="Calibri" w:hAnsi="Times New Roman" w:cs="Times New Roman"/>
                <w:lang w:val="ro-RO"/>
              </w:rPr>
              <w:t xml:space="preserve">La CEY1.2 </w:t>
            </w:r>
            <w:r w:rsidRPr="00D345AA">
              <w:rPr>
                <w:rFonts w:ascii="Times New Roman" w:eastAsia="Calibri" w:hAnsi="Times New Roman" w:cs="Times New Roman"/>
                <w:i/>
                <w:iCs/>
                <w:lang w:val="ro-RO"/>
              </w:rPr>
              <w:t>Producția de echipamente electrice și electronice</w:t>
            </w:r>
            <w:r w:rsidRPr="00D345AA">
              <w:rPr>
                <w:rFonts w:ascii="Times New Roman" w:eastAsia="Calibri" w:hAnsi="Times New Roman" w:cs="Times New Roman"/>
                <w:lang w:val="ro-RO"/>
              </w:rPr>
              <w:t xml:space="preserve">, în Tabel – coloana </w:t>
            </w:r>
            <w:r w:rsidRPr="00D345AA">
              <w:rPr>
                <w:rFonts w:ascii="Times New Roman" w:eastAsia="Calibri" w:hAnsi="Times New Roman" w:cs="Times New Roman"/>
                <w:i/>
                <w:iCs/>
                <w:lang w:val="ro-RO"/>
              </w:rPr>
              <w:t xml:space="preserve">Acte normative conexe și standarde internaționale, </w:t>
            </w:r>
            <w:r w:rsidRPr="00D345AA">
              <w:rPr>
                <w:rFonts w:ascii="Times New Roman" w:eastAsia="Calibri" w:hAnsi="Times New Roman" w:cs="Times New Roman"/>
                <w:lang w:val="ro-RO"/>
              </w:rPr>
              <w:t xml:space="preserve">după textul ,,Legea nr. 277/2018 privind substanțele chimice” se va completa cu textul ,,Hotărârea Guvernului nr. 643/2025 pentru aprobarea Reglementării tehnice privind restricționarea utilizării anumitor substanțe periculoase în echipamentele electrice și electronice”. De asemenea, la coloana </w:t>
            </w:r>
            <w:r w:rsidRPr="00D345AA">
              <w:rPr>
                <w:rFonts w:ascii="Times New Roman" w:eastAsia="Calibri" w:hAnsi="Times New Roman" w:cs="Times New Roman"/>
                <w:i/>
                <w:iCs/>
                <w:lang w:val="ro-RO"/>
              </w:rPr>
              <w:t>Cerințe de contribuție substanțială</w:t>
            </w:r>
            <w:r w:rsidRPr="00D345AA">
              <w:rPr>
                <w:rFonts w:ascii="Times New Roman" w:eastAsia="Calibri" w:hAnsi="Times New Roman" w:cs="Times New Roman"/>
                <w:lang w:val="ro-RO"/>
              </w:rPr>
              <w:t xml:space="preserve">, la pct. 2.4.3 și 2.6.2 din Tabelul respectiv, textul ,,substanțele care prezintă motive de îngrijorare deosebită” se va substitui cu textul ,,substanțele cu risc înalt pentru sănătatea umană și pentru mediu”, și în continuare după text. </w:t>
            </w:r>
          </w:p>
          <w:p w14:paraId="28C261FF" w14:textId="216D6BBA"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La CEY2.4 </w:t>
            </w:r>
            <w:r w:rsidRPr="00D345AA">
              <w:rPr>
                <w:rFonts w:ascii="Times New Roman" w:eastAsia="Calibri" w:hAnsi="Times New Roman" w:cs="Times New Roman"/>
                <w:i/>
                <w:iCs/>
                <w:lang w:val="ro-RO"/>
              </w:rPr>
              <w:t>Tratarea deșeurilor periculoase</w:t>
            </w:r>
            <w:r w:rsidRPr="00D345AA">
              <w:rPr>
                <w:rFonts w:ascii="Times New Roman" w:eastAsia="Calibri" w:hAnsi="Times New Roman" w:cs="Times New Roman"/>
                <w:lang w:val="ro-RO"/>
              </w:rPr>
              <w:t xml:space="preserve">, coloana </w:t>
            </w:r>
            <w:r w:rsidRPr="00D345AA">
              <w:rPr>
                <w:rFonts w:ascii="Times New Roman" w:eastAsia="Calibri" w:hAnsi="Times New Roman" w:cs="Times New Roman"/>
                <w:i/>
                <w:iCs/>
                <w:lang w:val="ro-RO"/>
              </w:rPr>
              <w:t xml:space="preserve">Activitatea </w:t>
            </w:r>
            <w:r w:rsidRPr="00D345AA">
              <w:rPr>
                <w:rFonts w:ascii="Times New Roman" w:eastAsia="Calibri" w:hAnsi="Times New Roman" w:cs="Times New Roman"/>
                <w:lang w:val="ro-RO"/>
              </w:rPr>
              <w:t xml:space="preserve">se va completa cu următorul text ,,Activitatea economică nu include eliminarea sau valorificarea </w:t>
            </w:r>
            <w:r w:rsidRPr="00D345AA">
              <w:rPr>
                <w:rFonts w:ascii="Times New Roman" w:eastAsia="Calibri" w:hAnsi="Times New Roman" w:cs="Times New Roman"/>
                <w:lang w:val="ro-RO"/>
              </w:rPr>
              <w:lastRenderedPageBreak/>
              <w:t>deșeurilor cu conținut de poluanți organici persistenți care pot duce la recuperarea, reciclarea, regenerarea sau reutilizarea substanțelor enumerate în anexa nr. 4 la Hotărârea Guvernului nr. 744/2024 privind poluanții organici persistenți (</w:t>
            </w:r>
            <w:proofErr w:type="spellStart"/>
            <w:r w:rsidRPr="00D345AA">
              <w:rPr>
                <w:rFonts w:ascii="Times New Roman" w:eastAsia="Calibri" w:hAnsi="Times New Roman" w:cs="Times New Roman"/>
                <w:lang w:val="ro-RO"/>
              </w:rPr>
              <w:t>POPs</w:t>
            </w:r>
            <w:proofErr w:type="spellEnd"/>
            <w:r w:rsidRPr="00D345AA">
              <w:rPr>
                <w:rFonts w:ascii="Times New Roman" w:eastAsia="Calibri" w:hAnsi="Times New Roman" w:cs="Times New Roman"/>
                <w:lang w:val="ro-RO"/>
              </w:rPr>
              <w:t xml:space="preserve">)”. În coloana </w:t>
            </w:r>
            <w:r w:rsidRPr="00D345AA">
              <w:rPr>
                <w:rFonts w:ascii="Times New Roman" w:eastAsia="Calibri" w:hAnsi="Times New Roman" w:cs="Times New Roman"/>
                <w:i/>
                <w:iCs/>
                <w:lang w:val="ro-RO"/>
              </w:rPr>
              <w:t xml:space="preserve">Acte normative conexe și standarde internaționale </w:t>
            </w:r>
            <w:r w:rsidRPr="00D345AA">
              <w:rPr>
                <w:rFonts w:ascii="Times New Roman" w:eastAsia="Calibri" w:hAnsi="Times New Roman" w:cs="Times New Roman"/>
                <w:lang w:val="ro-RO"/>
              </w:rPr>
              <w:t>se va completa cu Hotărârea Guvernului nr. 744/2024 privind poluanții organici persistenți (</w:t>
            </w:r>
            <w:proofErr w:type="spellStart"/>
            <w:r w:rsidRPr="00D345AA">
              <w:rPr>
                <w:rFonts w:ascii="Times New Roman" w:eastAsia="Calibri" w:hAnsi="Times New Roman" w:cs="Times New Roman"/>
                <w:lang w:val="ro-RO"/>
              </w:rPr>
              <w:t>POPs</w:t>
            </w:r>
            <w:proofErr w:type="spellEnd"/>
            <w:r w:rsidRPr="00D345AA">
              <w:rPr>
                <w:rFonts w:ascii="Times New Roman" w:eastAsia="Calibri" w:hAnsi="Times New Roman" w:cs="Times New Roman"/>
                <w:lang w:val="ro-RO"/>
              </w:rPr>
              <w:t xml:space="preserve">). </w:t>
            </w:r>
          </w:p>
        </w:tc>
        <w:tc>
          <w:tcPr>
            <w:tcW w:w="1458" w:type="pct"/>
          </w:tcPr>
          <w:p w14:paraId="24672D88" w14:textId="77777777" w:rsidR="0011010C" w:rsidRPr="00A23D26" w:rsidRDefault="0011010C" w:rsidP="005B2CC7">
            <w:pPr>
              <w:pStyle w:val="oj-normal"/>
              <w:spacing w:before="120" w:beforeAutospacing="0" w:after="0" w:afterAutospacing="0"/>
              <w:jc w:val="both"/>
              <w:rPr>
                <w:rFonts w:eastAsia="Calibri"/>
                <w:bCs/>
              </w:rPr>
            </w:pPr>
            <w:r w:rsidRPr="00A23D26">
              <w:rPr>
                <w:rFonts w:eastAsia="Calibri"/>
                <w:b/>
                <w:bCs/>
              </w:rPr>
              <w:lastRenderedPageBreak/>
              <w:t xml:space="preserve">Se </w:t>
            </w:r>
            <w:proofErr w:type="spellStart"/>
            <w:r w:rsidRPr="00A23D26">
              <w:rPr>
                <w:rFonts w:eastAsia="Calibri"/>
                <w:b/>
                <w:bCs/>
              </w:rPr>
              <w:t>acceptă</w:t>
            </w:r>
            <w:proofErr w:type="spellEnd"/>
            <w:r w:rsidRPr="00A23D26">
              <w:rPr>
                <w:rFonts w:eastAsia="Calibri"/>
                <w:bCs/>
              </w:rPr>
              <w:t xml:space="preserve"> </w:t>
            </w:r>
          </w:p>
          <w:p w14:paraId="4436416A" w14:textId="40414E57" w:rsidR="0011010C" w:rsidRPr="00A23D26" w:rsidRDefault="0011010C" w:rsidP="005B2CC7">
            <w:pPr>
              <w:pStyle w:val="oj-normal"/>
              <w:spacing w:before="120" w:beforeAutospacing="0" w:after="0" w:afterAutospacing="0"/>
              <w:jc w:val="both"/>
              <w:rPr>
                <w:rFonts w:eastAsia="Calibri"/>
                <w:b/>
                <w:bCs/>
              </w:rPr>
            </w:pPr>
            <w:proofErr w:type="spellStart"/>
            <w:r w:rsidRPr="00A23D26">
              <w:rPr>
                <w:rFonts w:eastAsia="Calibri"/>
                <w:bCs/>
              </w:rPr>
              <w:t>Proiectul</w:t>
            </w:r>
            <w:proofErr w:type="spellEnd"/>
            <w:r w:rsidRPr="00A23D26">
              <w:rPr>
                <w:rFonts w:eastAsia="Calibri"/>
                <w:bCs/>
              </w:rPr>
              <w:t xml:space="preserve"> a </w:t>
            </w:r>
            <w:proofErr w:type="spellStart"/>
            <w:r w:rsidRPr="00A23D26">
              <w:rPr>
                <w:rFonts w:eastAsia="Calibri"/>
                <w:bCs/>
              </w:rPr>
              <w:t>fost</w:t>
            </w:r>
            <w:proofErr w:type="spellEnd"/>
            <w:r w:rsidRPr="00A23D26">
              <w:rPr>
                <w:rFonts w:eastAsia="Calibri"/>
                <w:bCs/>
              </w:rPr>
              <w:t xml:space="preserve"> </w:t>
            </w:r>
            <w:proofErr w:type="spellStart"/>
            <w:r w:rsidRPr="00A23D26">
              <w:rPr>
                <w:rFonts w:eastAsia="Calibri"/>
                <w:bCs/>
              </w:rPr>
              <w:t>completat</w:t>
            </w:r>
            <w:proofErr w:type="spellEnd"/>
            <w:r w:rsidRPr="00A23D26">
              <w:rPr>
                <w:rFonts w:eastAsia="Calibri"/>
                <w:bCs/>
              </w:rPr>
              <w:t xml:space="preserve"> conform </w:t>
            </w:r>
            <w:proofErr w:type="spellStart"/>
            <w:r w:rsidRPr="00A23D26">
              <w:rPr>
                <w:rFonts w:eastAsia="Calibri"/>
                <w:bCs/>
              </w:rPr>
              <w:t>propunerii</w:t>
            </w:r>
            <w:proofErr w:type="spellEnd"/>
            <w:r w:rsidRPr="00A23D26">
              <w:rPr>
                <w:rFonts w:eastAsia="Calibri"/>
                <w:bCs/>
              </w:rPr>
              <w:t>.</w:t>
            </w:r>
          </w:p>
        </w:tc>
      </w:tr>
      <w:tr w:rsidR="0011010C" w:rsidRPr="00882F72" w14:paraId="7198E5E2" w14:textId="77777777" w:rsidTr="00F968A9">
        <w:tc>
          <w:tcPr>
            <w:tcW w:w="797" w:type="pct"/>
            <w:vMerge/>
          </w:tcPr>
          <w:p w14:paraId="0468E04C"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46716DCB" w14:textId="77777777" w:rsidR="0011010C" w:rsidRPr="00D345AA" w:rsidRDefault="0011010C">
            <w:pPr>
              <w:pStyle w:val="ListParagraph"/>
              <w:numPr>
                <w:ilvl w:val="0"/>
                <w:numId w:val="14"/>
              </w:numPr>
              <w:rPr>
                <w:rFonts w:ascii="Times New Roman" w:eastAsia="Calibri" w:hAnsi="Times New Roman" w:cs="Times New Roman"/>
                <w:b/>
                <w:bCs/>
                <w:lang w:val="ro-RO"/>
              </w:rPr>
            </w:pPr>
          </w:p>
        </w:tc>
        <w:tc>
          <w:tcPr>
            <w:tcW w:w="2505" w:type="pct"/>
          </w:tcPr>
          <w:p w14:paraId="46BD5A95" w14:textId="77777777"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b/>
                <w:bCs/>
                <w:lang w:val="ro-RO"/>
              </w:rPr>
              <w:t xml:space="preserve">Capitolul VII. Activități eligibile în cadrul obiectivului protecția și refacerea biodiversității ecosistemelor: </w:t>
            </w:r>
          </w:p>
          <w:p w14:paraId="088DE8B4" w14:textId="6948EC7B" w:rsidR="0011010C" w:rsidRPr="009E17F3" w:rsidRDefault="0011010C" w:rsidP="005B2CC7">
            <w:pPr>
              <w:jc w:val="both"/>
              <w:rPr>
                <w:rFonts w:ascii="Times New Roman" w:eastAsia="Calibri" w:hAnsi="Times New Roman" w:cs="Times New Roman"/>
                <w:b/>
                <w:bCs/>
                <w:lang w:val="ro-RO"/>
              </w:rPr>
            </w:pPr>
            <w:r w:rsidRPr="009E17F3">
              <w:rPr>
                <w:rFonts w:ascii="Times New Roman" w:eastAsia="Calibri" w:hAnsi="Times New Roman" w:cs="Times New Roman"/>
                <w:lang w:val="ro-RO"/>
              </w:rPr>
              <w:t xml:space="preserve">La pct. 1. </w:t>
            </w:r>
            <w:r w:rsidRPr="009E17F3">
              <w:rPr>
                <w:rFonts w:ascii="Times New Roman" w:eastAsia="Calibri" w:hAnsi="Times New Roman" w:cs="Times New Roman"/>
                <w:i/>
                <w:iCs/>
                <w:lang w:val="ro-RO"/>
              </w:rPr>
              <w:t xml:space="preserve">Activități de protecție și refacere a mediului. </w:t>
            </w:r>
            <w:r w:rsidRPr="009E17F3">
              <w:rPr>
                <w:rFonts w:ascii="Times New Roman" w:eastAsia="Calibri" w:hAnsi="Times New Roman" w:cs="Times New Roman"/>
                <w:lang w:val="ro-RO"/>
              </w:rPr>
              <w:t xml:space="preserve">BIO 1.1 </w:t>
            </w:r>
            <w:r w:rsidRPr="009E17F3">
              <w:rPr>
                <w:rFonts w:ascii="Times New Roman" w:eastAsia="Calibri" w:hAnsi="Times New Roman" w:cs="Times New Roman"/>
                <w:i/>
                <w:iCs/>
                <w:lang w:val="ro-RO"/>
              </w:rPr>
              <w:t xml:space="preserve">Conservarea, inclusiv refacerea habitatelor, a ecosistemelor și a speciilor </w:t>
            </w:r>
            <w:r w:rsidRPr="009E17F3">
              <w:rPr>
                <w:rFonts w:ascii="Times New Roman" w:eastAsia="Calibri" w:hAnsi="Times New Roman" w:cs="Times New Roman"/>
                <w:lang w:val="ro-RO"/>
              </w:rPr>
              <w:t xml:space="preserve">și BIO 2.1 </w:t>
            </w:r>
            <w:r w:rsidRPr="009E17F3">
              <w:rPr>
                <w:rFonts w:ascii="Times New Roman" w:eastAsia="Calibri" w:hAnsi="Times New Roman" w:cs="Times New Roman"/>
                <w:i/>
                <w:iCs/>
                <w:lang w:val="ro-RO"/>
              </w:rPr>
              <w:t xml:space="preserve">Hoteluri, cazări de vacanță, terenuri de camping și cazări similare, </w:t>
            </w:r>
            <w:r w:rsidRPr="009E17F3">
              <w:rPr>
                <w:rFonts w:ascii="Times New Roman" w:eastAsia="Calibri" w:hAnsi="Times New Roman" w:cs="Times New Roman"/>
                <w:lang w:val="ro-RO"/>
              </w:rPr>
              <w:t xml:space="preserve">la coloana </w:t>
            </w:r>
            <w:r w:rsidRPr="009E17F3">
              <w:rPr>
                <w:rFonts w:ascii="Times New Roman" w:eastAsia="Calibri" w:hAnsi="Times New Roman" w:cs="Times New Roman"/>
                <w:i/>
                <w:iCs/>
                <w:lang w:val="ro-RO"/>
              </w:rPr>
              <w:t xml:space="preserve">Acte normative conexe și standarde internaționale, </w:t>
            </w:r>
            <w:r w:rsidRPr="009E17F3">
              <w:rPr>
                <w:rFonts w:ascii="Times New Roman" w:eastAsia="Calibri" w:hAnsi="Times New Roman" w:cs="Times New Roman"/>
                <w:lang w:val="ro-RO"/>
              </w:rPr>
              <w:t>se adaugă următoarele acte normative cu completarea textului: Legea nr. 1538/1998 privind fondul ariilor naturale protejate de stat și Legea nr. 1515/1993 privind protecția mediului înconjurător.</w:t>
            </w:r>
          </w:p>
        </w:tc>
        <w:tc>
          <w:tcPr>
            <w:tcW w:w="1458" w:type="pct"/>
          </w:tcPr>
          <w:p w14:paraId="79D79B71" w14:textId="77777777" w:rsidR="0011010C" w:rsidRPr="00A23D26" w:rsidRDefault="0011010C" w:rsidP="005B2CC7">
            <w:pPr>
              <w:pStyle w:val="oj-normal"/>
              <w:spacing w:before="120" w:beforeAutospacing="0" w:after="0" w:afterAutospacing="0"/>
              <w:jc w:val="both"/>
              <w:rPr>
                <w:rFonts w:eastAsia="Calibri"/>
                <w:b/>
                <w:bCs/>
              </w:rPr>
            </w:pPr>
            <w:r w:rsidRPr="00A23D26">
              <w:rPr>
                <w:rFonts w:eastAsia="Calibri"/>
                <w:b/>
                <w:bCs/>
              </w:rPr>
              <w:t xml:space="preserve">Se </w:t>
            </w:r>
            <w:proofErr w:type="spellStart"/>
            <w:r w:rsidRPr="00A23D26">
              <w:rPr>
                <w:rFonts w:eastAsia="Calibri"/>
                <w:b/>
                <w:bCs/>
              </w:rPr>
              <w:t>acceptă</w:t>
            </w:r>
            <w:proofErr w:type="spellEnd"/>
          </w:p>
          <w:p w14:paraId="472500B4" w14:textId="1EE047F1" w:rsidR="0011010C" w:rsidRPr="00A23D26" w:rsidRDefault="0011010C" w:rsidP="005B2CC7">
            <w:pPr>
              <w:pStyle w:val="oj-normal"/>
              <w:spacing w:before="120" w:beforeAutospacing="0" w:after="0" w:afterAutospacing="0"/>
              <w:jc w:val="both"/>
              <w:rPr>
                <w:rFonts w:eastAsia="Calibri"/>
                <w:b/>
                <w:bCs/>
              </w:rPr>
            </w:pPr>
            <w:proofErr w:type="spellStart"/>
            <w:r w:rsidRPr="00A23D26">
              <w:rPr>
                <w:rFonts w:eastAsia="Calibri"/>
                <w:bCs/>
              </w:rPr>
              <w:t>Proiectul</w:t>
            </w:r>
            <w:proofErr w:type="spellEnd"/>
            <w:r w:rsidRPr="00A23D26">
              <w:rPr>
                <w:rFonts w:eastAsia="Calibri"/>
                <w:bCs/>
              </w:rPr>
              <w:t xml:space="preserve"> a </w:t>
            </w:r>
            <w:proofErr w:type="spellStart"/>
            <w:r w:rsidRPr="00A23D26">
              <w:rPr>
                <w:rFonts w:eastAsia="Calibri"/>
                <w:bCs/>
              </w:rPr>
              <w:t>fost</w:t>
            </w:r>
            <w:proofErr w:type="spellEnd"/>
            <w:r w:rsidRPr="00A23D26">
              <w:rPr>
                <w:rFonts w:eastAsia="Calibri"/>
                <w:bCs/>
              </w:rPr>
              <w:t xml:space="preserve"> </w:t>
            </w:r>
            <w:proofErr w:type="spellStart"/>
            <w:r w:rsidRPr="00A23D26">
              <w:rPr>
                <w:rFonts w:eastAsia="Calibri"/>
                <w:bCs/>
              </w:rPr>
              <w:t>completat</w:t>
            </w:r>
            <w:proofErr w:type="spellEnd"/>
            <w:r w:rsidRPr="00A23D26">
              <w:rPr>
                <w:rFonts w:eastAsia="Calibri"/>
                <w:bCs/>
              </w:rPr>
              <w:t xml:space="preserve"> conform </w:t>
            </w:r>
            <w:proofErr w:type="spellStart"/>
            <w:r w:rsidRPr="00A23D26">
              <w:rPr>
                <w:rFonts w:eastAsia="Calibri"/>
                <w:bCs/>
              </w:rPr>
              <w:t>propunerii</w:t>
            </w:r>
            <w:proofErr w:type="spellEnd"/>
            <w:r w:rsidRPr="00A23D26">
              <w:rPr>
                <w:rFonts w:eastAsia="Calibri"/>
                <w:bCs/>
              </w:rPr>
              <w:t>.</w:t>
            </w:r>
          </w:p>
        </w:tc>
      </w:tr>
      <w:tr w:rsidR="0011010C" w:rsidRPr="00882F72" w14:paraId="5FCC5078" w14:textId="77777777" w:rsidTr="00F968A9">
        <w:tc>
          <w:tcPr>
            <w:tcW w:w="797" w:type="pct"/>
            <w:vMerge/>
          </w:tcPr>
          <w:p w14:paraId="7D00DC06"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17827757"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3BE548AD" w14:textId="0C28E268"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b/>
                <w:bCs/>
                <w:lang w:val="ro-RO"/>
              </w:rPr>
              <w:t xml:space="preserve">La Anexa nr. 2, </w:t>
            </w:r>
          </w:p>
          <w:p w14:paraId="6621F9B3" w14:textId="77777777"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b/>
                <w:bCs/>
                <w:lang w:val="ro-RO"/>
              </w:rPr>
              <w:t xml:space="preserve">Capitolul IV. Criteriile DNSH pentru Obiectivul de utilizare durabilă și protecția resurselor de apă: </w:t>
            </w:r>
          </w:p>
          <w:p w14:paraId="2505CDBD" w14:textId="7D95074D"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La CC 4.5 </w:t>
            </w:r>
            <w:r w:rsidRPr="00D345AA">
              <w:rPr>
                <w:rFonts w:ascii="Times New Roman" w:eastAsia="Calibri" w:hAnsi="Times New Roman" w:cs="Times New Roman"/>
                <w:i/>
                <w:iCs/>
                <w:lang w:val="ro-RO"/>
              </w:rPr>
              <w:t xml:space="preserve">Generarea de energie electrică din hidroenergie </w:t>
            </w:r>
            <w:r w:rsidRPr="00D345AA">
              <w:rPr>
                <w:rFonts w:ascii="Times New Roman" w:eastAsia="Calibri" w:hAnsi="Times New Roman" w:cs="Times New Roman"/>
                <w:lang w:val="ro-RO"/>
              </w:rPr>
              <w:t xml:space="preserve">pct. 2.1, sintagma «habitatele și speciile protejate care depind direct de apă» necesită revizuire terminologică. Din punct de vedere ecologic și juridic, dependența directă este specifică ecosistemelor acvatice sau ecosistemelor dependente de apă, nu habitatelor în mod generic. Se recomandă utilizarea unei formulări conforme terminologiei de mediu. </w:t>
            </w:r>
          </w:p>
        </w:tc>
        <w:tc>
          <w:tcPr>
            <w:tcW w:w="1458" w:type="pct"/>
          </w:tcPr>
          <w:p w14:paraId="28CD83B3"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6AB2935D" w14:textId="4C52DBBE"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388DEB15" w14:textId="77777777" w:rsidTr="00F968A9">
        <w:tc>
          <w:tcPr>
            <w:tcW w:w="797" w:type="pct"/>
            <w:vMerge/>
          </w:tcPr>
          <w:p w14:paraId="0F674015"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071222B3"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036D57F8" w14:textId="77777777"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b/>
                <w:bCs/>
                <w:lang w:val="ro-RO"/>
              </w:rPr>
              <w:t xml:space="preserve">Capitolul V. Criteriile DNSH pentru Obiectivul economia circulară: </w:t>
            </w:r>
          </w:p>
          <w:p w14:paraId="5DC9E1ED" w14:textId="0A0F5BB5"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La CCM 3.21 </w:t>
            </w:r>
            <w:r w:rsidRPr="00D345AA">
              <w:rPr>
                <w:rFonts w:ascii="Times New Roman" w:eastAsia="Calibri" w:hAnsi="Times New Roman" w:cs="Times New Roman"/>
                <w:i/>
                <w:iCs/>
                <w:lang w:val="ro-RO"/>
              </w:rPr>
              <w:t xml:space="preserve">Fabricarea aeronavelor, </w:t>
            </w:r>
            <w:r w:rsidRPr="00D345AA">
              <w:rPr>
                <w:rFonts w:ascii="Times New Roman" w:eastAsia="Calibri" w:hAnsi="Times New Roman" w:cs="Times New Roman"/>
                <w:lang w:val="ro-RO"/>
              </w:rPr>
              <w:t xml:space="preserve">în Tabel, la </w:t>
            </w:r>
            <w:r w:rsidRPr="00D345AA">
              <w:rPr>
                <w:rFonts w:ascii="Times New Roman" w:eastAsia="Calibri" w:hAnsi="Times New Roman" w:cs="Times New Roman"/>
                <w:i/>
                <w:iCs/>
                <w:lang w:val="ro-RO"/>
              </w:rPr>
              <w:t>Cerința DNSH</w:t>
            </w:r>
            <w:r w:rsidRPr="00D345AA">
              <w:rPr>
                <w:rFonts w:ascii="Times New Roman" w:eastAsia="Calibri" w:hAnsi="Times New Roman" w:cs="Times New Roman"/>
                <w:lang w:val="ro-RO"/>
              </w:rPr>
              <w:t xml:space="preserve">, lit. (d), textul ,,substanțele care prezintă motive de îngrijorare” se va substitui cu textul ,,substanțele cu risc înalt pentru sănătatea umană și pentru mediu” și în continuare după text. </w:t>
            </w:r>
          </w:p>
        </w:tc>
        <w:tc>
          <w:tcPr>
            <w:tcW w:w="1458" w:type="pct"/>
          </w:tcPr>
          <w:p w14:paraId="709159DF"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24ED2414" w14:textId="0B8073E3"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52B9E23A" w14:textId="77777777" w:rsidTr="00F968A9">
        <w:tc>
          <w:tcPr>
            <w:tcW w:w="797" w:type="pct"/>
            <w:vMerge/>
          </w:tcPr>
          <w:p w14:paraId="53713C87"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3A2BDBCA"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397543FA" w14:textId="77777777"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b/>
                <w:bCs/>
                <w:lang w:val="ro-RO"/>
              </w:rPr>
              <w:t xml:space="preserve">Capitolul VI. Criteriile DNSH pentru Obiectivul de prevenire și control al poluării: </w:t>
            </w:r>
          </w:p>
          <w:p w14:paraId="62BD9F0A" w14:textId="77777777"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La pct. 6.2 din Tabel, coloana </w:t>
            </w:r>
            <w:r w:rsidRPr="00D345AA">
              <w:rPr>
                <w:rFonts w:ascii="Times New Roman" w:eastAsia="Calibri" w:hAnsi="Times New Roman" w:cs="Times New Roman"/>
                <w:i/>
                <w:iCs/>
                <w:lang w:val="ro-RO"/>
              </w:rPr>
              <w:t xml:space="preserve">Criterii generice pentru DNSH </w:t>
            </w:r>
            <w:r w:rsidRPr="00D345AA">
              <w:rPr>
                <w:rFonts w:ascii="Times New Roman" w:eastAsia="Calibri" w:hAnsi="Times New Roman" w:cs="Times New Roman"/>
                <w:lang w:val="ro-RO"/>
              </w:rPr>
              <w:t xml:space="preserve">pentru prevenirea și controlul poluării în ceea ce privește utilizarea și prezența substanțelor chimice sintagma ,,introducerea pe piață” se va substitui cu sintagma ,,plasarea pe piață”. Astfel, se va corela conformitatea cu Legea nr. 277/2018 privind substanțele chimice. </w:t>
            </w:r>
          </w:p>
          <w:p w14:paraId="1F8B3EF1" w14:textId="77777777"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La CC 1.4 </w:t>
            </w:r>
            <w:r w:rsidRPr="00D345AA">
              <w:rPr>
                <w:rFonts w:ascii="Times New Roman" w:eastAsia="Calibri" w:hAnsi="Times New Roman" w:cs="Times New Roman"/>
                <w:i/>
                <w:iCs/>
                <w:lang w:val="ro-RO"/>
              </w:rPr>
              <w:t>Silvicultură de conservare</w:t>
            </w:r>
            <w:r w:rsidRPr="00D345AA">
              <w:rPr>
                <w:rFonts w:ascii="Times New Roman" w:eastAsia="Calibri" w:hAnsi="Times New Roman" w:cs="Times New Roman"/>
                <w:lang w:val="ro-RO"/>
              </w:rPr>
              <w:t xml:space="preserve">, coloana </w:t>
            </w:r>
            <w:r w:rsidRPr="00D345AA">
              <w:rPr>
                <w:rFonts w:ascii="Times New Roman" w:eastAsia="Calibri" w:hAnsi="Times New Roman" w:cs="Times New Roman"/>
                <w:i/>
                <w:iCs/>
                <w:lang w:val="ro-RO"/>
              </w:rPr>
              <w:t xml:space="preserve">Cerința DNSH </w:t>
            </w:r>
            <w:r w:rsidRPr="00D345AA">
              <w:rPr>
                <w:rFonts w:ascii="Times New Roman" w:eastAsia="Calibri" w:hAnsi="Times New Roman" w:cs="Times New Roman"/>
                <w:lang w:val="ro-RO"/>
              </w:rPr>
              <w:t xml:space="preserve">textul ,,Convenția de la Rotterdam privind procedura de consimțământ prealabil în cunoștință de cauză aplicabilă anumitor substanțe chimice și pesticide periculoase care fac obiectul comerțului internațional, Convenția de la </w:t>
            </w:r>
            <w:proofErr w:type="spellStart"/>
            <w:r w:rsidRPr="00D345AA">
              <w:rPr>
                <w:rFonts w:ascii="Times New Roman" w:eastAsia="Calibri" w:hAnsi="Times New Roman" w:cs="Times New Roman"/>
                <w:lang w:val="ro-RO"/>
              </w:rPr>
              <w:t>Minamata</w:t>
            </w:r>
            <w:proofErr w:type="spellEnd"/>
            <w:r w:rsidRPr="00D345AA">
              <w:rPr>
                <w:rFonts w:ascii="Times New Roman" w:eastAsia="Calibri" w:hAnsi="Times New Roman" w:cs="Times New Roman"/>
                <w:lang w:val="ro-RO"/>
              </w:rPr>
              <w:t xml:space="preserve"> privind mercurul, Protocolul de la Montreal privind substanțele care epuizează stratul de ozon,” se vor substitui cu actele de ratificare/aderare a Republicii Moldova la aceste tratate internaționale. </w:t>
            </w:r>
          </w:p>
          <w:p w14:paraId="3F9B9891" w14:textId="3BFA6424"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lang w:val="ro-RO"/>
              </w:rPr>
              <w:t xml:space="preserve">La Fabricare, CC 3.4 </w:t>
            </w:r>
            <w:r w:rsidRPr="00D345AA">
              <w:rPr>
                <w:rFonts w:ascii="Times New Roman" w:eastAsia="Calibri" w:hAnsi="Times New Roman" w:cs="Times New Roman"/>
                <w:i/>
                <w:iCs/>
                <w:lang w:val="ro-RO"/>
              </w:rPr>
              <w:t xml:space="preserve">Fabricarea bateriilor </w:t>
            </w:r>
            <w:r w:rsidRPr="00D345AA">
              <w:rPr>
                <w:rFonts w:ascii="Times New Roman" w:eastAsia="Calibri" w:hAnsi="Times New Roman" w:cs="Times New Roman"/>
                <w:lang w:val="ro-RO"/>
              </w:rPr>
              <w:t xml:space="preserve">și CEY 1.2 </w:t>
            </w:r>
            <w:r w:rsidRPr="00D345AA">
              <w:rPr>
                <w:rFonts w:ascii="Times New Roman" w:eastAsia="Calibri" w:hAnsi="Times New Roman" w:cs="Times New Roman"/>
                <w:i/>
                <w:iCs/>
                <w:lang w:val="ro-RO"/>
              </w:rPr>
              <w:t xml:space="preserve">Producția de echipamente electrice și electronice </w:t>
            </w:r>
            <w:r w:rsidRPr="00D345AA">
              <w:rPr>
                <w:rFonts w:ascii="Times New Roman" w:eastAsia="Calibri" w:hAnsi="Times New Roman" w:cs="Times New Roman"/>
                <w:lang w:val="ro-RO"/>
              </w:rPr>
              <w:t xml:space="preserve">textul ,,Legea nr. 277/2018 privind substanțele chimice)” se va </w:t>
            </w:r>
            <w:r w:rsidRPr="00D345AA">
              <w:rPr>
                <w:rFonts w:ascii="Times New Roman" w:eastAsia="Calibri" w:hAnsi="Times New Roman" w:cs="Times New Roman"/>
                <w:lang w:val="ro-RO"/>
              </w:rPr>
              <w:lastRenderedPageBreak/>
              <w:t xml:space="preserve">exclude ca fiind irelevantă, atât din coloana </w:t>
            </w:r>
            <w:r w:rsidRPr="00D345AA">
              <w:rPr>
                <w:rFonts w:ascii="Times New Roman" w:eastAsia="Calibri" w:hAnsi="Times New Roman" w:cs="Times New Roman"/>
                <w:i/>
                <w:iCs/>
                <w:lang w:val="ro-RO"/>
              </w:rPr>
              <w:t xml:space="preserve">Cerința DNSH, </w:t>
            </w:r>
            <w:r w:rsidRPr="00D345AA">
              <w:rPr>
                <w:rFonts w:ascii="Times New Roman" w:eastAsia="Calibri" w:hAnsi="Times New Roman" w:cs="Times New Roman"/>
                <w:lang w:val="ro-RO"/>
              </w:rPr>
              <w:t xml:space="preserve">cât și din Coloana </w:t>
            </w:r>
            <w:r w:rsidRPr="00D345AA">
              <w:rPr>
                <w:rFonts w:ascii="Times New Roman" w:eastAsia="Calibri" w:hAnsi="Times New Roman" w:cs="Times New Roman"/>
                <w:i/>
                <w:iCs/>
                <w:lang w:val="ro-RO"/>
              </w:rPr>
              <w:t>Acte normative sau standarde.</w:t>
            </w:r>
          </w:p>
        </w:tc>
        <w:tc>
          <w:tcPr>
            <w:tcW w:w="1458" w:type="pct"/>
          </w:tcPr>
          <w:p w14:paraId="1064480D"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lastRenderedPageBreak/>
              <w:t>Se acceptă</w:t>
            </w:r>
          </w:p>
          <w:p w14:paraId="4F38D7C1" w14:textId="458C33AE"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45B79EDA" w14:textId="77777777" w:rsidTr="00F968A9">
        <w:tc>
          <w:tcPr>
            <w:tcW w:w="797" w:type="pct"/>
            <w:vMerge/>
          </w:tcPr>
          <w:p w14:paraId="629DED25"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58711064"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5F9F8C5E" w14:textId="032909FE"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b/>
                <w:bCs/>
                <w:lang w:val="ro-RO"/>
              </w:rPr>
              <w:t xml:space="preserve">În anexele tehnice </w:t>
            </w:r>
            <w:r w:rsidRPr="00D345AA">
              <w:rPr>
                <w:rFonts w:ascii="Times New Roman" w:eastAsia="Calibri" w:hAnsi="Times New Roman" w:cs="Times New Roman"/>
                <w:lang w:val="ro-RO"/>
              </w:rPr>
              <w:t>(criteriile DNSH – prevenirea și controlul poluării), la punctele CC 3.7, CC 3.8, CC 3.9, CC 3.12, CC 3.13, CC 3.14, CC 3.16, CC 3.17, CC 4.7, CC 4.19, CC 4.23, CC 4.24, CC 4.27–CC 4.28 și CC 4.29–CC 4.31, este utilizată formularea „Nu există efecte intersectoriale (</w:t>
            </w:r>
            <w:proofErr w:type="spellStart"/>
            <w:r w:rsidRPr="00D345AA">
              <w:rPr>
                <w:rFonts w:ascii="Times New Roman" w:eastAsia="Calibri" w:hAnsi="Times New Roman" w:cs="Times New Roman"/>
                <w:lang w:val="ro-RO"/>
              </w:rPr>
              <w:t>cross</w:t>
            </w:r>
            <w:proofErr w:type="spellEnd"/>
            <w:r w:rsidRPr="00D345AA">
              <w:rPr>
                <w:rFonts w:ascii="Times New Roman" w:eastAsia="Calibri" w:hAnsi="Times New Roman" w:cs="Times New Roman"/>
                <w:lang w:val="ro-RO"/>
              </w:rPr>
              <w:t>-media) semnificative.”. În vederea asigurării caracterului verificabil al cerinței și al evitării unei prezumții generale nefundamentate, se propune substituirea acesteia cu următorul text: „Se demonstrează că activitatea nu generează efecte intersectoriale (</w:t>
            </w:r>
            <w:proofErr w:type="spellStart"/>
            <w:r w:rsidRPr="00D345AA">
              <w:rPr>
                <w:rFonts w:ascii="Times New Roman" w:eastAsia="Calibri" w:hAnsi="Times New Roman" w:cs="Times New Roman"/>
                <w:lang w:val="ro-RO"/>
              </w:rPr>
              <w:t>cross</w:t>
            </w:r>
            <w:proofErr w:type="spellEnd"/>
            <w:r w:rsidRPr="00D345AA">
              <w:rPr>
                <w:rFonts w:ascii="Times New Roman" w:eastAsia="Calibri" w:hAnsi="Times New Roman" w:cs="Times New Roman"/>
                <w:lang w:val="ro-RO"/>
              </w:rPr>
              <w:t>-media) semnificative. Efectele potențiale sunt identificate și evaluate, iar măsurile de prevenire și/sau limitare (inclusiv cele întemeiate pe concluziile BAT, după caz) sunt implementate și documentate.”</w:t>
            </w:r>
          </w:p>
        </w:tc>
        <w:tc>
          <w:tcPr>
            <w:tcW w:w="1458" w:type="pct"/>
          </w:tcPr>
          <w:p w14:paraId="4BB24A9B"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06D8C985" w14:textId="0C22A33F"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127BE736" w14:textId="77777777" w:rsidTr="00F968A9">
        <w:tc>
          <w:tcPr>
            <w:tcW w:w="797" w:type="pct"/>
            <w:vMerge/>
          </w:tcPr>
          <w:p w14:paraId="77A5FA50"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71587379"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0F22F841" w14:textId="77777777" w:rsidR="0011010C"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b/>
                <w:bCs/>
                <w:lang w:val="ro-RO"/>
              </w:rPr>
              <w:t xml:space="preserve">La Nota de fundamentare: </w:t>
            </w:r>
          </w:p>
          <w:p w14:paraId="47C01BF3" w14:textId="549FBD03"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lang w:val="ro-RO"/>
              </w:rPr>
              <w:t xml:space="preserve">La pct. 2.2, primul și al patrulea alineat, sintagmele „programului național de adaptare la schimbările climatice” și „Programul național de adaptare al Republicii Moldova” se vor substitui cu denumirea completă a actului: „Programul național de adaptare la schimbările climatice până în anul 2030, aprobat prin Hotărârea Guvernului nr. 624/2023”. </w:t>
            </w:r>
          </w:p>
          <w:p w14:paraId="3580BEDB" w14:textId="2FFD076E" w:rsidR="0011010C" w:rsidRPr="00D345AA" w:rsidRDefault="0011010C" w:rsidP="005B2CC7">
            <w:pPr>
              <w:jc w:val="both"/>
              <w:rPr>
                <w:rFonts w:ascii="Times New Roman" w:eastAsia="Calibri" w:hAnsi="Times New Roman" w:cs="Times New Roman"/>
                <w:b/>
                <w:bCs/>
                <w:lang w:val="ro-RO"/>
              </w:rPr>
            </w:pPr>
            <w:r w:rsidRPr="00D345AA">
              <w:rPr>
                <w:rFonts w:ascii="Times New Roman" w:eastAsia="Calibri" w:hAnsi="Times New Roman" w:cs="Times New Roman"/>
                <w:lang w:val="ro-RO"/>
              </w:rPr>
              <w:t>La pct. 4.5 , la categoria „Protecția mediului. Regenerarea” se dublează activitatea: „Regenerarea habitatelor, ecosistemelor și speciilor”, la fel și la categoria „Silvicultură” se constată repetarea textului „Gestionarea și conservarea pădurilor”. Astfel, se vor elimina aceste dublări.</w:t>
            </w:r>
          </w:p>
        </w:tc>
        <w:tc>
          <w:tcPr>
            <w:tcW w:w="1458" w:type="pct"/>
          </w:tcPr>
          <w:p w14:paraId="37776FB9"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2726B1B3" w14:textId="33452010"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014340F6" w14:textId="77777777" w:rsidTr="00F968A9">
        <w:tc>
          <w:tcPr>
            <w:tcW w:w="797" w:type="pct"/>
            <w:vMerge/>
          </w:tcPr>
          <w:p w14:paraId="0B8EFF71"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29A87F98"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1BAF2A10" w14:textId="6952D454"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b/>
                <w:bCs/>
                <w:lang w:val="ro-RO"/>
              </w:rPr>
              <w:t xml:space="preserve">La Tabelul de concordanță: </w:t>
            </w:r>
          </w:p>
          <w:p w14:paraId="7BA96F8C" w14:textId="02AA64C8"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Textul din coloana aferentă proiectului de act normativ național necesită o revizuire redacțională. Astfel, se vor uniformiza terminologiile utilizate în cuprinsul proiectului pentru a asigura coerența reglementării la </w:t>
            </w:r>
            <w:proofErr w:type="spellStart"/>
            <w:r w:rsidRPr="00D345AA">
              <w:rPr>
                <w:rFonts w:ascii="Times New Roman" w:eastAsia="Calibri" w:hAnsi="Times New Roman" w:cs="Times New Roman"/>
                <w:lang w:val="ro-RO"/>
              </w:rPr>
              <w:t>pct</w:t>
            </w:r>
            <w:proofErr w:type="spellEnd"/>
            <w:r w:rsidRPr="00D345AA">
              <w:rPr>
                <w:rFonts w:ascii="Times New Roman" w:eastAsia="Calibri" w:hAnsi="Times New Roman" w:cs="Times New Roman"/>
                <w:lang w:val="ro-RO"/>
              </w:rPr>
              <w:t xml:space="preserve">: 1; 5 lit. a); 12; 14; 16; 18; 25; 26. De asemenea, se va ajusta numerotarea punctelor în cuprinsul Anexei 1 pentru respectarea normelor de tehnică legislativă, precum: pct. 18; 21; 22; 28-30. </w:t>
            </w:r>
          </w:p>
          <w:p w14:paraId="647DF147" w14:textId="48970C4B" w:rsidR="0011010C" w:rsidRPr="004331D6" w:rsidRDefault="0011010C" w:rsidP="005B2CC7">
            <w:pPr>
              <w:jc w:val="both"/>
              <w:rPr>
                <w:rFonts w:ascii="Times New Roman" w:eastAsia="Calibri" w:hAnsi="Times New Roman" w:cs="Times New Roman"/>
                <w:lang w:val="ro-RO"/>
              </w:rPr>
            </w:pPr>
            <w:r w:rsidRPr="004331D6">
              <w:rPr>
                <w:rFonts w:ascii="Times New Roman" w:eastAsia="Calibri" w:hAnsi="Times New Roman" w:cs="Times New Roman"/>
                <w:lang w:val="ro-RO"/>
              </w:rPr>
              <w:t xml:space="preserve">Totodată, în coloana referitoare la proiectul de act normativ național, se va include noțiunea </w:t>
            </w:r>
            <w:r w:rsidRPr="004331D6">
              <w:rPr>
                <w:rFonts w:ascii="Times New Roman" w:eastAsia="Calibri" w:hAnsi="Times New Roman" w:cs="Times New Roman"/>
                <w:i/>
                <w:iCs/>
                <w:lang w:val="ro-RO"/>
              </w:rPr>
              <w:t>„produs financiar”</w:t>
            </w:r>
            <w:r w:rsidRPr="004331D6">
              <w:rPr>
                <w:rFonts w:ascii="Times New Roman" w:eastAsia="Calibri" w:hAnsi="Times New Roman" w:cs="Times New Roman"/>
                <w:lang w:val="ro-RO"/>
              </w:rPr>
              <w:t xml:space="preserve">, definită la pct. 4 al proiectului. </w:t>
            </w:r>
          </w:p>
          <w:p w14:paraId="4578F04C" w14:textId="116602E0" w:rsidR="0011010C" w:rsidRPr="004331D6" w:rsidRDefault="0011010C" w:rsidP="005B2CC7">
            <w:pPr>
              <w:jc w:val="both"/>
              <w:rPr>
                <w:rFonts w:ascii="Times New Roman" w:eastAsia="Calibri" w:hAnsi="Times New Roman" w:cs="Times New Roman"/>
                <w:lang w:val="ro-RO"/>
              </w:rPr>
            </w:pPr>
            <w:r w:rsidRPr="004331D6">
              <w:rPr>
                <w:rFonts w:ascii="Times New Roman" w:eastAsia="Calibri" w:hAnsi="Times New Roman" w:cs="Times New Roman"/>
                <w:lang w:val="ro-RO"/>
              </w:rPr>
              <w:t>Transpunerea parțială a Anexelor 1 și 2</w:t>
            </w:r>
            <w:r w:rsidRPr="004331D6">
              <w:rPr>
                <w:rFonts w:ascii="Times New Roman" w:eastAsia="Calibri" w:hAnsi="Times New Roman" w:cs="Times New Roman"/>
                <w:i/>
                <w:iCs/>
                <w:lang w:val="ro-RO"/>
              </w:rPr>
              <w:t xml:space="preserve">, Apendicele C „Criterii generice aferente principiului DNSH pentru obiectivul de prevenire și control al poluării în ceea ce privește utilizarea și prezența substanțelor chimice </w:t>
            </w:r>
            <w:r w:rsidRPr="004331D6">
              <w:rPr>
                <w:rFonts w:ascii="Times New Roman" w:eastAsia="Calibri" w:hAnsi="Times New Roman" w:cs="Times New Roman"/>
                <w:lang w:val="ro-RO"/>
              </w:rPr>
              <w:t>prin Anexa 2</w:t>
            </w:r>
            <w:r w:rsidRPr="004331D6">
              <w:rPr>
                <w:rFonts w:ascii="Times New Roman" w:eastAsia="Calibri" w:hAnsi="Times New Roman" w:cs="Times New Roman"/>
                <w:i/>
                <w:iCs/>
                <w:lang w:val="ro-RO"/>
              </w:rPr>
              <w:t xml:space="preserve">. Criterii generice aferente principiului DNSH pentru obiectivul de prevenire și control al poluării </w:t>
            </w:r>
            <w:r w:rsidRPr="004331D6">
              <w:rPr>
                <w:rFonts w:ascii="Times New Roman" w:eastAsia="Calibri" w:hAnsi="Times New Roman" w:cs="Times New Roman"/>
                <w:lang w:val="ro-RO"/>
              </w:rPr>
              <w:t xml:space="preserve">nu reflectă cauzele/nu prezintă în comentarii argumentele pentru care nu s-au transpus prevederile de la lit. e) și lit. f) ale actului european. </w:t>
            </w:r>
          </w:p>
          <w:p w14:paraId="528CE0BC" w14:textId="00791BC6" w:rsidR="0011010C" w:rsidRDefault="0011010C" w:rsidP="005B2CC7">
            <w:pPr>
              <w:jc w:val="both"/>
              <w:rPr>
                <w:rFonts w:ascii="Times New Roman" w:eastAsia="Calibri" w:hAnsi="Times New Roman" w:cs="Times New Roman"/>
                <w:lang w:val="ro-RO"/>
              </w:rPr>
            </w:pPr>
            <w:r w:rsidRPr="004331D6">
              <w:rPr>
                <w:rFonts w:ascii="Times New Roman" w:eastAsia="Calibri" w:hAnsi="Times New Roman" w:cs="Times New Roman"/>
                <w:lang w:val="ro-RO"/>
              </w:rPr>
              <w:t xml:space="preserve">Prin urmare se va completa </w:t>
            </w:r>
            <w:proofErr w:type="spellStart"/>
            <w:r w:rsidRPr="004331D6">
              <w:rPr>
                <w:rFonts w:ascii="Times New Roman" w:eastAsia="Calibri" w:hAnsi="Times New Roman" w:cs="Times New Roman"/>
                <w:lang w:val="ro-RO"/>
              </w:rPr>
              <w:t>ToC</w:t>
            </w:r>
            <w:proofErr w:type="spellEnd"/>
            <w:r w:rsidRPr="004331D6">
              <w:rPr>
                <w:rFonts w:ascii="Times New Roman" w:eastAsia="Calibri" w:hAnsi="Times New Roman" w:cs="Times New Roman"/>
                <w:lang w:val="ro-RO"/>
              </w:rPr>
              <w:t xml:space="preserve"> corespunzător. Obiecția este similară și pentru transpunerea </w:t>
            </w:r>
            <w:r w:rsidRPr="004331D6">
              <w:rPr>
                <w:rFonts w:ascii="Times New Roman" w:eastAsia="Calibri" w:hAnsi="Times New Roman" w:cs="Times New Roman"/>
                <w:i/>
                <w:iCs/>
                <w:lang w:val="ro-RO"/>
              </w:rPr>
              <w:t xml:space="preserve">Anexelor I-II, Apendicele A, B, C, D, E Anexe I-IV, Apendicele A, B, C, D "Criteriile generice DNSH pentru prevenirea și controlul poluării" </w:t>
            </w:r>
            <w:r w:rsidRPr="004331D6">
              <w:rPr>
                <w:rFonts w:ascii="Times New Roman" w:eastAsia="Calibri" w:hAnsi="Times New Roman" w:cs="Times New Roman"/>
                <w:lang w:val="ro-RO"/>
              </w:rPr>
              <w:t xml:space="preserve">prin </w:t>
            </w:r>
            <w:r w:rsidRPr="004331D6">
              <w:rPr>
                <w:rFonts w:ascii="Times New Roman" w:eastAsia="Calibri" w:hAnsi="Times New Roman" w:cs="Times New Roman"/>
                <w:i/>
                <w:iCs/>
                <w:lang w:val="ro-RO"/>
              </w:rPr>
              <w:t xml:space="preserve">Anexa II DNSH pentru obiectivul privind prevenirea și controlul poluării Capitolul IV, VI, VII, </w:t>
            </w:r>
            <w:r w:rsidRPr="004331D6">
              <w:rPr>
                <w:rFonts w:ascii="Times New Roman" w:eastAsia="Calibri" w:hAnsi="Times New Roman" w:cs="Times New Roman"/>
                <w:i/>
                <w:iCs/>
                <w:lang w:val="ro-RO"/>
              </w:rPr>
              <w:lastRenderedPageBreak/>
              <w:t>"Următoarele activități</w:t>
            </w:r>
            <w:r w:rsidRPr="00D345AA">
              <w:rPr>
                <w:rFonts w:ascii="Times New Roman" w:eastAsia="Calibri" w:hAnsi="Times New Roman" w:cs="Times New Roman"/>
                <w:i/>
                <w:iCs/>
                <w:lang w:val="ro-RO"/>
              </w:rPr>
              <w:t xml:space="preserve"> trebuie doar să îndeplinească" DNSH generice pentru obiectivul privind prevenirea și controlul poluării. </w:t>
            </w:r>
          </w:p>
          <w:p w14:paraId="07EA3665" w14:textId="59CB6D25" w:rsidR="0011010C" w:rsidRPr="00D345AA" w:rsidRDefault="0011010C" w:rsidP="005B2CC7">
            <w:pPr>
              <w:jc w:val="both"/>
              <w:rPr>
                <w:rFonts w:ascii="Times New Roman" w:eastAsia="Calibri" w:hAnsi="Times New Roman" w:cs="Times New Roman"/>
                <w:b/>
                <w:bCs/>
                <w:lang w:val="ro-RO"/>
              </w:rPr>
            </w:pPr>
            <w:r w:rsidRPr="008420FE">
              <w:rPr>
                <w:rFonts w:ascii="Times New Roman" w:eastAsia="Calibri" w:hAnsi="Times New Roman" w:cs="Times New Roman"/>
                <w:lang w:val="ro-RO"/>
              </w:rPr>
              <w:t xml:space="preserve">La pct. 5.12 </w:t>
            </w:r>
            <w:r w:rsidRPr="008420FE">
              <w:rPr>
                <w:rFonts w:ascii="Times New Roman" w:eastAsia="Calibri" w:hAnsi="Times New Roman" w:cs="Times New Roman"/>
                <w:i/>
                <w:iCs/>
                <w:lang w:val="ro-RO"/>
              </w:rPr>
              <w:t>Stocarea geologică subterană permanentă a CO2</w:t>
            </w:r>
            <w:r w:rsidRPr="008420FE">
              <w:rPr>
                <w:rFonts w:ascii="Times New Roman" w:eastAsia="Calibri" w:hAnsi="Times New Roman" w:cs="Times New Roman"/>
                <w:lang w:val="ro-RO"/>
              </w:rPr>
              <w:t>, în coloana „</w:t>
            </w:r>
            <w:r w:rsidRPr="008420FE">
              <w:rPr>
                <w:rFonts w:ascii="Times New Roman" w:eastAsia="Calibri" w:hAnsi="Times New Roman" w:cs="Times New Roman"/>
                <w:i/>
                <w:iCs/>
                <w:lang w:val="ro-RO"/>
              </w:rPr>
              <w:t>diferențele/observațiile</w:t>
            </w:r>
            <w:r w:rsidRPr="008420FE">
              <w:rPr>
                <w:rFonts w:ascii="Times New Roman" w:eastAsia="Calibri" w:hAnsi="Times New Roman" w:cs="Times New Roman"/>
                <w:lang w:val="ro-RO"/>
              </w:rPr>
              <w:t>”, textul „Actele moldovenești care transpun regulamentele UE constau în prezent din: -Legea nr. 282/2023 privind performanța energetică a clădirilor; -HG nr. 621/2024 pentru aprobarea Regulamentului privind procedura de certificare a performanței energetice a clădirilor și a unităților de clădire” se vor exclude. Aceste acte nu au tangență cu stocarea geologică subterană permanentă a CO2.</w:t>
            </w:r>
          </w:p>
        </w:tc>
        <w:tc>
          <w:tcPr>
            <w:tcW w:w="1458" w:type="pct"/>
          </w:tcPr>
          <w:p w14:paraId="251B2033" w14:textId="77777777" w:rsidR="0011010C" w:rsidRPr="002825AF" w:rsidRDefault="0011010C" w:rsidP="005B2CC7">
            <w:pPr>
              <w:rPr>
                <w:rFonts w:ascii="Times New Roman" w:hAnsi="Times New Roman" w:cs="Times New Roman"/>
                <w:b/>
                <w:bCs/>
                <w:color w:val="C00000"/>
              </w:rPr>
            </w:pPr>
          </w:p>
          <w:p w14:paraId="02894C37" w14:textId="77777777" w:rsidR="0011010C" w:rsidRPr="002825AF" w:rsidRDefault="0011010C" w:rsidP="005B2CC7">
            <w:pPr>
              <w:rPr>
                <w:rFonts w:ascii="Times New Roman" w:hAnsi="Times New Roman" w:cs="Times New Roman"/>
                <w:b/>
                <w:bCs/>
                <w:color w:val="C00000"/>
              </w:rPr>
            </w:pPr>
          </w:p>
          <w:p w14:paraId="1DBEA3CA" w14:textId="715BD488" w:rsidR="0011010C" w:rsidRPr="002825AF" w:rsidRDefault="0011010C" w:rsidP="005B2CC7">
            <w:pPr>
              <w:rPr>
                <w:rFonts w:ascii="Times New Roman" w:hAnsi="Times New Roman" w:cs="Times New Roman"/>
                <w:b/>
                <w:bCs/>
                <w:color w:val="000000" w:themeColor="text1"/>
              </w:rPr>
            </w:pPr>
            <w:r w:rsidRPr="002825AF">
              <w:rPr>
                <w:rFonts w:ascii="Times New Roman" w:hAnsi="Times New Roman" w:cs="Times New Roman"/>
                <w:b/>
                <w:bCs/>
                <w:color w:val="000000" w:themeColor="text1"/>
              </w:rPr>
              <w:t>Se acceptă.</w:t>
            </w:r>
          </w:p>
          <w:p w14:paraId="603166E8" w14:textId="0CFAD47C" w:rsidR="0011010C" w:rsidRPr="002825AF" w:rsidRDefault="0011010C" w:rsidP="00E41464">
            <w:pPr>
              <w:jc w:val="both"/>
              <w:rPr>
                <w:rFonts w:ascii="Times New Roman" w:hAnsi="Times New Roman" w:cs="Times New Roman"/>
                <w:color w:val="000000" w:themeColor="text1"/>
              </w:rPr>
            </w:pPr>
            <w:r w:rsidRPr="002825AF">
              <w:rPr>
                <w:rFonts w:ascii="Times New Roman" w:hAnsi="Times New Roman" w:cs="Times New Roman"/>
                <w:color w:val="000000" w:themeColor="text1"/>
              </w:rPr>
              <w:t>Au fost operate ajustări conform propunerilor.</w:t>
            </w:r>
          </w:p>
          <w:p w14:paraId="153F2750" w14:textId="77777777" w:rsidR="0011010C" w:rsidRPr="002825AF" w:rsidRDefault="0011010C" w:rsidP="005B2CC7">
            <w:pPr>
              <w:rPr>
                <w:rFonts w:ascii="Times New Roman" w:hAnsi="Times New Roman" w:cs="Times New Roman"/>
                <w:b/>
                <w:bCs/>
                <w:color w:val="C00000"/>
              </w:rPr>
            </w:pPr>
          </w:p>
          <w:p w14:paraId="6DF766F7" w14:textId="77777777" w:rsidR="0011010C" w:rsidRPr="002825AF" w:rsidRDefault="0011010C" w:rsidP="005B2CC7">
            <w:pPr>
              <w:rPr>
                <w:rFonts w:ascii="Times New Roman" w:hAnsi="Times New Roman" w:cs="Times New Roman"/>
                <w:b/>
                <w:bCs/>
                <w:color w:val="C00000"/>
              </w:rPr>
            </w:pPr>
          </w:p>
          <w:p w14:paraId="3F3577D7" w14:textId="6C4C881F" w:rsidR="0011010C" w:rsidRPr="002825AF" w:rsidRDefault="0011010C" w:rsidP="0001460F">
            <w:pPr>
              <w:rPr>
                <w:rFonts w:ascii="Times New Roman" w:eastAsia="Calibri" w:hAnsi="Times New Roman" w:cs="Times New Roman"/>
              </w:rPr>
            </w:pPr>
          </w:p>
        </w:tc>
      </w:tr>
      <w:tr w:rsidR="0011010C" w:rsidRPr="00882F72" w14:paraId="442EA3E5" w14:textId="77777777" w:rsidTr="00F968A9">
        <w:tc>
          <w:tcPr>
            <w:tcW w:w="797" w:type="pct"/>
            <w:vMerge/>
          </w:tcPr>
          <w:p w14:paraId="0ADFC3EA"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1D2622ED"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40C52F5F" w14:textId="4033C555" w:rsidR="0011010C" w:rsidRPr="00A23D26" w:rsidRDefault="0011010C" w:rsidP="005B2CC7">
            <w:pPr>
              <w:jc w:val="both"/>
              <w:rPr>
                <w:rFonts w:ascii="Times New Roman" w:eastAsia="Calibri" w:hAnsi="Times New Roman" w:cs="Times New Roman"/>
                <w:b/>
                <w:bCs/>
                <w:lang w:val="ro-RO"/>
              </w:rPr>
            </w:pPr>
            <w:r w:rsidRPr="00A23D26">
              <w:rPr>
                <w:rFonts w:ascii="Times New Roman" w:eastAsia="Calibri" w:hAnsi="Times New Roman" w:cs="Times New Roman"/>
                <w:b/>
                <w:bCs/>
                <w:lang w:val="ro-RO"/>
              </w:rPr>
              <w:t xml:space="preserve">Pe tot parcursul textului proiectului de act normativ: </w:t>
            </w:r>
          </w:p>
          <w:p w14:paraId="456BA4A0" w14:textId="70C0AAD8" w:rsidR="0011010C" w:rsidRPr="00A23D26" w:rsidRDefault="0011010C" w:rsidP="005B2CC7">
            <w:pPr>
              <w:jc w:val="both"/>
              <w:rPr>
                <w:rFonts w:ascii="Times New Roman" w:eastAsia="Calibri" w:hAnsi="Times New Roman" w:cs="Times New Roman"/>
                <w:lang w:val="ro-RO"/>
              </w:rPr>
            </w:pPr>
            <w:r w:rsidRPr="00A23D26">
              <w:rPr>
                <w:rFonts w:ascii="Times New Roman" w:eastAsia="Calibri" w:hAnsi="Times New Roman" w:cs="Times New Roman"/>
                <w:lang w:val="ro-RO"/>
              </w:rPr>
              <w:t xml:space="preserve">Sintagma „din punct de vedere ecologic” se va substitui cu textul „din punctul de vedere al mediului”, pentru asigurarea coerenței terminologice și alinierii la Regulamentul (UE) 2020/852. </w:t>
            </w:r>
          </w:p>
        </w:tc>
        <w:tc>
          <w:tcPr>
            <w:tcW w:w="1458" w:type="pct"/>
          </w:tcPr>
          <w:p w14:paraId="5517AB33"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4D9765F1" w14:textId="404DF3CD"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125CF511" w14:textId="77777777" w:rsidTr="00800EB7">
        <w:tc>
          <w:tcPr>
            <w:tcW w:w="797" w:type="pct"/>
            <w:vMerge/>
          </w:tcPr>
          <w:p w14:paraId="52F342C6"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59557AD2"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3F55C2C6" w14:textId="2EDDEC32" w:rsidR="0011010C" w:rsidRPr="00D345AA" w:rsidRDefault="0011010C" w:rsidP="005B2CC7">
            <w:pPr>
              <w:jc w:val="both"/>
              <w:rPr>
                <w:rFonts w:ascii="Times New Roman" w:eastAsia="Calibri" w:hAnsi="Times New Roman" w:cs="Times New Roman"/>
                <w:b/>
                <w:bCs/>
                <w:lang w:val="ro-RO"/>
              </w:rPr>
            </w:pPr>
            <w:r w:rsidRPr="004331D6">
              <w:rPr>
                <w:rFonts w:ascii="Times New Roman" w:eastAsia="Calibri" w:hAnsi="Times New Roman" w:cs="Times New Roman"/>
                <w:lang w:val="ro-RO"/>
              </w:rPr>
              <w:t>Totodată, standardele EN se vor substitui cu standarde SM ce aprobă standarde europene armonizate.</w:t>
            </w:r>
          </w:p>
        </w:tc>
        <w:tc>
          <w:tcPr>
            <w:tcW w:w="1458" w:type="pct"/>
          </w:tcPr>
          <w:p w14:paraId="6C116C60" w14:textId="6FE5AFC8" w:rsidR="0011010C" w:rsidRPr="002825AF" w:rsidRDefault="0011010C" w:rsidP="005B2CC7">
            <w:pPr>
              <w:rPr>
                <w:rFonts w:ascii="Times New Roman" w:hAnsi="Times New Roman" w:cs="Times New Roman"/>
                <w:b/>
                <w:bCs/>
                <w:color w:val="000000" w:themeColor="text1"/>
              </w:rPr>
            </w:pPr>
            <w:r w:rsidRPr="002825AF">
              <w:rPr>
                <w:rFonts w:ascii="Times New Roman" w:hAnsi="Times New Roman" w:cs="Times New Roman"/>
                <w:b/>
                <w:bCs/>
                <w:color w:val="000000" w:themeColor="text1"/>
              </w:rPr>
              <w:t>Comentariu</w:t>
            </w:r>
          </w:p>
          <w:p w14:paraId="581E02C4" w14:textId="203DEBEC" w:rsidR="0011010C" w:rsidRPr="002A2E2A" w:rsidRDefault="0011010C" w:rsidP="005B2CC7">
            <w:pPr>
              <w:rPr>
                <w:rFonts w:ascii="Times New Roman" w:eastAsia="Calibri" w:hAnsi="Times New Roman" w:cs="Times New Roman"/>
                <w:color w:val="000000" w:themeColor="text1"/>
              </w:rPr>
            </w:pPr>
            <w:r w:rsidRPr="002825AF">
              <w:rPr>
                <w:rFonts w:ascii="Times New Roman" w:eastAsia="Calibri" w:hAnsi="Times New Roman" w:cs="Times New Roman"/>
                <w:color w:val="000000" w:themeColor="text1"/>
              </w:rPr>
              <w:t>Propunerea urmează a fi examinată suplimentar.</w:t>
            </w:r>
          </w:p>
        </w:tc>
      </w:tr>
      <w:tr w:rsidR="0011010C" w:rsidRPr="00882F72" w14:paraId="57F8D6FD" w14:textId="77777777" w:rsidTr="00F968A9">
        <w:tc>
          <w:tcPr>
            <w:tcW w:w="797" w:type="pct"/>
            <w:vMerge/>
          </w:tcPr>
          <w:p w14:paraId="3F2818D0"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004CB83C"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12E88828" w14:textId="77777777"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De asemenea, textul: „Programul național de aderare a Republicii Moldova la Uniunea </w:t>
            </w:r>
          </w:p>
          <w:p w14:paraId="1A449304" w14:textId="1BAEB3A8"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Europeană pentru perioada 2025-2029” și „Programul național de aderare a Republicii Moldova la Uniunea Europeană”, se va substitui cu denumirea completă a actului „Programul național de aderare a Republicii Moldova la Uniunea Europeană pentru anii 2025-2029”, aprobat prin Hotărârea Guvernului nr. 306/2025. </w:t>
            </w:r>
          </w:p>
        </w:tc>
        <w:tc>
          <w:tcPr>
            <w:tcW w:w="1458" w:type="pct"/>
          </w:tcPr>
          <w:p w14:paraId="3D48F552"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53C8C34A" w14:textId="686BB836"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6F461A01" w14:textId="77777777" w:rsidTr="00F968A9">
        <w:tc>
          <w:tcPr>
            <w:tcW w:w="797" w:type="pct"/>
            <w:vMerge/>
          </w:tcPr>
          <w:p w14:paraId="5D4D7458"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7F752E67"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4D822ED6" w14:textId="23D41ECF"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 xml:space="preserve">Referințele la Regulamentul (CE) nr. 1907/2006 din textul proiectului se vor substitui cu referințe la Legea nr. 277/2018 privind substanțele chimice, care aliniază parțial cadrul normativ național la cerințele acestuia. </w:t>
            </w:r>
          </w:p>
        </w:tc>
        <w:tc>
          <w:tcPr>
            <w:tcW w:w="1458" w:type="pct"/>
          </w:tcPr>
          <w:p w14:paraId="1FC46309"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164BA6AE" w14:textId="1B8F9EF1"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11010C" w:rsidRPr="00882F72" w14:paraId="50ACAB45" w14:textId="77777777" w:rsidTr="00F968A9">
        <w:tc>
          <w:tcPr>
            <w:tcW w:w="797" w:type="pct"/>
            <w:vMerge/>
          </w:tcPr>
          <w:p w14:paraId="33FD4C97"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17701BF1" w14:textId="77777777" w:rsidR="0011010C" w:rsidRPr="009E17F3" w:rsidRDefault="0011010C">
            <w:pPr>
              <w:pStyle w:val="ListParagraph"/>
              <w:numPr>
                <w:ilvl w:val="0"/>
                <w:numId w:val="14"/>
              </w:numPr>
              <w:rPr>
                <w:rFonts w:ascii="Times New Roman" w:eastAsia="Calibri" w:hAnsi="Times New Roman" w:cs="Times New Roman"/>
                <w:b/>
                <w:bCs/>
                <w:lang w:val="ro-RO"/>
              </w:rPr>
            </w:pPr>
          </w:p>
        </w:tc>
        <w:tc>
          <w:tcPr>
            <w:tcW w:w="2505" w:type="pct"/>
          </w:tcPr>
          <w:p w14:paraId="42ECB349" w14:textId="0B2DA286" w:rsidR="0011010C" w:rsidRPr="00D345AA" w:rsidRDefault="0011010C" w:rsidP="005B2CC7">
            <w:pPr>
              <w:jc w:val="both"/>
              <w:rPr>
                <w:rFonts w:ascii="Times New Roman" w:eastAsia="Calibri" w:hAnsi="Times New Roman" w:cs="Times New Roman"/>
                <w:lang w:val="ro-RO"/>
              </w:rPr>
            </w:pPr>
            <w:r w:rsidRPr="00D345AA">
              <w:rPr>
                <w:rFonts w:ascii="Times New Roman" w:eastAsia="Calibri" w:hAnsi="Times New Roman" w:cs="Times New Roman"/>
                <w:lang w:val="ro-RO"/>
              </w:rPr>
              <w:t>În proiectul de act normativ sunt necesare corectări redacționale, întrucât textul conține repetări ale unor sintagme (de exemplu: «Legea apelor, Legea apelor nr. 272/2011»), precum și formulări neclare sau incomplete din punct de vedere juridic. Se recomandă revizuirea redacțională a textului în vederea asigurării coerenței, clarității și uniformității terminologice.</w:t>
            </w:r>
          </w:p>
        </w:tc>
        <w:tc>
          <w:tcPr>
            <w:tcW w:w="1458" w:type="pct"/>
          </w:tcPr>
          <w:p w14:paraId="31CD494C" w14:textId="77777777"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0DA6BCFB" w14:textId="7701B2CC" w:rsidR="0011010C" w:rsidRPr="00A23D26" w:rsidRDefault="0011010C"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5B2CC7" w:rsidRPr="00882F72" w14:paraId="7F8074CF" w14:textId="77777777" w:rsidTr="00F968A9">
        <w:tc>
          <w:tcPr>
            <w:tcW w:w="797" w:type="pct"/>
            <w:vMerge w:val="restart"/>
          </w:tcPr>
          <w:p w14:paraId="4D3CE026" w14:textId="1FC4E6E0" w:rsidR="005B2CC7" w:rsidRPr="00882F72" w:rsidRDefault="005B2CC7" w:rsidP="00021BBB">
            <w:pPr>
              <w:tabs>
                <w:tab w:val="left" w:pos="355"/>
              </w:tabs>
              <w:rPr>
                <w:rFonts w:ascii="Times New Roman" w:eastAsia="Calibri" w:hAnsi="Times New Roman" w:cs="Times New Roman"/>
                <w:b/>
                <w:bCs/>
              </w:rPr>
            </w:pPr>
            <w:r w:rsidRPr="00EB0784">
              <w:rPr>
                <w:rFonts w:ascii="Times New Roman" w:eastAsia="Calibri" w:hAnsi="Times New Roman" w:cs="Times New Roman"/>
                <w:b/>
                <w:bCs/>
              </w:rPr>
              <w:t>Ministerul Muncii și Protecției Sociale</w:t>
            </w:r>
          </w:p>
          <w:p w14:paraId="1CB62D3A" w14:textId="5287F23F" w:rsidR="005B2CC7" w:rsidRPr="00882F72" w:rsidRDefault="005B2CC7" w:rsidP="005B2CC7">
            <w:pPr>
              <w:tabs>
                <w:tab w:val="left" w:pos="355"/>
              </w:tabs>
              <w:rPr>
                <w:rFonts w:ascii="Times New Roman" w:eastAsia="Calibri" w:hAnsi="Times New Roman" w:cs="Times New Roman"/>
              </w:rPr>
            </w:pPr>
            <w:r>
              <w:rPr>
                <w:rFonts w:ascii="Times New Roman" w:eastAsia="Calibri" w:hAnsi="Times New Roman" w:cs="Times New Roman"/>
              </w:rPr>
              <w:t>n</w:t>
            </w:r>
            <w:r w:rsidRPr="00882F72">
              <w:rPr>
                <w:rFonts w:ascii="Times New Roman" w:eastAsia="Calibri" w:hAnsi="Times New Roman" w:cs="Times New Roman"/>
              </w:rPr>
              <w:t>r. 21/1109 din 03.03.2026</w:t>
            </w:r>
          </w:p>
        </w:tc>
        <w:tc>
          <w:tcPr>
            <w:tcW w:w="240" w:type="pct"/>
          </w:tcPr>
          <w:p w14:paraId="0CCA1B58" w14:textId="77777777" w:rsidR="005B2CC7" w:rsidRPr="002E39C1" w:rsidRDefault="005B2CC7">
            <w:pPr>
              <w:pStyle w:val="ListParagraph"/>
              <w:numPr>
                <w:ilvl w:val="0"/>
                <w:numId w:val="15"/>
              </w:numPr>
              <w:rPr>
                <w:rFonts w:ascii="Times New Roman" w:eastAsia="Calibri" w:hAnsi="Times New Roman" w:cs="Times New Roman"/>
                <w:u w:val="single"/>
              </w:rPr>
            </w:pPr>
          </w:p>
        </w:tc>
        <w:tc>
          <w:tcPr>
            <w:tcW w:w="2505" w:type="pct"/>
          </w:tcPr>
          <w:p w14:paraId="64E152A0" w14:textId="5B1697CB" w:rsidR="005B2CC7" w:rsidRPr="002E39C1" w:rsidRDefault="005B2CC7" w:rsidP="005B2CC7">
            <w:pPr>
              <w:jc w:val="both"/>
              <w:rPr>
                <w:rFonts w:ascii="Times New Roman" w:eastAsia="Calibri" w:hAnsi="Times New Roman" w:cs="Times New Roman"/>
                <w:u w:val="single"/>
              </w:rPr>
            </w:pPr>
            <w:r w:rsidRPr="002E39C1">
              <w:rPr>
                <w:rFonts w:ascii="Times New Roman" w:eastAsia="Calibri" w:hAnsi="Times New Roman" w:cs="Times New Roman"/>
                <w:u w:val="single"/>
              </w:rPr>
              <w:t>La Anexa nr. 1 la Taxonomia pentru finanțare durabilă din proiectul de hotărâre</w:t>
            </w:r>
          </w:p>
          <w:p w14:paraId="13F1BE39" w14:textId="74BF2AFE" w:rsidR="005B2CC7" w:rsidRPr="00882F72" w:rsidRDefault="005B2CC7" w:rsidP="005B2CC7">
            <w:pPr>
              <w:jc w:val="both"/>
              <w:rPr>
                <w:rFonts w:ascii="Times New Roman" w:eastAsia="Calibri" w:hAnsi="Times New Roman" w:cs="Times New Roman"/>
                <w:u w:val="single"/>
              </w:rPr>
            </w:pPr>
            <w:r w:rsidRPr="00882F72">
              <w:rPr>
                <w:rFonts w:ascii="Times New Roman" w:eastAsia="Calibri" w:hAnsi="Times New Roman" w:cs="Times New Roman"/>
              </w:rPr>
              <w:t>Punctul 3.19 Fabricarea de elemente constitutive de material rulant feroviar din Capitolul II. ACTIVITĂȚI ELIGIBILE ÎN CADRUL OBIECTIVULUI DE ATENUARE A SCHIMBĂRILOR CLIMATICE, sintagma ,,persoanele cu handicap” se substituie cu sintagma ,,persoanele cu dizabilități”, în vederea alinierii terminologiei la standardele naționale și internaționale în domeniul drepturilor persoanelor cu dizabilități.</w:t>
            </w:r>
          </w:p>
        </w:tc>
        <w:tc>
          <w:tcPr>
            <w:tcW w:w="1458" w:type="pct"/>
          </w:tcPr>
          <w:p w14:paraId="34324066" w14:textId="77777777" w:rsidR="005B2CC7" w:rsidRPr="00A23D26" w:rsidRDefault="005B2CC7"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3C1B545E" w14:textId="0FEC5DCF" w:rsidR="00A23D26" w:rsidRPr="00A23D26" w:rsidRDefault="00A23D26"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5B2CC7" w:rsidRPr="00882F72" w14:paraId="65396454" w14:textId="77777777" w:rsidTr="00F968A9">
        <w:tc>
          <w:tcPr>
            <w:tcW w:w="797" w:type="pct"/>
            <w:vMerge/>
          </w:tcPr>
          <w:p w14:paraId="333A4E95" w14:textId="44810FAF" w:rsidR="005B2CC7" w:rsidRPr="00882F72" w:rsidRDefault="005B2CC7" w:rsidP="005B2CC7">
            <w:pPr>
              <w:tabs>
                <w:tab w:val="left" w:pos="355"/>
              </w:tabs>
              <w:rPr>
                <w:rFonts w:ascii="Times New Roman" w:eastAsia="Calibri" w:hAnsi="Times New Roman" w:cs="Times New Roman"/>
                <w:b/>
                <w:bCs/>
              </w:rPr>
            </w:pPr>
          </w:p>
        </w:tc>
        <w:tc>
          <w:tcPr>
            <w:tcW w:w="240" w:type="pct"/>
          </w:tcPr>
          <w:p w14:paraId="313FEC4D" w14:textId="77777777" w:rsidR="005B2CC7" w:rsidRPr="002E39C1" w:rsidRDefault="005B2CC7">
            <w:pPr>
              <w:pStyle w:val="ListParagraph"/>
              <w:numPr>
                <w:ilvl w:val="0"/>
                <w:numId w:val="15"/>
              </w:numPr>
              <w:rPr>
                <w:rFonts w:ascii="Times New Roman" w:eastAsia="Calibri" w:hAnsi="Times New Roman" w:cs="Times New Roman"/>
              </w:rPr>
            </w:pPr>
          </w:p>
        </w:tc>
        <w:tc>
          <w:tcPr>
            <w:tcW w:w="2505" w:type="pct"/>
          </w:tcPr>
          <w:p w14:paraId="7E703247" w14:textId="4087B538" w:rsidR="005B2CC7" w:rsidRPr="00A23D26" w:rsidRDefault="005B2CC7" w:rsidP="005B2CC7">
            <w:pPr>
              <w:jc w:val="both"/>
              <w:rPr>
                <w:rFonts w:ascii="Times New Roman" w:eastAsia="Calibri" w:hAnsi="Times New Roman" w:cs="Times New Roman"/>
              </w:rPr>
            </w:pPr>
            <w:r w:rsidRPr="00A23D26">
              <w:rPr>
                <w:rFonts w:ascii="Times New Roman" w:eastAsia="Calibri" w:hAnsi="Times New Roman" w:cs="Times New Roman"/>
              </w:rPr>
              <w:t xml:space="preserve">La Anexa nr.3 la Taxonomia pentru finanțare durabilă din proiectul de hotărâre </w:t>
            </w:r>
          </w:p>
          <w:p w14:paraId="5EE586E3" w14:textId="2C381451" w:rsidR="005B2CC7" w:rsidRPr="00A23D26" w:rsidRDefault="005B2CC7" w:rsidP="005B2CC7">
            <w:pPr>
              <w:jc w:val="both"/>
              <w:rPr>
                <w:rFonts w:ascii="Times New Roman" w:eastAsia="Calibri" w:hAnsi="Times New Roman" w:cs="Times New Roman"/>
              </w:rPr>
            </w:pPr>
            <w:r w:rsidRPr="00A23D26">
              <w:rPr>
                <w:rFonts w:ascii="Times New Roman" w:eastAsia="Calibri" w:hAnsi="Times New Roman" w:cs="Times New Roman"/>
              </w:rPr>
              <w:t xml:space="preserve">Punctul 2.1. sintagma </w:t>
            </w:r>
            <w:r w:rsidRPr="00A23D26">
              <w:rPr>
                <w:rFonts w:ascii="Times New Roman" w:eastAsia="Calibri" w:hAnsi="Times New Roman" w:cs="Times New Roman"/>
                <w:i/>
                <w:iCs/>
              </w:rPr>
              <w:t xml:space="preserve">“cele 8 convenții fundamentale ale muncii” </w:t>
            </w:r>
            <w:r w:rsidRPr="00A23D26">
              <w:rPr>
                <w:rFonts w:ascii="Times New Roman" w:eastAsia="Calibri" w:hAnsi="Times New Roman" w:cs="Times New Roman"/>
              </w:rPr>
              <w:t xml:space="preserve">se substituie cu sintagma </w:t>
            </w:r>
            <w:r w:rsidRPr="00A23D26">
              <w:rPr>
                <w:rFonts w:ascii="Times New Roman" w:eastAsia="Calibri" w:hAnsi="Times New Roman" w:cs="Times New Roman"/>
                <w:i/>
                <w:iCs/>
              </w:rPr>
              <w:t>“cele 10 convenții fundamentale ale muncii”.</w:t>
            </w:r>
          </w:p>
        </w:tc>
        <w:tc>
          <w:tcPr>
            <w:tcW w:w="1458" w:type="pct"/>
          </w:tcPr>
          <w:p w14:paraId="026691BA" w14:textId="77777777" w:rsidR="005B2CC7" w:rsidRPr="00A23D26" w:rsidRDefault="005B2CC7" w:rsidP="005B2CC7">
            <w:pPr>
              <w:rPr>
                <w:rFonts w:ascii="Times New Roman" w:eastAsia="Calibri" w:hAnsi="Times New Roman" w:cs="Times New Roman"/>
                <w:b/>
                <w:bCs/>
              </w:rPr>
            </w:pPr>
            <w:r w:rsidRPr="00A23D26">
              <w:rPr>
                <w:rFonts w:ascii="Times New Roman" w:eastAsia="Calibri" w:hAnsi="Times New Roman" w:cs="Times New Roman"/>
                <w:b/>
                <w:bCs/>
              </w:rPr>
              <w:t>Se acceptă</w:t>
            </w:r>
          </w:p>
          <w:p w14:paraId="2674ADB9" w14:textId="7E47F9D6" w:rsidR="00A23D26" w:rsidRPr="00A23D26" w:rsidRDefault="00A23D26" w:rsidP="005B2CC7">
            <w:pPr>
              <w:rPr>
                <w:rFonts w:ascii="Times New Roman" w:eastAsia="Calibri" w:hAnsi="Times New Roman" w:cs="Times New Roman"/>
                <w:b/>
                <w:bCs/>
              </w:rPr>
            </w:pPr>
            <w:r w:rsidRPr="00A23D26">
              <w:rPr>
                <w:rFonts w:ascii="Times New Roman" w:eastAsia="Calibri" w:hAnsi="Times New Roman" w:cs="Times New Roman"/>
                <w:bCs/>
              </w:rPr>
              <w:t>Proiectul a fost completat conform propunerii.</w:t>
            </w:r>
          </w:p>
        </w:tc>
      </w:tr>
      <w:tr w:rsidR="005B2CC7" w:rsidRPr="00882F72" w14:paraId="1DF749D8" w14:textId="77777777" w:rsidTr="00F968A9">
        <w:tc>
          <w:tcPr>
            <w:tcW w:w="797" w:type="pct"/>
            <w:vMerge/>
          </w:tcPr>
          <w:p w14:paraId="04763574" w14:textId="057779FB" w:rsidR="005B2CC7" w:rsidRPr="00882F72" w:rsidRDefault="005B2CC7" w:rsidP="005B2CC7">
            <w:pPr>
              <w:tabs>
                <w:tab w:val="left" w:pos="355"/>
              </w:tabs>
              <w:rPr>
                <w:rFonts w:ascii="Times New Roman" w:eastAsia="Calibri" w:hAnsi="Times New Roman" w:cs="Times New Roman"/>
                <w:b/>
                <w:bCs/>
              </w:rPr>
            </w:pPr>
          </w:p>
        </w:tc>
        <w:tc>
          <w:tcPr>
            <w:tcW w:w="240" w:type="pct"/>
          </w:tcPr>
          <w:p w14:paraId="023A5F55" w14:textId="77777777" w:rsidR="005B2CC7" w:rsidRPr="002E39C1" w:rsidRDefault="005B2CC7">
            <w:pPr>
              <w:pStyle w:val="ListParagraph"/>
              <w:numPr>
                <w:ilvl w:val="0"/>
                <w:numId w:val="15"/>
              </w:numPr>
              <w:rPr>
                <w:rFonts w:ascii="Times New Roman" w:eastAsia="Calibri" w:hAnsi="Times New Roman" w:cs="Times New Roman"/>
              </w:rPr>
            </w:pPr>
          </w:p>
        </w:tc>
        <w:tc>
          <w:tcPr>
            <w:tcW w:w="2505" w:type="pct"/>
          </w:tcPr>
          <w:p w14:paraId="45ED60F5" w14:textId="7C592055" w:rsidR="005B2CC7" w:rsidRPr="002E39C1" w:rsidRDefault="005B2CC7" w:rsidP="005B2CC7">
            <w:pPr>
              <w:jc w:val="both"/>
              <w:rPr>
                <w:rFonts w:ascii="Times New Roman" w:eastAsia="Calibri" w:hAnsi="Times New Roman" w:cs="Times New Roman"/>
              </w:rPr>
            </w:pPr>
            <w:r w:rsidRPr="002E39C1">
              <w:rPr>
                <w:rFonts w:ascii="Times New Roman" w:eastAsia="Calibri" w:hAnsi="Times New Roman" w:cs="Times New Roman"/>
              </w:rPr>
              <w:t>Documentul necesită clarificări privind delimitarea responsabilităților sectoriale. Proiectul nu reflectă în mod explicit cadrul instituțional, iar sintagma „</w:t>
            </w:r>
            <w:r w:rsidRPr="002E39C1">
              <w:rPr>
                <w:rFonts w:ascii="Times New Roman" w:eastAsia="Calibri" w:hAnsi="Times New Roman" w:cs="Times New Roman"/>
                <w:i/>
                <w:iCs/>
              </w:rPr>
              <w:t xml:space="preserve">autorități competente” </w:t>
            </w:r>
            <w:r w:rsidRPr="002E39C1">
              <w:rPr>
                <w:rFonts w:ascii="Times New Roman" w:eastAsia="Calibri" w:hAnsi="Times New Roman" w:cs="Times New Roman"/>
              </w:rPr>
              <w:t xml:space="preserve">este utilizată fără a specifica entitățile vizate pentru fiecare domeniu. </w:t>
            </w:r>
            <w:r w:rsidRPr="002E39C1">
              <w:rPr>
                <w:rFonts w:ascii="Times New Roman" w:eastAsia="Calibri" w:hAnsi="Times New Roman" w:cs="Times New Roman"/>
              </w:rPr>
              <w:lastRenderedPageBreak/>
              <w:t>Includerea tuturor autorităților publice centrale în conținutul proiectului ca autorități competente nu generează în mod automat responsabilități concrete pentru fiecare instituție.</w:t>
            </w:r>
          </w:p>
        </w:tc>
        <w:tc>
          <w:tcPr>
            <w:tcW w:w="1458" w:type="pct"/>
          </w:tcPr>
          <w:p w14:paraId="2999EFA4" w14:textId="5B4A4E87" w:rsidR="002825AF" w:rsidRDefault="002825AF" w:rsidP="002825AF">
            <w:pPr>
              <w:rPr>
                <w:rFonts w:ascii="Times New Roman" w:eastAsia="Calibri" w:hAnsi="Times New Roman" w:cs="Times New Roman"/>
                <w:b/>
                <w:bCs/>
              </w:rPr>
            </w:pPr>
            <w:r>
              <w:rPr>
                <w:rFonts w:ascii="Times New Roman" w:eastAsia="Calibri" w:hAnsi="Times New Roman" w:cs="Times New Roman"/>
                <w:b/>
                <w:bCs/>
              </w:rPr>
              <w:lastRenderedPageBreak/>
              <w:t>Nu se acceptă</w:t>
            </w:r>
            <w:r w:rsidRPr="00A16170">
              <w:rPr>
                <w:rFonts w:ascii="Times New Roman" w:eastAsia="Calibri" w:hAnsi="Times New Roman" w:cs="Times New Roman"/>
                <w:b/>
                <w:bCs/>
              </w:rPr>
              <w:t>.</w:t>
            </w:r>
          </w:p>
          <w:p w14:paraId="118B2A8B" w14:textId="77777777" w:rsidR="002825AF" w:rsidRPr="00A16170" w:rsidRDefault="002825AF" w:rsidP="002825AF">
            <w:pPr>
              <w:rPr>
                <w:rFonts w:ascii="Times New Roman" w:eastAsia="Calibri" w:hAnsi="Times New Roman" w:cs="Times New Roman"/>
                <w:b/>
                <w:bCs/>
              </w:rPr>
            </w:pPr>
            <w:r>
              <w:rPr>
                <w:rFonts w:ascii="Times New Roman" w:eastAsia="Calibri" w:hAnsi="Times New Roman" w:cs="Times New Roman"/>
                <w:b/>
                <w:bCs/>
              </w:rPr>
              <w:t>Pct. 2 din proiectul de Hotărâre prevede:</w:t>
            </w:r>
          </w:p>
          <w:p w14:paraId="22EBC04F" w14:textId="77777777" w:rsidR="002825AF" w:rsidRPr="00A23FF0" w:rsidRDefault="002825AF" w:rsidP="002825AF">
            <w:pPr>
              <w:widowControl w:val="0"/>
              <w:tabs>
                <w:tab w:val="left" w:pos="426"/>
                <w:tab w:val="left" w:pos="993"/>
              </w:tabs>
              <w:ind w:left="319" w:hanging="283"/>
              <w:jc w:val="both"/>
              <w:rPr>
                <w:rFonts w:ascii="Times New Roman" w:eastAsia="Times New Roman" w:hAnsi="Times New Roman" w:cs="Times New Roman"/>
              </w:rPr>
            </w:pPr>
            <w:r w:rsidRPr="00A23FF0">
              <w:rPr>
                <w:rFonts w:ascii="Times New Roman" w:eastAsia="Times New Roman" w:hAnsi="Times New Roman" w:cs="Times New Roman"/>
              </w:rPr>
              <w:t>2. Autoritățile administrației publice centrale:</w:t>
            </w:r>
          </w:p>
          <w:p w14:paraId="493D57D0" w14:textId="77777777" w:rsidR="002825AF" w:rsidRPr="00A23FF0" w:rsidRDefault="002825AF">
            <w:pPr>
              <w:pStyle w:val="ListParagraph"/>
              <w:widowControl w:val="0"/>
              <w:numPr>
                <w:ilvl w:val="1"/>
                <w:numId w:val="18"/>
              </w:numPr>
              <w:tabs>
                <w:tab w:val="left" w:pos="426"/>
                <w:tab w:val="left" w:pos="993"/>
              </w:tabs>
              <w:jc w:val="both"/>
              <w:rPr>
                <w:rFonts w:ascii="Times New Roman" w:eastAsia="Times New Roman" w:hAnsi="Times New Roman" w:cs="Times New Roman"/>
              </w:rPr>
            </w:pPr>
            <w:r w:rsidRPr="00A23FF0">
              <w:rPr>
                <w:rFonts w:ascii="Times New Roman" w:eastAsia="Calibri" w:hAnsi="Times New Roman" w:cs="Times New Roman"/>
                <w:bCs/>
                <w:iCs/>
              </w:rPr>
              <w:lastRenderedPageBreak/>
              <w:t>vor prezenta Guvernului propuneri privind aducerea legislației în conformitate cu prevederile Taxonomiei;</w:t>
            </w:r>
          </w:p>
          <w:p w14:paraId="515E9A7B" w14:textId="77777777" w:rsidR="002825AF" w:rsidRPr="00A23FF0" w:rsidRDefault="002825AF">
            <w:pPr>
              <w:pStyle w:val="ListParagraph"/>
              <w:widowControl w:val="0"/>
              <w:numPr>
                <w:ilvl w:val="1"/>
                <w:numId w:val="18"/>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vor aduce actele sale normative în conformitate cu prevederile Taxonomiei;</w:t>
            </w:r>
          </w:p>
          <w:p w14:paraId="35594B4F" w14:textId="319CC958" w:rsidR="002825AF" w:rsidRDefault="002825AF">
            <w:pPr>
              <w:pStyle w:val="ListParagraph"/>
              <w:widowControl w:val="0"/>
              <w:numPr>
                <w:ilvl w:val="1"/>
                <w:numId w:val="18"/>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 xml:space="preserve"> vor asigura elaborarea și aprobarea actelor normative necesare pentru punerea în aplicare a Taxonomiei.</w:t>
            </w:r>
          </w:p>
          <w:p w14:paraId="3EAD6B39" w14:textId="105A525F" w:rsidR="005B2CC7" w:rsidRPr="002A2E2A" w:rsidRDefault="002825AF" w:rsidP="002A2E2A">
            <w:pPr>
              <w:widowControl w:val="0"/>
              <w:tabs>
                <w:tab w:val="left" w:pos="426"/>
                <w:tab w:val="left" w:pos="993"/>
              </w:tabs>
              <w:jc w:val="both"/>
              <w:rPr>
                <w:rFonts w:ascii="Times New Roman" w:eastAsia="Calibri" w:hAnsi="Times New Roman" w:cs="Times New Roman"/>
                <w:bCs/>
                <w:iCs/>
              </w:rPr>
            </w:pPr>
            <w:r>
              <w:rPr>
                <w:rFonts w:ascii="Times New Roman" w:eastAsia="Calibri" w:hAnsi="Times New Roman" w:cs="Times New Roman"/>
                <w:bCs/>
                <w:iCs/>
              </w:rPr>
              <w:t>Respectiv, în dependență de domeniul de competență, autoritățile și instituțiile de resort urmează să-și ajusteze cadrul normativ relevant în scopul facilitării implementării Taxonomiei.</w:t>
            </w:r>
          </w:p>
        </w:tc>
      </w:tr>
      <w:tr w:rsidR="005B2CC7" w:rsidRPr="00882F72" w14:paraId="0E1C678D" w14:textId="77777777" w:rsidTr="00F968A9">
        <w:trPr>
          <w:trHeight w:val="1610"/>
        </w:trPr>
        <w:tc>
          <w:tcPr>
            <w:tcW w:w="797" w:type="pct"/>
            <w:vMerge/>
          </w:tcPr>
          <w:p w14:paraId="2543A33E" w14:textId="3906065D" w:rsidR="005B2CC7" w:rsidRPr="00882F72" w:rsidRDefault="005B2CC7" w:rsidP="005B2CC7">
            <w:pPr>
              <w:tabs>
                <w:tab w:val="left" w:pos="355"/>
              </w:tabs>
              <w:rPr>
                <w:rFonts w:ascii="Times New Roman" w:eastAsia="Calibri" w:hAnsi="Times New Roman" w:cs="Times New Roman"/>
                <w:b/>
                <w:bCs/>
              </w:rPr>
            </w:pPr>
          </w:p>
        </w:tc>
        <w:tc>
          <w:tcPr>
            <w:tcW w:w="240" w:type="pct"/>
          </w:tcPr>
          <w:p w14:paraId="744E6BF4" w14:textId="77777777" w:rsidR="005B2CC7" w:rsidRPr="002E39C1" w:rsidRDefault="005B2CC7">
            <w:pPr>
              <w:pStyle w:val="ListParagraph"/>
              <w:numPr>
                <w:ilvl w:val="0"/>
                <w:numId w:val="15"/>
              </w:numPr>
              <w:rPr>
                <w:rFonts w:ascii="Times New Roman" w:eastAsia="Calibri" w:hAnsi="Times New Roman" w:cs="Times New Roman"/>
              </w:rPr>
            </w:pPr>
          </w:p>
        </w:tc>
        <w:tc>
          <w:tcPr>
            <w:tcW w:w="2505" w:type="pct"/>
          </w:tcPr>
          <w:p w14:paraId="2EDA353A" w14:textId="1467FC80" w:rsidR="005B2CC7" w:rsidRPr="002E39C1" w:rsidRDefault="005B2CC7" w:rsidP="005B2CC7">
            <w:pPr>
              <w:jc w:val="both"/>
              <w:rPr>
                <w:rFonts w:ascii="Times New Roman" w:eastAsia="Calibri" w:hAnsi="Times New Roman" w:cs="Times New Roman"/>
              </w:rPr>
            </w:pPr>
            <w:r w:rsidRPr="002E39C1">
              <w:rPr>
                <w:rFonts w:ascii="Times New Roman" w:eastAsia="Calibri" w:hAnsi="Times New Roman" w:cs="Times New Roman"/>
              </w:rPr>
              <w:t xml:space="preserve">Anexele nr. 1 și 2 la proiectul de hotărâre conțin secțiunea referitoare la activitățile privind sănătatea umană și asistența socială, categoria </w:t>
            </w:r>
            <w:r w:rsidRPr="002E39C1">
              <w:rPr>
                <w:rFonts w:ascii="Times New Roman" w:eastAsia="Calibri" w:hAnsi="Times New Roman" w:cs="Times New Roman"/>
                <w:i/>
                <w:iCs/>
              </w:rPr>
              <w:t>„Activități de îngrijire cu cazare”</w:t>
            </w:r>
            <w:r w:rsidRPr="002E39C1">
              <w:rPr>
                <w:rFonts w:ascii="Times New Roman" w:eastAsia="Calibri" w:hAnsi="Times New Roman" w:cs="Times New Roman"/>
              </w:rPr>
              <w:t>. Denumirea activității enunțate, orientată spre furnizarea de servicii de îngrijire cu cazare, combinate fie cu asistență medicală, fie cu îngrijire de tip supraveghere sau cu alte tipuri de îngrijire necesare persoanelor cazate în acest tip de unități de îngrijire medicală nu corespunde integral conținutului tehnic din Anexa nr. 2, Cap. I, activitatea CCA 12.1 (</w:t>
            </w:r>
            <w:r w:rsidRPr="002E39C1">
              <w:rPr>
                <w:rFonts w:ascii="Times New Roman" w:eastAsia="Calibri" w:hAnsi="Times New Roman" w:cs="Times New Roman"/>
                <w:i/>
                <w:iCs/>
              </w:rPr>
              <w:t>sănătate umană și asistență socială</w:t>
            </w:r>
            <w:r w:rsidRPr="002E39C1">
              <w:rPr>
                <w:rFonts w:ascii="Times New Roman" w:eastAsia="Calibri" w:hAnsi="Times New Roman" w:cs="Times New Roman"/>
              </w:rPr>
              <w:t xml:space="preserve">). De asemenea, textul din Anexa nr. 2 se referă exclusiv la gestionarea deșeurilor periculoase, toxice sau infecțioase, fără a evidenția vreo legătură explicită cu activitățile de sănătate umană sau cu serviciile de asistență socială. În acest context, se menționează că, taxonomia nu urmărește reglementarea calității serviciilor de sănătate și sociale, ci definirea criteriilor de mediu aplicabile activităților economice care doresc să fie recunoscute drept durabile. Or, în cazul în care prin activitățile vizate supra se au în vedere produse consumabile/medicale folosite se recomandă ca în textul activităților privind sănătatea umană și asistența socială din anexele la Taxonomia să fie pus accent </w:t>
            </w:r>
            <w:r w:rsidRPr="002E39C1">
              <w:rPr>
                <w:rFonts w:ascii="Times New Roman" w:eastAsia="Calibri" w:hAnsi="Times New Roman" w:cs="Times New Roman"/>
                <w:b/>
                <w:bCs/>
              </w:rPr>
              <w:t xml:space="preserve">nu pe instituție prestatoare, ci pe produse consumabile </w:t>
            </w:r>
            <w:r w:rsidRPr="002E39C1">
              <w:rPr>
                <w:rFonts w:ascii="Times New Roman" w:eastAsia="Calibri" w:hAnsi="Times New Roman" w:cs="Times New Roman"/>
              </w:rPr>
              <w:t>(pentru instituții medicale/educaționale, cu plasament sau fără).</w:t>
            </w:r>
          </w:p>
        </w:tc>
        <w:tc>
          <w:tcPr>
            <w:tcW w:w="1458" w:type="pct"/>
          </w:tcPr>
          <w:p w14:paraId="53928E4F" w14:textId="77777777" w:rsidR="005B2CC7" w:rsidRPr="00444873" w:rsidRDefault="00444873" w:rsidP="005B2CC7">
            <w:pPr>
              <w:rPr>
                <w:rFonts w:ascii="Times New Roman" w:eastAsia="Calibri" w:hAnsi="Times New Roman" w:cs="Times New Roman"/>
                <w:b/>
              </w:rPr>
            </w:pPr>
            <w:r w:rsidRPr="00444873">
              <w:rPr>
                <w:rFonts w:ascii="Times New Roman" w:eastAsia="Calibri" w:hAnsi="Times New Roman" w:cs="Times New Roman"/>
                <w:b/>
              </w:rPr>
              <w:t>Nu se acceptă.</w:t>
            </w:r>
          </w:p>
          <w:p w14:paraId="59578908" w14:textId="5BD6FE95" w:rsidR="00444873" w:rsidRDefault="00444873" w:rsidP="005B2CC7">
            <w:pPr>
              <w:rPr>
                <w:rFonts w:ascii="Times New Roman" w:eastAsia="Calibri" w:hAnsi="Times New Roman" w:cs="Times New Roman"/>
              </w:rPr>
            </w:pPr>
            <w:r>
              <w:rPr>
                <w:rFonts w:ascii="Times New Roman" w:eastAsia="Calibri" w:hAnsi="Times New Roman" w:cs="Times New Roman"/>
              </w:rPr>
              <w:t>Nu se constată o propunere concretă înaintată cu referire la textul prevederii.</w:t>
            </w:r>
          </w:p>
          <w:p w14:paraId="0438B24A" w14:textId="0B795D84" w:rsidR="00444873" w:rsidRPr="00882F72" w:rsidRDefault="00444873" w:rsidP="00B70902">
            <w:pPr>
              <w:jc w:val="both"/>
              <w:rPr>
                <w:rFonts w:ascii="Times New Roman" w:eastAsia="Calibri" w:hAnsi="Times New Roman" w:cs="Times New Roman"/>
              </w:rPr>
            </w:pPr>
            <w:r>
              <w:rPr>
                <w:rFonts w:ascii="Times New Roman" w:eastAsia="Calibri" w:hAnsi="Times New Roman" w:cs="Times New Roman"/>
              </w:rPr>
              <w:t xml:space="preserve">Totodată, se menționează că redacția proiectului de act normativ propus </w:t>
            </w:r>
            <w:r w:rsidR="00B70902">
              <w:rPr>
                <w:rFonts w:ascii="Times New Roman" w:eastAsia="Calibri" w:hAnsi="Times New Roman" w:cs="Times New Roman"/>
              </w:rPr>
              <w:t xml:space="preserve">a derivat din  angajamentele </w:t>
            </w:r>
            <w:r>
              <w:rPr>
                <w:rFonts w:ascii="Times New Roman" w:eastAsia="Calibri" w:hAnsi="Times New Roman" w:cs="Times New Roman"/>
              </w:rPr>
              <w:t xml:space="preserve">de aliniere a practicii naționale </w:t>
            </w:r>
            <w:r w:rsidR="00B70902">
              <w:rPr>
                <w:rFonts w:ascii="Times New Roman" w:eastAsia="Calibri" w:hAnsi="Times New Roman" w:cs="Times New Roman"/>
              </w:rPr>
              <w:t>la  standardele și normele UE.</w:t>
            </w:r>
            <w:r>
              <w:rPr>
                <w:rFonts w:ascii="Times New Roman" w:eastAsia="Calibri" w:hAnsi="Times New Roman" w:cs="Times New Roman"/>
              </w:rPr>
              <w:t xml:space="preserve"> </w:t>
            </w:r>
          </w:p>
        </w:tc>
      </w:tr>
      <w:tr w:rsidR="000C063F" w:rsidRPr="00882F72" w14:paraId="2AA09764" w14:textId="77777777" w:rsidTr="000C063F">
        <w:tc>
          <w:tcPr>
            <w:tcW w:w="5000" w:type="pct"/>
            <w:gridSpan w:val="4"/>
            <w:shd w:val="clear" w:color="auto" w:fill="D1D1D1" w:themeFill="background2" w:themeFillShade="E6"/>
          </w:tcPr>
          <w:p w14:paraId="6C16329D" w14:textId="28C7A1AB" w:rsidR="000C063F" w:rsidRPr="00444873" w:rsidRDefault="000C063F" w:rsidP="000C063F">
            <w:pPr>
              <w:jc w:val="center"/>
              <w:rPr>
                <w:rFonts w:ascii="Times New Roman" w:eastAsia="Calibri" w:hAnsi="Times New Roman" w:cs="Times New Roman"/>
                <w:b/>
              </w:rPr>
            </w:pPr>
            <w:r w:rsidRPr="003C57BB">
              <w:rPr>
                <w:rFonts w:ascii="Times New Roman" w:eastAsia="Calibri" w:hAnsi="Times New Roman" w:cs="Times New Roman"/>
                <w:b/>
                <w:i/>
              </w:rPr>
              <w:t>Avizare repetată</w:t>
            </w:r>
          </w:p>
        </w:tc>
      </w:tr>
      <w:tr w:rsidR="005612A9" w:rsidRPr="00882F72" w14:paraId="1CC8164B" w14:textId="77777777" w:rsidTr="00F968A9">
        <w:tc>
          <w:tcPr>
            <w:tcW w:w="797" w:type="pct"/>
          </w:tcPr>
          <w:p w14:paraId="04923A24" w14:textId="77777777" w:rsidR="005612A9" w:rsidRDefault="003C57BB" w:rsidP="005B2CC7">
            <w:pPr>
              <w:tabs>
                <w:tab w:val="left" w:pos="355"/>
              </w:tabs>
              <w:rPr>
                <w:rFonts w:ascii="Times New Roman" w:eastAsia="Calibri" w:hAnsi="Times New Roman" w:cs="Times New Roman"/>
                <w:b/>
                <w:bCs/>
              </w:rPr>
            </w:pPr>
            <w:r>
              <w:rPr>
                <w:rFonts w:ascii="Times New Roman" w:eastAsia="Calibri" w:hAnsi="Times New Roman" w:cs="Times New Roman"/>
                <w:b/>
                <w:bCs/>
              </w:rPr>
              <w:t>Ministerul Dezvoltării Economice și Digitalizării</w:t>
            </w:r>
          </w:p>
          <w:p w14:paraId="13AFF66E" w14:textId="0B6EA2C1" w:rsidR="001A47AD" w:rsidRPr="001A47AD" w:rsidRDefault="001A47AD" w:rsidP="005B2CC7">
            <w:pPr>
              <w:tabs>
                <w:tab w:val="left" w:pos="355"/>
              </w:tabs>
              <w:rPr>
                <w:rFonts w:ascii="Times New Roman" w:eastAsia="Calibri" w:hAnsi="Times New Roman" w:cs="Times New Roman"/>
              </w:rPr>
            </w:pPr>
            <w:r>
              <w:rPr>
                <w:rFonts w:ascii="Times New Roman" w:eastAsia="Calibri" w:hAnsi="Times New Roman" w:cs="Times New Roman"/>
              </w:rPr>
              <w:t>comentariu în Legiferare</w:t>
            </w:r>
          </w:p>
        </w:tc>
        <w:tc>
          <w:tcPr>
            <w:tcW w:w="240" w:type="pct"/>
          </w:tcPr>
          <w:p w14:paraId="608D9035" w14:textId="27B5A7B7" w:rsidR="005612A9" w:rsidRPr="000C063F" w:rsidRDefault="000C063F" w:rsidP="000C063F">
            <w:pPr>
              <w:rPr>
                <w:rFonts w:ascii="Times New Roman" w:eastAsia="Calibri" w:hAnsi="Times New Roman" w:cs="Times New Roman"/>
              </w:rPr>
            </w:pPr>
            <w:r>
              <w:rPr>
                <w:rFonts w:ascii="Times New Roman" w:eastAsia="Calibri" w:hAnsi="Times New Roman" w:cs="Times New Roman"/>
              </w:rPr>
              <w:t>1.</w:t>
            </w:r>
          </w:p>
        </w:tc>
        <w:tc>
          <w:tcPr>
            <w:tcW w:w="2505" w:type="pct"/>
          </w:tcPr>
          <w:p w14:paraId="31E22E93" w14:textId="61624F04" w:rsidR="005612A9" w:rsidRPr="002E39C1" w:rsidRDefault="003C57BB" w:rsidP="005B2CC7">
            <w:pPr>
              <w:jc w:val="both"/>
              <w:rPr>
                <w:rFonts w:ascii="Times New Roman" w:eastAsia="Calibri" w:hAnsi="Times New Roman" w:cs="Times New Roman"/>
              </w:rPr>
            </w:pPr>
            <w:r w:rsidRPr="003C57BB">
              <w:rPr>
                <w:rFonts w:ascii="Times New Roman" w:eastAsia="Calibri" w:hAnsi="Times New Roman" w:cs="Times New Roman"/>
              </w:rPr>
              <w:t>Actualizarea corespunzătoare a tuturor referințelor la standarde, în conformitate cu legislația națională privind standardizarea și cu standardele armonizate aplicabile în Republica Moldova. În conformitate cu prevederile art. 12 alin. (1) și alin. (3) din Legea nr. 20/2016 privind standardizarea națională, standardele și alte documente de standardizare europene, internaționale, interstatale și ale altor state pot fi aplicate pe teritoriul Republicii Moldova doar prin adoptarea acestora ca standarde moldovenești, în conformitate cu regulile de standardizare națională și cu normele stabilite de organizațiile internaționale de profil.</w:t>
            </w:r>
          </w:p>
        </w:tc>
        <w:tc>
          <w:tcPr>
            <w:tcW w:w="1458" w:type="pct"/>
          </w:tcPr>
          <w:p w14:paraId="2915636D"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D2197C4" w14:textId="34941641" w:rsidR="005612A9" w:rsidRPr="00DA1F51" w:rsidRDefault="00DA1F51" w:rsidP="00DA1F51">
            <w:pPr>
              <w:rPr>
                <w:rFonts w:ascii="Times New Roman" w:eastAsia="Calibri" w:hAnsi="Times New Roman" w:cs="Times New Roman"/>
                <w:bCs/>
              </w:rPr>
            </w:pPr>
            <w:r w:rsidRPr="00DA1F51">
              <w:rPr>
                <w:rFonts w:ascii="Times New Roman" w:eastAsia="Calibri" w:hAnsi="Times New Roman" w:cs="Times New Roman"/>
                <w:bCs/>
              </w:rPr>
              <w:t>Proiectul a fost ajustat conform propunerii.</w:t>
            </w:r>
          </w:p>
        </w:tc>
      </w:tr>
      <w:tr w:rsidR="00452024" w:rsidRPr="00882F72" w14:paraId="0FA8B6CB" w14:textId="77777777" w:rsidTr="00452024">
        <w:trPr>
          <w:trHeight w:val="5937"/>
        </w:trPr>
        <w:tc>
          <w:tcPr>
            <w:tcW w:w="797" w:type="pct"/>
            <w:vMerge w:val="restart"/>
          </w:tcPr>
          <w:p w14:paraId="572B2F08" w14:textId="77777777" w:rsidR="00452024" w:rsidRDefault="00452024" w:rsidP="005B2CC7">
            <w:pPr>
              <w:tabs>
                <w:tab w:val="left" w:pos="355"/>
              </w:tabs>
              <w:rPr>
                <w:rFonts w:ascii="Times New Roman" w:eastAsia="Calibri" w:hAnsi="Times New Roman" w:cs="Times New Roman"/>
                <w:b/>
                <w:bCs/>
              </w:rPr>
            </w:pPr>
            <w:r>
              <w:rPr>
                <w:rFonts w:ascii="Times New Roman" w:eastAsia="Calibri" w:hAnsi="Times New Roman" w:cs="Times New Roman"/>
                <w:b/>
                <w:bCs/>
              </w:rPr>
              <w:lastRenderedPageBreak/>
              <w:t>Ministerul Energiei</w:t>
            </w:r>
          </w:p>
          <w:p w14:paraId="600A115B" w14:textId="2F922227" w:rsidR="001A47AD" w:rsidRPr="001A47AD" w:rsidRDefault="001A47AD" w:rsidP="005B2CC7">
            <w:pPr>
              <w:tabs>
                <w:tab w:val="left" w:pos="355"/>
              </w:tabs>
              <w:rPr>
                <w:rFonts w:ascii="Times New Roman" w:eastAsia="Calibri" w:hAnsi="Times New Roman" w:cs="Times New Roman"/>
              </w:rPr>
            </w:pPr>
            <w:r>
              <w:rPr>
                <w:rFonts w:ascii="Times New Roman" w:eastAsia="Calibri" w:hAnsi="Times New Roman" w:cs="Times New Roman"/>
              </w:rPr>
              <w:t>nr. 05-739 din 25.03.2026</w:t>
            </w:r>
          </w:p>
        </w:tc>
        <w:tc>
          <w:tcPr>
            <w:tcW w:w="240" w:type="pct"/>
          </w:tcPr>
          <w:p w14:paraId="7D48CB03" w14:textId="383A964B" w:rsidR="00452024" w:rsidRPr="00452024" w:rsidRDefault="00452024" w:rsidP="00452024">
            <w:pPr>
              <w:rPr>
                <w:rFonts w:ascii="Times New Roman" w:eastAsia="Calibri" w:hAnsi="Times New Roman" w:cs="Times New Roman"/>
              </w:rPr>
            </w:pPr>
            <w:r w:rsidRPr="00452024">
              <w:rPr>
                <w:rFonts w:ascii="Times New Roman" w:eastAsia="Calibri" w:hAnsi="Times New Roman" w:cs="Times New Roman"/>
              </w:rPr>
              <w:t>1.</w:t>
            </w:r>
            <w:r>
              <w:rPr>
                <w:rFonts w:ascii="Times New Roman" w:eastAsia="Calibri" w:hAnsi="Times New Roman" w:cs="Times New Roman"/>
              </w:rPr>
              <w:t xml:space="preserve"> </w:t>
            </w:r>
          </w:p>
        </w:tc>
        <w:tc>
          <w:tcPr>
            <w:tcW w:w="2505" w:type="pct"/>
          </w:tcPr>
          <w:p w14:paraId="2AC713DB" w14:textId="77777777" w:rsidR="00452024" w:rsidRDefault="00452024" w:rsidP="007A6382">
            <w:pPr>
              <w:jc w:val="both"/>
              <w:rPr>
                <w:rFonts w:ascii="Times New Roman" w:eastAsia="Calibri" w:hAnsi="Times New Roman" w:cs="Times New Roman"/>
              </w:rPr>
            </w:pPr>
            <w:r>
              <w:rPr>
                <w:rFonts w:ascii="Times New Roman" w:eastAsia="Calibri" w:hAnsi="Times New Roman" w:cs="Times New Roman"/>
              </w:rPr>
              <w:t>Se solicită r</w:t>
            </w:r>
            <w:r w:rsidRPr="007A6382">
              <w:rPr>
                <w:rFonts w:ascii="Times New Roman" w:eastAsia="Calibri" w:hAnsi="Times New Roman" w:cs="Times New Roman"/>
              </w:rPr>
              <w:t xml:space="preserve">evizuirea prevederilor pct. 2, inclusiv a </w:t>
            </w:r>
            <w:proofErr w:type="spellStart"/>
            <w:r w:rsidRPr="007A6382">
              <w:rPr>
                <w:rFonts w:ascii="Times New Roman" w:eastAsia="Calibri" w:hAnsi="Times New Roman" w:cs="Times New Roman"/>
              </w:rPr>
              <w:t>subpct</w:t>
            </w:r>
            <w:proofErr w:type="spellEnd"/>
            <w:r w:rsidRPr="007A6382">
              <w:rPr>
                <w:rFonts w:ascii="Times New Roman" w:eastAsia="Calibri" w:hAnsi="Times New Roman" w:cs="Times New Roman"/>
              </w:rPr>
              <w:t>. 2.1, 2.2 și 2.3, în vederea delimitării clare a competențelor și stabilirii exprese a responsabilității autorității inițiatoare pentru elaborarea cadrului normativ secundar.</w:t>
            </w:r>
          </w:p>
          <w:p w14:paraId="4B79CB62"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Formularea actuală atribuie, în mod general, responsabilitatea elaborării actelor normative secundare autorităților administrației publice, fără delimitarea clară a competențelor și fără precizarea rolului autorității inițiatoare. </w:t>
            </w:r>
          </w:p>
          <w:p w14:paraId="59DD5B5D"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O asemenea abordare implică transferul implicit al responsabilităților de reglementare către autoritățile de profil, inclusiv Ministerul Energiei, fără fundamentare și fără corelare cu atribuțiile legale ale acestora. Totodată, lipsa unei delimitări explicite creează riscul unor interpretări divergente și al aplicării neuniforme a cadrului normativ. </w:t>
            </w:r>
          </w:p>
          <w:p w14:paraId="63300AA8"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Taxonomia constituie un instrument financiar, iar autoritatea inițiatoare deține viziunea de ansamblu asupra modului în care criteriile, indicatorii și datele aferente trebuie integrate în procesele de raportare și în circuitul financiar. În aceste condiții, responsabilitatea elaborării cadrului normativ secundar și a instrumentelor de implementare trebuie să revină acesteia. </w:t>
            </w:r>
          </w:p>
          <w:p w14:paraId="3EFBFA04" w14:textId="7FFE8B39"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Autoritățile de profil urmează să participe la procesul de consultare, avizare și aplicare, precum și să asigure validarea tehnică a aspectelor sectoriale, în limitele competențelor legale. </w:t>
            </w:r>
          </w:p>
          <w:p w14:paraId="6CA13510" w14:textId="45732107" w:rsidR="00452024" w:rsidRPr="002E39C1" w:rsidRDefault="00452024" w:rsidP="00FE354C">
            <w:pPr>
              <w:jc w:val="both"/>
              <w:rPr>
                <w:rFonts w:ascii="Times New Roman" w:eastAsia="Calibri" w:hAnsi="Times New Roman" w:cs="Times New Roman"/>
              </w:rPr>
            </w:pPr>
            <w:r w:rsidRPr="00452024">
              <w:rPr>
                <w:rFonts w:ascii="Times New Roman" w:eastAsia="Calibri" w:hAnsi="Times New Roman" w:cs="Times New Roman"/>
                <w:bCs/>
              </w:rPr>
              <w:t>Text propus:</w:t>
            </w:r>
            <w:r w:rsidRPr="007A6382">
              <w:rPr>
                <w:rFonts w:ascii="Times New Roman" w:eastAsia="Calibri" w:hAnsi="Times New Roman" w:cs="Times New Roman"/>
              </w:rPr>
              <w:t xml:space="preserve"> „Autoritatea inițiatoare asigură elaborarea și aprobarea actelor normative necesare pentru punerea în aplicare a Taxonomiei. Autoritățile administrației publice centrale de profil participă la procesul de consultare și avizare, contribuie prin expertiză sectorială și asigură aplicarea prevederilor în domeniul de competență.” </w:t>
            </w:r>
          </w:p>
        </w:tc>
        <w:tc>
          <w:tcPr>
            <w:tcW w:w="1458" w:type="pct"/>
          </w:tcPr>
          <w:p w14:paraId="0160017F" w14:textId="77777777" w:rsidR="00452024" w:rsidRDefault="00B80045" w:rsidP="005B2CC7">
            <w:pPr>
              <w:rPr>
                <w:rFonts w:ascii="Times New Roman" w:eastAsia="Calibri" w:hAnsi="Times New Roman" w:cs="Times New Roman"/>
                <w:b/>
              </w:rPr>
            </w:pPr>
            <w:r>
              <w:rPr>
                <w:rFonts w:ascii="Times New Roman" w:eastAsia="Calibri" w:hAnsi="Times New Roman" w:cs="Times New Roman"/>
                <w:b/>
              </w:rPr>
              <w:t>Se acceptă.</w:t>
            </w:r>
          </w:p>
          <w:p w14:paraId="7F7D9421" w14:textId="0FCC4EC1" w:rsidR="00B80045" w:rsidRPr="00B80045" w:rsidRDefault="00B80045" w:rsidP="00B80045">
            <w:pPr>
              <w:jc w:val="both"/>
              <w:rPr>
                <w:rFonts w:ascii="Times New Roman" w:eastAsia="Calibri" w:hAnsi="Times New Roman" w:cs="Times New Roman"/>
                <w:bCs/>
              </w:rPr>
            </w:pPr>
            <w:r w:rsidRPr="00B80045">
              <w:rPr>
                <w:rFonts w:ascii="Times New Roman" w:eastAsia="Calibri" w:hAnsi="Times New Roman" w:cs="Times New Roman"/>
                <w:bCs/>
              </w:rPr>
              <w:t>Prevederile pct.2 au fost revizuite și reformulate.</w:t>
            </w:r>
          </w:p>
        </w:tc>
      </w:tr>
      <w:tr w:rsidR="00452024" w:rsidRPr="00882F72" w14:paraId="0DB3E125" w14:textId="77777777" w:rsidTr="00452024">
        <w:trPr>
          <w:trHeight w:val="3320"/>
        </w:trPr>
        <w:tc>
          <w:tcPr>
            <w:tcW w:w="797" w:type="pct"/>
            <w:vMerge/>
          </w:tcPr>
          <w:p w14:paraId="71D13975" w14:textId="77777777" w:rsidR="00452024" w:rsidRDefault="00452024" w:rsidP="005B2CC7">
            <w:pPr>
              <w:tabs>
                <w:tab w:val="left" w:pos="355"/>
              </w:tabs>
              <w:rPr>
                <w:rFonts w:ascii="Times New Roman" w:eastAsia="Calibri" w:hAnsi="Times New Roman" w:cs="Times New Roman"/>
                <w:b/>
                <w:bCs/>
              </w:rPr>
            </w:pPr>
          </w:p>
        </w:tc>
        <w:tc>
          <w:tcPr>
            <w:tcW w:w="240" w:type="pct"/>
          </w:tcPr>
          <w:p w14:paraId="029640B5" w14:textId="209A5411" w:rsidR="00452024" w:rsidRPr="00452024" w:rsidRDefault="00452024" w:rsidP="00452024">
            <w:pPr>
              <w:rPr>
                <w:rFonts w:ascii="Times New Roman" w:eastAsia="Calibri" w:hAnsi="Times New Roman" w:cs="Times New Roman"/>
              </w:rPr>
            </w:pPr>
            <w:r w:rsidRPr="00452024">
              <w:rPr>
                <w:rFonts w:ascii="Times New Roman" w:eastAsia="Calibri" w:hAnsi="Times New Roman" w:cs="Times New Roman"/>
              </w:rPr>
              <w:t>2.</w:t>
            </w:r>
            <w:r>
              <w:rPr>
                <w:rFonts w:ascii="Times New Roman" w:eastAsia="Calibri" w:hAnsi="Times New Roman" w:cs="Times New Roman"/>
              </w:rPr>
              <w:t xml:space="preserve"> </w:t>
            </w:r>
          </w:p>
        </w:tc>
        <w:tc>
          <w:tcPr>
            <w:tcW w:w="2505" w:type="pct"/>
          </w:tcPr>
          <w:p w14:paraId="61F21522"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Se propune completarea pct. 4 din proiect prin definirea expresă a autorităților publice competente responsabile de evaluarea punerii în aplicare a Taxonomiei, inclusiv prin desemnarea unei autorități coordonatoare și delimitarea rolurilor instituționale. </w:t>
            </w:r>
          </w:p>
          <w:p w14:paraId="1F21A94C"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Formularea actuală face trimitere generică la „autoritățile publice competente”, fără a preciza în mod expres care sunt aceste autorități și fără a delimita atribuțiile acestora. </w:t>
            </w:r>
          </w:p>
          <w:p w14:paraId="69688A52"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În lipsa unei asemenea clarificări, există riscul interpretărilor divergente privind responsabilitățile instituționale, precum și al suprapunerii sau omisiunii unor funcții esențiale, precum colectarea datelor, evaluarea impactului și coordonarea procesului de revizuire a cadrului normativ. </w:t>
            </w:r>
          </w:p>
          <w:p w14:paraId="593D1554" w14:textId="74C87835" w:rsidR="00452024" w:rsidRDefault="00452024" w:rsidP="00FE354C">
            <w:pPr>
              <w:jc w:val="both"/>
              <w:rPr>
                <w:rFonts w:ascii="Times New Roman" w:eastAsia="Calibri" w:hAnsi="Times New Roman" w:cs="Times New Roman"/>
              </w:rPr>
            </w:pPr>
            <w:r w:rsidRPr="007A6382">
              <w:rPr>
                <w:rFonts w:ascii="Times New Roman" w:eastAsia="Calibri" w:hAnsi="Times New Roman" w:cs="Times New Roman"/>
              </w:rPr>
              <w:t xml:space="preserve">Totodată, evaluarea aplicării taxonomiei implică activități complexe, inclusiv analiza datelor furnizate de participanții la piața financiară și aprecierea impactului asupra piețelor de capital, ceea ce necesită o abordare coordonată și o responsabilitate clar atribuită. </w:t>
            </w:r>
          </w:p>
        </w:tc>
        <w:tc>
          <w:tcPr>
            <w:tcW w:w="1458" w:type="pct"/>
          </w:tcPr>
          <w:p w14:paraId="722E7A50" w14:textId="77777777" w:rsidR="00452024" w:rsidRDefault="00B80045" w:rsidP="005B2CC7">
            <w:pPr>
              <w:rPr>
                <w:rFonts w:ascii="Times New Roman" w:eastAsia="Calibri" w:hAnsi="Times New Roman" w:cs="Times New Roman"/>
                <w:b/>
              </w:rPr>
            </w:pPr>
            <w:r>
              <w:rPr>
                <w:rFonts w:ascii="Times New Roman" w:eastAsia="Calibri" w:hAnsi="Times New Roman" w:cs="Times New Roman"/>
                <w:b/>
              </w:rPr>
              <w:t xml:space="preserve">Se acceptă parțial. </w:t>
            </w:r>
          </w:p>
          <w:p w14:paraId="17680C7D" w14:textId="5DC474A3" w:rsidR="00B80045" w:rsidRPr="00B80045" w:rsidRDefault="00B80045" w:rsidP="005B2CC7">
            <w:pPr>
              <w:rPr>
                <w:rFonts w:ascii="Times New Roman" w:eastAsia="Calibri" w:hAnsi="Times New Roman" w:cs="Times New Roman"/>
                <w:bCs/>
              </w:rPr>
            </w:pPr>
            <w:r w:rsidRPr="00B80045">
              <w:rPr>
                <w:rFonts w:ascii="Times New Roman" w:eastAsia="Calibri" w:hAnsi="Times New Roman" w:cs="Times New Roman"/>
                <w:bCs/>
              </w:rPr>
              <w:t>Prevederile pct.4 au fost reformulate.</w:t>
            </w:r>
          </w:p>
        </w:tc>
      </w:tr>
      <w:tr w:rsidR="00452024" w:rsidRPr="00882F72" w14:paraId="376213F4" w14:textId="77777777" w:rsidTr="00603F8F">
        <w:trPr>
          <w:trHeight w:val="3540"/>
        </w:trPr>
        <w:tc>
          <w:tcPr>
            <w:tcW w:w="797" w:type="pct"/>
            <w:vMerge/>
          </w:tcPr>
          <w:p w14:paraId="46813DAB" w14:textId="77777777" w:rsidR="00452024" w:rsidRDefault="00452024" w:rsidP="005B2CC7">
            <w:pPr>
              <w:tabs>
                <w:tab w:val="left" w:pos="355"/>
              </w:tabs>
              <w:rPr>
                <w:rFonts w:ascii="Times New Roman" w:eastAsia="Calibri" w:hAnsi="Times New Roman" w:cs="Times New Roman"/>
                <w:b/>
                <w:bCs/>
              </w:rPr>
            </w:pPr>
          </w:p>
        </w:tc>
        <w:tc>
          <w:tcPr>
            <w:tcW w:w="240" w:type="pct"/>
          </w:tcPr>
          <w:p w14:paraId="672794B9" w14:textId="23563FCD" w:rsidR="00452024" w:rsidRPr="00452024" w:rsidRDefault="00452024" w:rsidP="00452024">
            <w:pPr>
              <w:rPr>
                <w:rFonts w:ascii="Times New Roman" w:eastAsia="Calibri" w:hAnsi="Times New Roman" w:cs="Times New Roman"/>
              </w:rPr>
            </w:pPr>
            <w:r>
              <w:rPr>
                <w:rFonts w:ascii="Times New Roman" w:eastAsia="Calibri" w:hAnsi="Times New Roman" w:cs="Times New Roman"/>
              </w:rPr>
              <w:t>3.</w:t>
            </w:r>
          </w:p>
        </w:tc>
        <w:tc>
          <w:tcPr>
            <w:tcW w:w="2505" w:type="pct"/>
          </w:tcPr>
          <w:p w14:paraId="0FBDC804"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Se recomandă revizuirea pct. 4, </w:t>
            </w:r>
            <w:proofErr w:type="spellStart"/>
            <w:r w:rsidRPr="007A6382">
              <w:rPr>
                <w:rFonts w:ascii="Times New Roman" w:eastAsia="Calibri" w:hAnsi="Times New Roman" w:cs="Times New Roman"/>
              </w:rPr>
              <w:t>subpct</w:t>
            </w:r>
            <w:proofErr w:type="spellEnd"/>
            <w:r w:rsidRPr="007A6382">
              <w:rPr>
                <w:rFonts w:ascii="Times New Roman" w:eastAsia="Calibri" w:hAnsi="Times New Roman" w:cs="Times New Roman"/>
              </w:rPr>
              <w:t xml:space="preserve">. 4.1 „Impactul asupra sectorului public” din Nota de fundamentare, întrucât acesta este incorect formulat din punct de vedere metodologic, nefiind realizată delimitarea clară între analiza impactului și stabilirea atribuțiilor autorităților publice. </w:t>
            </w:r>
          </w:p>
          <w:p w14:paraId="7EAF0329"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Conținutul actual nu reflectă o analiză propriu-zisă a impactului asupra sectorului public, ci include formulări de tip normativ care stabilesc atribuții și obligații pentru autoritățile publice. </w:t>
            </w:r>
          </w:p>
          <w:p w14:paraId="1B194790" w14:textId="77777777" w:rsidR="00452024" w:rsidRDefault="00452024" w:rsidP="007A6382">
            <w:pPr>
              <w:jc w:val="both"/>
              <w:rPr>
                <w:rFonts w:ascii="Times New Roman" w:eastAsia="Calibri" w:hAnsi="Times New Roman" w:cs="Times New Roman"/>
              </w:rPr>
            </w:pPr>
            <w:r w:rsidRPr="007A6382">
              <w:rPr>
                <w:rFonts w:ascii="Times New Roman" w:eastAsia="Calibri" w:hAnsi="Times New Roman" w:cs="Times New Roman"/>
              </w:rPr>
              <w:t xml:space="preserve">Deși este amplasat într-o secțiune analitică, textul nu descrie efectele implementării taxonomiei asupra capacității instituționale, resurselor necesare și costurilor aferente, ci introduce responsabilități suplimentare fără o fundamentare adecvată. </w:t>
            </w:r>
          </w:p>
          <w:p w14:paraId="7481619C" w14:textId="5027C570" w:rsidR="00452024" w:rsidRPr="007A6382" w:rsidRDefault="00452024" w:rsidP="00FE354C">
            <w:pPr>
              <w:jc w:val="both"/>
              <w:rPr>
                <w:rFonts w:ascii="Times New Roman" w:eastAsia="Calibri" w:hAnsi="Times New Roman" w:cs="Times New Roman"/>
              </w:rPr>
            </w:pPr>
            <w:r w:rsidRPr="007A6382">
              <w:rPr>
                <w:rFonts w:ascii="Times New Roman" w:eastAsia="Calibri" w:hAnsi="Times New Roman" w:cs="Times New Roman"/>
              </w:rPr>
              <w:t>În aceste condiții, se impune reformularea c</w:t>
            </w:r>
            <w:r>
              <w:rPr>
                <w:rFonts w:ascii="Times New Roman" w:eastAsia="Calibri" w:hAnsi="Times New Roman" w:cs="Times New Roman"/>
              </w:rPr>
              <w:t xml:space="preserve">ompartimentului astfel încât: </w:t>
            </w:r>
            <w:r w:rsidRPr="007A6382">
              <w:rPr>
                <w:rFonts w:ascii="Times New Roman" w:eastAsia="Calibri" w:hAnsi="Times New Roman" w:cs="Times New Roman"/>
              </w:rPr>
              <w:t>să fie prezentată o analiză real</w:t>
            </w:r>
            <w:r>
              <w:rPr>
                <w:rFonts w:ascii="Times New Roman" w:eastAsia="Calibri" w:hAnsi="Times New Roman" w:cs="Times New Roman"/>
              </w:rPr>
              <w:t xml:space="preserve">ă a impactului instituțional; </w:t>
            </w:r>
            <w:r w:rsidRPr="007A6382">
              <w:rPr>
                <w:rFonts w:ascii="Times New Roman" w:eastAsia="Calibri" w:hAnsi="Times New Roman" w:cs="Times New Roman"/>
              </w:rPr>
              <w:t>să fie evitată introducerea de obligații în afara dis</w:t>
            </w:r>
            <w:r>
              <w:rPr>
                <w:rFonts w:ascii="Times New Roman" w:eastAsia="Calibri" w:hAnsi="Times New Roman" w:cs="Times New Roman"/>
              </w:rPr>
              <w:t xml:space="preserve">pozitivului actului normativ; </w:t>
            </w:r>
            <w:r w:rsidRPr="007A6382">
              <w:rPr>
                <w:rFonts w:ascii="Times New Roman" w:eastAsia="Calibri" w:hAnsi="Times New Roman" w:cs="Times New Roman"/>
              </w:rPr>
              <w:t xml:space="preserve">să fie evaluate resursele necesare și capacitatea autorităților implicate. </w:t>
            </w:r>
          </w:p>
        </w:tc>
        <w:tc>
          <w:tcPr>
            <w:tcW w:w="1458" w:type="pct"/>
          </w:tcPr>
          <w:p w14:paraId="7BC9C25F" w14:textId="77777777" w:rsidR="00452024" w:rsidRDefault="00B80045" w:rsidP="005B2CC7">
            <w:pPr>
              <w:rPr>
                <w:rFonts w:ascii="Times New Roman" w:eastAsia="Calibri" w:hAnsi="Times New Roman" w:cs="Times New Roman"/>
                <w:b/>
              </w:rPr>
            </w:pPr>
            <w:r>
              <w:rPr>
                <w:rFonts w:ascii="Times New Roman" w:eastAsia="Calibri" w:hAnsi="Times New Roman" w:cs="Times New Roman"/>
                <w:b/>
              </w:rPr>
              <w:t>Se acceptă parțial.</w:t>
            </w:r>
          </w:p>
          <w:p w14:paraId="228A86CC" w14:textId="753C0921" w:rsidR="00B80045" w:rsidRPr="00B80045" w:rsidRDefault="00B80045" w:rsidP="00B80045">
            <w:pPr>
              <w:jc w:val="both"/>
              <w:rPr>
                <w:rFonts w:ascii="Times New Roman" w:eastAsia="Calibri" w:hAnsi="Times New Roman" w:cs="Times New Roman"/>
                <w:bCs/>
              </w:rPr>
            </w:pPr>
            <w:r w:rsidRPr="00B80045">
              <w:rPr>
                <w:rFonts w:ascii="Times New Roman" w:eastAsia="Calibri" w:hAnsi="Times New Roman" w:cs="Times New Roman"/>
                <w:bCs/>
              </w:rPr>
              <w:t xml:space="preserve">Prevederile pct.2 din proiectul Hotărârii Guvernului </w:t>
            </w:r>
            <w:r>
              <w:rPr>
                <w:rFonts w:ascii="Times New Roman" w:eastAsia="Calibri" w:hAnsi="Times New Roman" w:cs="Times New Roman"/>
                <w:bCs/>
              </w:rPr>
              <w:t>și pct.4.1. au fost reformulate. Astfel, proiectul dat nu prevede careva atribuții sau sarcini pentru autoritățile publice.</w:t>
            </w:r>
          </w:p>
        </w:tc>
      </w:tr>
      <w:tr w:rsidR="00452024" w:rsidRPr="00882F72" w14:paraId="1806F233" w14:textId="77777777" w:rsidTr="00F968A9">
        <w:trPr>
          <w:trHeight w:val="2364"/>
        </w:trPr>
        <w:tc>
          <w:tcPr>
            <w:tcW w:w="797" w:type="pct"/>
            <w:vMerge/>
          </w:tcPr>
          <w:p w14:paraId="321FABC7" w14:textId="77777777" w:rsidR="00452024" w:rsidRDefault="00452024" w:rsidP="005B2CC7">
            <w:pPr>
              <w:tabs>
                <w:tab w:val="left" w:pos="355"/>
              </w:tabs>
              <w:rPr>
                <w:rFonts w:ascii="Times New Roman" w:eastAsia="Calibri" w:hAnsi="Times New Roman" w:cs="Times New Roman"/>
                <w:b/>
                <w:bCs/>
              </w:rPr>
            </w:pPr>
          </w:p>
        </w:tc>
        <w:tc>
          <w:tcPr>
            <w:tcW w:w="240" w:type="pct"/>
          </w:tcPr>
          <w:p w14:paraId="040DB901" w14:textId="045F0C95" w:rsidR="00452024" w:rsidRPr="00452024" w:rsidRDefault="00452024" w:rsidP="00452024">
            <w:pPr>
              <w:rPr>
                <w:rFonts w:ascii="Times New Roman" w:eastAsia="Calibri" w:hAnsi="Times New Roman" w:cs="Times New Roman"/>
              </w:rPr>
            </w:pPr>
            <w:r>
              <w:rPr>
                <w:rFonts w:ascii="Times New Roman" w:eastAsia="Calibri" w:hAnsi="Times New Roman" w:cs="Times New Roman"/>
              </w:rPr>
              <w:t>4.</w:t>
            </w:r>
          </w:p>
        </w:tc>
        <w:tc>
          <w:tcPr>
            <w:tcW w:w="2505" w:type="pct"/>
          </w:tcPr>
          <w:p w14:paraId="470AABF8" w14:textId="77777777" w:rsidR="00452024" w:rsidRDefault="00452024" w:rsidP="00FE354C">
            <w:pPr>
              <w:jc w:val="both"/>
              <w:rPr>
                <w:rFonts w:ascii="Times New Roman" w:eastAsia="Calibri" w:hAnsi="Times New Roman" w:cs="Times New Roman"/>
              </w:rPr>
            </w:pPr>
            <w:r w:rsidRPr="007A6382">
              <w:rPr>
                <w:rFonts w:ascii="Times New Roman" w:eastAsia="Calibri" w:hAnsi="Times New Roman" w:cs="Times New Roman"/>
              </w:rPr>
              <w:t xml:space="preserve">Se insistă asupra aplicării graduale a taxonomiei, corelată cu dezvoltarea capacităților instituționale și elaborarea instrumentelor metodologice necesare implementării. </w:t>
            </w:r>
          </w:p>
          <w:p w14:paraId="7F7435E3" w14:textId="77777777" w:rsidR="00452024" w:rsidRDefault="00452024" w:rsidP="00FE354C">
            <w:pPr>
              <w:jc w:val="both"/>
              <w:rPr>
                <w:rFonts w:ascii="Times New Roman" w:eastAsia="Calibri" w:hAnsi="Times New Roman" w:cs="Times New Roman"/>
              </w:rPr>
            </w:pPr>
            <w:r w:rsidRPr="007A6382">
              <w:rPr>
                <w:rFonts w:ascii="Times New Roman" w:eastAsia="Calibri" w:hAnsi="Times New Roman" w:cs="Times New Roman"/>
              </w:rPr>
              <w:t xml:space="preserve">Având în vedere că, în prezent, competențele instituționale în domeniul taxonomiei sunt insuficient dezvoltate, consolidarea capacităților administrative și implementarea etapizată constituie condiții indispensabile pentru aplicarea efectivă a cadrului propus. </w:t>
            </w:r>
          </w:p>
          <w:p w14:paraId="1D7F0853" w14:textId="77777777" w:rsidR="00452024" w:rsidRPr="007A6382" w:rsidRDefault="00452024" w:rsidP="00FE354C">
            <w:pPr>
              <w:jc w:val="both"/>
              <w:rPr>
                <w:rFonts w:ascii="Times New Roman" w:eastAsia="Calibri" w:hAnsi="Times New Roman" w:cs="Times New Roman"/>
              </w:rPr>
            </w:pPr>
            <w:r w:rsidRPr="007A6382">
              <w:rPr>
                <w:rFonts w:ascii="Times New Roman" w:eastAsia="Calibri" w:hAnsi="Times New Roman" w:cs="Times New Roman"/>
              </w:rPr>
              <w:t>Aplicarea graduală, corelată cu elaborarea instrumentelor metodologice și dezvoltarea expertizei instituționale, este necesară inclusiv pentru a permite gestionarea eficientă a costurilor aferente implementării, care, potrivit Notei de fundamentare, urmează a fi acoperite în limita alocațiilor bugetare existente.</w:t>
            </w:r>
          </w:p>
        </w:tc>
        <w:tc>
          <w:tcPr>
            <w:tcW w:w="1458" w:type="pct"/>
          </w:tcPr>
          <w:p w14:paraId="3AFCA966" w14:textId="77777777" w:rsidR="00452024" w:rsidRDefault="00B80045" w:rsidP="005B2CC7">
            <w:pPr>
              <w:rPr>
                <w:rFonts w:ascii="Times New Roman" w:eastAsia="Calibri" w:hAnsi="Times New Roman" w:cs="Times New Roman"/>
                <w:b/>
              </w:rPr>
            </w:pPr>
            <w:r>
              <w:rPr>
                <w:rFonts w:ascii="Times New Roman" w:eastAsia="Calibri" w:hAnsi="Times New Roman" w:cs="Times New Roman"/>
                <w:b/>
              </w:rPr>
              <w:t>Se acceptă parțial.</w:t>
            </w:r>
          </w:p>
          <w:p w14:paraId="0A235D1B" w14:textId="77777777" w:rsidR="00B80045" w:rsidRPr="00B80045" w:rsidRDefault="00B80045" w:rsidP="00B80045">
            <w:pPr>
              <w:jc w:val="both"/>
              <w:rPr>
                <w:rFonts w:ascii="Times New Roman" w:eastAsia="Calibri" w:hAnsi="Times New Roman" w:cs="Times New Roman"/>
                <w:bCs/>
              </w:rPr>
            </w:pPr>
            <w:r w:rsidRPr="00B80045">
              <w:rPr>
                <w:rFonts w:ascii="Times New Roman" w:eastAsia="Calibri" w:hAnsi="Times New Roman" w:cs="Times New Roman"/>
                <w:bCs/>
              </w:rPr>
              <w:t>Conform proiectului, intrarea în vigoare a acestuia va fi realizată în termen de 12 luni de la data publicării.</w:t>
            </w:r>
          </w:p>
          <w:p w14:paraId="2D6F0B08" w14:textId="223BD64F" w:rsidR="00B80045" w:rsidRPr="00603F8F" w:rsidRDefault="00B80045" w:rsidP="00B80045">
            <w:pPr>
              <w:jc w:val="both"/>
              <w:rPr>
                <w:rFonts w:ascii="Times New Roman" w:eastAsia="Calibri" w:hAnsi="Times New Roman" w:cs="Times New Roman"/>
                <w:bCs/>
              </w:rPr>
            </w:pPr>
            <w:r w:rsidRPr="00603F8F">
              <w:rPr>
                <w:rFonts w:ascii="Times New Roman" w:eastAsia="Calibri" w:hAnsi="Times New Roman" w:cs="Times New Roman"/>
                <w:bCs/>
              </w:rPr>
              <w:t xml:space="preserve">Totodată, se remarcă faptul că taxonomia dată este destinată în principal domeniului de creditare și finanțare. Respectiv, prin legislația sectorială </w:t>
            </w:r>
            <w:r w:rsidR="00603F8F" w:rsidRPr="00603F8F">
              <w:rPr>
                <w:rFonts w:ascii="Times New Roman" w:eastAsia="Calibri" w:hAnsi="Times New Roman" w:cs="Times New Roman"/>
                <w:bCs/>
              </w:rPr>
              <w:t>aferentă entităților de creditare sau altor entități vizate la pct.9 din proiect (companii de asigurări, societăți de investiții) urmează a se stabili expres modul și condițiile de aplicare a Taxonomiei</w:t>
            </w:r>
            <w:r w:rsidR="00603F8F">
              <w:rPr>
                <w:rFonts w:ascii="Times New Roman" w:eastAsia="Calibri" w:hAnsi="Times New Roman" w:cs="Times New Roman"/>
                <w:bCs/>
              </w:rPr>
              <w:t>; cerințele și formatul de raportare, aspecte ce țin de monitorizare etc.</w:t>
            </w:r>
          </w:p>
        </w:tc>
      </w:tr>
      <w:tr w:rsidR="00452024" w:rsidRPr="00882F72" w14:paraId="38068903" w14:textId="77777777" w:rsidTr="00452024">
        <w:trPr>
          <w:trHeight w:val="3676"/>
        </w:trPr>
        <w:tc>
          <w:tcPr>
            <w:tcW w:w="797" w:type="pct"/>
            <w:vMerge w:val="restart"/>
          </w:tcPr>
          <w:p w14:paraId="5F42CE64" w14:textId="77777777" w:rsidR="00452024" w:rsidRDefault="00452024" w:rsidP="005B2CC7">
            <w:pPr>
              <w:tabs>
                <w:tab w:val="left" w:pos="355"/>
              </w:tabs>
              <w:rPr>
                <w:rFonts w:ascii="Times New Roman" w:eastAsia="Calibri" w:hAnsi="Times New Roman" w:cs="Times New Roman"/>
                <w:b/>
                <w:bCs/>
              </w:rPr>
            </w:pPr>
            <w:r w:rsidRPr="00FE354C">
              <w:rPr>
                <w:rFonts w:ascii="Times New Roman" w:eastAsia="Calibri" w:hAnsi="Times New Roman" w:cs="Times New Roman"/>
                <w:b/>
                <w:bCs/>
              </w:rPr>
              <w:t>Asociația Băncilor din Moldova</w:t>
            </w:r>
          </w:p>
          <w:p w14:paraId="2E5F2F78" w14:textId="51C71E26" w:rsidR="001A47AD" w:rsidRPr="001A47AD" w:rsidRDefault="001A47AD" w:rsidP="005B2CC7">
            <w:pPr>
              <w:tabs>
                <w:tab w:val="left" w:pos="355"/>
              </w:tabs>
              <w:rPr>
                <w:rFonts w:ascii="Times New Roman" w:eastAsia="Calibri" w:hAnsi="Times New Roman" w:cs="Times New Roman"/>
              </w:rPr>
            </w:pPr>
            <w:r>
              <w:rPr>
                <w:rFonts w:ascii="Times New Roman" w:eastAsia="Calibri" w:hAnsi="Times New Roman" w:cs="Times New Roman"/>
              </w:rPr>
              <w:t>nr. 02-06/76 din 25.03.2026</w:t>
            </w:r>
          </w:p>
        </w:tc>
        <w:tc>
          <w:tcPr>
            <w:tcW w:w="240" w:type="pct"/>
          </w:tcPr>
          <w:p w14:paraId="14ACC91E" w14:textId="5FA56D7A" w:rsidR="00452024" w:rsidRPr="00452024" w:rsidRDefault="00452024" w:rsidP="00452024">
            <w:pPr>
              <w:rPr>
                <w:rFonts w:ascii="Times New Roman" w:eastAsia="Calibri" w:hAnsi="Times New Roman" w:cs="Times New Roman"/>
              </w:rPr>
            </w:pPr>
            <w:r>
              <w:rPr>
                <w:rFonts w:ascii="Times New Roman" w:eastAsia="Calibri" w:hAnsi="Times New Roman" w:cs="Times New Roman"/>
              </w:rPr>
              <w:t>1.</w:t>
            </w:r>
          </w:p>
        </w:tc>
        <w:tc>
          <w:tcPr>
            <w:tcW w:w="2505" w:type="pct"/>
          </w:tcPr>
          <w:p w14:paraId="43AC320E" w14:textId="1133AA47" w:rsidR="00452024" w:rsidRDefault="00452024" w:rsidP="007A6382">
            <w:pPr>
              <w:jc w:val="both"/>
              <w:rPr>
                <w:rFonts w:ascii="Times New Roman" w:eastAsia="Calibri" w:hAnsi="Times New Roman" w:cs="Times New Roman"/>
              </w:rPr>
            </w:pPr>
            <w:r w:rsidRPr="00FE354C">
              <w:rPr>
                <w:rFonts w:ascii="Times New Roman" w:eastAsia="Calibri" w:hAnsi="Times New Roman" w:cs="Times New Roman"/>
              </w:rPr>
              <w:t xml:space="preserve">În ceea ce privește cerințele aferente criteriului „Do No </w:t>
            </w:r>
            <w:proofErr w:type="spellStart"/>
            <w:r w:rsidRPr="00FE354C">
              <w:rPr>
                <w:rFonts w:ascii="Times New Roman" w:eastAsia="Calibri" w:hAnsi="Times New Roman" w:cs="Times New Roman"/>
              </w:rPr>
              <w:t>Significant</w:t>
            </w:r>
            <w:proofErr w:type="spellEnd"/>
            <w:r w:rsidRPr="00FE354C">
              <w:rPr>
                <w:rFonts w:ascii="Times New Roman" w:eastAsia="Calibri" w:hAnsi="Times New Roman" w:cs="Times New Roman"/>
              </w:rPr>
              <w:t xml:space="preserve"> </w:t>
            </w:r>
            <w:proofErr w:type="spellStart"/>
            <w:r w:rsidRPr="00FE354C">
              <w:rPr>
                <w:rFonts w:ascii="Times New Roman" w:eastAsia="Calibri" w:hAnsi="Times New Roman" w:cs="Times New Roman"/>
              </w:rPr>
              <w:t>Harm</w:t>
            </w:r>
            <w:proofErr w:type="spellEnd"/>
            <w:r w:rsidRPr="00FE354C">
              <w:rPr>
                <w:rFonts w:ascii="Times New Roman" w:eastAsia="Calibri" w:hAnsi="Times New Roman" w:cs="Times New Roman"/>
              </w:rPr>
              <w:t xml:space="preserve"> (DNSH)” prevăzute în Anexa nr. 2, pentru activitățile din domeniul energiei (CCA 4.9 și 4.10 – transportul și distribuția energiei electrice), a fost identificată o dificultate de aplicare legată de cerința existenței unui plan de gestionare a deșeurilor care să includă acorduri contractuale cu operatori specializați. În practică, la etapa de finanțare și implementare inițială a proiectelor, nu toți beneficiarii dispun de astfel de acorduri, acestea fiind, de regulă, încheiate la etape ulterioare ale ciclului de viață al activelor. În acest sens, considerăm justificată ajustarea cerinței, astfel încât, la etapa inițială, să fie considerată suficientă existența unui plan de gestionare a deșeurilor care să reflecte respectarea ierarhiei deșeurilor și să includă opțiuni de reutilizare sau reciclare, precum și angajamente privind implementarea acestora. Acordurile contractuale relevante ar putea fi prezentate ulterior, în conformitate cu planul de implementare al proiectului. O asemenea abordare ar permite aplicarea proporțională și etapizată a cerinței, fără a afecta obiectivele </w:t>
            </w:r>
            <w:r>
              <w:rPr>
                <w:rFonts w:ascii="Times New Roman" w:eastAsia="Calibri" w:hAnsi="Times New Roman" w:cs="Times New Roman"/>
              </w:rPr>
              <w:t xml:space="preserve">de sustenabilitate urmărite. </w:t>
            </w:r>
          </w:p>
        </w:tc>
        <w:tc>
          <w:tcPr>
            <w:tcW w:w="1458" w:type="pct"/>
          </w:tcPr>
          <w:p w14:paraId="19E18824" w14:textId="77777777" w:rsidR="00452024" w:rsidRDefault="00EF53D6" w:rsidP="005B2CC7">
            <w:pPr>
              <w:rPr>
                <w:rFonts w:ascii="Times New Roman" w:eastAsia="Calibri" w:hAnsi="Times New Roman" w:cs="Times New Roman"/>
                <w:b/>
              </w:rPr>
            </w:pPr>
            <w:r>
              <w:rPr>
                <w:rFonts w:ascii="Times New Roman" w:eastAsia="Calibri" w:hAnsi="Times New Roman" w:cs="Times New Roman"/>
                <w:b/>
              </w:rPr>
              <w:t>Se acceptă.</w:t>
            </w:r>
          </w:p>
          <w:p w14:paraId="400918BB" w14:textId="4FCF94D1" w:rsidR="00EF53D6" w:rsidRPr="00EF53D6" w:rsidRDefault="00EF53D6" w:rsidP="00EF53D6">
            <w:pPr>
              <w:jc w:val="both"/>
              <w:rPr>
                <w:rFonts w:ascii="Times New Roman" w:eastAsia="Calibri" w:hAnsi="Times New Roman" w:cs="Times New Roman"/>
              </w:rPr>
            </w:pPr>
            <w:r w:rsidRPr="00EF53D6">
              <w:rPr>
                <w:rFonts w:ascii="Times New Roman" w:eastAsia="Calibri" w:hAnsi="Times New Roman" w:cs="Times New Roman"/>
              </w:rPr>
              <w:t xml:space="preserve">Proiectul a fost completat </w:t>
            </w:r>
            <w:r>
              <w:rPr>
                <w:rFonts w:ascii="Times New Roman" w:eastAsia="Calibri" w:hAnsi="Times New Roman" w:cs="Times New Roman"/>
              </w:rPr>
              <w:t>cu precizarea propusă</w:t>
            </w:r>
            <w:r w:rsidR="00AA6D56">
              <w:rPr>
                <w:rFonts w:ascii="Times New Roman" w:eastAsia="Calibri" w:hAnsi="Times New Roman" w:cs="Times New Roman"/>
              </w:rPr>
              <w:t xml:space="preserve"> (anexa nr.2 pag.62)</w:t>
            </w:r>
            <w:r w:rsidRPr="00EF53D6">
              <w:rPr>
                <w:rFonts w:ascii="Times New Roman" w:eastAsia="Calibri" w:hAnsi="Times New Roman" w:cs="Times New Roman"/>
              </w:rPr>
              <w:t>.</w:t>
            </w:r>
          </w:p>
        </w:tc>
      </w:tr>
      <w:tr w:rsidR="00452024" w:rsidRPr="00882F72" w14:paraId="2D7E4755" w14:textId="77777777" w:rsidTr="00452024">
        <w:trPr>
          <w:trHeight w:val="2375"/>
        </w:trPr>
        <w:tc>
          <w:tcPr>
            <w:tcW w:w="797" w:type="pct"/>
            <w:vMerge/>
          </w:tcPr>
          <w:p w14:paraId="3A4AD645" w14:textId="77777777" w:rsidR="00452024" w:rsidRPr="00FE354C" w:rsidRDefault="00452024" w:rsidP="005B2CC7">
            <w:pPr>
              <w:tabs>
                <w:tab w:val="left" w:pos="355"/>
              </w:tabs>
              <w:rPr>
                <w:rFonts w:ascii="Times New Roman" w:eastAsia="Calibri" w:hAnsi="Times New Roman" w:cs="Times New Roman"/>
                <w:b/>
                <w:bCs/>
              </w:rPr>
            </w:pPr>
          </w:p>
        </w:tc>
        <w:tc>
          <w:tcPr>
            <w:tcW w:w="240" w:type="pct"/>
          </w:tcPr>
          <w:p w14:paraId="640AE96F" w14:textId="63E7B0BF" w:rsidR="00452024" w:rsidRDefault="00452024" w:rsidP="00452024">
            <w:pPr>
              <w:rPr>
                <w:rFonts w:ascii="Times New Roman" w:eastAsia="Calibri" w:hAnsi="Times New Roman" w:cs="Times New Roman"/>
              </w:rPr>
            </w:pPr>
            <w:r>
              <w:rPr>
                <w:rFonts w:ascii="Times New Roman" w:eastAsia="Calibri" w:hAnsi="Times New Roman" w:cs="Times New Roman"/>
              </w:rPr>
              <w:t>2.</w:t>
            </w:r>
          </w:p>
        </w:tc>
        <w:tc>
          <w:tcPr>
            <w:tcW w:w="2505" w:type="pct"/>
          </w:tcPr>
          <w:p w14:paraId="11AA3566" w14:textId="6C97742D" w:rsidR="001A47AD" w:rsidRPr="00FE354C" w:rsidRDefault="00452024" w:rsidP="007A6382">
            <w:pPr>
              <w:jc w:val="both"/>
              <w:rPr>
                <w:rFonts w:ascii="Times New Roman" w:eastAsia="Calibri" w:hAnsi="Times New Roman" w:cs="Times New Roman"/>
              </w:rPr>
            </w:pPr>
            <w:r w:rsidRPr="00FE354C">
              <w:rPr>
                <w:rFonts w:ascii="Times New Roman" w:eastAsia="Calibri" w:hAnsi="Times New Roman" w:cs="Times New Roman"/>
              </w:rPr>
              <w:t>De asemenea, având în vedere prevederile Capitolului III privind activitățile economice durabile din punctul de vedere al mediului, în special punctele 14 și 15, constatăm necesitatea clarificării modului de aplicare a taxonomiei în situațiile în care activitatea principală a clientului nu este inclusă în Anexa nr. 1, însă finanțarea solicitată vizează o activitate sau un proiect eligibil conform acesteia. În lipsa unei clarificări exprese, există riscul unor interpretări restrictive care ar putea limita finanțarea unor proiecte cu impact pozitiv asupra mediului. În acest context, considerăm necesară confirmarea explicită a posibilității evaluării la nivelul activității finanțate, cu delimitarea și urmărirea destinației fondurilor, precum și recunoașterea faptului că activitatea finanțată poate fi calificată drept durabilă, în măsura în care sunt</w:t>
            </w:r>
            <w:r w:rsidR="001A47AD">
              <w:rPr>
                <w:rFonts w:ascii="Times New Roman" w:eastAsia="Calibri" w:hAnsi="Times New Roman" w:cs="Times New Roman"/>
              </w:rPr>
              <w:t xml:space="preserve"> </w:t>
            </w:r>
            <w:r w:rsidR="001A47AD" w:rsidRPr="001A47AD">
              <w:rPr>
                <w:rFonts w:ascii="Times New Roman" w:eastAsia="Calibri" w:hAnsi="Times New Roman" w:cs="Times New Roman"/>
              </w:rPr>
              <w:t>îndeplinite criteriile prevăzute (punctele 14 și 15) și evaluarea este realizată conform pașilor metodologici indicați în proiect.</w:t>
            </w:r>
          </w:p>
        </w:tc>
        <w:tc>
          <w:tcPr>
            <w:tcW w:w="1458" w:type="pct"/>
          </w:tcPr>
          <w:p w14:paraId="4E881B0F" w14:textId="77777777" w:rsidR="00EF53D6" w:rsidRDefault="00EF53D6" w:rsidP="00EF53D6">
            <w:pPr>
              <w:rPr>
                <w:rFonts w:ascii="Times New Roman" w:eastAsia="Calibri" w:hAnsi="Times New Roman" w:cs="Times New Roman"/>
                <w:b/>
              </w:rPr>
            </w:pPr>
            <w:r>
              <w:rPr>
                <w:rFonts w:ascii="Times New Roman" w:eastAsia="Calibri" w:hAnsi="Times New Roman" w:cs="Times New Roman"/>
                <w:b/>
              </w:rPr>
              <w:t>Se acceptă.</w:t>
            </w:r>
          </w:p>
          <w:p w14:paraId="49CF3703" w14:textId="47E3F1E0" w:rsidR="00452024" w:rsidRPr="00444873" w:rsidRDefault="00EF53D6" w:rsidP="00EF53D6">
            <w:pPr>
              <w:rPr>
                <w:rFonts w:ascii="Times New Roman" w:eastAsia="Calibri" w:hAnsi="Times New Roman" w:cs="Times New Roman"/>
                <w:b/>
              </w:rPr>
            </w:pPr>
            <w:r w:rsidRPr="00EF53D6">
              <w:rPr>
                <w:rFonts w:ascii="Times New Roman" w:eastAsia="Calibri" w:hAnsi="Times New Roman" w:cs="Times New Roman"/>
              </w:rPr>
              <w:t xml:space="preserve">Proiectul a fost completat </w:t>
            </w:r>
            <w:r>
              <w:rPr>
                <w:rFonts w:ascii="Times New Roman" w:eastAsia="Calibri" w:hAnsi="Times New Roman" w:cs="Times New Roman"/>
              </w:rPr>
              <w:t>cu precizarea propusă</w:t>
            </w:r>
            <w:r w:rsidR="00AA6D56">
              <w:rPr>
                <w:rFonts w:ascii="Times New Roman" w:eastAsia="Calibri" w:hAnsi="Times New Roman" w:cs="Times New Roman"/>
              </w:rPr>
              <w:t xml:space="preserve"> (subpct.17.4)</w:t>
            </w:r>
            <w:r w:rsidRPr="00EF53D6">
              <w:rPr>
                <w:rFonts w:ascii="Times New Roman" w:eastAsia="Calibri" w:hAnsi="Times New Roman" w:cs="Times New Roman"/>
              </w:rPr>
              <w:t>.</w:t>
            </w:r>
          </w:p>
        </w:tc>
      </w:tr>
      <w:tr w:rsidR="00452024" w:rsidRPr="00882F72" w14:paraId="619C961D" w14:textId="77777777" w:rsidTr="001A47AD">
        <w:trPr>
          <w:trHeight w:val="2620"/>
        </w:trPr>
        <w:tc>
          <w:tcPr>
            <w:tcW w:w="797" w:type="pct"/>
            <w:vMerge/>
          </w:tcPr>
          <w:p w14:paraId="1ECAF726" w14:textId="77777777" w:rsidR="00452024" w:rsidRPr="00FE354C" w:rsidRDefault="00452024" w:rsidP="005B2CC7">
            <w:pPr>
              <w:tabs>
                <w:tab w:val="left" w:pos="355"/>
              </w:tabs>
              <w:rPr>
                <w:rFonts w:ascii="Times New Roman" w:eastAsia="Calibri" w:hAnsi="Times New Roman" w:cs="Times New Roman"/>
                <w:b/>
                <w:bCs/>
              </w:rPr>
            </w:pPr>
          </w:p>
        </w:tc>
        <w:tc>
          <w:tcPr>
            <w:tcW w:w="240" w:type="pct"/>
          </w:tcPr>
          <w:p w14:paraId="6B782F7D" w14:textId="440EF856" w:rsidR="00452024" w:rsidRDefault="00F6049B" w:rsidP="00452024">
            <w:pPr>
              <w:rPr>
                <w:rFonts w:ascii="Times New Roman" w:eastAsia="Calibri" w:hAnsi="Times New Roman" w:cs="Times New Roman"/>
              </w:rPr>
            </w:pPr>
            <w:r>
              <w:rPr>
                <w:rFonts w:ascii="Times New Roman" w:eastAsia="Calibri" w:hAnsi="Times New Roman" w:cs="Times New Roman"/>
              </w:rPr>
              <w:t>3.</w:t>
            </w:r>
          </w:p>
        </w:tc>
        <w:tc>
          <w:tcPr>
            <w:tcW w:w="2505" w:type="pct"/>
          </w:tcPr>
          <w:p w14:paraId="7CC2C192" w14:textId="77777777" w:rsidR="00452024" w:rsidRPr="00FE354C" w:rsidRDefault="00452024" w:rsidP="007A6382">
            <w:pPr>
              <w:jc w:val="both"/>
              <w:rPr>
                <w:rFonts w:ascii="Times New Roman" w:eastAsia="Calibri" w:hAnsi="Times New Roman" w:cs="Times New Roman"/>
              </w:rPr>
            </w:pPr>
            <w:r w:rsidRPr="00FE354C">
              <w:rPr>
                <w:rFonts w:ascii="Times New Roman" w:eastAsia="Calibri" w:hAnsi="Times New Roman" w:cs="Times New Roman"/>
              </w:rPr>
              <w:t>În același timp, având în vedere instruirea organizată anterior de către Banca Națională a Moldovei, cu suportul experților IFC, în decembrie 2025, care a contribuit la o mai bună înțelegere a cadrului general al taxonomiei, dar și experiența acumulată ulterior în procesul de analiză internă la nivelul băncilor, au fost identificate o serie de dificultăți suplimentare legate de aplicarea practică a criteriilor din anexele proiectului. În acest context, considerăm oportună organizarea unei sesiuni suplimentare de instruire cu caracter aplicat, dedicată instituțiilor de credit, care să includă studii de caz relevante și exemple orientative de documentație. O astfel de inițiativă ar contribui semnificativ la asigurarea unei interpretări unitare și la facilitarea unei implementări eficiente a cerințelor taxonomiei la nivelul sistemului bancar.</w:t>
            </w:r>
          </w:p>
        </w:tc>
        <w:tc>
          <w:tcPr>
            <w:tcW w:w="1458" w:type="pct"/>
          </w:tcPr>
          <w:p w14:paraId="22345106" w14:textId="77777777" w:rsidR="00452024" w:rsidRDefault="00603F8F" w:rsidP="005B2CC7">
            <w:pPr>
              <w:rPr>
                <w:rFonts w:ascii="Times New Roman" w:eastAsia="Calibri" w:hAnsi="Times New Roman" w:cs="Times New Roman"/>
                <w:b/>
              </w:rPr>
            </w:pPr>
            <w:r>
              <w:rPr>
                <w:rFonts w:ascii="Times New Roman" w:eastAsia="Calibri" w:hAnsi="Times New Roman" w:cs="Times New Roman"/>
                <w:b/>
              </w:rPr>
              <w:t>Se acceptă.</w:t>
            </w:r>
          </w:p>
          <w:p w14:paraId="56890549" w14:textId="51496995" w:rsidR="00603F8F" w:rsidRPr="00603F8F" w:rsidRDefault="00603F8F" w:rsidP="00603F8F">
            <w:pPr>
              <w:jc w:val="both"/>
              <w:rPr>
                <w:rFonts w:ascii="Times New Roman" w:eastAsia="Calibri" w:hAnsi="Times New Roman" w:cs="Times New Roman"/>
                <w:bCs/>
              </w:rPr>
            </w:pPr>
            <w:r w:rsidRPr="00603F8F">
              <w:rPr>
                <w:rFonts w:ascii="Times New Roman" w:eastAsia="Calibri" w:hAnsi="Times New Roman" w:cs="Times New Roman"/>
                <w:bCs/>
              </w:rPr>
              <w:t xml:space="preserve">Pe platforma grupului consultativ de finanțare durabilă din care face parte inclusiv Asociația Băncilor din </w:t>
            </w:r>
            <w:r>
              <w:rPr>
                <w:rFonts w:ascii="Times New Roman" w:eastAsia="Calibri" w:hAnsi="Times New Roman" w:cs="Times New Roman"/>
                <w:bCs/>
              </w:rPr>
              <w:t xml:space="preserve">Moldova urmează a fi continuate sesiunile de informare și consultare a mediului de afaceri cu referire la modul de aplicare a Taxonomiei, </w:t>
            </w:r>
            <w:r w:rsidR="005E5E90">
              <w:rPr>
                <w:rFonts w:ascii="Times New Roman" w:eastAsia="Calibri" w:hAnsi="Times New Roman" w:cs="Times New Roman"/>
                <w:bCs/>
              </w:rPr>
              <w:t>inclusiv în contextul ghidurilor de facilitare a aplicării de către entitățile financiare a Taxonomiei, ce urmează a fi elaborate de regulatorii pieței financiare.</w:t>
            </w:r>
          </w:p>
        </w:tc>
      </w:tr>
      <w:tr w:rsidR="00021BBB" w:rsidRPr="00882F72" w14:paraId="2C39E2BC" w14:textId="77777777" w:rsidTr="00F968A9">
        <w:tc>
          <w:tcPr>
            <w:tcW w:w="797" w:type="pct"/>
            <w:vMerge w:val="restart"/>
          </w:tcPr>
          <w:p w14:paraId="54A30A11" w14:textId="77777777" w:rsidR="00021BBB" w:rsidRDefault="00021BBB" w:rsidP="005B2CC7">
            <w:pPr>
              <w:tabs>
                <w:tab w:val="left" w:pos="355"/>
              </w:tabs>
              <w:rPr>
                <w:rFonts w:ascii="Times New Roman" w:eastAsia="Calibri" w:hAnsi="Times New Roman" w:cs="Times New Roman"/>
                <w:b/>
                <w:bCs/>
              </w:rPr>
            </w:pPr>
            <w:proofErr w:type="spellStart"/>
            <w:r>
              <w:rPr>
                <w:rFonts w:ascii="Times New Roman" w:eastAsia="Calibri" w:hAnsi="Times New Roman" w:cs="Times New Roman"/>
                <w:b/>
                <w:bCs/>
              </w:rPr>
              <w:t>AmCham</w:t>
            </w:r>
            <w:proofErr w:type="spellEnd"/>
            <w:r>
              <w:rPr>
                <w:rFonts w:ascii="Times New Roman" w:eastAsia="Calibri" w:hAnsi="Times New Roman" w:cs="Times New Roman"/>
                <w:b/>
                <w:bCs/>
              </w:rPr>
              <w:t xml:space="preserve"> Moldova</w:t>
            </w:r>
          </w:p>
          <w:p w14:paraId="30985CE0" w14:textId="4A98F1C2" w:rsidR="00021BBB" w:rsidRPr="00914CFC" w:rsidRDefault="00021BBB" w:rsidP="005B2CC7">
            <w:pPr>
              <w:tabs>
                <w:tab w:val="left" w:pos="355"/>
              </w:tabs>
              <w:rPr>
                <w:rFonts w:ascii="Times New Roman" w:eastAsia="Calibri" w:hAnsi="Times New Roman" w:cs="Times New Roman"/>
              </w:rPr>
            </w:pPr>
            <w:r>
              <w:rPr>
                <w:rFonts w:ascii="Times New Roman" w:eastAsia="Calibri" w:hAnsi="Times New Roman" w:cs="Times New Roman"/>
              </w:rPr>
              <w:t>nr.34 din 26.03.2026</w:t>
            </w:r>
          </w:p>
        </w:tc>
        <w:tc>
          <w:tcPr>
            <w:tcW w:w="240" w:type="pct"/>
          </w:tcPr>
          <w:p w14:paraId="602FBDBD" w14:textId="3EF0B2BD" w:rsidR="00021BBB" w:rsidRPr="00021BBB" w:rsidRDefault="00021BBB" w:rsidP="00021BBB">
            <w:pPr>
              <w:rPr>
                <w:rFonts w:ascii="Times New Roman" w:eastAsia="Calibri" w:hAnsi="Times New Roman" w:cs="Times New Roman"/>
              </w:rPr>
            </w:pPr>
            <w:r>
              <w:rPr>
                <w:rFonts w:ascii="Times New Roman" w:eastAsia="Calibri" w:hAnsi="Times New Roman" w:cs="Times New Roman"/>
              </w:rPr>
              <w:t>1.</w:t>
            </w:r>
          </w:p>
        </w:tc>
        <w:tc>
          <w:tcPr>
            <w:tcW w:w="2505" w:type="pct"/>
          </w:tcPr>
          <w:p w14:paraId="5849C678" w14:textId="77777777" w:rsidR="00021BBB" w:rsidRDefault="00021BBB" w:rsidP="007A6382">
            <w:pPr>
              <w:jc w:val="both"/>
              <w:rPr>
                <w:rFonts w:ascii="Times New Roman" w:eastAsia="Calibri" w:hAnsi="Times New Roman" w:cs="Times New Roman"/>
              </w:rPr>
            </w:pPr>
            <w:r w:rsidRPr="00A92363">
              <w:rPr>
                <w:rFonts w:ascii="Times New Roman" w:eastAsia="Calibri" w:hAnsi="Times New Roman" w:cs="Times New Roman"/>
              </w:rPr>
              <w:t xml:space="preserve">Având în vedere prevederile Capitolului III – Activități economice durabile din punct de vedere al mediului, în special pct. 14 și 15 din proiect, se constată necesitatea clarificării modului de aplicare a taxonomiei în situațiile în care activitatea principală a clientului nu este inclusă în Anexa nr. 1, însă finanțarea este destinată unei activități sau unui proiect eligibil conform Anexei nr. 1. </w:t>
            </w:r>
          </w:p>
          <w:p w14:paraId="778A5978" w14:textId="77777777" w:rsidR="00021BBB" w:rsidRDefault="00021BBB" w:rsidP="007A6382">
            <w:pPr>
              <w:jc w:val="both"/>
              <w:rPr>
                <w:rFonts w:ascii="Times New Roman" w:eastAsia="Calibri" w:hAnsi="Times New Roman" w:cs="Times New Roman"/>
              </w:rPr>
            </w:pPr>
            <w:r w:rsidRPr="00A92363">
              <w:rPr>
                <w:rFonts w:ascii="Times New Roman" w:eastAsia="Calibri" w:hAnsi="Times New Roman" w:cs="Times New Roman"/>
              </w:rPr>
              <w:t xml:space="preserve">În practică, instituțiile de credit finanțează frecvent proiecte individuale sau investiții specifice, care pot îndeplini criteriile taxonomiei, chiar dacă activitatea principală a beneficiarului nu este inclusă în lista activităților eligibile. </w:t>
            </w:r>
          </w:p>
          <w:p w14:paraId="61953C1F" w14:textId="77777777" w:rsidR="00021BBB" w:rsidRDefault="00021BBB" w:rsidP="00021BBB">
            <w:pPr>
              <w:jc w:val="both"/>
              <w:rPr>
                <w:rFonts w:ascii="Times New Roman" w:eastAsia="Calibri" w:hAnsi="Times New Roman" w:cs="Times New Roman"/>
              </w:rPr>
            </w:pPr>
            <w:r w:rsidRPr="00A92363">
              <w:rPr>
                <w:rFonts w:ascii="Times New Roman" w:eastAsia="Calibri" w:hAnsi="Times New Roman" w:cs="Times New Roman"/>
              </w:rPr>
              <w:t xml:space="preserve">În acest context, se propune clarificarea expresă a posibilității evaluării la nivelul activității finanțate, cu delimitarea și urmărirea destinației fondurilor, inclusiv confirmarea faptului că activitatea finanțată poate fi calificată drept durabilă din punctul de vedere al mediului, în măsura în care sunt îndeplinite criteriile prevăzute la pct. 14 și evaluate conform pașilor indicați la pct. 15. </w:t>
            </w:r>
          </w:p>
          <w:p w14:paraId="228ED6A0" w14:textId="35305BD0" w:rsidR="00021BBB" w:rsidRPr="00FE354C" w:rsidRDefault="00021BBB" w:rsidP="007A6382">
            <w:pPr>
              <w:jc w:val="both"/>
              <w:rPr>
                <w:rFonts w:ascii="Times New Roman" w:eastAsia="Calibri" w:hAnsi="Times New Roman" w:cs="Times New Roman"/>
              </w:rPr>
            </w:pPr>
            <w:r w:rsidRPr="00A92363">
              <w:rPr>
                <w:rFonts w:ascii="Times New Roman" w:eastAsia="Calibri" w:hAnsi="Times New Roman" w:cs="Times New Roman"/>
              </w:rPr>
              <w:t>O asemenea clarificare ar contribui la aplicarea corectă a taxonomiei în practica de creditare și ar evita interpretări restrictive care ar putea limita finanța</w:t>
            </w:r>
            <w:r>
              <w:rPr>
                <w:rFonts w:ascii="Times New Roman" w:eastAsia="Calibri" w:hAnsi="Times New Roman" w:cs="Times New Roman"/>
              </w:rPr>
              <w:t>rea proiectelor sustenabile.</w:t>
            </w:r>
          </w:p>
        </w:tc>
        <w:tc>
          <w:tcPr>
            <w:tcW w:w="1458" w:type="pct"/>
          </w:tcPr>
          <w:p w14:paraId="711B9D35" w14:textId="77777777" w:rsidR="00EF53D6" w:rsidRDefault="00EF53D6" w:rsidP="00EF53D6">
            <w:pPr>
              <w:rPr>
                <w:rFonts w:ascii="Times New Roman" w:eastAsia="Calibri" w:hAnsi="Times New Roman" w:cs="Times New Roman"/>
                <w:b/>
              </w:rPr>
            </w:pPr>
            <w:r>
              <w:rPr>
                <w:rFonts w:ascii="Times New Roman" w:eastAsia="Calibri" w:hAnsi="Times New Roman" w:cs="Times New Roman"/>
                <w:b/>
              </w:rPr>
              <w:t>Se acceptă.</w:t>
            </w:r>
          </w:p>
          <w:p w14:paraId="5CCC7F3B" w14:textId="4C246AB1" w:rsidR="00021BBB" w:rsidRPr="00444873" w:rsidRDefault="00EF53D6" w:rsidP="00EF53D6">
            <w:pPr>
              <w:rPr>
                <w:rFonts w:ascii="Times New Roman" w:eastAsia="Calibri" w:hAnsi="Times New Roman" w:cs="Times New Roman"/>
                <w:b/>
              </w:rPr>
            </w:pPr>
            <w:r w:rsidRPr="00EF53D6">
              <w:rPr>
                <w:rFonts w:ascii="Times New Roman" w:eastAsia="Calibri" w:hAnsi="Times New Roman" w:cs="Times New Roman"/>
              </w:rPr>
              <w:t xml:space="preserve">Proiectul a fost completat </w:t>
            </w:r>
            <w:r>
              <w:rPr>
                <w:rFonts w:ascii="Times New Roman" w:eastAsia="Calibri" w:hAnsi="Times New Roman" w:cs="Times New Roman"/>
              </w:rPr>
              <w:t>cu precizarea propusă</w:t>
            </w:r>
            <w:r w:rsidR="00AA6D56">
              <w:rPr>
                <w:rFonts w:ascii="Times New Roman" w:eastAsia="Calibri" w:hAnsi="Times New Roman" w:cs="Times New Roman"/>
              </w:rPr>
              <w:t xml:space="preserve"> (subpct.17.4)</w:t>
            </w:r>
            <w:r w:rsidRPr="00EF53D6">
              <w:rPr>
                <w:rFonts w:ascii="Times New Roman" w:eastAsia="Calibri" w:hAnsi="Times New Roman" w:cs="Times New Roman"/>
              </w:rPr>
              <w:t>.</w:t>
            </w:r>
            <w:r w:rsidR="00AA6D56">
              <w:rPr>
                <w:rFonts w:ascii="Times New Roman" w:eastAsia="Calibri" w:hAnsi="Times New Roman" w:cs="Times New Roman"/>
              </w:rPr>
              <w:t xml:space="preserve"> </w:t>
            </w:r>
            <w:bookmarkStart w:id="0" w:name="_GoBack"/>
            <w:bookmarkEnd w:id="0"/>
          </w:p>
        </w:tc>
      </w:tr>
      <w:tr w:rsidR="00021BBB" w:rsidRPr="00882F72" w14:paraId="724889C6" w14:textId="77777777" w:rsidTr="00F968A9">
        <w:tc>
          <w:tcPr>
            <w:tcW w:w="797" w:type="pct"/>
            <w:vMerge/>
          </w:tcPr>
          <w:p w14:paraId="0580F001" w14:textId="77777777" w:rsidR="00021BBB" w:rsidRDefault="00021BBB" w:rsidP="005B2CC7">
            <w:pPr>
              <w:tabs>
                <w:tab w:val="left" w:pos="355"/>
              </w:tabs>
              <w:rPr>
                <w:rFonts w:ascii="Times New Roman" w:eastAsia="Calibri" w:hAnsi="Times New Roman" w:cs="Times New Roman"/>
                <w:b/>
                <w:bCs/>
              </w:rPr>
            </w:pPr>
          </w:p>
        </w:tc>
        <w:tc>
          <w:tcPr>
            <w:tcW w:w="240" w:type="pct"/>
          </w:tcPr>
          <w:p w14:paraId="3E8402D5" w14:textId="5DA97520" w:rsidR="00021BBB" w:rsidRDefault="00021BBB" w:rsidP="00021BBB">
            <w:pPr>
              <w:rPr>
                <w:rFonts w:ascii="Times New Roman" w:eastAsia="Calibri" w:hAnsi="Times New Roman" w:cs="Times New Roman"/>
              </w:rPr>
            </w:pPr>
            <w:r>
              <w:rPr>
                <w:rFonts w:ascii="Times New Roman" w:eastAsia="Calibri" w:hAnsi="Times New Roman" w:cs="Times New Roman"/>
              </w:rPr>
              <w:t>2.</w:t>
            </w:r>
          </w:p>
        </w:tc>
        <w:tc>
          <w:tcPr>
            <w:tcW w:w="2505" w:type="pct"/>
          </w:tcPr>
          <w:p w14:paraId="15F57F97" w14:textId="77777777" w:rsidR="00021BBB" w:rsidRDefault="00021BBB" w:rsidP="00021BBB">
            <w:pPr>
              <w:jc w:val="both"/>
              <w:rPr>
                <w:rFonts w:ascii="Times New Roman" w:eastAsia="Calibri" w:hAnsi="Times New Roman" w:cs="Times New Roman"/>
              </w:rPr>
            </w:pPr>
            <w:r w:rsidRPr="00A92363">
              <w:rPr>
                <w:rFonts w:ascii="Times New Roman" w:eastAsia="Calibri" w:hAnsi="Times New Roman" w:cs="Times New Roman"/>
              </w:rPr>
              <w:t xml:space="preserve">Pe parcursul elaborării proiectului au fost organizate sesiuni informative destinate instituțiilor de credit. Menționăm utilitatea acestora pentru înțelegerea cadrului general al taxonomiei pentru finanțare durabilă. </w:t>
            </w:r>
          </w:p>
          <w:p w14:paraId="062C81FA" w14:textId="77777777" w:rsidR="00021BBB" w:rsidRDefault="00021BBB" w:rsidP="00021BBB">
            <w:pPr>
              <w:jc w:val="both"/>
              <w:rPr>
                <w:rFonts w:ascii="Times New Roman" w:eastAsia="Calibri" w:hAnsi="Times New Roman" w:cs="Times New Roman"/>
              </w:rPr>
            </w:pPr>
            <w:r w:rsidRPr="00A92363">
              <w:rPr>
                <w:rFonts w:ascii="Times New Roman" w:eastAsia="Calibri" w:hAnsi="Times New Roman" w:cs="Times New Roman"/>
              </w:rPr>
              <w:lastRenderedPageBreak/>
              <w:t xml:space="preserve">Totodată, ținând cont de caracterul complex și tehnic al criteriilor prevăzute în Anexele nr. 1–3, precum și de necesitatea aplicării uniforme a acestora în activitatea de creditare, în procesul de analiză internă realizată la nivelul instituțiilor financiare au fost identificate aspecte suplimentare care necesită clarificări practice, inclusiv în ceea ce privește modul de documentare, verificare și interpretare a criteriilor DNSH și a criteriilor tehnice de eligibilitate. </w:t>
            </w:r>
          </w:p>
          <w:p w14:paraId="18B2E054" w14:textId="77777777" w:rsidR="00021BBB" w:rsidRDefault="00021BBB" w:rsidP="00021BBB">
            <w:pPr>
              <w:jc w:val="both"/>
              <w:rPr>
                <w:rFonts w:ascii="Times New Roman" w:eastAsia="Calibri" w:hAnsi="Times New Roman" w:cs="Times New Roman"/>
              </w:rPr>
            </w:pPr>
            <w:r w:rsidRPr="00A92363">
              <w:rPr>
                <w:rFonts w:ascii="Times New Roman" w:eastAsia="Calibri" w:hAnsi="Times New Roman" w:cs="Times New Roman"/>
              </w:rPr>
              <w:t>În acest context, considerăm oportună organizarea unor sesiuni suplimentare de lucru cu caracter aplicat, care să includă exemple practice, studii de caz și clarificări metodologice privind aplicarea taxonomiei în situații concrete de finanțare.</w:t>
            </w:r>
          </w:p>
          <w:p w14:paraId="696D8ADE" w14:textId="55BA7598" w:rsidR="00021BBB" w:rsidRPr="00A92363" w:rsidRDefault="00021BBB" w:rsidP="00021BBB">
            <w:pPr>
              <w:jc w:val="both"/>
              <w:rPr>
                <w:rFonts w:ascii="Times New Roman" w:eastAsia="Calibri" w:hAnsi="Times New Roman" w:cs="Times New Roman"/>
              </w:rPr>
            </w:pPr>
            <w:r w:rsidRPr="00021BBB">
              <w:rPr>
                <w:rFonts w:ascii="Times New Roman" w:eastAsia="Calibri" w:hAnsi="Times New Roman" w:cs="Times New Roman"/>
              </w:rPr>
              <w:t>O asemenea abordare ar contribui la asigurarea unei interpretări unitare a prevederilor proiectului, la reducerea riscului de aplicare neuniformă între instituțiile de credit și la facilitarea implementării eficiente a cadrului normativ.</w:t>
            </w:r>
          </w:p>
        </w:tc>
        <w:tc>
          <w:tcPr>
            <w:tcW w:w="1458" w:type="pct"/>
          </w:tcPr>
          <w:p w14:paraId="59EE2A15" w14:textId="77777777" w:rsidR="00AF09CB" w:rsidRDefault="00AF09CB" w:rsidP="00AF09CB">
            <w:pPr>
              <w:rPr>
                <w:rFonts w:ascii="Times New Roman" w:eastAsia="Calibri" w:hAnsi="Times New Roman" w:cs="Times New Roman"/>
                <w:b/>
              </w:rPr>
            </w:pPr>
            <w:r>
              <w:rPr>
                <w:rFonts w:ascii="Times New Roman" w:eastAsia="Calibri" w:hAnsi="Times New Roman" w:cs="Times New Roman"/>
                <w:b/>
              </w:rPr>
              <w:lastRenderedPageBreak/>
              <w:t>Se acceptă.</w:t>
            </w:r>
          </w:p>
          <w:p w14:paraId="2A7554F2" w14:textId="189B1551" w:rsidR="00021BBB" w:rsidRPr="00444873" w:rsidRDefault="00AF09CB" w:rsidP="00AF09CB">
            <w:pPr>
              <w:jc w:val="both"/>
              <w:rPr>
                <w:rFonts w:ascii="Times New Roman" w:eastAsia="Calibri" w:hAnsi="Times New Roman" w:cs="Times New Roman"/>
                <w:b/>
              </w:rPr>
            </w:pPr>
            <w:r w:rsidRPr="00603F8F">
              <w:rPr>
                <w:rFonts w:ascii="Times New Roman" w:eastAsia="Calibri" w:hAnsi="Times New Roman" w:cs="Times New Roman"/>
                <w:bCs/>
              </w:rPr>
              <w:t xml:space="preserve">Pe platforma grupului consultativ de finanțare durabilă din care face parte inclusiv Asociația </w:t>
            </w:r>
            <w:r w:rsidRPr="00603F8F">
              <w:rPr>
                <w:rFonts w:ascii="Times New Roman" w:eastAsia="Calibri" w:hAnsi="Times New Roman" w:cs="Times New Roman"/>
                <w:bCs/>
              </w:rPr>
              <w:lastRenderedPageBreak/>
              <w:t xml:space="preserve">Băncilor din </w:t>
            </w:r>
            <w:r>
              <w:rPr>
                <w:rFonts w:ascii="Times New Roman" w:eastAsia="Calibri" w:hAnsi="Times New Roman" w:cs="Times New Roman"/>
                <w:bCs/>
              </w:rPr>
              <w:t>Moldova urmează a fi continuate sesiunile de informare și consultare a mediului de afaceri cu referire la modul de aplicare a Taxonomiei, inclusiv în contextul ghidurilor de facilitare a aplicării de către entitățile financiare a Taxonomiei, ce urmează a fi elaborate de regulatorii pieței financiare.2</w:t>
            </w:r>
          </w:p>
        </w:tc>
      </w:tr>
      <w:tr w:rsidR="00DA1F51" w:rsidRPr="00882F72" w14:paraId="49308F6A" w14:textId="77777777" w:rsidTr="00DA1F51">
        <w:trPr>
          <w:trHeight w:val="2761"/>
        </w:trPr>
        <w:tc>
          <w:tcPr>
            <w:tcW w:w="797" w:type="pct"/>
          </w:tcPr>
          <w:p w14:paraId="3A73EC33" w14:textId="77777777" w:rsidR="00DA1F51" w:rsidRDefault="00DA1F51" w:rsidP="005B2CC7">
            <w:pPr>
              <w:tabs>
                <w:tab w:val="left" w:pos="355"/>
              </w:tabs>
              <w:rPr>
                <w:rFonts w:ascii="Times New Roman" w:eastAsia="Calibri" w:hAnsi="Times New Roman" w:cs="Times New Roman"/>
                <w:b/>
                <w:bCs/>
              </w:rPr>
            </w:pPr>
            <w:r>
              <w:rPr>
                <w:rFonts w:ascii="Times New Roman" w:eastAsia="Calibri" w:hAnsi="Times New Roman" w:cs="Times New Roman"/>
                <w:b/>
                <w:bCs/>
              </w:rPr>
              <w:lastRenderedPageBreak/>
              <w:t>Comisia Națională a Pieței Financiare</w:t>
            </w:r>
          </w:p>
          <w:p w14:paraId="0D41DB68" w14:textId="1311AA78" w:rsidR="00DA1F51" w:rsidRPr="00021BBB" w:rsidRDefault="00DA1F51" w:rsidP="005B2CC7">
            <w:pPr>
              <w:tabs>
                <w:tab w:val="left" w:pos="355"/>
              </w:tabs>
              <w:rPr>
                <w:rFonts w:ascii="Times New Roman" w:eastAsia="Calibri" w:hAnsi="Times New Roman" w:cs="Times New Roman"/>
              </w:rPr>
            </w:pPr>
            <w:r>
              <w:rPr>
                <w:rFonts w:ascii="Times New Roman" w:eastAsia="Calibri" w:hAnsi="Times New Roman" w:cs="Times New Roman"/>
              </w:rPr>
              <w:t>nr. 03-4/975 din 26.03.2026</w:t>
            </w:r>
          </w:p>
        </w:tc>
        <w:tc>
          <w:tcPr>
            <w:tcW w:w="240" w:type="pct"/>
          </w:tcPr>
          <w:p w14:paraId="328AD63C" w14:textId="2C61ED80" w:rsidR="00DA1F51" w:rsidRPr="00021BBB" w:rsidRDefault="00DA1F51" w:rsidP="00021BBB">
            <w:pPr>
              <w:rPr>
                <w:rFonts w:ascii="Times New Roman" w:eastAsia="Calibri" w:hAnsi="Times New Roman" w:cs="Times New Roman"/>
              </w:rPr>
            </w:pPr>
            <w:r>
              <w:rPr>
                <w:rFonts w:ascii="Times New Roman" w:eastAsia="Calibri" w:hAnsi="Times New Roman" w:cs="Times New Roman"/>
              </w:rPr>
              <w:t>1.</w:t>
            </w:r>
          </w:p>
        </w:tc>
        <w:tc>
          <w:tcPr>
            <w:tcW w:w="2505" w:type="pct"/>
          </w:tcPr>
          <w:p w14:paraId="13499125" w14:textId="3CC97D8D" w:rsidR="00DA1F51" w:rsidRPr="00FE354C" w:rsidRDefault="00DA1F51" w:rsidP="007A6382">
            <w:pPr>
              <w:jc w:val="both"/>
              <w:rPr>
                <w:rFonts w:ascii="Times New Roman" w:eastAsia="Calibri" w:hAnsi="Times New Roman" w:cs="Times New Roman"/>
              </w:rPr>
            </w:pPr>
            <w:r w:rsidRPr="00C250F0">
              <w:rPr>
                <w:rFonts w:ascii="Times New Roman" w:eastAsia="Calibri" w:hAnsi="Times New Roman" w:cs="Times New Roman"/>
              </w:rPr>
              <w:t>Referitor la pct. 4, se impune concretizarea autorităților responsabile și a modului concret de implicare în realizarea prevederii: „autoritățile publice competente evaluează punerea în aplicare a criteriilor respective, luând în considerare rezultatul aplicării acestora de către participanții la piața financiară și efectul lor asupra piețelor de capital, inclusiv asupra canalizării investițiilor către activități economice durabile din punctul de vedere al mediului.”, deoarece nu este clar cine va realiza evaluarea în cauză, precum în ce mod va fi realizată aceasta evaluare. De asemenea, remarcăm că nu este justificată accentuarea exclusivă a „efectului asupra piețelor de capital”, fără a se lua în considerare sectorul bancar, care canalizează majoritatea resurselor financiare către economia reală. Corespunzător, se relevă oportunitatea utilizării sintagmei „efectului asupra sectorului financiar integral”.</w:t>
            </w:r>
          </w:p>
        </w:tc>
        <w:tc>
          <w:tcPr>
            <w:tcW w:w="1458" w:type="pct"/>
          </w:tcPr>
          <w:p w14:paraId="3C621762" w14:textId="77777777" w:rsidR="00DA1F51" w:rsidRDefault="00B80045" w:rsidP="005B2CC7">
            <w:pPr>
              <w:rPr>
                <w:rFonts w:ascii="Times New Roman" w:eastAsia="Calibri" w:hAnsi="Times New Roman" w:cs="Times New Roman"/>
                <w:b/>
              </w:rPr>
            </w:pPr>
            <w:r>
              <w:rPr>
                <w:rFonts w:ascii="Times New Roman" w:eastAsia="Calibri" w:hAnsi="Times New Roman" w:cs="Times New Roman"/>
                <w:b/>
              </w:rPr>
              <w:t>Se acceptă parțial.</w:t>
            </w:r>
          </w:p>
          <w:p w14:paraId="0851E7A6" w14:textId="22EA33BA" w:rsidR="00B80045" w:rsidRPr="00B80045" w:rsidRDefault="00B80045" w:rsidP="00EF53D6">
            <w:pPr>
              <w:jc w:val="both"/>
              <w:rPr>
                <w:rFonts w:ascii="Times New Roman" w:eastAsia="Calibri" w:hAnsi="Times New Roman" w:cs="Times New Roman"/>
                <w:bCs/>
              </w:rPr>
            </w:pPr>
            <w:r w:rsidRPr="00B80045">
              <w:rPr>
                <w:rFonts w:ascii="Times New Roman" w:eastAsia="Calibri" w:hAnsi="Times New Roman" w:cs="Times New Roman"/>
                <w:bCs/>
              </w:rPr>
              <w:t>Prevederile pct.4 din pro</w:t>
            </w:r>
            <w:r w:rsidR="00EF53D6">
              <w:rPr>
                <w:rFonts w:ascii="Times New Roman" w:eastAsia="Calibri" w:hAnsi="Times New Roman" w:cs="Times New Roman"/>
                <w:bCs/>
              </w:rPr>
              <w:t>iectul de Hotărâre au fost excluse</w:t>
            </w:r>
            <w:r w:rsidRPr="00B80045">
              <w:rPr>
                <w:rFonts w:ascii="Times New Roman" w:eastAsia="Calibri" w:hAnsi="Times New Roman" w:cs="Times New Roman"/>
                <w:bCs/>
              </w:rPr>
              <w:t>.</w:t>
            </w:r>
          </w:p>
        </w:tc>
      </w:tr>
      <w:tr w:rsidR="00C65D96" w:rsidRPr="00882F72" w14:paraId="26B35F07" w14:textId="77777777" w:rsidTr="00F968A9">
        <w:tc>
          <w:tcPr>
            <w:tcW w:w="797" w:type="pct"/>
          </w:tcPr>
          <w:p w14:paraId="53E8173A" w14:textId="77777777" w:rsidR="00C65D96" w:rsidRDefault="00C65D96" w:rsidP="005B2CC7">
            <w:pPr>
              <w:tabs>
                <w:tab w:val="left" w:pos="355"/>
              </w:tabs>
              <w:rPr>
                <w:rFonts w:ascii="Times New Roman" w:eastAsia="Calibri" w:hAnsi="Times New Roman" w:cs="Times New Roman"/>
                <w:b/>
                <w:bCs/>
              </w:rPr>
            </w:pPr>
            <w:r>
              <w:rPr>
                <w:rFonts w:ascii="Times New Roman" w:eastAsia="Calibri" w:hAnsi="Times New Roman" w:cs="Times New Roman"/>
                <w:b/>
                <w:bCs/>
              </w:rPr>
              <w:t>Ministerul Infrastructurii și Dezvoltării Regionale</w:t>
            </w:r>
          </w:p>
          <w:p w14:paraId="09ADD68F" w14:textId="77777777" w:rsidR="00C65D96" w:rsidRDefault="00C65D96" w:rsidP="005B2CC7">
            <w:pPr>
              <w:tabs>
                <w:tab w:val="left" w:pos="355"/>
              </w:tabs>
              <w:rPr>
                <w:rFonts w:ascii="Times New Roman" w:eastAsia="Calibri" w:hAnsi="Times New Roman" w:cs="Times New Roman"/>
              </w:rPr>
            </w:pPr>
          </w:p>
          <w:p w14:paraId="06967E6D" w14:textId="32978FB2" w:rsidR="00C65D96" w:rsidRPr="00C65D96" w:rsidRDefault="00C65D96" w:rsidP="005B2CC7">
            <w:pPr>
              <w:tabs>
                <w:tab w:val="left" w:pos="355"/>
              </w:tabs>
              <w:rPr>
                <w:rFonts w:ascii="Times New Roman" w:eastAsia="Calibri" w:hAnsi="Times New Roman" w:cs="Times New Roman"/>
              </w:rPr>
            </w:pPr>
            <w:r>
              <w:rPr>
                <w:rFonts w:ascii="Times New Roman" w:eastAsia="Calibri" w:hAnsi="Times New Roman" w:cs="Times New Roman"/>
              </w:rPr>
              <w:t>nr. 04-1650 din 30.03.2026</w:t>
            </w:r>
          </w:p>
        </w:tc>
        <w:tc>
          <w:tcPr>
            <w:tcW w:w="240" w:type="pct"/>
          </w:tcPr>
          <w:p w14:paraId="567CE0D5" w14:textId="516D2EFB" w:rsidR="00C65D96" w:rsidRDefault="00C65D96" w:rsidP="00021BBB">
            <w:pPr>
              <w:rPr>
                <w:rFonts w:ascii="Times New Roman" w:eastAsia="Calibri" w:hAnsi="Times New Roman" w:cs="Times New Roman"/>
              </w:rPr>
            </w:pPr>
            <w:r>
              <w:rPr>
                <w:rFonts w:ascii="Times New Roman" w:eastAsia="Calibri" w:hAnsi="Times New Roman" w:cs="Times New Roman"/>
              </w:rPr>
              <w:t>1.</w:t>
            </w:r>
          </w:p>
        </w:tc>
        <w:tc>
          <w:tcPr>
            <w:tcW w:w="2505" w:type="pct"/>
          </w:tcPr>
          <w:p w14:paraId="6048EA90" w14:textId="1FE284CF" w:rsidR="00C65D96" w:rsidRPr="00C65D96" w:rsidRDefault="00C65D96" w:rsidP="00C65D96">
            <w:pPr>
              <w:jc w:val="both"/>
              <w:rPr>
                <w:rFonts w:ascii="Times New Roman" w:eastAsia="Calibri" w:hAnsi="Times New Roman" w:cs="Times New Roman"/>
              </w:rPr>
            </w:pPr>
            <w:r>
              <w:rPr>
                <w:rFonts w:ascii="Times New Roman" w:eastAsia="Calibri" w:hAnsi="Times New Roman" w:cs="Times New Roman"/>
              </w:rPr>
              <w:t xml:space="preserve">Se reiterează </w:t>
            </w:r>
            <w:r w:rsidRPr="00C65D96">
              <w:rPr>
                <w:rFonts w:ascii="Times New Roman" w:eastAsia="Calibri" w:hAnsi="Times New Roman" w:cs="Times New Roman"/>
              </w:rPr>
              <w:t xml:space="preserve">propunerile prezentate prin avizul nr. 04-1108 din 06.03.2026, având </w:t>
            </w:r>
          </w:p>
          <w:p w14:paraId="0FCA1EED" w14:textId="687F84A1" w:rsidR="00C65D96" w:rsidRPr="00C250F0" w:rsidRDefault="00C65D96" w:rsidP="00C65D96">
            <w:pPr>
              <w:jc w:val="both"/>
              <w:rPr>
                <w:rFonts w:ascii="Times New Roman" w:eastAsia="Calibri" w:hAnsi="Times New Roman" w:cs="Times New Roman"/>
              </w:rPr>
            </w:pPr>
            <w:r w:rsidRPr="00C65D96">
              <w:rPr>
                <w:rFonts w:ascii="Times New Roman" w:eastAsia="Calibri" w:hAnsi="Times New Roman" w:cs="Times New Roman"/>
              </w:rPr>
              <w:t>în vedere faptul că în tabelul de sinteză s-a menționat că propunerea urmează a fi examinată suplimentar în coroborare cu angajamentele asumate la Capitolul 9 „Servicii financiare”.</w:t>
            </w:r>
          </w:p>
        </w:tc>
        <w:tc>
          <w:tcPr>
            <w:tcW w:w="1458" w:type="pct"/>
          </w:tcPr>
          <w:p w14:paraId="27FED48D" w14:textId="77777777" w:rsidR="00C65D96" w:rsidRDefault="00B80045" w:rsidP="005B2CC7">
            <w:pPr>
              <w:rPr>
                <w:rFonts w:ascii="Times New Roman" w:eastAsia="Calibri" w:hAnsi="Times New Roman" w:cs="Times New Roman"/>
                <w:b/>
              </w:rPr>
            </w:pPr>
            <w:r>
              <w:rPr>
                <w:rFonts w:ascii="Times New Roman" w:eastAsia="Calibri" w:hAnsi="Times New Roman" w:cs="Times New Roman"/>
                <w:b/>
              </w:rPr>
              <w:t>Se acceptă.</w:t>
            </w:r>
          </w:p>
          <w:p w14:paraId="581131E1" w14:textId="4A5C8335" w:rsidR="00B80045" w:rsidRPr="00B80045" w:rsidRDefault="00B80045" w:rsidP="007D2906">
            <w:pPr>
              <w:jc w:val="both"/>
              <w:rPr>
                <w:rFonts w:ascii="Times New Roman" w:eastAsia="Calibri" w:hAnsi="Times New Roman" w:cs="Times New Roman"/>
                <w:bCs/>
              </w:rPr>
            </w:pPr>
            <w:r w:rsidRPr="00B80045">
              <w:rPr>
                <w:rFonts w:ascii="Times New Roman" w:eastAsia="Calibri" w:hAnsi="Times New Roman" w:cs="Times New Roman"/>
                <w:bCs/>
              </w:rPr>
              <w:t xml:space="preserve">Proiectul de Hotărâre a fost completat </w:t>
            </w:r>
            <w:r w:rsidR="00EF53D6">
              <w:rPr>
                <w:rFonts w:ascii="Times New Roman" w:eastAsia="Calibri" w:hAnsi="Times New Roman" w:cs="Times New Roman"/>
                <w:bCs/>
              </w:rPr>
              <w:t xml:space="preserve">cu precizarea la </w:t>
            </w:r>
            <w:r w:rsidR="007D2906">
              <w:rPr>
                <w:rFonts w:ascii="Times New Roman" w:eastAsia="Calibri" w:hAnsi="Times New Roman" w:cs="Times New Roman"/>
                <w:bCs/>
              </w:rPr>
              <w:t>anexa nr.1 activitatea 3.3. privind aplicabilitatea graduală (2028, 2029). La activitățile 6.5 și 6.6 sunt precizările de rigoare.</w:t>
            </w:r>
          </w:p>
        </w:tc>
      </w:tr>
      <w:tr w:rsidR="00F968A9" w:rsidRPr="00882F72" w14:paraId="03A371AF" w14:textId="77777777" w:rsidTr="00F968A9">
        <w:tc>
          <w:tcPr>
            <w:tcW w:w="797" w:type="pct"/>
          </w:tcPr>
          <w:p w14:paraId="76C6E39B" w14:textId="77777777" w:rsidR="00F968A9" w:rsidRDefault="00F968A9" w:rsidP="005B2CC7">
            <w:pPr>
              <w:tabs>
                <w:tab w:val="left" w:pos="355"/>
              </w:tabs>
              <w:rPr>
                <w:rFonts w:ascii="Times New Roman" w:eastAsia="Calibri" w:hAnsi="Times New Roman" w:cs="Times New Roman"/>
                <w:b/>
                <w:bCs/>
              </w:rPr>
            </w:pPr>
            <w:r w:rsidRPr="00F968A9">
              <w:rPr>
                <w:rFonts w:ascii="Times New Roman" w:eastAsia="Calibri" w:hAnsi="Times New Roman" w:cs="Times New Roman"/>
                <w:b/>
                <w:bCs/>
              </w:rPr>
              <w:t>Ministerul Mediului</w:t>
            </w:r>
          </w:p>
          <w:p w14:paraId="2AA69811" w14:textId="072F6FBE" w:rsidR="00C65D96" w:rsidRPr="00C65D96" w:rsidRDefault="00C65D96" w:rsidP="005B2CC7">
            <w:pPr>
              <w:tabs>
                <w:tab w:val="left" w:pos="355"/>
              </w:tabs>
              <w:rPr>
                <w:rFonts w:ascii="Times New Roman" w:eastAsia="Calibri" w:hAnsi="Times New Roman" w:cs="Times New Roman"/>
              </w:rPr>
            </w:pPr>
            <w:r>
              <w:rPr>
                <w:rFonts w:ascii="Times New Roman" w:eastAsia="Calibri" w:hAnsi="Times New Roman" w:cs="Times New Roman"/>
              </w:rPr>
              <w:t>Comentariu în Legiferare</w:t>
            </w:r>
          </w:p>
        </w:tc>
        <w:tc>
          <w:tcPr>
            <w:tcW w:w="240" w:type="pct"/>
          </w:tcPr>
          <w:p w14:paraId="54249E04" w14:textId="5990B6E2" w:rsidR="00F968A9" w:rsidRPr="00021BBB" w:rsidRDefault="00021BBB" w:rsidP="00021BBB">
            <w:pPr>
              <w:rPr>
                <w:rFonts w:ascii="Times New Roman" w:eastAsia="Calibri" w:hAnsi="Times New Roman" w:cs="Times New Roman"/>
              </w:rPr>
            </w:pPr>
            <w:r w:rsidRPr="00021BBB">
              <w:rPr>
                <w:rFonts w:ascii="Times New Roman" w:eastAsia="Calibri" w:hAnsi="Times New Roman" w:cs="Times New Roman"/>
              </w:rPr>
              <w:t>1.</w:t>
            </w:r>
            <w:r>
              <w:rPr>
                <w:rFonts w:ascii="Times New Roman" w:eastAsia="Calibri" w:hAnsi="Times New Roman" w:cs="Times New Roman"/>
              </w:rPr>
              <w:t xml:space="preserve"> </w:t>
            </w:r>
          </w:p>
        </w:tc>
        <w:tc>
          <w:tcPr>
            <w:tcW w:w="2505" w:type="pct"/>
          </w:tcPr>
          <w:p w14:paraId="1BCED121" w14:textId="40F1E9A3" w:rsidR="00F968A9" w:rsidRPr="00C250F0" w:rsidRDefault="00F968A9" w:rsidP="007A6382">
            <w:pPr>
              <w:jc w:val="both"/>
              <w:rPr>
                <w:rFonts w:ascii="Times New Roman" w:eastAsia="Calibri" w:hAnsi="Times New Roman" w:cs="Times New Roman"/>
              </w:rPr>
            </w:pPr>
            <w:r w:rsidRPr="00F968A9">
              <w:rPr>
                <w:rFonts w:ascii="Times New Roman" w:eastAsia="Calibri" w:hAnsi="Times New Roman" w:cs="Times New Roman"/>
              </w:rPr>
              <w:t>Lipsa propunerilor și obiecțiilor.</w:t>
            </w:r>
          </w:p>
        </w:tc>
        <w:tc>
          <w:tcPr>
            <w:tcW w:w="1458" w:type="pct"/>
          </w:tcPr>
          <w:p w14:paraId="68399203" w14:textId="77777777" w:rsidR="00F968A9" w:rsidRPr="00444873" w:rsidRDefault="00F968A9" w:rsidP="005B2CC7">
            <w:pPr>
              <w:rPr>
                <w:rFonts w:ascii="Times New Roman" w:eastAsia="Calibri" w:hAnsi="Times New Roman" w:cs="Times New Roman"/>
                <w:b/>
              </w:rPr>
            </w:pPr>
          </w:p>
        </w:tc>
      </w:tr>
      <w:tr w:rsidR="00AD01F2" w:rsidRPr="00882F72" w14:paraId="1BC36661" w14:textId="77777777" w:rsidTr="00F968A9">
        <w:tc>
          <w:tcPr>
            <w:tcW w:w="797" w:type="pct"/>
            <w:vMerge w:val="restart"/>
          </w:tcPr>
          <w:p w14:paraId="64D6D406" w14:textId="4B4AFD41" w:rsidR="00AD01F2" w:rsidRPr="00800EB7" w:rsidRDefault="00AD01F2" w:rsidP="00800EB7">
            <w:pPr>
              <w:tabs>
                <w:tab w:val="left" w:pos="355"/>
              </w:tabs>
              <w:rPr>
                <w:rFonts w:ascii="Times New Roman" w:eastAsia="Calibri" w:hAnsi="Times New Roman" w:cs="Times New Roman"/>
                <w:b/>
                <w:bCs/>
              </w:rPr>
            </w:pPr>
            <w:r w:rsidRPr="00800EB7">
              <w:rPr>
                <w:rFonts w:ascii="Times New Roman" w:eastAsia="Calibri" w:hAnsi="Times New Roman" w:cs="Times New Roman"/>
                <w:b/>
                <w:bCs/>
              </w:rPr>
              <w:t>Confederați</w:t>
            </w:r>
            <w:r>
              <w:rPr>
                <w:rFonts w:ascii="Times New Roman" w:eastAsia="Calibri" w:hAnsi="Times New Roman" w:cs="Times New Roman"/>
                <w:b/>
                <w:bCs/>
              </w:rPr>
              <w:t>a Națională</w:t>
            </w:r>
            <w:r w:rsidRPr="00800EB7">
              <w:rPr>
                <w:rFonts w:ascii="Times New Roman" w:eastAsia="Calibri" w:hAnsi="Times New Roman" w:cs="Times New Roman"/>
                <w:b/>
                <w:bCs/>
              </w:rPr>
              <w:t xml:space="preserve"> a Patronatului din </w:t>
            </w:r>
          </w:p>
          <w:p w14:paraId="1F4CCE31" w14:textId="77777777" w:rsidR="00AD01F2" w:rsidRDefault="00AD01F2" w:rsidP="00800EB7">
            <w:pPr>
              <w:tabs>
                <w:tab w:val="left" w:pos="355"/>
              </w:tabs>
              <w:rPr>
                <w:rFonts w:ascii="Times New Roman" w:eastAsia="Calibri" w:hAnsi="Times New Roman" w:cs="Times New Roman"/>
                <w:b/>
                <w:bCs/>
              </w:rPr>
            </w:pPr>
            <w:r w:rsidRPr="00800EB7">
              <w:rPr>
                <w:rFonts w:ascii="Times New Roman" w:eastAsia="Calibri" w:hAnsi="Times New Roman" w:cs="Times New Roman"/>
                <w:b/>
                <w:bCs/>
              </w:rPr>
              <w:t>Republica Moldova</w:t>
            </w:r>
          </w:p>
          <w:p w14:paraId="666D61CE" w14:textId="3162330A" w:rsidR="00AD01F2" w:rsidRPr="00F968A9" w:rsidRDefault="00AD01F2" w:rsidP="00800EB7">
            <w:pPr>
              <w:tabs>
                <w:tab w:val="left" w:pos="355"/>
              </w:tabs>
              <w:rPr>
                <w:rFonts w:ascii="Times New Roman" w:eastAsia="Calibri" w:hAnsi="Times New Roman" w:cs="Times New Roman"/>
                <w:b/>
                <w:bCs/>
              </w:rPr>
            </w:pPr>
          </w:p>
        </w:tc>
        <w:tc>
          <w:tcPr>
            <w:tcW w:w="240" w:type="pct"/>
          </w:tcPr>
          <w:p w14:paraId="0D4E1B84" w14:textId="3F237A01" w:rsidR="00AD01F2" w:rsidRPr="00021BBB" w:rsidRDefault="00AD01F2" w:rsidP="00021BBB">
            <w:pPr>
              <w:rPr>
                <w:rFonts w:ascii="Times New Roman" w:eastAsia="Calibri" w:hAnsi="Times New Roman" w:cs="Times New Roman"/>
              </w:rPr>
            </w:pPr>
            <w:r>
              <w:rPr>
                <w:rFonts w:ascii="Times New Roman" w:eastAsia="Calibri" w:hAnsi="Times New Roman" w:cs="Times New Roman"/>
              </w:rPr>
              <w:t>1.</w:t>
            </w:r>
          </w:p>
        </w:tc>
        <w:tc>
          <w:tcPr>
            <w:tcW w:w="2505" w:type="pct"/>
          </w:tcPr>
          <w:p w14:paraId="08825E37" w14:textId="075A985C" w:rsidR="00AD01F2" w:rsidRPr="00F968A9" w:rsidRDefault="00AD01F2" w:rsidP="00800EB7">
            <w:pPr>
              <w:jc w:val="both"/>
              <w:rPr>
                <w:rFonts w:ascii="Times New Roman" w:eastAsia="Calibri" w:hAnsi="Times New Roman" w:cs="Times New Roman"/>
              </w:rPr>
            </w:pPr>
            <w:r>
              <w:rPr>
                <w:rFonts w:ascii="Times New Roman" w:eastAsia="Calibri" w:hAnsi="Times New Roman" w:cs="Times New Roman"/>
              </w:rPr>
              <w:t xml:space="preserve">Clauza de armonizare din preambul, </w:t>
            </w:r>
            <w:r w:rsidR="007D2D71">
              <w:rPr>
                <w:rFonts w:ascii="Times New Roman" w:eastAsia="Calibri" w:hAnsi="Times New Roman" w:cs="Times New Roman"/>
              </w:rPr>
              <w:t xml:space="preserve">la </w:t>
            </w:r>
            <w:r w:rsidR="007D2D71" w:rsidRPr="00800EB7">
              <w:rPr>
                <w:rFonts w:ascii="Times New Roman" w:eastAsia="Calibri" w:hAnsi="Times New Roman" w:cs="Times New Roman"/>
              </w:rPr>
              <w:t>pct. 7-8</w:t>
            </w:r>
            <w:r w:rsidR="007D2D71">
              <w:rPr>
                <w:rFonts w:ascii="Times New Roman" w:eastAsia="Calibri" w:hAnsi="Times New Roman" w:cs="Times New Roman"/>
              </w:rPr>
              <w:t xml:space="preserve"> din </w:t>
            </w:r>
            <w:r w:rsidRPr="00800EB7">
              <w:rPr>
                <w:rFonts w:ascii="Times New Roman" w:eastAsia="Calibri" w:hAnsi="Times New Roman" w:cs="Times New Roman"/>
              </w:rPr>
              <w:t>Nota de fundamentare</w:t>
            </w:r>
            <w:r>
              <w:rPr>
                <w:rFonts w:ascii="Times New Roman" w:eastAsia="Calibri" w:hAnsi="Times New Roman" w:cs="Times New Roman"/>
              </w:rPr>
              <w:t>, se recomandă c</w:t>
            </w:r>
            <w:r w:rsidRPr="00800EB7">
              <w:rPr>
                <w:rFonts w:ascii="Times New Roman" w:eastAsia="Calibri" w:hAnsi="Times New Roman" w:cs="Times New Roman"/>
              </w:rPr>
              <w:t>orelarea integrală a clau</w:t>
            </w:r>
            <w:r>
              <w:rPr>
                <w:rFonts w:ascii="Times New Roman" w:eastAsia="Calibri" w:hAnsi="Times New Roman" w:cs="Times New Roman"/>
              </w:rPr>
              <w:t xml:space="preserve">zei de armonizare cu nota de </w:t>
            </w:r>
            <w:r w:rsidRPr="00800EB7">
              <w:rPr>
                <w:rFonts w:ascii="Times New Roman" w:eastAsia="Calibri" w:hAnsi="Times New Roman" w:cs="Times New Roman"/>
              </w:rPr>
              <w:t>fundamentare și anexele. A s</w:t>
            </w:r>
            <w:r>
              <w:rPr>
                <w:rFonts w:ascii="Times New Roman" w:eastAsia="Calibri" w:hAnsi="Times New Roman" w:cs="Times New Roman"/>
              </w:rPr>
              <w:t xml:space="preserve">e indica expres lista completă </w:t>
            </w:r>
            <w:r w:rsidRPr="00800EB7">
              <w:rPr>
                <w:rFonts w:ascii="Times New Roman" w:eastAsia="Calibri" w:hAnsi="Times New Roman" w:cs="Times New Roman"/>
              </w:rPr>
              <w:t>a actelor UE efectiv transpuse ș</w:t>
            </w:r>
            <w:r w:rsidR="007D2D71">
              <w:rPr>
                <w:rFonts w:ascii="Times New Roman" w:eastAsia="Calibri" w:hAnsi="Times New Roman" w:cs="Times New Roman"/>
              </w:rPr>
              <w:t xml:space="preserve">i caracterul total/parțial al </w:t>
            </w:r>
            <w:r w:rsidRPr="00800EB7">
              <w:rPr>
                <w:rFonts w:ascii="Times New Roman" w:eastAsia="Calibri" w:hAnsi="Times New Roman" w:cs="Times New Roman"/>
              </w:rPr>
              <w:t>transpunerii.</w:t>
            </w:r>
          </w:p>
        </w:tc>
        <w:tc>
          <w:tcPr>
            <w:tcW w:w="1458" w:type="pct"/>
          </w:tcPr>
          <w:p w14:paraId="17B10A59" w14:textId="77777777" w:rsidR="00AD01F2" w:rsidRDefault="004F1432" w:rsidP="005B2CC7">
            <w:pPr>
              <w:rPr>
                <w:rFonts w:ascii="Times New Roman" w:eastAsia="Calibri" w:hAnsi="Times New Roman" w:cs="Times New Roman"/>
                <w:b/>
              </w:rPr>
            </w:pPr>
            <w:r>
              <w:rPr>
                <w:rFonts w:ascii="Times New Roman" w:eastAsia="Calibri" w:hAnsi="Times New Roman" w:cs="Times New Roman"/>
                <w:b/>
              </w:rPr>
              <w:t>Se acceptă.</w:t>
            </w:r>
          </w:p>
          <w:p w14:paraId="0C650D7F" w14:textId="2711AD81" w:rsidR="004F1432" w:rsidRPr="004F1432" w:rsidRDefault="004F1432" w:rsidP="004F1432">
            <w:pPr>
              <w:jc w:val="both"/>
              <w:rPr>
                <w:rFonts w:ascii="Times New Roman" w:eastAsia="Calibri" w:hAnsi="Times New Roman" w:cs="Times New Roman"/>
                <w:bCs/>
              </w:rPr>
            </w:pPr>
            <w:r w:rsidRPr="004F1432">
              <w:rPr>
                <w:rFonts w:ascii="Times New Roman" w:eastAsia="Calibri" w:hAnsi="Times New Roman" w:cs="Times New Roman"/>
                <w:bCs/>
              </w:rPr>
              <w:t>Clauza de armonizare și nota de fundamentare au fost corelate conform declarației de compatibilitate emise de Centrul de Armonizare a Legislației.</w:t>
            </w:r>
          </w:p>
        </w:tc>
      </w:tr>
      <w:tr w:rsidR="00AD01F2" w:rsidRPr="00882F72" w14:paraId="45FB3D16" w14:textId="77777777" w:rsidTr="00F968A9">
        <w:tc>
          <w:tcPr>
            <w:tcW w:w="797" w:type="pct"/>
            <w:vMerge/>
          </w:tcPr>
          <w:p w14:paraId="516E9A62"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1B259332" w14:textId="3A027C0F" w:rsidR="00AD01F2" w:rsidRDefault="00AD01F2" w:rsidP="00021BBB">
            <w:pPr>
              <w:rPr>
                <w:rFonts w:ascii="Times New Roman" w:eastAsia="Calibri" w:hAnsi="Times New Roman" w:cs="Times New Roman"/>
              </w:rPr>
            </w:pPr>
            <w:r>
              <w:rPr>
                <w:rFonts w:ascii="Times New Roman" w:eastAsia="Calibri" w:hAnsi="Times New Roman" w:cs="Times New Roman"/>
              </w:rPr>
              <w:t>2.</w:t>
            </w:r>
          </w:p>
        </w:tc>
        <w:tc>
          <w:tcPr>
            <w:tcW w:w="2505" w:type="pct"/>
          </w:tcPr>
          <w:p w14:paraId="0B8CA6BB" w14:textId="4FBCE4D8" w:rsidR="00AD01F2" w:rsidRDefault="00AD01F2" w:rsidP="00800EB7">
            <w:pPr>
              <w:jc w:val="both"/>
              <w:rPr>
                <w:rFonts w:ascii="Times New Roman" w:eastAsia="Calibri" w:hAnsi="Times New Roman" w:cs="Times New Roman"/>
              </w:rPr>
            </w:pPr>
            <w:r w:rsidRPr="00800EB7">
              <w:rPr>
                <w:rFonts w:ascii="Times New Roman" w:eastAsia="Calibri" w:hAnsi="Times New Roman" w:cs="Times New Roman"/>
              </w:rPr>
              <w:t>La pct. 1 din Taxonomie; HG pct. 2.1-2.3; Nota de fundamentare pct. 4.1</w:t>
            </w:r>
            <w:r>
              <w:rPr>
                <w:rFonts w:ascii="Times New Roman" w:eastAsia="Calibri" w:hAnsi="Times New Roman" w:cs="Times New Roman"/>
              </w:rPr>
              <w:t>, se recomandă i</w:t>
            </w:r>
            <w:r w:rsidRPr="00800EB7">
              <w:rPr>
                <w:rFonts w:ascii="Times New Roman" w:eastAsia="Calibri" w:hAnsi="Times New Roman" w:cs="Times New Roman"/>
              </w:rPr>
              <w:t xml:space="preserve">ntroducerea unei </w:t>
            </w:r>
            <w:r>
              <w:rPr>
                <w:rFonts w:ascii="Times New Roman" w:eastAsia="Calibri" w:hAnsi="Times New Roman" w:cs="Times New Roman"/>
              </w:rPr>
              <w:t xml:space="preserve">secțiuni exprese de guvernanță </w:t>
            </w:r>
            <w:r w:rsidRPr="00800EB7">
              <w:rPr>
                <w:rFonts w:ascii="Times New Roman" w:eastAsia="Calibri" w:hAnsi="Times New Roman" w:cs="Times New Roman"/>
              </w:rPr>
              <w:t>instituțională. A se dese</w:t>
            </w:r>
            <w:r>
              <w:rPr>
                <w:rFonts w:ascii="Times New Roman" w:eastAsia="Calibri" w:hAnsi="Times New Roman" w:cs="Times New Roman"/>
              </w:rPr>
              <w:t xml:space="preserve">mna autoritatea coordonatoare; </w:t>
            </w:r>
            <w:r w:rsidRPr="00800EB7">
              <w:rPr>
                <w:rFonts w:ascii="Times New Roman" w:eastAsia="Calibri" w:hAnsi="Times New Roman" w:cs="Times New Roman"/>
              </w:rPr>
              <w:t>reglementarea separării competențelor între Ministerul</w:t>
            </w:r>
            <w:r>
              <w:rPr>
                <w:rFonts w:ascii="Times New Roman" w:eastAsia="Calibri" w:hAnsi="Times New Roman" w:cs="Times New Roman"/>
              </w:rPr>
              <w:t xml:space="preserve"> F</w:t>
            </w:r>
            <w:r w:rsidRPr="00800EB7">
              <w:rPr>
                <w:rFonts w:ascii="Times New Roman" w:eastAsia="Calibri" w:hAnsi="Times New Roman" w:cs="Times New Roman"/>
              </w:rPr>
              <w:t>inanțelor, BNM, CNPF și</w:t>
            </w:r>
            <w:r>
              <w:rPr>
                <w:rFonts w:ascii="Times New Roman" w:eastAsia="Calibri" w:hAnsi="Times New Roman" w:cs="Times New Roman"/>
              </w:rPr>
              <w:t xml:space="preserve"> autoritățile sectoriale; a se </w:t>
            </w:r>
            <w:r w:rsidRPr="00800EB7">
              <w:rPr>
                <w:rFonts w:ascii="Times New Roman" w:eastAsia="Calibri" w:hAnsi="Times New Roman" w:cs="Times New Roman"/>
              </w:rPr>
              <w:t xml:space="preserve">prevedea obligația </w:t>
            </w:r>
            <w:r w:rsidRPr="00800EB7">
              <w:rPr>
                <w:rFonts w:ascii="Times New Roman" w:eastAsia="Calibri" w:hAnsi="Times New Roman" w:cs="Times New Roman"/>
              </w:rPr>
              <w:lastRenderedPageBreak/>
              <w:t>de cooper</w:t>
            </w:r>
            <w:r>
              <w:rPr>
                <w:rFonts w:ascii="Times New Roman" w:eastAsia="Calibri" w:hAnsi="Times New Roman" w:cs="Times New Roman"/>
              </w:rPr>
              <w:t xml:space="preserve">are și schimb de informații; a </w:t>
            </w:r>
            <w:r w:rsidRPr="00800EB7">
              <w:rPr>
                <w:rFonts w:ascii="Times New Roman" w:eastAsia="Calibri" w:hAnsi="Times New Roman" w:cs="Times New Roman"/>
              </w:rPr>
              <w:t>se stabili cine emite ghidaje, cine supraveghează și cine monitorizează aplicarea.</w:t>
            </w:r>
          </w:p>
        </w:tc>
        <w:tc>
          <w:tcPr>
            <w:tcW w:w="1458" w:type="pct"/>
          </w:tcPr>
          <w:p w14:paraId="0AF6385B" w14:textId="77777777" w:rsidR="00AD01F2" w:rsidRDefault="00471FA5" w:rsidP="005B2CC7">
            <w:pPr>
              <w:rPr>
                <w:rFonts w:ascii="Times New Roman" w:eastAsia="Calibri" w:hAnsi="Times New Roman" w:cs="Times New Roman"/>
                <w:b/>
              </w:rPr>
            </w:pPr>
            <w:r>
              <w:rPr>
                <w:rFonts w:ascii="Times New Roman" w:eastAsia="Calibri" w:hAnsi="Times New Roman" w:cs="Times New Roman"/>
                <w:b/>
              </w:rPr>
              <w:lastRenderedPageBreak/>
              <w:t>Nu se acceptă.</w:t>
            </w:r>
          </w:p>
          <w:p w14:paraId="65ADDEDE" w14:textId="77777777" w:rsidR="00471FA5" w:rsidRDefault="00471FA5" w:rsidP="00471FA5">
            <w:pPr>
              <w:jc w:val="both"/>
              <w:rPr>
                <w:rFonts w:ascii="Times New Roman" w:eastAsia="Calibri" w:hAnsi="Times New Roman" w:cs="Times New Roman"/>
                <w:bCs/>
              </w:rPr>
            </w:pPr>
            <w:r w:rsidRPr="00471FA5">
              <w:rPr>
                <w:rFonts w:ascii="Times New Roman" w:eastAsia="Calibri" w:hAnsi="Times New Roman" w:cs="Times New Roman"/>
                <w:bCs/>
              </w:rPr>
              <w:t>Având în vedere statutul BNM și CNPF de autoritate publică autonomă responsabilă față de Parlament, prin</w:t>
            </w:r>
            <w:r>
              <w:rPr>
                <w:rFonts w:ascii="Times New Roman" w:eastAsia="Calibri" w:hAnsi="Times New Roman" w:cs="Times New Roman"/>
                <w:bCs/>
              </w:rPr>
              <w:t xml:space="preserve">tr-un act normativ al Guvernului </w:t>
            </w:r>
            <w:r>
              <w:rPr>
                <w:rFonts w:ascii="Times New Roman" w:eastAsia="Calibri" w:hAnsi="Times New Roman" w:cs="Times New Roman"/>
                <w:bCs/>
              </w:rPr>
              <w:lastRenderedPageBreak/>
              <w:t>nu pot fi stabilite competențe sau careva sarcini acestor autorități.</w:t>
            </w:r>
          </w:p>
          <w:p w14:paraId="2DE504F0" w14:textId="7108FF61" w:rsidR="00471FA5" w:rsidRPr="00471FA5" w:rsidRDefault="00471FA5" w:rsidP="00471FA5">
            <w:pPr>
              <w:jc w:val="both"/>
              <w:rPr>
                <w:rFonts w:ascii="Times New Roman" w:eastAsia="Calibri" w:hAnsi="Times New Roman" w:cs="Times New Roman"/>
                <w:bCs/>
              </w:rPr>
            </w:pPr>
            <w:r>
              <w:rPr>
                <w:rFonts w:ascii="Times New Roman" w:eastAsia="Calibri" w:hAnsi="Times New Roman" w:cs="Times New Roman"/>
                <w:bCs/>
              </w:rPr>
              <w:t xml:space="preserve">Totodată, </w:t>
            </w:r>
            <w:r w:rsidR="00C37D1F">
              <w:rPr>
                <w:rFonts w:ascii="Times New Roman" w:eastAsia="Calibri" w:hAnsi="Times New Roman" w:cs="Times New Roman"/>
                <w:bCs/>
              </w:rPr>
              <w:t xml:space="preserve">proiectul a fost completat conform propunerii înaintate de Confederația Națională a </w:t>
            </w:r>
            <w:r w:rsidR="00B50592">
              <w:rPr>
                <w:rFonts w:ascii="Times New Roman" w:eastAsia="Calibri" w:hAnsi="Times New Roman" w:cs="Times New Roman"/>
                <w:bCs/>
              </w:rPr>
              <w:t xml:space="preserve">Patronatului cu norme suplimentare conform cărora Taxonomia urmează a fi aplicată de către entitățile și subiecții vizați conform legislației sectoriale a acestora. Respectiv, </w:t>
            </w:r>
            <w:r>
              <w:rPr>
                <w:rFonts w:ascii="Times New Roman" w:eastAsia="Calibri" w:hAnsi="Times New Roman" w:cs="Times New Roman"/>
                <w:bCs/>
              </w:rPr>
              <w:t>se remarcă faptul că BNM și CNPF în calitate de regulatori ai entităților financiare vor veni cu ghiduri și acte normative dep</w:t>
            </w:r>
            <w:r w:rsidR="00C37D1F">
              <w:rPr>
                <w:rFonts w:ascii="Times New Roman" w:eastAsia="Calibri" w:hAnsi="Times New Roman" w:cs="Times New Roman"/>
                <w:bCs/>
              </w:rPr>
              <w:t>a</w:t>
            </w:r>
            <w:r>
              <w:rPr>
                <w:rFonts w:ascii="Times New Roman" w:eastAsia="Calibri" w:hAnsi="Times New Roman" w:cs="Times New Roman"/>
                <w:bCs/>
              </w:rPr>
              <w:t>rtamentale privind modul de aplicare</w:t>
            </w:r>
            <w:r w:rsidR="00B50592">
              <w:rPr>
                <w:rFonts w:ascii="Times New Roman" w:eastAsia="Calibri" w:hAnsi="Times New Roman" w:cs="Times New Roman"/>
                <w:bCs/>
              </w:rPr>
              <w:t xml:space="preserve"> a taxonomiei</w:t>
            </w:r>
            <w:r>
              <w:rPr>
                <w:rFonts w:ascii="Times New Roman" w:eastAsia="Calibri" w:hAnsi="Times New Roman" w:cs="Times New Roman"/>
                <w:bCs/>
              </w:rPr>
              <w:t>, monitorizare și raportare de către entitățile supravegheate.</w:t>
            </w:r>
          </w:p>
        </w:tc>
      </w:tr>
      <w:tr w:rsidR="00AD01F2" w:rsidRPr="00882F72" w14:paraId="1FEE2BB6" w14:textId="77777777" w:rsidTr="00F968A9">
        <w:tc>
          <w:tcPr>
            <w:tcW w:w="797" w:type="pct"/>
            <w:vMerge/>
          </w:tcPr>
          <w:p w14:paraId="6C2A06A9"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234E722A" w14:textId="07A4F9D2" w:rsidR="00AD01F2" w:rsidRDefault="00AD01F2" w:rsidP="00021BBB">
            <w:pPr>
              <w:rPr>
                <w:rFonts w:ascii="Times New Roman" w:eastAsia="Calibri" w:hAnsi="Times New Roman" w:cs="Times New Roman"/>
              </w:rPr>
            </w:pPr>
            <w:r>
              <w:rPr>
                <w:rFonts w:ascii="Times New Roman" w:eastAsia="Calibri" w:hAnsi="Times New Roman" w:cs="Times New Roman"/>
              </w:rPr>
              <w:t>3.</w:t>
            </w:r>
          </w:p>
        </w:tc>
        <w:tc>
          <w:tcPr>
            <w:tcW w:w="2505" w:type="pct"/>
          </w:tcPr>
          <w:p w14:paraId="137E76F9" w14:textId="576754A8" w:rsidR="00AD01F2" w:rsidRPr="00800EB7" w:rsidRDefault="00AD01F2" w:rsidP="00800EB7">
            <w:pPr>
              <w:jc w:val="both"/>
              <w:rPr>
                <w:rFonts w:ascii="Times New Roman" w:eastAsia="Calibri" w:hAnsi="Times New Roman" w:cs="Times New Roman"/>
              </w:rPr>
            </w:pPr>
            <w:r>
              <w:rPr>
                <w:rFonts w:ascii="Times New Roman" w:eastAsia="Calibri" w:hAnsi="Times New Roman" w:cs="Times New Roman"/>
              </w:rPr>
              <w:t xml:space="preserve">La pct. 4 din Taxonomie, se recomandă completarea </w:t>
            </w:r>
            <w:r w:rsidRPr="00800EB7">
              <w:rPr>
                <w:rFonts w:ascii="Times New Roman" w:eastAsia="Calibri" w:hAnsi="Times New Roman" w:cs="Times New Roman"/>
              </w:rPr>
              <w:t>cu definiț</w:t>
            </w:r>
            <w:r>
              <w:rPr>
                <w:rFonts w:ascii="Times New Roman" w:eastAsia="Calibri" w:hAnsi="Times New Roman" w:cs="Times New Roman"/>
              </w:rPr>
              <w:t xml:space="preserve">ii exprese sau cu trimitere la </w:t>
            </w:r>
            <w:r w:rsidRPr="00800EB7">
              <w:rPr>
                <w:rFonts w:ascii="Times New Roman" w:eastAsia="Calibri" w:hAnsi="Times New Roman" w:cs="Times New Roman"/>
              </w:rPr>
              <w:t xml:space="preserve">legislația specială aplicabilă. </w:t>
            </w:r>
            <w:r>
              <w:rPr>
                <w:rFonts w:ascii="Times New Roman" w:eastAsia="Calibri" w:hAnsi="Times New Roman" w:cs="Times New Roman"/>
              </w:rPr>
              <w:t xml:space="preserve">Pentru noțiunile sectoriale se </w:t>
            </w:r>
            <w:r w:rsidRPr="00800EB7">
              <w:rPr>
                <w:rFonts w:ascii="Times New Roman" w:eastAsia="Calibri" w:hAnsi="Times New Roman" w:cs="Times New Roman"/>
              </w:rPr>
              <w:t>recomandă tehnica trimit</w:t>
            </w:r>
            <w:r>
              <w:rPr>
                <w:rFonts w:ascii="Times New Roman" w:eastAsia="Calibri" w:hAnsi="Times New Roman" w:cs="Times New Roman"/>
              </w:rPr>
              <w:t xml:space="preserve">erii la legea-cadru relevantă; </w:t>
            </w:r>
            <w:r w:rsidRPr="00800EB7">
              <w:rPr>
                <w:rFonts w:ascii="Times New Roman" w:eastAsia="Calibri" w:hAnsi="Times New Roman" w:cs="Times New Roman"/>
              </w:rPr>
              <w:t>pentru noțiunile proprii proi</w:t>
            </w:r>
            <w:r>
              <w:rPr>
                <w:rFonts w:ascii="Times New Roman" w:eastAsia="Calibri" w:hAnsi="Times New Roman" w:cs="Times New Roman"/>
              </w:rPr>
              <w:t xml:space="preserve">ectului se recomandă definiții </w:t>
            </w:r>
            <w:r w:rsidRPr="00800EB7">
              <w:rPr>
                <w:rFonts w:ascii="Times New Roman" w:eastAsia="Calibri" w:hAnsi="Times New Roman" w:cs="Times New Roman"/>
              </w:rPr>
              <w:t>autonome, concise și exhaustive. Lista def</w:t>
            </w:r>
            <w:r>
              <w:rPr>
                <w:rFonts w:ascii="Times New Roman" w:eastAsia="Calibri" w:hAnsi="Times New Roman" w:cs="Times New Roman"/>
              </w:rPr>
              <w:t xml:space="preserve">inițiilor este </w:t>
            </w:r>
            <w:r w:rsidRPr="00800EB7">
              <w:rPr>
                <w:rFonts w:ascii="Times New Roman" w:eastAsia="Calibri" w:hAnsi="Times New Roman" w:cs="Times New Roman"/>
              </w:rPr>
              <w:t>incompletă pentru noțiunile</w:t>
            </w:r>
            <w:r>
              <w:rPr>
                <w:rFonts w:ascii="Times New Roman" w:eastAsia="Calibri" w:hAnsi="Times New Roman" w:cs="Times New Roman"/>
              </w:rPr>
              <w:t xml:space="preserve"> utilizate efectiv în proiect: </w:t>
            </w:r>
            <w:r w:rsidRPr="00800EB7">
              <w:rPr>
                <w:rFonts w:ascii="Times New Roman" w:eastAsia="Calibri" w:hAnsi="Times New Roman" w:cs="Times New Roman"/>
              </w:rPr>
              <w:t>„participant la piața financi</w:t>
            </w:r>
            <w:r>
              <w:rPr>
                <w:rFonts w:ascii="Times New Roman" w:eastAsia="Calibri" w:hAnsi="Times New Roman" w:cs="Times New Roman"/>
              </w:rPr>
              <w:t xml:space="preserve">ară”, „participant la piața de </w:t>
            </w:r>
            <w:r w:rsidRPr="00800EB7">
              <w:rPr>
                <w:rFonts w:ascii="Times New Roman" w:eastAsia="Calibri" w:hAnsi="Times New Roman" w:cs="Times New Roman"/>
              </w:rPr>
              <w:t>capital”, „participant profes</w:t>
            </w:r>
            <w:r>
              <w:rPr>
                <w:rFonts w:ascii="Times New Roman" w:eastAsia="Calibri" w:hAnsi="Times New Roman" w:cs="Times New Roman"/>
              </w:rPr>
              <w:t xml:space="preserve">ionist pe piața asigurărilor”, </w:t>
            </w:r>
            <w:r w:rsidRPr="00800EB7">
              <w:rPr>
                <w:rFonts w:ascii="Times New Roman" w:eastAsia="Calibri" w:hAnsi="Times New Roman" w:cs="Times New Roman"/>
              </w:rPr>
              <w:t>„act normativ de pun</w:t>
            </w:r>
            <w:r>
              <w:rPr>
                <w:rFonts w:ascii="Times New Roman" w:eastAsia="Calibri" w:hAnsi="Times New Roman" w:cs="Times New Roman"/>
              </w:rPr>
              <w:t xml:space="preserve">ere în aplicare a Taxonomiei”, </w:t>
            </w:r>
            <w:r w:rsidRPr="00800EB7">
              <w:rPr>
                <w:rFonts w:ascii="Times New Roman" w:eastAsia="Calibri" w:hAnsi="Times New Roman" w:cs="Times New Roman"/>
              </w:rPr>
              <w:t xml:space="preserve">„verificare de către terți”, </w:t>
            </w:r>
            <w:r>
              <w:rPr>
                <w:rFonts w:ascii="Times New Roman" w:eastAsia="Calibri" w:hAnsi="Times New Roman" w:cs="Times New Roman"/>
              </w:rPr>
              <w:t xml:space="preserve">„entitate debitoare”, „nota de </w:t>
            </w:r>
            <w:r w:rsidRPr="00800EB7">
              <w:rPr>
                <w:rFonts w:ascii="Times New Roman" w:eastAsia="Calibri" w:hAnsi="Times New Roman" w:cs="Times New Roman"/>
              </w:rPr>
              <w:t>instrucțiuni”.</w:t>
            </w:r>
          </w:p>
        </w:tc>
        <w:tc>
          <w:tcPr>
            <w:tcW w:w="1458" w:type="pct"/>
          </w:tcPr>
          <w:p w14:paraId="2E5CCC26" w14:textId="00646107" w:rsidR="00AD01F2" w:rsidRDefault="004F1432" w:rsidP="005B2CC7">
            <w:pPr>
              <w:rPr>
                <w:rFonts w:ascii="Times New Roman" w:eastAsia="Calibri" w:hAnsi="Times New Roman" w:cs="Times New Roman"/>
                <w:b/>
              </w:rPr>
            </w:pPr>
            <w:r>
              <w:rPr>
                <w:rFonts w:ascii="Times New Roman" w:eastAsia="Calibri" w:hAnsi="Times New Roman" w:cs="Times New Roman"/>
                <w:b/>
              </w:rPr>
              <w:t>Se acceptă</w:t>
            </w:r>
            <w:r w:rsidR="00B50592">
              <w:rPr>
                <w:rFonts w:ascii="Times New Roman" w:eastAsia="Calibri" w:hAnsi="Times New Roman" w:cs="Times New Roman"/>
                <w:b/>
              </w:rPr>
              <w:t xml:space="preserve"> parțial</w:t>
            </w:r>
            <w:r>
              <w:rPr>
                <w:rFonts w:ascii="Times New Roman" w:eastAsia="Calibri" w:hAnsi="Times New Roman" w:cs="Times New Roman"/>
                <w:b/>
              </w:rPr>
              <w:t>.</w:t>
            </w:r>
          </w:p>
          <w:p w14:paraId="01D335EA" w14:textId="77777777" w:rsidR="00B50592" w:rsidRDefault="00B50592" w:rsidP="00B50592">
            <w:pPr>
              <w:jc w:val="both"/>
              <w:rPr>
                <w:rFonts w:ascii="Times New Roman" w:eastAsia="Calibri" w:hAnsi="Times New Roman" w:cs="Times New Roman"/>
                <w:bCs/>
              </w:rPr>
            </w:pPr>
            <w:r>
              <w:rPr>
                <w:rFonts w:ascii="Times New Roman" w:eastAsia="Calibri" w:hAnsi="Times New Roman" w:cs="Times New Roman"/>
                <w:bCs/>
              </w:rPr>
              <w:t>În partea ce ține de termenul de „participant la piața financiară” acesta a fost reformulat pentru a evita erorile de interpretare – entități financiare supravegheate de Banca Națională a Moldovei și Comisia Națională a Pieței Financiare ce pun la dispoziție produse financiare în conformitate cu legislația aplicabilă (pct.5 din proiectul taxonomiei).</w:t>
            </w:r>
          </w:p>
          <w:p w14:paraId="75A6ED65" w14:textId="23264415" w:rsidR="004F1432" w:rsidRPr="004F1432" w:rsidRDefault="00B50592" w:rsidP="00B50592">
            <w:pPr>
              <w:jc w:val="both"/>
              <w:rPr>
                <w:rFonts w:ascii="Times New Roman" w:eastAsia="Calibri" w:hAnsi="Times New Roman" w:cs="Times New Roman"/>
                <w:bCs/>
              </w:rPr>
            </w:pPr>
            <w:r>
              <w:rPr>
                <w:rFonts w:ascii="Times New Roman" w:eastAsia="Calibri" w:hAnsi="Times New Roman" w:cs="Times New Roman"/>
                <w:bCs/>
              </w:rPr>
              <w:t xml:space="preserve"> </w:t>
            </w:r>
            <w:r w:rsidR="00416701">
              <w:rPr>
                <w:rFonts w:ascii="Times New Roman" w:eastAsia="Calibri" w:hAnsi="Times New Roman" w:cs="Times New Roman"/>
                <w:bCs/>
              </w:rPr>
              <w:t>Totodată, pct.4 din proiectul Taxonomiei a fost completat cu noțiunile de „participant la piața financiară nebancară” și „participant profesionist la piața asigurărilor” cu definițiile și referințele corespunzătoare la cadrul normativ de specialitate.</w:t>
            </w:r>
          </w:p>
        </w:tc>
      </w:tr>
      <w:tr w:rsidR="00AD01F2" w:rsidRPr="00882F72" w14:paraId="7321D6CD" w14:textId="77777777" w:rsidTr="00F968A9">
        <w:tc>
          <w:tcPr>
            <w:tcW w:w="797" w:type="pct"/>
            <w:vMerge/>
          </w:tcPr>
          <w:p w14:paraId="6A4A5237"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4040FA3F" w14:textId="62235CF8" w:rsidR="00AD01F2" w:rsidRDefault="00AD01F2" w:rsidP="00021BBB">
            <w:pPr>
              <w:rPr>
                <w:rFonts w:ascii="Times New Roman" w:eastAsia="Calibri" w:hAnsi="Times New Roman" w:cs="Times New Roman"/>
              </w:rPr>
            </w:pPr>
            <w:r>
              <w:rPr>
                <w:rFonts w:ascii="Times New Roman" w:eastAsia="Calibri" w:hAnsi="Times New Roman" w:cs="Times New Roman"/>
              </w:rPr>
              <w:t>4.</w:t>
            </w:r>
          </w:p>
        </w:tc>
        <w:tc>
          <w:tcPr>
            <w:tcW w:w="2505" w:type="pct"/>
          </w:tcPr>
          <w:p w14:paraId="17CD1CCE" w14:textId="2708270F" w:rsidR="00AD01F2" w:rsidRDefault="00AD01F2" w:rsidP="00800EB7">
            <w:pPr>
              <w:jc w:val="both"/>
              <w:rPr>
                <w:rFonts w:ascii="Times New Roman" w:eastAsia="Calibri" w:hAnsi="Times New Roman" w:cs="Times New Roman"/>
              </w:rPr>
            </w:pPr>
            <w:r>
              <w:rPr>
                <w:rFonts w:ascii="Times New Roman" w:eastAsia="Calibri" w:hAnsi="Times New Roman" w:cs="Times New Roman"/>
              </w:rPr>
              <w:t>La pct. 5 și pct. 9-11 din Taxonomie,</w:t>
            </w:r>
            <w:r w:rsidRPr="00800EB7">
              <w:rPr>
                <w:rFonts w:ascii="Times New Roman" w:eastAsia="Calibri" w:hAnsi="Times New Roman" w:cs="Times New Roman"/>
              </w:rPr>
              <w:t xml:space="preserve"> trebuie limitat la sfera </w:t>
            </w:r>
            <w:r>
              <w:rPr>
                <w:rFonts w:ascii="Times New Roman" w:eastAsia="Calibri" w:hAnsi="Times New Roman" w:cs="Times New Roman"/>
              </w:rPr>
              <w:t xml:space="preserve">obligatorie, „în condițiile și </w:t>
            </w:r>
            <w:r w:rsidRPr="00800EB7">
              <w:rPr>
                <w:rFonts w:ascii="Times New Roman" w:eastAsia="Calibri" w:hAnsi="Times New Roman" w:cs="Times New Roman"/>
              </w:rPr>
              <w:t>în limitele prevăzute de legislația specială aplicab</w:t>
            </w:r>
            <w:r>
              <w:rPr>
                <w:rFonts w:ascii="Times New Roman" w:eastAsia="Calibri" w:hAnsi="Times New Roman" w:cs="Times New Roman"/>
              </w:rPr>
              <w:t xml:space="preserve">ilă”. </w:t>
            </w:r>
            <w:r w:rsidRPr="00800EB7">
              <w:rPr>
                <w:rFonts w:ascii="Times New Roman" w:eastAsia="Calibri" w:hAnsi="Times New Roman" w:cs="Times New Roman"/>
              </w:rPr>
              <w:t>Pentru autorități publice, entităț</w:t>
            </w:r>
            <w:r>
              <w:rPr>
                <w:rFonts w:ascii="Times New Roman" w:eastAsia="Calibri" w:hAnsi="Times New Roman" w:cs="Times New Roman"/>
              </w:rPr>
              <w:t xml:space="preserve">i de audit/certificare și alte </w:t>
            </w:r>
            <w:r w:rsidRPr="00800EB7">
              <w:rPr>
                <w:rFonts w:ascii="Times New Roman" w:eastAsia="Calibri" w:hAnsi="Times New Roman" w:cs="Times New Roman"/>
              </w:rPr>
              <w:t>întreprinderi se reco</w:t>
            </w:r>
            <w:r>
              <w:rPr>
                <w:rFonts w:ascii="Times New Roman" w:eastAsia="Calibri" w:hAnsi="Times New Roman" w:cs="Times New Roman"/>
              </w:rPr>
              <w:t xml:space="preserve">mandă să se introducă un punct </w:t>
            </w:r>
            <w:r w:rsidRPr="00800EB7">
              <w:rPr>
                <w:rFonts w:ascii="Times New Roman" w:eastAsia="Calibri" w:hAnsi="Times New Roman" w:cs="Times New Roman"/>
              </w:rPr>
              <w:t>distinct privind utilizarea orien</w:t>
            </w:r>
            <w:r>
              <w:rPr>
                <w:rFonts w:ascii="Times New Roman" w:eastAsia="Calibri" w:hAnsi="Times New Roman" w:cs="Times New Roman"/>
              </w:rPr>
              <w:t xml:space="preserve">tativă, fără efect constitutiv </w:t>
            </w:r>
            <w:r w:rsidRPr="00800EB7">
              <w:rPr>
                <w:rFonts w:ascii="Times New Roman" w:eastAsia="Calibri" w:hAnsi="Times New Roman" w:cs="Times New Roman"/>
              </w:rPr>
              <w:t>de obligații autonome.</w:t>
            </w:r>
          </w:p>
        </w:tc>
        <w:tc>
          <w:tcPr>
            <w:tcW w:w="1458" w:type="pct"/>
          </w:tcPr>
          <w:p w14:paraId="4152035D" w14:textId="77777777" w:rsidR="00AD01F2" w:rsidRDefault="00471FA5" w:rsidP="005B2CC7">
            <w:pPr>
              <w:rPr>
                <w:rFonts w:ascii="Times New Roman" w:eastAsia="Calibri" w:hAnsi="Times New Roman" w:cs="Times New Roman"/>
                <w:b/>
              </w:rPr>
            </w:pPr>
            <w:r>
              <w:rPr>
                <w:rFonts w:ascii="Times New Roman" w:eastAsia="Calibri" w:hAnsi="Times New Roman" w:cs="Times New Roman"/>
                <w:b/>
              </w:rPr>
              <w:t>Se acceptă.</w:t>
            </w:r>
          </w:p>
          <w:p w14:paraId="32D6BD1D" w14:textId="437ACF35" w:rsidR="00471FA5" w:rsidRPr="00471FA5" w:rsidRDefault="00471FA5" w:rsidP="00471FA5">
            <w:pPr>
              <w:jc w:val="both"/>
              <w:rPr>
                <w:rFonts w:ascii="Times New Roman" w:eastAsia="Calibri" w:hAnsi="Times New Roman" w:cs="Times New Roman"/>
                <w:bCs/>
              </w:rPr>
            </w:pPr>
            <w:r w:rsidRPr="00471FA5">
              <w:rPr>
                <w:rFonts w:ascii="Times New Roman" w:eastAsia="Calibri" w:hAnsi="Times New Roman" w:cs="Times New Roman"/>
                <w:bCs/>
              </w:rPr>
              <w:t>Pct. 5, 9 și 11 a fost revăzut pentru a concretiza nivelul de aplicabilitate a Taxonomiei.</w:t>
            </w:r>
          </w:p>
        </w:tc>
      </w:tr>
      <w:tr w:rsidR="00AD01F2" w:rsidRPr="00882F72" w14:paraId="61E92A95" w14:textId="77777777" w:rsidTr="00F968A9">
        <w:tc>
          <w:tcPr>
            <w:tcW w:w="797" w:type="pct"/>
            <w:vMerge/>
          </w:tcPr>
          <w:p w14:paraId="5E954E69"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20EDF307" w14:textId="3D664189" w:rsidR="00AD01F2" w:rsidRDefault="00AD01F2" w:rsidP="00021BBB">
            <w:pPr>
              <w:rPr>
                <w:rFonts w:ascii="Times New Roman" w:eastAsia="Calibri" w:hAnsi="Times New Roman" w:cs="Times New Roman"/>
              </w:rPr>
            </w:pPr>
            <w:r>
              <w:rPr>
                <w:rFonts w:ascii="Times New Roman" w:eastAsia="Calibri" w:hAnsi="Times New Roman" w:cs="Times New Roman"/>
              </w:rPr>
              <w:t>5.</w:t>
            </w:r>
          </w:p>
        </w:tc>
        <w:tc>
          <w:tcPr>
            <w:tcW w:w="2505" w:type="pct"/>
          </w:tcPr>
          <w:p w14:paraId="6391280F" w14:textId="4958C2D8" w:rsidR="00AD01F2" w:rsidRDefault="00AD01F2" w:rsidP="00800EB7">
            <w:pPr>
              <w:jc w:val="both"/>
              <w:rPr>
                <w:rFonts w:ascii="Times New Roman" w:eastAsia="Calibri" w:hAnsi="Times New Roman" w:cs="Times New Roman"/>
              </w:rPr>
            </w:pPr>
            <w:r>
              <w:rPr>
                <w:rFonts w:ascii="Times New Roman" w:eastAsia="Calibri" w:hAnsi="Times New Roman" w:cs="Times New Roman"/>
              </w:rPr>
              <w:t>Se recomandă r</w:t>
            </w:r>
            <w:r w:rsidRPr="00800EB7">
              <w:rPr>
                <w:rFonts w:ascii="Times New Roman" w:eastAsia="Calibri" w:hAnsi="Times New Roman" w:cs="Times New Roman"/>
              </w:rPr>
              <w:t>evizuirea pct. 6-8 și înlocuirea cu o normă-cadru. Formulare recomandată: “entitățile vizate aplică taxonomia numai în cazurile și condițiile prevăzute expres de legislația sectorială; în afara acestora, taxonomia poate fi utilizată cu caracter orientativ la dezvoltarea produselor, evaluarea investițiilor, monitorizare și raportare.”</w:t>
            </w:r>
          </w:p>
        </w:tc>
        <w:tc>
          <w:tcPr>
            <w:tcW w:w="1458" w:type="pct"/>
          </w:tcPr>
          <w:p w14:paraId="09BB7232" w14:textId="77777777" w:rsidR="00AD01F2" w:rsidRDefault="00416701" w:rsidP="005B2CC7">
            <w:pPr>
              <w:rPr>
                <w:rFonts w:ascii="Times New Roman" w:eastAsia="Calibri" w:hAnsi="Times New Roman" w:cs="Times New Roman"/>
                <w:b/>
              </w:rPr>
            </w:pPr>
            <w:r>
              <w:rPr>
                <w:rFonts w:ascii="Times New Roman" w:eastAsia="Calibri" w:hAnsi="Times New Roman" w:cs="Times New Roman"/>
                <w:b/>
              </w:rPr>
              <w:t>Se acceptă.</w:t>
            </w:r>
          </w:p>
          <w:p w14:paraId="23CD125D" w14:textId="77777777" w:rsidR="00416701" w:rsidRDefault="00416701" w:rsidP="00416701">
            <w:pPr>
              <w:jc w:val="both"/>
              <w:rPr>
                <w:rFonts w:ascii="Times New Roman" w:eastAsia="Calibri" w:hAnsi="Times New Roman" w:cs="Times New Roman"/>
              </w:rPr>
            </w:pPr>
            <w:r w:rsidRPr="00416701">
              <w:rPr>
                <w:rFonts w:ascii="Times New Roman" w:eastAsia="Calibri" w:hAnsi="Times New Roman" w:cs="Times New Roman"/>
              </w:rPr>
              <w:t>Capitolul II din conținutul proiectului a fost completat cu un pct. suplimentar</w:t>
            </w:r>
            <w:r>
              <w:rPr>
                <w:rFonts w:ascii="Times New Roman" w:eastAsia="Calibri" w:hAnsi="Times New Roman" w:cs="Times New Roman"/>
              </w:rPr>
              <w:t xml:space="preserve"> (nr.14) cu următorul conținut: </w:t>
            </w:r>
          </w:p>
          <w:p w14:paraId="52BAC374" w14:textId="351797C2" w:rsidR="00416701" w:rsidRPr="00416701" w:rsidRDefault="00416701" w:rsidP="00416701">
            <w:pPr>
              <w:jc w:val="both"/>
              <w:rPr>
                <w:rFonts w:ascii="Times New Roman" w:eastAsia="Calibri" w:hAnsi="Times New Roman" w:cs="Times New Roman"/>
              </w:rPr>
            </w:pPr>
            <w:r>
              <w:rPr>
                <w:rFonts w:ascii="Times New Roman" w:eastAsia="Calibri" w:hAnsi="Times New Roman" w:cs="Times New Roman"/>
              </w:rPr>
              <w:t>„</w:t>
            </w:r>
            <w:r w:rsidRPr="00416701">
              <w:rPr>
                <w:rFonts w:ascii="Times New Roman" w:eastAsia="Calibri" w:hAnsi="Times New Roman" w:cs="Times New Roman"/>
                <w:b/>
              </w:rPr>
              <w:t>14.</w:t>
            </w:r>
            <w:r w:rsidRPr="00416701">
              <w:rPr>
                <w:rFonts w:ascii="Times New Roman" w:eastAsia="Calibri" w:hAnsi="Times New Roman" w:cs="Times New Roman"/>
              </w:rPr>
              <w:t xml:space="preserve"> Entitățile prevăzute la pct.6-10 și pct.12 aplică taxonomia numai în cazurile și condițiile prevăzute expres de legislația sectorială. În afara acestora, taxonomia poate fi utilizată cu caracter </w:t>
            </w:r>
            <w:r w:rsidRPr="00416701">
              <w:rPr>
                <w:rFonts w:ascii="Times New Roman" w:eastAsia="Calibri" w:hAnsi="Times New Roman" w:cs="Times New Roman"/>
              </w:rPr>
              <w:lastRenderedPageBreak/>
              <w:t>orientativ la dezvoltarea produselor, evaluarea investițiilor etc.</w:t>
            </w:r>
            <w:r>
              <w:rPr>
                <w:rFonts w:ascii="Times New Roman" w:eastAsia="Calibri" w:hAnsi="Times New Roman" w:cs="Times New Roman"/>
              </w:rPr>
              <w:t>”</w:t>
            </w:r>
          </w:p>
        </w:tc>
      </w:tr>
      <w:tr w:rsidR="00AD01F2" w:rsidRPr="00882F72" w14:paraId="1EFBC88D" w14:textId="77777777" w:rsidTr="00F968A9">
        <w:tc>
          <w:tcPr>
            <w:tcW w:w="797" w:type="pct"/>
            <w:vMerge/>
          </w:tcPr>
          <w:p w14:paraId="083777DA"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52FDA43C" w14:textId="68692DAC" w:rsidR="00AD01F2" w:rsidRDefault="00AD01F2" w:rsidP="00021BBB">
            <w:pPr>
              <w:rPr>
                <w:rFonts w:ascii="Times New Roman" w:eastAsia="Calibri" w:hAnsi="Times New Roman" w:cs="Times New Roman"/>
              </w:rPr>
            </w:pPr>
            <w:r>
              <w:rPr>
                <w:rFonts w:ascii="Times New Roman" w:eastAsia="Calibri" w:hAnsi="Times New Roman" w:cs="Times New Roman"/>
              </w:rPr>
              <w:t>6.</w:t>
            </w:r>
          </w:p>
        </w:tc>
        <w:tc>
          <w:tcPr>
            <w:tcW w:w="2505" w:type="pct"/>
          </w:tcPr>
          <w:p w14:paraId="67927AEB" w14:textId="13C7E44A" w:rsidR="00AD01F2" w:rsidRDefault="00AD01F2" w:rsidP="00800EB7">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Taxonomie pct. 6-8; Taxonomie pct. 14-15; Nota de fundamentare privind pașii 1-4</w:t>
            </w:r>
            <w:r>
              <w:rPr>
                <w:rFonts w:ascii="Times New Roman" w:eastAsia="Calibri" w:hAnsi="Times New Roman" w:cs="Times New Roman"/>
              </w:rPr>
              <w:t xml:space="preserve">, se recomandă </w:t>
            </w:r>
            <w:r w:rsidRPr="00FA375E">
              <w:rPr>
                <w:rFonts w:ascii="Times New Roman" w:eastAsia="Calibri" w:hAnsi="Times New Roman" w:cs="Times New Roman"/>
              </w:rPr>
              <w:t>Introducerea unei clauze de neechivalare între taxonomie și admisibilitatea la finanțare. A se preciza expres că taxonomia are funcție de clasificare, orientare și transparență și nu constituie, în lipsa legislației speciale, criteriu autonom și exclusiv de acces la creditare, investiție sau asigurare.</w:t>
            </w:r>
          </w:p>
        </w:tc>
        <w:tc>
          <w:tcPr>
            <w:tcW w:w="1458" w:type="pct"/>
          </w:tcPr>
          <w:p w14:paraId="2C73B435" w14:textId="4AA869C6" w:rsidR="00C437AC" w:rsidRDefault="00C437AC" w:rsidP="005B2CC7">
            <w:pPr>
              <w:rPr>
                <w:rFonts w:ascii="Times New Roman" w:eastAsia="Calibri" w:hAnsi="Times New Roman" w:cs="Times New Roman"/>
                <w:b/>
              </w:rPr>
            </w:pPr>
            <w:r>
              <w:rPr>
                <w:rFonts w:ascii="Times New Roman" w:eastAsia="Calibri" w:hAnsi="Times New Roman" w:cs="Times New Roman"/>
                <w:b/>
              </w:rPr>
              <w:t>Se acceptă.</w:t>
            </w:r>
          </w:p>
          <w:p w14:paraId="39EEAF44" w14:textId="1C88C2A9" w:rsidR="00C437AC" w:rsidRPr="00C437AC" w:rsidRDefault="00C437AC" w:rsidP="00C437AC">
            <w:pPr>
              <w:jc w:val="both"/>
              <w:rPr>
                <w:rFonts w:ascii="Times New Roman" w:eastAsia="Calibri" w:hAnsi="Times New Roman" w:cs="Times New Roman"/>
              </w:rPr>
            </w:pPr>
            <w:r w:rsidRPr="00C437AC">
              <w:rPr>
                <w:rFonts w:ascii="Times New Roman" w:eastAsia="Calibri" w:hAnsi="Times New Roman" w:cs="Times New Roman"/>
              </w:rPr>
              <w:t>Capitolul II din conținutul proiectului a fost complet</w:t>
            </w:r>
            <w:r>
              <w:rPr>
                <w:rFonts w:ascii="Times New Roman" w:eastAsia="Calibri" w:hAnsi="Times New Roman" w:cs="Times New Roman"/>
              </w:rPr>
              <w:t>at cu un pct. suplimentar (nr.15</w:t>
            </w:r>
            <w:r w:rsidRPr="00C437AC">
              <w:rPr>
                <w:rFonts w:ascii="Times New Roman" w:eastAsia="Calibri" w:hAnsi="Times New Roman" w:cs="Times New Roman"/>
              </w:rPr>
              <w:t>) cu următorul conținut:</w:t>
            </w:r>
          </w:p>
          <w:p w14:paraId="79828380" w14:textId="6AC13537" w:rsidR="00AD01F2" w:rsidRPr="00444873" w:rsidRDefault="00C437AC" w:rsidP="00C437AC">
            <w:pPr>
              <w:jc w:val="both"/>
              <w:rPr>
                <w:rFonts w:ascii="Times New Roman" w:eastAsia="Calibri" w:hAnsi="Times New Roman" w:cs="Times New Roman"/>
                <w:b/>
              </w:rPr>
            </w:pPr>
            <w:r>
              <w:rPr>
                <w:rFonts w:ascii="Times New Roman" w:eastAsia="Calibri" w:hAnsi="Times New Roman" w:cs="Times New Roman"/>
                <w:b/>
              </w:rPr>
              <w:t>„</w:t>
            </w:r>
            <w:r w:rsidRPr="00C437AC">
              <w:rPr>
                <w:rFonts w:ascii="Times New Roman" w:eastAsia="Calibri" w:hAnsi="Times New Roman" w:cs="Times New Roman"/>
                <w:b/>
              </w:rPr>
              <w:t>15.</w:t>
            </w:r>
            <w:r w:rsidRPr="00C437AC">
              <w:rPr>
                <w:rFonts w:ascii="Times New Roman" w:eastAsia="Calibri" w:hAnsi="Times New Roman" w:cs="Times New Roman"/>
              </w:rPr>
              <w:t xml:space="preserve"> Prezenta Taxonomie are funcție de clasificare și orientare a entităților prevăzute la pct.6-12 și nu constituie, în lipsa legislației sectoriale, criteriu autonom și exclusiv de acces la produse financiare, puse la dispoziție conform cadrului normativ aplicabil.</w:t>
            </w:r>
            <w:r>
              <w:rPr>
                <w:rFonts w:ascii="Times New Roman" w:eastAsia="Calibri" w:hAnsi="Times New Roman" w:cs="Times New Roman"/>
              </w:rPr>
              <w:t>”</w:t>
            </w:r>
          </w:p>
        </w:tc>
      </w:tr>
      <w:tr w:rsidR="00AD01F2" w:rsidRPr="00882F72" w14:paraId="12D0904E" w14:textId="77777777" w:rsidTr="00F968A9">
        <w:tc>
          <w:tcPr>
            <w:tcW w:w="797" w:type="pct"/>
            <w:vMerge/>
          </w:tcPr>
          <w:p w14:paraId="449A6F07"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73A22FCA" w14:textId="22216033" w:rsidR="00AD01F2" w:rsidRDefault="00AD01F2" w:rsidP="00021BBB">
            <w:pPr>
              <w:rPr>
                <w:rFonts w:ascii="Times New Roman" w:eastAsia="Calibri" w:hAnsi="Times New Roman" w:cs="Times New Roman"/>
              </w:rPr>
            </w:pPr>
            <w:r>
              <w:rPr>
                <w:rFonts w:ascii="Times New Roman" w:eastAsia="Calibri" w:hAnsi="Times New Roman" w:cs="Times New Roman"/>
              </w:rPr>
              <w:t>7.</w:t>
            </w:r>
          </w:p>
        </w:tc>
        <w:tc>
          <w:tcPr>
            <w:tcW w:w="2505" w:type="pct"/>
          </w:tcPr>
          <w:p w14:paraId="301046D4" w14:textId="38781BAB"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pct. 10 din Taxonomie, se </w:t>
            </w:r>
            <w:r w:rsidRPr="00FA375E">
              <w:rPr>
                <w:rFonts w:ascii="Times New Roman" w:eastAsia="Calibri" w:hAnsi="Times New Roman" w:cs="Times New Roman"/>
              </w:rPr>
              <w:t>recomandă a reglementa la nivel primar: categoria verificatorilor eligibili, exigențele minime de independență și competență, obligația folosirii unei metodologii aprobate, conținutul minim al raportului și delimitarea între verificare obligatorie și facultativă. Detaliile tehnice pot fi dezvoltate prin act secundar.</w:t>
            </w:r>
          </w:p>
        </w:tc>
        <w:tc>
          <w:tcPr>
            <w:tcW w:w="1458" w:type="pct"/>
          </w:tcPr>
          <w:p w14:paraId="15FB091D" w14:textId="77777777" w:rsidR="00AD01F2" w:rsidRDefault="00416701" w:rsidP="005B2CC7">
            <w:pPr>
              <w:rPr>
                <w:rFonts w:ascii="Times New Roman" w:eastAsia="Calibri" w:hAnsi="Times New Roman" w:cs="Times New Roman"/>
                <w:b/>
              </w:rPr>
            </w:pPr>
            <w:r>
              <w:rPr>
                <w:rFonts w:ascii="Times New Roman" w:eastAsia="Calibri" w:hAnsi="Times New Roman" w:cs="Times New Roman"/>
                <w:b/>
              </w:rPr>
              <w:t>Nu se acceptă.</w:t>
            </w:r>
          </w:p>
          <w:p w14:paraId="7B7A02F6" w14:textId="4CF278C0" w:rsidR="00416701" w:rsidRPr="00416701" w:rsidRDefault="00416701" w:rsidP="00416701">
            <w:pPr>
              <w:jc w:val="both"/>
              <w:rPr>
                <w:rFonts w:ascii="Times New Roman" w:eastAsia="Calibri" w:hAnsi="Times New Roman" w:cs="Times New Roman"/>
              </w:rPr>
            </w:pPr>
            <w:r w:rsidRPr="00416701">
              <w:rPr>
                <w:rFonts w:ascii="Times New Roman" w:eastAsia="Calibri" w:hAnsi="Times New Roman" w:cs="Times New Roman"/>
              </w:rPr>
              <w:t xml:space="preserve">Aspectele date vor fi reglementate în legislația sectorială </w:t>
            </w:r>
            <w:r w:rsidR="00C437AC">
              <w:rPr>
                <w:rFonts w:ascii="Times New Roman" w:eastAsia="Calibri" w:hAnsi="Times New Roman" w:cs="Times New Roman"/>
              </w:rPr>
              <w:t xml:space="preserve">specială </w:t>
            </w:r>
            <w:r w:rsidRPr="00416701">
              <w:rPr>
                <w:rFonts w:ascii="Times New Roman" w:eastAsia="Calibri" w:hAnsi="Times New Roman" w:cs="Times New Roman"/>
              </w:rPr>
              <w:t>ce reglementează activitatea entităților de audit</w:t>
            </w:r>
          </w:p>
        </w:tc>
      </w:tr>
      <w:tr w:rsidR="00AD01F2" w:rsidRPr="00882F72" w14:paraId="2BDFEA57" w14:textId="77777777" w:rsidTr="00F968A9">
        <w:tc>
          <w:tcPr>
            <w:tcW w:w="797" w:type="pct"/>
            <w:vMerge/>
          </w:tcPr>
          <w:p w14:paraId="582E803D"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0AFA8725" w14:textId="2889AEA6" w:rsidR="00AD01F2" w:rsidRDefault="00AD01F2" w:rsidP="00021BBB">
            <w:pPr>
              <w:rPr>
                <w:rFonts w:ascii="Times New Roman" w:eastAsia="Calibri" w:hAnsi="Times New Roman" w:cs="Times New Roman"/>
              </w:rPr>
            </w:pPr>
            <w:r>
              <w:rPr>
                <w:rFonts w:ascii="Times New Roman" w:eastAsia="Calibri" w:hAnsi="Times New Roman" w:cs="Times New Roman"/>
              </w:rPr>
              <w:t>8.</w:t>
            </w:r>
          </w:p>
        </w:tc>
        <w:tc>
          <w:tcPr>
            <w:tcW w:w="2505" w:type="pct"/>
          </w:tcPr>
          <w:p w14:paraId="481F47E5" w14:textId="46F92CF3" w:rsidR="00AD01F2" w:rsidRDefault="00AD01F2" w:rsidP="00FA375E">
            <w:pPr>
              <w:jc w:val="both"/>
              <w:rPr>
                <w:rFonts w:ascii="Times New Roman" w:eastAsia="Calibri" w:hAnsi="Times New Roman" w:cs="Times New Roman"/>
              </w:rPr>
            </w:pPr>
            <w:r>
              <w:rPr>
                <w:rFonts w:ascii="Times New Roman" w:eastAsia="Calibri" w:hAnsi="Times New Roman" w:cs="Times New Roman"/>
              </w:rPr>
              <w:t>La pct. 12-13 din Taxonomie, c</w:t>
            </w:r>
            <w:r w:rsidRPr="00FA375E">
              <w:rPr>
                <w:rFonts w:ascii="Times New Roman" w:eastAsia="Calibri" w:hAnsi="Times New Roman" w:cs="Times New Roman"/>
              </w:rPr>
              <w:t xml:space="preserve">orelarea pct. 12-13 cu legislația specială și cu actele metodologice sectoriale. Se recomandă introducerea următoarei formulări „în condițiile și potrivit metodologiei prevăzute de legislația specială aplicabilă”, inclusiv cu privire la delimitarea activităților eligibile/neeligibile/aliniate, alocarea cifrei de afaceri, </w:t>
            </w:r>
            <w:proofErr w:type="spellStart"/>
            <w:r w:rsidRPr="00FA375E">
              <w:rPr>
                <w:rFonts w:ascii="Times New Roman" w:eastAsia="Calibri" w:hAnsi="Times New Roman" w:cs="Times New Roman"/>
              </w:rPr>
              <w:t>CapEx</w:t>
            </w:r>
            <w:proofErr w:type="spellEnd"/>
            <w:r w:rsidRPr="00FA375E">
              <w:rPr>
                <w:rFonts w:ascii="Times New Roman" w:eastAsia="Calibri" w:hAnsi="Times New Roman" w:cs="Times New Roman"/>
              </w:rPr>
              <w:t xml:space="preserve"> și </w:t>
            </w:r>
            <w:proofErr w:type="spellStart"/>
            <w:r w:rsidRPr="00FA375E">
              <w:rPr>
                <w:rFonts w:ascii="Times New Roman" w:eastAsia="Calibri" w:hAnsi="Times New Roman" w:cs="Times New Roman"/>
              </w:rPr>
              <w:t>OpEx</w:t>
            </w:r>
            <w:proofErr w:type="spellEnd"/>
            <w:r w:rsidRPr="00FA375E">
              <w:rPr>
                <w:rFonts w:ascii="Times New Roman" w:eastAsia="Calibri" w:hAnsi="Times New Roman" w:cs="Times New Roman"/>
              </w:rPr>
              <w:t xml:space="preserve"> și modelele de raportare.</w:t>
            </w:r>
          </w:p>
        </w:tc>
        <w:tc>
          <w:tcPr>
            <w:tcW w:w="1458" w:type="pct"/>
          </w:tcPr>
          <w:p w14:paraId="14816F30" w14:textId="77777777" w:rsidR="00AD01F2" w:rsidRDefault="003A2AB6" w:rsidP="005B2CC7">
            <w:pPr>
              <w:rPr>
                <w:rFonts w:ascii="Times New Roman" w:eastAsia="Calibri" w:hAnsi="Times New Roman" w:cs="Times New Roman"/>
                <w:b/>
              </w:rPr>
            </w:pPr>
            <w:r>
              <w:rPr>
                <w:rFonts w:ascii="Times New Roman" w:eastAsia="Calibri" w:hAnsi="Times New Roman" w:cs="Times New Roman"/>
                <w:b/>
              </w:rPr>
              <w:t>Se acceptă.</w:t>
            </w:r>
          </w:p>
          <w:p w14:paraId="175CFD7E" w14:textId="35C6931B" w:rsidR="003A2AB6" w:rsidRDefault="003A2AB6" w:rsidP="003A2AB6">
            <w:pPr>
              <w:jc w:val="both"/>
              <w:rPr>
                <w:rFonts w:ascii="Times New Roman" w:eastAsia="Calibri" w:hAnsi="Times New Roman" w:cs="Times New Roman"/>
              </w:rPr>
            </w:pPr>
            <w:r>
              <w:rPr>
                <w:rFonts w:ascii="Times New Roman" w:eastAsia="Calibri" w:hAnsi="Times New Roman" w:cs="Times New Roman"/>
              </w:rPr>
              <w:t xml:space="preserve">Proiectul a fost completat cu pct. 14 ce vizează inclusiv prevederile pct. 12 și 13 din proiectul Taxonomiei. </w:t>
            </w:r>
          </w:p>
          <w:p w14:paraId="59F15105" w14:textId="77777777" w:rsidR="003A2AB6" w:rsidRDefault="003A2AB6" w:rsidP="003A2AB6">
            <w:pPr>
              <w:jc w:val="both"/>
              <w:rPr>
                <w:rFonts w:ascii="Times New Roman" w:eastAsia="Calibri" w:hAnsi="Times New Roman" w:cs="Times New Roman"/>
              </w:rPr>
            </w:pPr>
            <w:r>
              <w:rPr>
                <w:rFonts w:ascii="Times New Roman" w:eastAsia="Calibri" w:hAnsi="Times New Roman" w:cs="Times New Roman"/>
              </w:rPr>
              <w:t>„</w:t>
            </w:r>
            <w:r w:rsidRPr="00416701">
              <w:rPr>
                <w:rFonts w:ascii="Times New Roman" w:eastAsia="Calibri" w:hAnsi="Times New Roman" w:cs="Times New Roman"/>
                <w:b/>
              </w:rPr>
              <w:t>14.</w:t>
            </w:r>
            <w:r w:rsidRPr="00416701">
              <w:rPr>
                <w:rFonts w:ascii="Times New Roman" w:eastAsia="Calibri" w:hAnsi="Times New Roman" w:cs="Times New Roman"/>
              </w:rPr>
              <w:t xml:space="preserve"> Entitățile prevăzute la pct.6-10 și pct.12 aplică taxonomia numai în cazurile și condițiile prevăzute expres de legislația sectorială. În afara acestora, taxonomia poate fi utilizată cu caracter orientativ la dezvoltarea produselor, evaluarea investițiilor etc.</w:t>
            </w:r>
            <w:r>
              <w:rPr>
                <w:rFonts w:ascii="Times New Roman" w:eastAsia="Calibri" w:hAnsi="Times New Roman" w:cs="Times New Roman"/>
              </w:rPr>
              <w:t xml:space="preserve">” </w:t>
            </w:r>
          </w:p>
          <w:p w14:paraId="7315F188" w14:textId="477E78E9" w:rsidR="003A2AB6" w:rsidRPr="00444873" w:rsidRDefault="003A2AB6" w:rsidP="003A2AB6">
            <w:pPr>
              <w:jc w:val="both"/>
              <w:rPr>
                <w:rFonts w:ascii="Times New Roman" w:eastAsia="Calibri" w:hAnsi="Times New Roman" w:cs="Times New Roman"/>
                <w:b/>
              </w:rPr>
            </w:pPr>
            <w:r>
              <w:rPr>
                <w:rFonts w:ascii="Times New Roman" w:eastAsia="Calibri" w:hAnsi="Times New Roman" w:cs="Times New Roman"/>
              </w:rPr>
              <w:t>Respectiv, modul de raportare de către entitățile ce au obligația de a întocmi și publica raportul conducerii conform Legii nr.287/2017 urmează a fi stabilit în Legea nr.287/2017, o dată cu alinierea legii respective la cerințele Directivei privind durabilitatea raportării, care va specifica categoriile de entități ce necesită să raporteze conform cerințelor date.</w:t>
            </w:r>
          </w:p>
        </w:tc>
      </w:tr>
      <w:tr w:rsidR="00AD01F2" w:rsidRPr="00882F72" w14:paraId="49734B78" w14:textId="77777777" w:rsidTr="00F968A9">
        <w:tc>
          <w:tcPr>
            <w:tcW w:w="797" w:type="pct"/>
            <w:vMerge/>
          </w:tcPr>
          <w:p w14:paraId="75C00D97"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63D646B9" w14:textId="77446D5A" w:rsidR="00AD01F2" w:rsidRDefault="00AD01F2" w:rsidP="00021BBB">
            <w:pPr>
              <w:rPr>
                <w:rFonts w:ascii="Times New Roman" w:eastAsia="Calibri" w:hAnsi="Times New Roman" w:cs="Times New Roman"/>
              </w:rPr>
            </w:pPr>
            <w:r>
              <w:rPr>
                <w:rFonts w:ascii="Times New Roman" w:eastAsia="Calibri" w:hAnsi="Times New Roman" w:cs="Times New Roman"/>
              </w:rPr>
              <w:t>9.</w:t>
            </w:r>
          </w:p>
        </w:tc>
        <w:tc>
          <w:tcPr>
            <w:tcW w:w="2505" w:type="pct"/>
          </w:tcPr>
          <w:p w14:paraId="2E642490" w14:textId="0F1577A2"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 xml:space="preserve">pct. 5 </w:t>
            </w:r>
            <w:r>
              <w:rPr>
                <w:rFonts w:ascii="Times New Roman" w:eastAsia="Calibri" w:hAnsi="Times New Roman" w:cs="Times New Roman"/>
              </w:rPr>
              <w:t xml:space="preserve">din </w:t>
            </w:r>
            <w:r w:rsidRPr="00FA375E">
              <w:rPr>
                <w:rFonts w:ascii="Times New Roman" w:eastAsia="Calibri" w:hAnsi="Times New Roman" w:cs="Times New Roman"/>
              </w:rPr>
              <w:t>HG; Nota de fundamentare pct. 8-9</w:t>
            </w:r>
            <w:r>
              <w:rPr>
                <w:rFonts w:ascii="Times New Roman" w:eastAsia="Calibri" w:hAnsi="Times New Roman" w:cs="Times New Roman"/>
              </w:rPr>
              <w:t>, se recomandă</w:t>
            </w:r>
            <w:r w:rsidRPr="00FA375E">
              <w:rPr>
                <w:rFonts w:ascii="Times New Roman" w:eastAsia="Calibri" w:hAnsi="Times New Roman" w:cs="Times New Roman"/>
              </w:rPr>
              <w:t xml:space="preserve"> menținerea termenului general de intrare în vigoare a hotărârii; aplicarea obligațiilor de raportare numai după adoptarea cadrului sectorial; termene diferențiate pentru obligațiile de divulgare, verificare și conformare tehnică.</w:t>
            </w:r>
          </w:p>
        </w:tc>
        <w:tc>
          <w:tcPr>
            <w:tcW w:w="1458" w:type="pct"/>
          </w:tcPr>
          <w:p w14:paraId="228F6D2C" w14:textId="77777777" w:rsidR="00AD01F2" w:rsidRDefault="00C437AC" w:rsidP="005B2CC7">
            <w:pPr>
              <w:rPr>
                <w:rFonts w:ascii="Times New Roman" w:eastAsia="Calibri" w:hAnsi="Times New Roman" w:cs="Times New Roman"/>
                <w:b/>
              </w:rPr>
            </w:pPr>
            <w:r>
              <w:rPr>
                <w:rFonts w:ascii="Times New Roman" w:eastAsia="Calibri" w:hAnsi="Times New Roman" w:cs="Times New Roman"/>
                <w:b/>
              </w:rPr>
              <w:t>Se acceptă parțial.</w:t>
            </w:r>
          </w:p>
          <w:p w14:paraId="674A5BED" w14:textId="4B38A52B" w:rsidR="00C437AC" w:rsidRPr="00AB1AEA" w:rsidRDefault="00C437AC" w:rsidP="00C437AC">
            <w:pPr>
              <w:jc w:val="both"/>
              <w:rPr>
                <w:rFonts w:ascii="Times New Roman" w:eastAsia="Calibri" w:hAnsi="Times New Roman" w:cs="Times New Roman"/>
              </w:rPr>
            </w:pPr>
            <w:r w:rsidRPr="00C437AC">
              <w:rPr>
                <w:rFonts w:ascii="Times New Roman" w:eastAsia="Calibri" w:hAnsi="Times New Roman" w:cs="Times New Roman"/>
              </w:rPr>
              <w:t xml:space="preserve">Termenul de 12 luni de intrare în vigoare a prevederilor Taxonomiei este necesar pentru asigurarea tuturor măsurilor preparatorii de </w:t>
            </w:r>
            <w:r w:rsidRPr="00AB1AEA">
              <w:rPr>
                <w:rFonts w:ascii="Times New Roman" w:eastAsia="Calibri" w:hAnsi="Times New Roman" w:cs="Times New Roman"/>
              </w:rPr>
              <w:t>aplicare a acesteia.</w:t>
            </w:r>
          </w:p>
          <w:p w14:paraId="52DB7DBB" w14:textId="081C16E9" w:rsidR="00C437AC" w:rsidRPr="00C437AC" w:rsidRDefault="00AB1AEA" w:rsidP="00C437AC">
            <w:pPr>
              <w:jc w:val="both"/>
              <w:rPr>
                <w:rFonts w:ascii="Times New Roman" w:eastAsia="Calibri" w:hAnsi="Times New Roman" w:cs="Times New Roman"/>
              </w:rPr>
            </w:pPr>
            <w:r w:rsidRPr="00AB1AEA">
              <w:rPr>
                <w:rFonts w:ascii="Times New Roman" w:eastAsia="Calibri" w:hAnsi="Times New Roman" w:cs="Times New Roman"/>
              </w:rPr>
              <w:lastRenderedPageBreak/>
              <w:t xml:space="preserve">Totodată, normele ce țin de monitorizare, divulgare, raportare și conformare urmează a fi prevăzute în actele normative sectoriale ce reglementează activitatea entităților vizate în pct.6-12 din proiect. Respectiv, autoritățile de reglementare competente (BNM, CNPF etc.) vor stabili </w:t>
            </w:r>
            <w:r>
              <w:rPr>
                <w:rFonts w:ascii="Times New Roman" w:eastAsia="Calibri" w:hAnsi="Times New Roman" w:cs="Times New Roman"/>
              </w:rPr>
              <w:t>gradualitatea și modul de aplicare al Taxonomiei.</w:t>
            </w:r>
          </w:p>
        </w:tc>
      </w:tr>
      <w:tr w:rsidR="00AD01F2" w:rsidRPr="00882F72" w14:paraId="1390EAB5" w14:textId="77777777" w:rsidTr="00F968A9">
        <w:tc>
          <w:tcPr>
            <w:tcW w:w="797" w:type="pct"/>
            <w:vMerge/>
          </w:tcPr>
          <w:p w14:paraId="05C29DB0"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162822B6" w14:textId="1396F36F" w:rsidR="00AD01F2" w:rsidRDefault="00AD01F2" w:rsidP="00021BBB">
            <w:pPr>
              <w:rPr>
                <w:rFonts w:ascii="Times New Roman" w:eastAsia="Calibri" w:hAnsi="Times New Roman" w:cs="Times New Roman"/>
              </w:rPr>
            </w:pPr>
            <w:r>
              <w:rPr>
                <w:rFonts w:ascii="Times New Roman" w:eastAsia="Calibri" w:hAnsi="Times New Roman" w:cs="Times New Roman"/>
              </w:rPr>
              <w:t>10.</w:t>
            </w:r>
          </w:p>
        </w:tc>
        <w:tc>
          <w:tcPr>
            <w:tcW w:w="2505" w:type="pct"/>
          </w:tcPr>
          <w:p w14:paraId="1CC85552" w14:textId="50E4C953"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pct. 14-15</w:t>
            </w:r>
            <w:r>
              <w:rPr>
                <w:rFonts w:ascii="Times New Roman" w:eastAsia="Calibri" w:hAnsi="Times New Roman" w:cs="Times New Roman"/>
              </w:rPr>
              <w:t xml:space="preserve"> din </w:t>
            </w:r>
            <w:r w:rsidRPr="00FA375E">
              <w:rPr>
                <w:rFonts w:ascii="Times New Roman" w:eastAsia="Calibri" w:hAnsi="Times New Roman" w:cs="Times New Roman"/>
              </w:rPr>
              <w:t>Taxonomie; Anexa nr. 1, partea introductivă</w:t>
            </w:r>
            <w:r>
              <w:rPr>
                <w:rFonts w:ascii="Times New Roman" w:eastAsia="Calibri" w:hAnsi="Times New Roman" w:cs="Times New Roman"/>
              </w:rPr>
              <w:t xml:space="preserve">, se </w:t>
            </w:r>
            <w:r w:rsidRPr="00FA375E">
              <w:rPr>
                <w:rFonts w:ascii="Times New Roman" w:eastAsia="Calibri" w:hAnsi="Times New Roman" w:cs="Times New Roman"/>
              </w:rPr>
              <w:t>recomandă introducerea unui alineat expres: “trimiterile la codurile CAEM 2/NACE au caracter orientativ și nu prevalează asupra definiției și descrierii specifice a activității economice și asupra criteriilor tehnice aplicabile”.</w:t>
            </w:r>
          </w:p>
        </w:tc>
        <w:tc>
          <w:tcPr>
            <w:tcW w:w="1458" w:type="pct"/>
          </w:tcPr>
          <w:p w14:paraId="040DBDFE" w14:textId="77777777" w:rsidR="00AD01F2" w:rsidRDefault="00AB1AEA" w:rsidP="005B2CC7">
            <w:pPr>
              <w:rPr>
                <w:rFonts w:ascii="Times New Roman" w:eastAsia="Calibri" w:hAnsi="Times New Roman" w:cs="Times New Roman"/>
                <w:b/>
              </w:rPr>
            </w:pPr>
            <w:r>
              <w:rPr>
                <w:rFonts w:ascii="Times New Roman" w:eastAsia="Calibri" w:hAnsi="Times New Roman" w:cs="Times New Roman"/>
                <w:b/>
              </w:rPr>
              <w:t>Se acceptă.</w:t>
            </w:r>
          </w:p>
          <w:p w14:paraId="4C7DDCEA" w14:textId="6338E469" w:rsidR="00AB1AEA" w:rsidRPr="00AB1AEA" w:rsidRDefault="00AB1AEA" w:rsidP="00AB1AEA">
            <w:pPr>
              <w:jc w:val="both"/>
              <w:rPr>
                <w:rFonts w:ascii="Times New Roman" w:eastAsia="Calibri" w:hAnsi="Times New Roman" w:cs="Times New Roman"/>
              </w:rPr>
            </w:pPr>
            <w:r w:rsidRPr="00AB1AEA">
              <w:rPr>
                <w:rFonts w:ascii="Times New Roman" w:eastAsia="Calibri" w:hAnsi="Times New Roman" w:cs="Times New Roman"/>
              </w:rPr>
              <w:t>Proiectul a fo</w:t>
            </w:r>
            <w:r w:rsidR="003A2AB6">
              <w:rPr>
                <w:rFonts w:ascii="Times New Roman" w:eastAsia="Calibri" w:hAnsi="Times New Roman" w:cs="Times New Roman"/>
              </w:rPr>
              <w:t>st completat conform propunerii (pct. 5 notă după tabelul 1).</w:t>
            </w:r>
          </w:p>
        </w:tc>
      </w:tr>
      <w:tr w:rsidR="00AD01F2" w:rsidRPr="00882F72" w14:paraId="31428AE2" w14:textId="77777777" w:rsidTr="00F968A9">
        <w:tc>
          <w:tcPr>
            <w:tcW w:w="797" w:type="pct"/>
            <w:vMerge/>
          </w:tcPr>
          <w:p w14:paraId="5B72DF04"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60E284FA" w14:textId="4DE15D18" w:rsidR="00AD01F2" w:rsidRDefault="00AD01F2" w:rsidP="00021BBB">
            <w:pPr>
              <w:rPr>
                <w:rFonts w:ascii="Times New Roman" w:eastAsia="Calibri" w:hAnsi="Times New Roman" w:cs="Times New Roman"/>
              </w:rPr>
            </w:pPr>
            <w:r>
              <w:rPr>
                <w:rFonts w:ascii="Times New Roman" w:eastAsia="Calibri" w:hAnsi="Times New Roman" w:cs="Times New Roman"/>
              </w:rPr>
              <w:t>11.</w:t>
            </w:r>
          </w:p>
        </w:tc>
        <w:tc>
          <w:tcPr>
            <w:tcW w:w="2505" w:type="pct"/>
          </w:tcPr>
          <w:p w14:paraId="6D145391" w14:textId="64E16A39"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pct. 20-22</w:t>
            </w:r>
            <w:r>
              <w:rPr>
                <w:rFonts w:ascii="Times New Roman" w:eastAsia="Calibri" w:hAnsi="Times New Roman" w:cs="Times New Roman"/>
              </w:rPr>
              <w:t xml:space="preserve"> din </w:t>
            </w:r>
            <w:r w:rsidRPr="00FA375E">
              <w:rPr>
                <w:rFonts w:ascii="Times New Roman" w:eastAsia="Calibri" w:hAnsi="Times New Roman" w:cs="Times New Roman"/>
              </w:rPr>
              <w:t>Taxonomie; Anexa nr. 3</w:t>
            </w:r>
            <w:r>
              <w:rPr>
                <w:rFonts w:ascii="Times New Roman" w:eastAsia="Calibri" w:hAnsi="Times New Roman" w:cs="Times New Roman"/>
              </w:rPr>
              <w:t>, se recomandă a</w:t>
            </w:r>
            <w:r w:rsidRPr="00FA375E">
              <w:rPr>
                <w:rFonts w:ascii="Times New Roman" w:eastAsia="Calibri" w:hAnsi="Times New Roman" w:cs="Times New Roman"/>
              </w:rPr>
              <w:t>linierea strictă a MSS la art. 18 din Regulamentul (UE) 2020/852</w:t>
            </w:r>
            <w:r>
              <w:rPr>
                <w:rFonts w:ascii="Times New Roman" w:eastAsia="Calibri" w:hAnsi="Times New Roman" w:cs="Times New Roman"/>
              </w:rPr>
              <w:t>:</w:t>
            </w:r>
            <w:r w:rsidRPr="00FA375E">
              <w:rPr>
                <w:rFonts w:ascii="Times New Roman" w:eastAsia="Calibri" w:hAnsi="Times New Roman" w:cs="Times New Roman"/>
              </w:rPr>
              <w:t xml:space="preserve"> eliminarea referirii la 10 convenții; eliminarea </w:t>
            </w:r>
            <w:proofErr w:type="spellStart"/>
            <w:r w:rsidRPr="00FA375E">
              <w:rPr>
                <w:rFonts w:ascii="Times New Roman" w:eastAsia="Calibri" w:hAnsi="Times New Roman" w:cs="Times New Roman"/>
              </w:rPr>
              <w:t>screeningului</w:t>
            </w:r>
            <w:proofErr w:type="spellEnd"/>
            <w:r w:rsidRPr="00FA375E">
              <w:rPr>
                <w:rFonts w:ascii="Times New Roman" w:eastAsia="Calibri" w:hAnsi="Times New Roman" w:cs="Times New Roman"/>
              </w:rPr>
              <w:t xml:space="preserve"> de țară ca element normativ autonom; eliminarea noțiunii de „entitate debitoare”, dacă nu este definită și necesară; reformularea anexei nr. 3 în termenii procedurilor întreprinderii și ai celor 8 convenții fundamentale OIM.</w:t>
            </w:r>
          </w:p>
        </w:tc>
        <w:tc>
          <w:tcPr>
            <w:tcW w:w="1458" w:type="pct"/>
          </w:tcPr>
          <w:p w14:paraId="03FC36F5" w14:textId="77777777" w:rsidR="00AD01F2" w:rsidRDefault="00034C0C" w:rsidP="005B2CC7">
            <w:pPr>
              <w:rPr>
                <w:rFonts w:ascii="Times New Roman" w:eastAsia="Calibri" w:hAnsi="Times New Roman" w:cs="Times New Roman"/>
                <w:b/>
              </w:rPr>
            </w:pPr>
            <w:r>
              <w:rPr>
                <w:rFonts w:ascii="Times New Roman" w:eastAsia="Calibri" w:hAnsi="Times New Roman" w:cs="Times New Roman"/>
                <w:b/>
              </w:rPr>
              <w:t>Se acceptă parțial.</w:t>
            </w:r>
          </w:p>
          <w:p w14:paraId="3FD6DF55" w14:textId="7921CC57" w:rsidR="00034C0C" w:rsidRPr="00034C0C" w:rsidRDefault="00034C0C" w:rsidP="005B2CC7">
            <w:pPr>
              <w:rPr>
                <w:rFonts w:ascii="Times New Roman" w:eastAsia="Calibri" w:hAnsi="Times New Roman" w:cs="Times New Roman"/>
              </w:rPr>
            </w:pPr>
            <w:r w:rsidRPr="00034C0C">
              <w:rPr>
                <w:rFonts w:ascii="Times New Roman" w:eastAsia="Calibri" w:hAnsi="Times New Roman" w:cs="Times New Roman"/>
              </w:rPr>
              <w:t>Cuvântul „debitoare” a fost exclus pentru a evita erorile de interpretare</w:t>
            </w:r>
            <w:r w:rsidR="00730F99">
              <w:rPr>
                <w:rFonts w:ascii="Times New Roman" w:eastAsia="Calibri" w:hAnsi="Times New Roman" w:cs="Times New Roman"/>
              </w:rPr>
              <w:t>.</w:t>
            </w:r>
          </w:p>
        </w:tc>
      </w:tr>
      <w:tr w:rsidR="00AD01F2" w:rsidRPr="00882F72" w14:paraId="04A8BC09" w14:textId="77777777" w:rsidTr="00F968A9">
        <w:tc>
          <w:tcPr>
            <w:tcW w:w="797" w:type="pct"/>
            <w:vMerge/>
          </w:tcPr>
          <w:p w14:paraId="7F42153F"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25361F6E" w14:textId="42782D4A" w:rsidR="00AD01F2" w:rsidRDefault="00AD01F2" w:rsidP="00021BBB">
            <w:pPr>
              <w:rPr>
                <w:rFonts w:ascii="Times New Roman" w:eastAsia="Calibri" w:hAnsi="Times New Roman" w:cs="Times New Roman"/>
              </w:rPr>
            </w:pPr>
            <w:r>
              <w:rPr>
                <w:rFonts w:ascii="Times New Roman" w:eastAsia="Calibri" w:hAnsi="Times New Roman" w:cs="Times New Roman"/>
              </w:rPr>
              <w:t>12.</w:t>
            </w:r>
          </w:p>
        </w:tc>
        <w:tc>
          <w:tcPr>
            <w:tcW w:w="2505" w:type="pct"/>
          </w:tcPr>
          <w:p w14:paraId="28607716" w14:textId="052FC553"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 xml:space="preserve">pct. 21.2 </w:t>
            </w:r>
            <w:r>
              <w:rPr>
                <w:rFonts w:ascii="Times New Roman" w:eastAsia="Calibri" w:hAnsi="Times New Roman" w:cs="Times New Roman"/>
              </w:rPr>
              <w:t xml:space="preserve">din </w:t>
            </w:r>
            <w:r w:rsidRPr="00FA375E">
              <w:rPr>
                <w:rFonts w:ascii="Times New Roman" w:eastAsia="Calibri" w:hAnsi="Times New Roman" w:cs="Times New Roman"/>
              </w:rPr>
              <w:t>Taxonomie; Anexele nr. 1-2</w:t>
            </w:r>
            <w:r>
              <w:rPr>
                <w:rFonts w:ascii="Times New Roman" w:eastAsia="Calibri" w:hAnsi="Times New Roman" w:cs="Times New Roman"/>
              </w:rPr>
              <w:t>, se recomandă i</w:t>
            </w:r>
            <w:r w:rsidRPr="00FA375E">
              <w:rPr>
                <w:rFonts w:ascii="Times New Roman" w:eastAsia="Calibri" w:hAnsi="Times New Roman" w:cs="Times New Roman"/>
              </w:rPr>
              <w:t>ntroducerea unei norme exprese privind statutul juridic al</w:t>
            </w:r>
            <w:r>
              <w:rPr>
                <w:rFonts w:ascii="Times New Roman" w:eastAsia="Calibri" w:hAnsi="Times New Roman" w:cs="Times New Roman"/>
              </w:rPr>
              <w:t xml:space="preserve"> </w:t>
            </w:r>
            <w:r w:rsidRPr="00FA375E">
              <w:rPr>
                <w:rFonts w:ascii="Times New Roman" w:eastAsia="Calibri" w:hAnsi="Times New Roman" w:cs="Times New Roman"/>
              </w:rPr>
              <w:t>trimiterilor externe. A se preciza că trimiterile la standarde, ghiduri, metodologii, baze de date sau alte documente externe au caracter exclusiv orientativ, dacă hotărârea sau legislația specială nu le conferă expres caracter obligatoriu. Se va elimina trimiterea generică la „nota de instrucțiuni”, dacă aceasta nu este identificată normativ.</w:t>
            </w:r>
          </w:p>
        </w:tc>
        <w:tc>
          <w:tcPr>
            <w:tcW w:w="1458" w:type="pct"/>
          </w:tcPr>
          <w:p w14:paraId="61BFEF38" w14:textId="77777777" w:rsidR="00AD01F2" w:rsidRDefault="00012F0F" w:rsidP="005B2CC7">
            <w:pPr>
              <w:rPr>
                <w:rFonts w:ascii="Times New Roman" w:eastAsia="Calibri" w:hAnsi="Times New Roman" w:cs="Times New Roman"/>
                <w:b/>
              </w:rPr>
            </w:pPr>
            <w:r>
              <w:rPr>
                <w:rFonts w:ascii="Times New Roman" w:eastAsia="Calibri" w:hAnsi="Times New Roman" w:cs="Times New Roman"/>
                <w:b/>
              </w:rPr>
              <w:t>Se acceptă.</w:t>
            </w:r>
          </w:p>
          <w:p w14:paraId="17C53C58" w14:textId="0A695423" w:rsidR="00012F0F" w:rsidRPr="00012F0F" w:rsidRDefault="00012F0F" w:rsidP="00012F0F">
            <w:pPr>
              <w:jc w:val="both"/>
              <w:rPr>
                <w:rFonts w:ascii="Times New Roman" w:eastAsia="Calibri" w:hAnsi="Times New Roman" w:cs="Times New Roman"/>
              </w:rPr>
            </w:pPr>
            <w:r w:rsidRPr="00012F0F">
              <w:rPr>
                <w:rFonts w:ascii="Times New Roman" w:eastAsia="Calibri" w:hAnsi="Times New Roman" w:cs="Times New Roman"/>
              </w:rPr>
              <w:t>Prevederile pct.21 și anexei nr.3 au fost revăzute prin excluderea referințelor la standardele internaționale.</w:t>
            </w:r>
          </w:p>
        </w:tc>
      </w:tr>
      <w:tr w:rsidR="00AD01F2" w:rsidRPr="00882F72" w14:paraId="5DC7BE7D" w14:textId="77777777" w:rsidTr="00F968A9">
        <w:tc>
          <w:tcPr>
            <w:tcW w:w="797" w:type="pct"/>
            <w:vMerge/>
          </w:tcPr>
          <w:p w14:paraId="04C7213A"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665265AA" w14:textId="5569A854" w:rsidR="00AD01F2" w:rsidRDefault="00AD01F2" w:rsidP="00021BBB">
            <w:pPr>
              <w:rPr>
                <w:rFonts w:ascii="Times New Roman" w:eastAsia="Calibri" w:hAnsi="Times New Roman" w:cs="Times New Roman"/>
              </w:rPr>
            </w:pPr>
            <w:r>
              <w:rPr>
                <w:rFonts w:ascii="Times New Roman" w:eastAsia="Calibri" w:hAnsi="Times New Roman" w:cs="Times New Roman"/>
              </w:rPr>
              <w:t>13.</w:t>
            </w:r>
          </w:p>
        </w:tc>
        <w:tc>
          <w:tcPr>
            <w:tcW w:w="2505" w:type="pct"/>
          </w:tcPr>
          <w:p w14:paraId="0213226C" w14:textId="78D818D8"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Anexa nr. 1, cap. I și tabelele tehnice; Anexa nr. 2; diverse rubrici „legi planificate”</w:t>
            </w:r>
            <w:r>
              <w:rPr>
                <w:rFonts w:ascii="Times New Roman" w:eastAsia="Calibri" w:hAnsi="Times New Roman" w:cs="Times New Roman"/>
              </w:rPr>
              <w:t>, s</w:t>
            </w:r>
            <w:r w:rsidRPr="00FA375E">
              <w:rPr>
                <w:rFonts w:ascii="Times New Roman" w:eastAsia="Calibri" w:hAnsi="Times New Roman" w:cs="Times New Roman"/>
              </w:rPr>
              <w:t>e recomandă excluderea sintagmelor de „legile planificate” ca element normativ al criteriilor tehnice și se va separa clar conținutul obligatoriu de materialele explicative sau orientative.</w:t>
            </w:r>
          </w:p>
        </w:tc>
        <w:tc>
          <w:tcPr>
            <w:tcW w:w="1458" w:type="pct"/>
          </w:tcPr>
          <w:p w14:paraId="67A66D01" w14:textId="77777777" w:rsidR="00AD01F2" w:rsidRDefault="00C7231E" w:rsidP="005B2CC7">
            <w:pPr>
              <w:rPr>
                <w:rFonts w:ascii="Times New Roman" w:eastAsia="Calibri" w:hAnsi="Times New Roman" w:cs="Times New Roman"/>
                <w:b/>
              </w:rPr>
            </w:pPr>
            <w:r>
              <w:rPr>
                <w:rFonts w:ascii="Times New Roman" w:eastAsia="Calibri" w:hAnsi="Times New Roman" w:cs="Times New Roman"/>
                <w:b/>
              </w:rPr>
              <w:t>Se acceptă.</w:t>
            </w:r>
          </w:p>
          <w:p w14:paraId="331C3FC9" w14:textId="073C7FA6" w:rsidR="00C7231E" w:rsidRPr="00C7231E" w:rsidRDefault="00C7231E" w:rsidP="00C7231E">
            <w:pPr>
              <w:jc w:val="both"/>
              <w:rPr>
                <w:rFonts w:ascii="Times New Roman" w:eastAsia="Calibri" w:hAnsi="Times New Roman" w:cs="Times New Roman"/>
              </w:rPr>
            </w:pPr>
            <w:r w:rsidRPr="00C7231E">
              <w:rPr>
                <w:rFonts w:ascii="Times New Roman" w:eastAsia="Calibri" w:hAnsi="Times New Roman" w:cs="Times New Roman"/>
              </w:rPr>
              <w:t>Referințele la cadrul normativ planificat au fost excluse.</w:t>
            </w:r>
          </w:p>
        </w:tc>
      </w:tr>
      <w:tr w:rsidR="00AD01F2" w:rsidRPr="00882F72" w14:paraId="7BBB88DD" w14:textId="77777777" w:rsidTr="00F968A9">
        <w:tc>
          <w:tcPr>
            <w:tcW w:w="797" w:type="pct"/>
            <w:vMerge/>
          </w:tcPr>
          <w:p w14:paraId="5224E29B"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6C1624C7" w14:textId="25993878" w:rsidR="00AD01F2" w:rsidRDefault="00AD01F2" w:rsidP="00021BBB">
            <w:pPr>
              <w:rPr>
                <w:rFonts w:ascii="Times New Roman" w:eastAsia="Calibri" w:hAnsi="Times New Roman" w:cs="Times New Roman"/>
              </w:rPr>
            </w:pPr>
            <w:r>
              <w:rPr>
                <w:rFonts w:ascii="Times New Roman" w:eastAsia="Calibri" w:hAnsi="Times New Roman" w:cs="Times New Roman"/>
              </w:rPr>
              <w:t>14.</w:t>
            </w:r>
          </w:p>
        </w:tc>
        <w:tc>
          <w:tcPr>
            <w:tcW w:w="2505" w:type="pct"/>
          </w:tcPr>
          <w:p w14:paraId="288DE9A5" w14:textId="36288E45" w:rsidR="00AD01F2" w:rsidRDefault="00AD01F2" w:rsidP="00FA375E">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Anexele nr. 1-2; referirile la ISO, CEN-CENELEC, UNEP, IPCC etc.</w:t>
            </w:r>
            <w:r>
              <w:rPr>
                <w:rFonts w:ascii="Times New Roman" w:eastAsia="Calibri" w:hAnsi="Times New Roman" w:cs="Times New Roman"/>
              </w:rPr>
              <w:t>, se recomandă î</w:t>
            </w:r>
            <w:r w:rsidRPr="00FA375E">
              <w:rPr>
                <w:rFonts w:ascii="Times New Roman" w:eastAsia="Calibri" w:hAnsi="Times New Roman" w:cs="Times New Roman"/>
              </w:rPr>
              <w:t>nlocuirea, pe cât posibil, a trimiterilor directe la standarde internaționale cu standarde moldovenești corespondente. Dacă standardul nu a fost adoptat național, trimiterea trebuie menținută exclusiv ca referință orientativă, fără efect normativ direct. Aceeași regulă trebuie aplicată ghidurilor UNEP, IFC, IPCC și documentelor CEN CENELEC.</w:t>
            </w:r>
          </w:p>
        </w:tc>
        <w:tc>
          <w:tcPr>
            <w:tcW w:w="1458" w:type="pct"/>
          </w:tcPr>
          <w:p w14:paraId="6DEC76CE" w14:textId="77777777" w:rsidR="00AD01F2" w:rsidRDefault="00C437AC" w:rsidP="005B2CC7">
            <w:pPr>
              <w:rPr>
                <w:rFonts w:ascii="Times New Roman" w:eastAsia="Calibri" w:hAnsi="Times New Roman" w:cs="Times New Roman"/>
                <w:b/>
              </w:rPr>
            </w:pPr>
            <w:r>
              <w:rPr>
                <w:rFonts w:ascii="Times New Roman" w:eastAsia="Calibri" w:hAnsi="Times New Roman" w:cs="Times New Roman"/>
                <w:b/>
              </w:rPr>
              <w:t>Se acceptă.</w:t>
            </w:r>
          </w:p>
          <w:p w14:paraId="67492273" w14:textId="268E3768" w:rsidR="00C437AC" w:rsidRPr="007E7607" w:rsidRDefault="00C437AC" w:rsidP="007E7607">
            <w:pPr>
              <w:jc w:val="both"/>
              <w:rPr>
                <w:rFonts w:ascii="Times New Roman" w:eastAsia="Calibri" w:hAnsi="Times New Roman" w:cs="Times New Roman"/>
              </w:rPr>
            </w:pPr>
            <w:r w:rsidRPr="007E7607">
              <w:rPr>
                <w:rFonts w:ascii="Times New Roman" w:eastAsia="Calibri" w:hAnsi="Times New Roman" w:cs="Times New Roman"/>
              </w:rPr>
              <w:t xml:space="preserve">Referințele la standardele </w:t>
            </w:r>
            <w:r w:rsidR="007E7607" w:rsidRPr="007E7607">
              <w:rPr>
                <w:rFonts w:ascii="Times New Roman" w:eastAsia="Calibri" w:hAnsi="Times New Roman" w:cs="Times New Roman"/>
              </w:rPr>
              <w:t>prevăzute în anexele proiectului</w:t>
            </w:r>
            <w:r w:rsidRPr="007E7607">
              <w:rPr>
                <w:rFonts w:ascii="Times New Roman" w:eastAsia="Calibri" w:hAnsi="Times New Roman" w:cs="Times New Roman"/>
              </w:rPr>
              <w:t xml:space="preserve"> au fost</w:t>
            </w:r>
            <w:r w:rsidR="007E7607" w:rsidRPr="007E7607">
              <w:rPr>
                <w:rFonts w:ascii="Times New Roman" w:eastAsia="Calibri" w:hAnsi="Times New Roman" w:cs="Times New Roman"/>
              </w:rPr>
              <w:t xml:space="preserve"> revăzute și substituite cu referințe la standardele naționale conform propunerii Ministerului Dezvoltării Economice și Digitalizării.</w:t>
            </w:r>
            <w:r w:rsidRPr="007E7607">
              <w:rPr>
                <w:rFonts w:ascii="Times New Roman" w:eastAsia="Calibri" w:hAnsi="Times New Roman" w:cs="Times New Roman"/>
              </w:rPr>
              <w:t xml:space="preserve"> </w:t>
            </w:r>
          </w:p>
        </w:tc>
      </w:tr>
      <w:tr w:rsidR="00AD01F2" w:rsidRPr="00882F72" w14:paraId="695AE3F6" w14:textId="77777777" w:rsidTr="00F968A9">
        <w:tc>
          <w:tcPr>
            <w:tcW w:w="797" w:type="pct"/>
            <w:vMerge/>
          </w:tcPr>
          <w:p w14:paraId="78CF1F06"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3CE61D65" w14:textId="5932351F" w:rsidR="00AD01F2" w:rsidRDefault="00AD01F2" w:rsidP="00021BBB">
            <w:pPr>
              <w:rPr>
                <w:rFonts w:ascii="Times New Roman" w:eastAsia="Calibri" w:hAnsi="Times New Roman" w:cs="Times New Roman"/>
              </w:rPr>
            </w:pPr>
            <w:r>
              <w:rPr>
                <w:rFonts w:ascii="Times New Roman" w:eastAsia="Calibri" w:hAnsi="Times New Roman" w:cs="Times New Roman"/>
              </w:rPr>
              <w:t>15.</w:t>
            </w:r>
          </w:p>
        </w:tc>
        <w:tc>
          <w:tcPr>
            <w:tcW w:w="2505" w:type="pct"/>
          </w:tcPr>
          <w:p w14:paraId="63027B0A" w14:textId="1A19BB6E" w:rsidR="00AD01F2" w:rsidRDefault="00AD01F2" w:rsidP="00AD01F2">
            <w:pPr>
              <w:jc w:val="both"/>
              <w:rPr>
                <w:rFonts w:ascii="Times New Roman" w:eastAsia="Calibri" w:hAnsi="Times New Roman" w:cs="Times New Roman"/>
              </w:rPr>
            </w:pPr>
            <w:r>
              <w:rPr>
                <w:rFonts w:ascii="Times New Roman" w:eastAsia="Calibri" w:hAnsi="Times New Roman" w:cs="Times New Roman"/>
              </w:rPr>
              <w:t xml:space="preserve">La </w:t>
            </w:r>
            <w:r w:rsidRPr="00FA375E">
              <w:rPr>
                <w:rFonts w:ascii="Times New Roman" w:eastAsia="Calibri" w:hAnsi="Times New Roman" w:cs="Times New Roman"/>
              </w:rPr>
              <w:t>pct. 2.3, pct. 3-4</w:t>
            </w:r>
            <w:r>
              <w:rPr>
                <w:rFonts w:ascii="Times New Roman" w:eastAsia="Calibri" w:hAnsi="Times New Roman" w:cs="Times New Roman"/>
              </w:rPr>
              <w:t xml:space="preserve"> din</w:t>
            </w:r>
            <w:r w:rsidRPr="00FA375E">
              <w:rPr>
                <w:rFonts w:ascii="Times New Roman" w:eastAsia="Calibri" w:hAnsi="Times New Roman" w:cs="Times New Roman"/>
              </w:rPr>
              <w:t xml:space="preserve"> HG</w:t>
            </w:r>
            <w:r>
              <w:rPr>
                <w:rFonts w:ascii="Times New Roman" w:eastAsia="Calibri" w:hAnsi="Times New Roman" w:cs="Times New Roman"/>
              </w:rPr>
              <w:t>, se recomandă d</w:t>
            </w:r>
            <w:r w:rsidRPr="00AD01F2">
              <w:rPr>
                <w:rFonts w:ascii="Times New Roman" w:eastAsia="Calibri" w:hAnsi="Times New Roman" w:cs="Times New Roman"/>
              </w:rPr>
              <w:t>efinirea expresă a noțiunii și a competenței de emitere</w:t>
            </w:r>
            <w:r>
              <w:rPr>
                <w:rFonts w:ascii="Times New Roman" w:eastAsia="Calibri" w:hAnsi="Times New Roman" w:cs="Times New Roman"/>
              </w:rPr>
              <w:t>:</w:t>
            </w:r>
            <w:r w:rsidRPr="00AD01F2">
              <w:rPr>
                <w:rFonts w:ascii="Times New Roman" w:eastAsia="Calibri" w:hAnsi="Times New Roman" w:cs="Times New Roman"/>
              </w:rPr>
              <w:t xml:space="preserve"> introducerea unui punct nou care să prevadă că prin aceste acte se înțeleg actele normative adoptate de autoritățile publice competente, în temeiul hotărârii și al legislației sectoriale relevante, în limitele competențelor stabilite de lege.</w:t>
            </w:r>
          </w:p>
        </w:tc>
        <w:tc>
          <w:tcPr>
            <w:tcW w:w="1458" w:type="pct"/>
          </w:tcPr>
          <w:p w14:paraId="0573EB0B" w14:textId="77777777" w:rsidR="00AD01F2" w:rsidRDefault="004F1432" w:rsidP="005B2CC7">
            <w:pPr>
              <w:rPr>
                <w:rFonts w:ascii="Times New Roman" w:eastAsia="Calibri" w:hAnsi="Times New Roman" w:cs="Times New Roman"/>
                <w:b/>
              </w:rPr>
            </w:pPr>
            <w:r>
              <w:rPr>
                <w:rFonts w:ascii="Times New Roman" w:eastAsia="Calibri" w:hAnsi="Times New Roman" w:cs="Times New Roman"/>
                <w:b/>
              </w:rPr>
              <w:t>Se acceptă parțial.</w:t>
            </w:r>
          </w:p>
          <w:p w14:paraId="2F9881D2" w14:textId="77777777" w:rsidR="004F1432" w:rsidRDefault="004F1432" w:rsidP="00943CC8">
            <w:pPr>
              <w:jc w:val="both"/>
              <w:rPr>
                <w:rFonts w:ascii="Times New Roman" w:eastAsia="Calibri" w:hAnsi="Times New Roman" w:cs="Times New Roman"/>
                <w:bCs/>
              </w:rPr>
            </w:pPr>
            <w:proofErr w:type="spellStart"/>
            <w:r w:rsidRPr="004F1432">
              <w:rPr>
                <w:rFonts w:ascii="Times New Roman" w:eastAsia="Calibri" w:hAnsi="Times New Roman" w:cs="Times New Roman"/>
                <w:bCs/>
              </w:rPr>
              <w:t>Pct</w:t>
            </w:r>
            <w:proofErr w:type="spellEnd"/>
            <w:r w:rsidRPr="004F1432">
              <w:rPr>
                <w:rFonts w:ascii="Times New Roman" w:eastAsia="Calibri" w:hAnsi="Times New Roman" w:cs="Times New Roman"/>
                <w:bCs/>
              </w:rPr>
              <w:t xml:space="preserve"> 2 din proiectul Hotărârii a fost revăzut și </w:t>
            </w:r>
            <w:r w:rsidR="00943CC8">
              <w:rPr>
                <w:rFonts w:ascii="Times New Roman" w:eastAsia="Calibri" w:hAnsi="Times New Roman" w:cs="Times New Roman"/>
                <w:bCs/>
              </w:rPr>
              <w:t>exclus având în vedere completarea proiectului cu normele prevăzute la pct.14.</w:t>
            </w:r>
          </w:p>
          <w:p w14:paraId="1982A955" w14:textId="77777777" w:rsidR="00943CC8" w:rsidRDefault="00943CC8" w:rsidP="00943CC8">
            <w:pPr>
              <w:jc w:val="both"/>
              <w:rPr>
                <w:rFonts w:ascii="Times New Roman" w:eastAsia="Calibri" w:hAnsi="Times New Roman" w:cs="Times New Roman"/>
              </w:rPr>
            </w:pPr>
            <w:r>
              <w:rPr>
                <w:rFonts w:ascii="Times New Roman" w:eastAsia="Calibri" w:hAnsi="Times New Roman" w:cs="Times New Roman"/>
              </w:rPr>
              <w:t>„</w:t>
            </w:r>
            <w:r w:rsidRPr="00416701">
              <w:rPr>
                <w:rFonts w:ascii="Times New Roman" w:eastAsia="Calibri" w:hAnsi="Times New Roman" w:cs="Times New Roman"/>
                <w:b/>
              </w:rPr>
              <w:t>14.</w:t>
            </w:r>
            <w:r w:rsidRPr="00416701">
              <w:rPr>
                <w:rFonts w:ascii="Times New Roman" w:eastAsia="Calibri" w:hAnsi="Times New Roman" w:cs="Times New Roman"/>
              </w:rPr>
              <w:t xml:space="preserve"> Entitățile prevăzute la pct.6-10 și pct.12 aplică taxonomia numai în cazurile și condițiile prevăzute expres de legislația sectorială. În afara acestora, taxonomia poate fi utilizată cu caracter </w:t>
            </w:r>
            <w:r w:rsidRPr="00416701">
              <w:rPr>
                <w:rFonts w:ascii="Times New Roman" w:eastAsia="Calibri" w:hAnsi="Times New Roman" w:cs="Times New Roman"/>
              </w:rPr>
              <w:lastRenderedPageBreak/>
              <w:t>orientativ la dezvoltarea produselor, evaluarea investițiilor etc.</w:t>
            </w:r>
            <w:r>
              <w:rPr>
                <w:rFonts w:ascii="Times New Roman" w:eastAsia="Calibri" w:hAnsi="Times New Roman" w:cs="Times New Roman"/>
              </w:rPr>
              <w:t>”.</w:t>
            </w:r>
          </w:p>
          <w:p w14:paraId="7137162E" w14:textId="7FB1A9F0" w:rsidR="00943CC8" w:rsidRPr="004F1432" w:rsidRDefault="00943CC8" w:rsidP="00943CC8">
            <w:pPr>
              <w:jc w:val="both"/>
              <w:rPr>
                <w:rFonts w:ascii="Times New Roman" w:eastAsia="Calibri" w:hAnsi="Times New Roman" w:cs="Times New Roman"/>
                <w:bCs/>
              </w:rPr>
            </w:pPr>
            <w:r>
              <w:rPr>
                <w:rFonts w:ascii="Times New Roman" w:eastAsia="Calibri" w:hAnsi="Times New Roman" w:cs="Times New Roman"/>
              </w:rPr>
              <w:t xml:space="preserve">Respectiv, în legislația sectorială a potențialilor subiecți urmează a fi prevăzute aspectele invocate. </w:t>
            </w:r>
          </w:p>
        </w:tc>
      </w:tr>
      <w:tr w:rsidR="00AD01F2" w:rsidRPr="00882F72" w14:paraId="19BBA73C" w14:textId="77777777" w:rsidTr="00F968A9">
        <w:tc>
          <w:tcPr>
            <w:tcW w:w="797" w:type="pct"/>
            <w:vMerge/>
          </w:tcPr>
          <w:p w14:paraId="716D6270"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0C6667C3" w14:textId="0241D693" w:rsidR="00AD01F2" w:rsidRDefault="00AD01F2" w:rsidP="00021BBB">
            <w:pPr>
              <w:rPr>
                <w:rFonts w:ascii="Times New Roman" w:eastAsia="Calibri" w:hAnsi="Times New Roman" w:cs="Times New Roman"/>
              </w:rPr>
            </w:pPr>
            <w:r>
              <w:rPr>
                <w:rFonts w:ascii="Times New Roman" w:eastAsia="Calibri" w:hAnsi="Times New Roman" w:cs="Times New Roman"/>
              </w:rPr>
              <w:t>16.</w:t>
            </w:r>
          </w:p>
        </w:tc>
        <w:tc>
          <w:tcPr>
            <w:tcW w:w="2505" w:type="pct"/>
          </w:tcPr>
          <w:p w14:paraId="4FA76E18" w14:textId="6C3E34B4" w:rsidR="00AD01F2" w:rsidRDefault="00AD01F2" w:rsidP="00AD01F2">
            <w:pPr>
              <w:jc w:val="both"/>
              <w:rPr>
                <w:rFonts w:ascii="Times New Roman" w:eastAsia="Calibri" w:hAnsi="Times New Roman" w:cs="Times New Roman"/>
              </w:rPr>
            </w:pPr>
            <w:r w:rsidRPr="00AD01F2">
              <w:rPr>
                <w:rFonts w:ascii="Times New Roman" w:eastAsia="Calibri" w:hAnsi="Times New Roman" w:cs="Times New Roman"/>
              </w:rPr>
              <w:t>La pct. 3-4 din HG</w:t>
            </w:r>
            <w:r>
              <w:rPr>
                <w:rFonts w:ascii="Times New Roman" w:eastAsia="Calibri" w:hAnsi="Times New Roman" w:cs="Times New Roman"/>
              </w:rPr>
              <w:t xml:space="preserve">, se </w:t>
            </w:r>
            <w:r w:rsidRPr="00AD01F2">
              <w:rPr>
                <w:rFonts w:ascii="Times New Roman" w:eastAsia="Calibri" w:hAnsi="Times New Roman" w:cs="Times New Roman"/>
              </w:rPr>
              <w:t>recomandă a se reglementa că anexele se actualizează „după caz”, pentru menținerea concordanței cu actele UE și legislația națională aplicabilă, iar revizuirea periodică la intervale de până la 3 ani se aplică numai acolo unde rezultă din actele UE relevante sau din necesitatea corectării unor necorelări</w:t>
            </w:r>
            <w:r>
              <w:rPr>
                <w:rFonts w:ascii="Times New Roman" w:eastAsia="Calibri" w:hAnsi="Times New Roman" w:cs="Times New Roman"/>
              </w:rPr>
              <w:t xml:space="preserve"> tehnice/juridice.</w:t>
            </w:r>
          </w:p>
        </w:tc>
        <w:tc>
          <w:tcPr>
            <w:tcW w:w="1458" w:type="pct"/>
          </w:tcPr>
          <w:p w14:paraId="24FEFD96" w14:textId="77777777" w:rsidR="00AD01F2" w:rsidRDefault="00943CC8" w:rsidP="005B2CC7">
            <w:pPr>
              <w:rPr>
                <w:rFonts w:ascii="Times New Roman" w:eastAsia="Calibri" w:hAnsi="Times New Roman" w:cs="Times New Roman"/>
                <w:b/>
              </w:rPr>
            </w:pPr>
            <w:r>
              <w:rPr>
                <w:rFonts w:ascii="Times New Roman" w:eastAsia="Calibri" w:hAnsi="Times New Roman" w:cs="Times New Roman"/>
                <w:b/>
              </w:rPr>
              <w:t>Se acceptă.</w:t>
            </w:r>
          </w:p>
          <w:p w14:paraId="7E70C9FC" w14:textId="77777777" w:rsidR="00943CC8" w:rsidRPr="00F60B1D" w:rsidRDefault="00943CC8" w:rsidP="00F60B1D">
            <w:pPr>
              <w:jc w:val="both"/>
              <w:rPr>
                <w:rFonts w:ascii="Times New Roman" w:eastAsia="Calibri" w:hAnsi="Times New Roman" w:cs="Times New Roman"/>
              </w:rPr>
            </w:pPr>
            <w:r w:rsidRPr="00F60B1D">
              <w:rPr>
                <w:rFonts w:ascii="Times New Roman" w:eastAsia="Calibri" w:hAnsi="Times New Roman" w:cs="Times New Roman"/>
              </w:rPr>
              <w:t>P</w:t>
            </w:r>
            <w:r w:rsidR="00F60B1D" w:rsidRPr="00F60B1D">
              <w:rPr>
                <w:rFonts w:ascii="Times New Roman" w:eastAsia="Calibri" w:hAnsi="Times New Roman" w:cs="Times New Roman"/>
              </w:rPr>
              <w:t>revederile pct.4 din proiect au fost excluse, iar pct.3 a fost reformulat conform propunerii.</w:t>
            </w:r>
          </w:p>
          <w:p w14:paraId="653768C8" w14:textId="5A589FF1" w:rsidR="00F60B1D" w:rsidRPr="00C7231E" w:rsidRDefault="00F60B1D" w:rsidP="00C7231E">
            <w:pPr>
              <w:jc w:val="both"/>
              <w:rPr>
                <w:rFonts w:ascii="Times New Roman" w:eastAsia="Calibri" w:hAnsi="Times New Roman" w:cs="Times New Roman"/>
              </w:rPr>
            </w:pPr>
            <w:r w:rsidRPr="00C7231E">
              <w:rPr>
                <w:rFonts w:ascii="Times New Roman" w:eastAsia="Calibri" w:hAnsi="Times New Roman" w:cs="Times New Roman"/>
              </w:rPr>
              <w:t>„</w:t>
            </w:r>
            <w:r w:rsidRPr="00C7231E">
              <w:rPr>
                <w:rFonts w:ascii="Times New Roman" w:eastAsia="Calibri" w:hAnsi="Times New Roman" w:cs="Times New Roman"/>
                <w:b/>
              </w:rPr>
              <w:t>2.</w:t>
            </w:r>
            <w:r w:rsidRPr="00C7231E">
              <w:rPr>
                <w:rFonts w:ascii="Times New Roman" w:eastAsia="Calibri" w:hAnsi="Times New Roman" w:cs="Times New Roman"/>
              </w:rPr>
              <w:t xml:space="preserve"> Criteriile tehnice prevăzute în anexa nr.1 și anexa nr.2 a Taxonomiei se revizuiesc cel puțin </w:t>
            </w:r>
            <w:r w:rsidR="00C7231E" w:rsidRPr="00C7231E">
              <w:rPr>
                <w:rFonts w:ascii="Times New Roman" w:eastAsia="Calibri" w:hAnsi="Times New Roman" w:cs="Times New Roman"/>
              </w:rPr>
              <w:t>o dată la 3 ani reieșind din evoluția cadrului normativ conex prevăzut în anexa nr.1 a Taxonomiei.”</w:t>
            </w:r>
          </w:p>
        </w:tc>
      </w:tr>
      <w:tr w:rsidR="00AD01F2" w:rsidRPr="00882F72" w14:paraId="1597688D" w14:textId="77777777" w:rsidTr="00F968A9">
        <w:tc>
          <w:tcPr>
            <w:tcW w:w="797" w:type="pct"/>
            <w:vMerge/>
          </w:tcPr>
          <w:p w14:paraId="2E7DA3C0"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24FFC655" w14:textId="15EE6024" w:rsidR="00AD01F2" w:rsidRDefault="00AD01F2" w:rsidP="00021BBB">
            <w:pPr>
              <w:rPr>
                <w:rFonts w:ascii="Times New Roman" w:eastAsia="Calibri" w:hAnsi="Times New Roman" w:cs="Times New Roman"/>
              </w:rPr>
            </w:pPr>
            <w:r>
              <w:rPr>
                <w:rFonts w:ascii="Times New Roman" w:eastAsia="Calibri" w:hAnsi="Times New Roman" w:cs="Times New Roman"/>
              </w:rPr>
              <w:t>17.</w:t>
            </w:r>
          </w:p>
        </w:tc>
        <w:tc>
          <w:tcPr>
            <w:tcW w:w="2505" w:type="pct"/>
          </w:tcPr>
          <w:p w14:paraId="03686C98" w14:textId="7830EE84" w:rsidR="00AD01F2" w:rsidRPr="00AD01F2" w:rsidRDefault="00AD01F2" w:rsidP="00AD01F2">
            <w:pPr>
              <w:jc w:val="both"/>
              <w:rPr>
                <w:rFonts w:ascii="Times New Roman" w:eastAsia="Calibri" w:hAnsi="Times New Roman" w:cs="Times New Roman"/>
              </w:rPr>
            </w:pPr>
            <w:r>
              <w:rPr>
                <w:rFonts w:ascii="Times New Roman" w:eastAsia="Calibri" w:hAnsi="Times New Roman" w:cs="Times New Roman"/>
              </w:rPr>
              <w:t xml:space="preserve">La </w:t>
            </w:r>
            <w:r w:rsidRPr="00AD01F2">
              <w:rPr>
                <w:rFonts w:ascii="Times New Roman" w:eastAsia="Calibri" w:hAnsi="Times New Roman" w:cs="Times New Roman"/>
              </w:rPr>
              <w:t>pct. 14-15</w:t>
            </w:r>
            <w:r>
              <w:rPr>
                <w:rFonts w:ascii="Times New Roman" w:eastAsia="Calibri" w:hAnsi="Times New Roman" w:cs="Times New Roman"/>
              </w:rPr>
              <w:t xml:space="preserve"> din</w:t>
            </w:r>
            <w:r w:rsidRPr="00AD01F2">
              <w:rPr>
                <w:rFonts w:ascii="Times New Roman" w:eastAsia="Calibri" w:hAnsi="Times New Roman" w:cs="Times New Roman"/>
              </w:rPr>
              <w:t xml:space="preserve"> Taxonomie; trimiteri interne din proiect</w:t>
            </w:r>
            <w:r>
              <w:rPr>
                <w:rFonts w:ascii="Times New Roman" w:eastAsia="Calibri" w:hAnsi="Times New Roman" w:cs="Times New Roman"/>
              </w:rPr>
              <w:t>, se recomandă r</w:t>
            </w:r>
            <w:r w:rsidRPr="00AD01F2">
              <w:rPr>
                <w:rFonts w:ascii="Times New Roman" w:eastAsia="Calibri" w:hAnsi="Times New Roman" w:cs="Times New Roman"/>
              </w:rPr>
              <w:t>evizuire</w:t>
            </w:r>
            <w:r>
              <w:rPr>
                <w:rFonts w:ascii="Times New Roman" w:eastAsia="Calibri" w:hAnsi="Times New Roman" w:cs="Times New Roman"/>
              </w:rPr>
              <w:t>a</w:t>
            </w:r>
            <w:r w:rsidRPr="00AD01F2">
              <w:rPr>
                <w:rFonts w:ascii="Times New Roman" w:eastAsia="Calibri" w:hAnsi="Times New Roman" w:cs="Times New Roman"/>
              </w:rPr>
              <w:t xml:space="preserve"> integrală de tehnică legislativă și redactare. A se corecta toate trimiterile interne prin raportare la structura reală a actului; a elimina erorile gramaticale, sintactice și terminologice; a uniformiza terminologia pe tot parcursul proiectului și anexelor.</w:t>
            </w:r>
          </w:p>
        </w:tc>
        <w:tc>
          <w:tcPr>
            <w:tcW w:w="1458" w:type="pct"/>
          </w:tcPr>
          <w:p w14:paraId="5D4B12F0" w14:textId="77777777" w:rsidR="00AD01F2" w:rsidRDefault="00C437AC" w:rsidP="005B2CC7">
            <w:pPr>
              <w:rPr>
                <w:rFonts w:ascii="Times New Roman" w:eastAsia="Calibri" w:hAnsi="Times New Roman" w:cs="Times New Roman"/>
                <w:b/>
              </w:rPr>
            </w:pPr>
            <w:r>
              <w:rPr>
                <w:rFonts w:ascii="Times New Roman" w:eastAsia="Calibri" w:hAnsi="Times New Roman" w:cs="Times New Roman"/>
                <w:b/>
              </w:rPr>
              <w:t>Se acceptă.</w:t>
            </w:r>
          </w:p>
          <w:p w14:paraId="581AC228" w14:textId="0A0B05BB" w:rsidR="00C437AC" w:rsidRPr="00C437AC" w:rsidRDefault="00C437AC" w:rsidP="00C437AC">
            <w:pPr>
              <w:jc w:val="both"/>
              <w:rPr>
                <w:rFonts w:ascii="Times New Roman" w:eastAsia="Calibri" w:hAnsi="Times New Roman" w:cs="Times New Roman"/>
              </w:rPr>
            </w:pPr>
            <w:r w:rsidRPr="00C437AC">
              <w:rPr>
                <w:rFonts w:ascii="Times New Roman" w:eastAsia="Calibri" w:hAnsi="Times New Roman" w:cs="Times New Roman"/>
              </w:rPr>
              <w:t xml:space="preserve">Proiectul a fost revăzut integral în conformitate cu propunerile de tehnică legislativă prezentate de Ministerul </w:t>
            </w:r>
            <w:r>
              <w:rPr>
                <w:rFonts w:ascii="Times New Roman" w:eastAsia="Calibri" w:hAnsi="Times New Roman" w:cs="Times New Roman"/>
              </w:rPr>
              <w:t>Justiției la etapa de expertizare.</w:t>
            </w:r>
          </w:p>
        </w:tc>
      </w:tr>
      <w:tr w:rsidR="00AD01F2" w:rsidRPr="00882F72" w14:paraId="22E1A510" w14:textId="77777777" w:rsidTr="00F968A9">
        <w:tc>
          <w:tcPr>
            <w:tcW w:w="797" w:type="pct"/>
            <w:vMerge/>
          </w:tcPr>
          <w:p w14:paraId="37EAB5C5" w14:textId="77777777" w:rsidR="00AD01F2" w:rsidRPr="00800EB7" w:rsidRDefault="00AD01F2" w:rsidP="00800EB7">
            <w:pPr>
              <w:tabs>
                <w:tab w:val="left" w:pos="355"/>
              </w:tabs>
              <w:rPr>
                <w:rFonts w:ascii="Times New Roman" w:eastAsia="Calibri" w:hAnsi="Times New Roman" w:cs="Times New Roman"/>
                <w:b/>
                <w:bCs/>
              </w:rPr>
            </w:pPr>
          </w:p>
        </w:tc>
        <w:tc>
          <w:tcPr>
            <w:tcW w:w="240" w:type="pct"/>
          </w:tcPr>
          <w:p w14:paraId="424C1D2F" w14:textId="6536E15A" w:rsidR="00AD01F2" w:rsidRDefault="00AD01F2" w:rsidP="00021BBB">
            <w:pPr>
              <w:rPr>
                <w:rFonts w:ascii="Times New Roman" w:eastAsia="Calibri" w:hAnsi="Times New Roman" w:cs="Times New Roman"/>
              </w:rPr>
            </w:pPr>
            <w:r>
              <w:rPr>
                <w:rFonts w:ascii="Times New Roman" w:eastAsia="Calibri" w:hAnsi="Times New Roman" w:cs="Times New Roman"/>
              </w:rPr>
              <w:t>18.</w:t>
            </w:r>
          </w:p>
        </w:tc>
        <w:tc>
          <w:tcPr>
            <w:tcW w:w="2505" w:type="pct"/>
          </w:tcPr>
          <w:p w14:paraId="7D086D03" w14:textId="4D603CED" w:rsidR="00AD01F2" w:rsidRDefault="00AD01F2" w:rsidP="00AD01F2">
            <w:pPr>
              <w:jc w:val="both"/>
              <w:rPr>
                <w:rFonts w:ascii="Times New Roman" w:eastAsia="Calibri" w:hAnsi="Times New Roman" w:cs="Times New Roman"/>
              </w:rPr>
            </w:pPr>
            <w:r w:rsidRPr="00AD01F2">
              <w:rPr>
                <w:rFonts w:ascii="Times New Roman" w:eastAsia="Calibri" w:hAnsi="Times New Roman" w:cs="Times New Roman"/>
              </w:rPr>
              <w:t>Se recomandă completarea notei de fundamentare și a tabelului de concordanță. A se preciza explicit: gradul de transpunere pentru fiecare act UE, calendarul transpunerii integrale, actele naționale conexe ce urmează a fi adoptate/modificate și justificarea oricăror reglementări naționale suplimentare.</w:t>
            </w:r>
          </w:p>
        </w:tc>
        <w:tc>
          <w:tcPr>
            <w:tcW w:w="1458" w:type="pct"/>
          </w:tcPr>
          <w:p w14:paraId="38DFB3F7" w14:textId="77777777" w:rsidR="00AD01F2" w:rsidRDefault="004A6C88" w:rsidP="005B2CC7">
            <w:pPr>
              <w:rPr>
                <w:rFonts w:ascii="Times New Roman" w:eastAsia="Calibri" w:hAnsi="Times New Roman" w:cs="Times New Roman"/>
                <w:b/>
              </w:rPr>
            </w:pPr>
            <w:r>
              <w:rPr>
                <w:rFonts w:ascii="Times New Roman" w:eastAsia="Calibri" w:hAnsi="Times New Roman" w:cs="Times New Roman"/>
                <w:b/>
              </w:rPr>
              <w:t>Se acceptă parțial.</w:t>
            </w:r>
          </w:p>
          <w:p w14:paraId="474AFD3B" w14:textId="17408CE0" w:rsidR="004A6C88" w:rsidRPr="00943CC8" w:rsidRDefault="004A6C88" w:rsidP="00943CC8">
            <w:pPr>
              <w:jc w:val="both"/>
              <w:rPr>
                <w:rFonts w:ascii="Times New Roman" w:eastAsia="Calibri" w:hAnsi="Times New Roman" w:cs="Times New Roman"/>
              </w:rPr>
            </w:pPr>
            <w:r w:rsidRPr="00943CC8">
              <w:rPr>
                <w:rFonts w:ascii="Times New Roman" w:eastAsia="Calibri" w:hAnsi="Times New Roman" w:cs="Times New Roman"/>
              </w:rPr>
              <w:t xml:space="preserve">Gradul de transpunere </w:t>
            </w:r>
            <w:r w:rsidR="00943CC8" w:rsidRPr="00943CC8">
              <w:rPr>
                <w:rFonts w:ascii="Times New Roman" w:eastAsia="Calibri" w:hAnsi="Times New Roman" w:cs="Times New Roman"/>
              </w:rPr>
              <w:t>al fiecărui act UE (Regulamentul UE 2020/852, Regulamentul UE 2023/2486 și Regulamentul UE 2021/2139), inclusiv pe fiecare prevedere a acestora este specificat în tabele de concordanță aferente, ce au fost expertizate de către Centrul de Armonizare a Legislației, cu ajustarea acestora conform propunerilor și recomandărilor CAL.</w:t>
            </w:r>
          </w:p>
        </w:tc>
      </w:tr>
      <w:tr w:rsidR="005B2CC7" w:rsidRPr="00882F72" w14:paraId="390458F6" w14:textId="77777777" w:rsidTr="005B2CC7">
        <w:tc>
          <w:tcPr>
            <w:tcW w:w="5000" w:type="pct"/>
            <w:gridSpan w:val="4"/>
            <w:shd w:val="clear" w:color="auto" w:fill="D9D9D9" w:themeFill="background1" w:themeFillShade="D9"/>
          </w:tcPr>
          <w:p w14:paraId="6DF05BF3" w14:textId="500DB3DE" w:rsidR="005B2CC7" w:rsidRPr="00AC40EE" w:rsidRDefault="005B2CC7" w:rsidP="00C65D96">
            <w:pPr>
              <w:jc w:val="center"/>
              <w:rPr>
                <w:rFonts w:ascii="Times New Roman" w:eastAsia="Calibri" w:hAnsi="Times New Roman" w:cs="Times New Roman"/>
                <w:b/>
                <w:i/>
              </w:rPr>
            </w:pPr>
            <w:r w:rsidRPr="00AC40EE">
              <w:rPr>
                <w:rFonts w:ascii="Times New Roman" w:eastAsia="Calibri" w:hAnsi="Times New Roman" w:cs="Times New Roman"/>
                <w:b/>
                <w:i/>
              </w:rPr>
              <w:t>Expertizare</w:t>
            </w:r>
          </w:p>
        </w:tc>
      </w:tr>
      <w:tr w:rsidR="0011010C" w:rsidRPr="00882F72" w14:paraId="05D6845C" w14:textId="77777777" w:rsidTr="00F968A9">
        <w:tc>
          <w:tcPr>
            <w:tcW w:w="797" w:type="pct"/>
            <w:vMerge w:val="restart"/>
          </w:tcPr>
          <w:p w14:paraId="08E48CF7" w14:textId="77777777" w:rsidR="0011010C" w:rsidRPr="00EB0784" w:rsidRDefault="0011010C" w:rsidP="005B2CC7">
            <w:pPr>
              <w:tabs>
                <w:tab w:val="left" w:pos="355"/>
              </w:tabs>
              <w:rPr>
                <w:rFonts w:ascii="Times New Roman" w:eastAsia="Calibri" w:hAnsi="Times New Roman" w:cs="Times New Roman"/>
                <w:b/>
                <w:bCs/>
              </w:rPr>
            </w:pPr>
            <w:r w:rsidRPr="00EB0784">
              <w:rPr>
                <w:rFonts w:ascii="Times New Roman" w:eastAsia="Calibri" w:hAnsi="Times New Roman" w:cs="Times New Roman"/>
                <w:b/>
                <w:bCs/>
              </w:rPr>
              <w:t xml:space="preserve">Centrul de Armonizare a Legislației </w:t>
            </w:r>
          </w:p>
          <w:p w14:paraId="4300936E" w14:textId="77777777" w:rsidR="0011010C" w:rsidRPr="00882F72" w:rsidRDefault="0011010C" w:rsidP="005B2CC7">
            <w:pPr>
              <w:tabs>
                <w:tab w:val="left" w:pos="355"/>
              </w:tabs>
              <w:rPr>
                <w:rFonts w:ascii="Times New Roman" w:eastAsia="Calibri" w:hAnsi="Times New Roman" w:cs="Times New Roman"/>
                <w:b/>
                <w:bCs/>
              </w:rPr>
            </w:pPr>
          </w:p>
          <w:p w14:paraId="0824C98B" w14:textId="77777777" w:rsidR="0011010C" w:rsidRPr="00882F72" w:rsidRDefault="0011010C" w:rsidP="005B2CC7">
            <w:pPr>
              <w:tabs>
                <w:tab w:val="left" w:pos="355"/>
              </w:tabs>
              <w:rPr>
                <w:rFonts w:ascii="Times New Roman" w:eastAsia="Calibri" w:hAnsi="Times New Roman" w:cs="Times New Roman"/>
              </w:rPr>
            </w:pPr>
            <w:r w:rsidRPr="00882F72">
              <w:rPr>
                <w:rFonts w:ascii="Times New Roman" w:eastAsia="Calibri" w:hAnsi="Times New Roman" w:cs="Times New Roman"/>
              </w:rPr>
              <w:t>nr. 31/02-126-2431 din 04.03.2026</w:t>
            </w:r>
          </w:p>
          <w:p w14:paraId="0654802A" w14:textId="77777777" w:rsidR="0011010C" w:rsidRPr="00882F72" w:rsidRDefault="0011010C" w:rsidP="005B2CC7">
            <w:pPr>
              <w:tabs>
                <w:tab w:val="left" w:pos="355"/>
              </w:tabs>
              <w:rPr>
                <w:rFonts w:ascii="Times New Roman" w:eastAsia="Calibri" w:hAnsi="Times New Roman" w:cs="Times New Roman"/>
                <w:b/>
                <w:bCs/>
              </w:rPr>
            </w:pPr>
          </w:p>
          <w:p w14:paraId="2F5FF222" w14:textId="77777777" w:rsidR="0011010C" w:rsidRPr="00882F72" w:rsidRDefault="0011010C" w:rsidP="005B2CC7">
            <w:pPr>
              <w:tabs>
                <w:tab w:val="left" w:pos="355"/>
              </w:tabs>
              <w:rPr>
                <w:rFonts w:ascii="Times New Roman" w:eastAsia="Calibri" w:hAnsi="Times New Roman" w:cs="Times New Roman"/>
                <w:b/>
                <w:bCs/>
              </w:rPr>
            </w:pPr>
          </w:p>
        </w:tc>
        <w:tc>
          <w:tcPr>
            <w:tcW w:w="240" w:type="pct"/>
          </w:tcPr>
          <w:p w14:paraId="0ED8CBDC" w14:textId="32769E40" w:rsidR="0011010C" w:rsidRPr="00AC40EE" w:rsidRDefault="0011010C" w:rsidP="005B2CC7">
            <w:pPr>
              <w:rPr>
                <w:rFonts w:ascii="Times New Roman" w:eastAsia="Calibri" w:hAnsi="Times New Roman" w:cs="Times New Roman"/>
              </w:rPr>
            </w:pPr>
            <w:r>
              <w:rPr>
                <w:rFonts w:ascii="Times New Roman" w:eastAsia="Calibri" w:hAnsi="Times New Roman" w:cs="Times New Roman"/>
              </w:rPr>
              <w:t xml:space="preserve">1. </w:t>
            </w:r>
          </w:p>
        </w:tc>
        <w:tc>
          <w:tcPr>
            <w:tcW w:w="2505" w:type="pct"/>
          </w:tcPr>
          <w:p w14:paraId="2D37F1F1" w14:textId="77777777" w:rsidR="0011010C" w:rsidRPr="000D2763" w:rsidRDefault="0011010C" w:rsidP="000D2763">
            <w:pPr>
              <w:jc w:val="both"/>
              <w:rPr>
                <w:rFonts w:ascii="Times New Roman" w:eastAsia="Calibri" w:hAnsi="Times New Roman" w:cs="Times New Roman"/>
              </w:rPr>
            </w:pPr>
            <w:r w:rsidRPr="000D2763">
              <w:rPr>
                <w:rFonts w:ascii="Times New Roman" w:eastAsia="Calibri" w:hAnsi="Times New Roman" w:cs="Times New Roman"/>
                <w:i/>
                <w:iCs/>
              </w:rPr>
              <w:t>Obiecții de compatibilitate cu Regulamentul 2020/852/UE</w:t>
            </w:r>
          </w:p>
          <w:p w14:paraId="564978A0"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t>Examinând proiectul național prin prisma actului UE, expunem următoarele:</w:t>
            </w:r>
          </w:p>
          <w:p w14:paraId="2E1171AB" w14:textId="5BA5764E" w:rsidR="0011010C" w:rsidRPr="002E39C1" w:rsidRDefault="0011010C" w:rsidP="005B2CC7">
            <w:pPr>
              <w:jc w:val="both"/>
              <w:rPr>
                <w:rFonts w:ascii="Times New Roman" w:eastAsia="Calibri" w:hAnsi="Times New Roman" w:cs="Times New Roman"/>
              </w:rPr>
            </w:pPr>
            <w:r w:rsidRPr="00DD3C6B">
              <w:rPr>
                <w:rFonts w:ascii="Times New Roman" w:eastAsia="Calibri" w:hAnsi="Times New Roman" w:cs="Times New Roman"/>
              </w:rPr>
              <w:t xml:space="preserve">Proiectul național nu a asigurat transpunerea tuturor definițiilor relevante de la art. 2 din actul UE, precum „participant la piața financiară”, „produs financiar”, „emitent”, „gaz cu efect de seră”, „ierarhia deșeurilor”, „poluant”, etc., iar Tabelul de concordanță nu reflectă aceste prevederi UE, precum și motivele netranspunerii acestora. Se impune reexaminarea acestor prevederi în vederea transpunerii de proiectul național sau indicarea actelor normative naționale care asigură transpunerea acestora; </w:t>
            </w:r>
          </w:p>
        </w:tc>
        <w:tc>
          <w:tcPr>
            <w:tcW w:w="1458" w:type="pct"/>
          </w:tcPr>
          <w:p w14:paraId="3DA9C1B8" w14:textId="16F74435" w:rsidR="0011010C" w:rsidRPr="00454EAC" w:rsidRDefault="0011010C" w:rsidP="005B2CC7">
            <w:pPr>
              <w:pStyle w:val="CommentText"/>
              <w:rPr>
                <w:rFonts w:ascii="Times New Roman" w:hAnsi="Times New Roman" w:cs="Times New Roman"/>
                <w:b/>
                <w:bCs/>
                <w:color w:val="000000" w:themeColor="text1"/>
              </w:rPr>
            </w:pPr>
            <w:r w:rsidRPr="00454EAC">
              <w:rPr>
                <w:rFonts w:ascii="Times New Roman" w:hAnsi="Times New Roman" w:cs="Times New Roman"/>
                <w:b/>
                <w:bCs/>
                <w:color w:val="000000" w:themeColor="text1"/>
              </w:rPr>
              <w:t>Se acceptă</w:t>
            </w:r>
          </w:p>
          <w:p w14:paraId="34798B7B" w14:textId="77777777"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 xml:space="preserve">Pct.4 din proiectul </w:t>
            </w:r>
            <w:proofErr w:type="spellStart"/>
            <w:r w:rsidRPr="00454EAC">
              <w:rPr>
                <w:rFonts w:ascii="Times New Roman" w:hAnsi="Times New Roman" w:cs="Times New Roman"/>
                <w:color w:val="000000" w:themeColor="text1"/>
              </w:rPr>
              <w:t>hotărîrii</w:t>
            </w:r>
            <w:proofErr w:type="spellEnd"/>
            <w:r w:rsidRPr="00454EAC">
              <w:rPr>
                <w:rFonts w:ascii="Times New Roman" w:hAnsi="Times New Roman" w:cs="Times New Roman"/>
                <w:color w:val="000000" w:themeColor="text1"/>
              </w:rPr>
              <w:t xml:space="preserve"> a fost completat cu următoarele definiții:</w:t>
            </w:r>
          </w:p>
          <w:p w14:paraId="3F12C7A7" w14:textId="67622A08"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”ecosistem”, ”biodiversitate”, ”</w:t>
            </w:r>
            <w:proofErr w:type="spellStart"/>
            <w:r w:rsidRPr="00454EAC">
              <w:rPr>
                <w:rFonts w:ascii="Times New Roman" w:hAnsi="Times New Roman" w:cs="Times New Roman"/>
                <w:color w:val="000000" w:themeColor="text1"/>
              </w:rPr>
              <w:t>conditie</w:t>
            </w:r>
            <w:proofErr w:type="spellEnd"/>
            <w:r w:rsidRPr="00454EAC">
              <w:rPr>
                <w:rFonts w:ascii="Times New Roman" w:hAnsi="Times New Roman" w:cs="Times New Roman"/>
                <w:color w:val="000000" w:themeColor="text1"/>
              </w:rPr>
              <w:t xml:space="preserve"> buna” ”eficienta energetica”, ”poluant”, ”sol”, ”servicii </w:t>
            </w:r>
            <w:proofErr w:type="spellStart"/>
            <w:r w:rsidRPr="00454EAC">
              <w:rPr>
                <w:rFonts w:ascii="Times New Roman" w:hAnsi="Times New Roman" w:cs="Times New Roman"/>
                <w:color w:val="000000" w:themeColor="text1"/>
              </w:rPr>
              <w:t>ecosistemice</w:t>
            </w:r>
            <w:proofErr w:type="spellEnd"/>
            <w:r w:rsidRPr="00454EAC">
              <w:rPr>
                <w:rFonts w:ascii="Times New Roman" w:hAnsi="Times New Roman" w:cs="Times New Roman"/>
                <w:color w:val="000000" w:themeColor="text1"/>
              </w:rPr>
              <w:t>”.</w:t>
            </w:r>
          </w:p>
          <w:p w14:paraId="7267506C" w14:textId="41369E42" w:rsidR="0011010C" w:rsidRPr="00454EAC" w:rsidRDefault="0011010C" w:rsidP="00454EAC">
            <w:pPr>
              <w:pStyle w:val="CommentText"/>
              <w:jc w:val="both"/>
              <w:rPr>
                <w:rFonts w:ascii="Times New Roman" w:hAnsi="Times New Roman" w:cs="Times New Roman"/>
                <w:color w:val="000000" w:themeColor="text1"/>
              </w:rPr>
            </w:pPr>
            <w:proofErr w:type="spellStart"/>
            <w:r w:rsidRPr="00454EAC">
              <w:rPr>
                <w:rFonts w:ascii="Times New Roman" w:hAnsi="Times New Roman" w:cs="Times New Roman"/>
                <w:color w:val="000000" w:themeColor="text1"/>
              </w:rPr>
              <w:t>Cît</w:t>
            </w:r>
            <w:proofErr w:type="spellEnd"/>
            <w:r w:rsidRPr="00454EAC">
              <w:rPr>
                <w:rFonts w:ascii="Times New Roman" w:hAnsi="Times New Roman" w:cs="Times New Roman"/>
                <w:color w:val="000000" w:themeColor="text1"/>
              </w:rPr>
              <w:t xml:space="preserve"> ține de alte definiții, acestea se regăsesc în instrumente care nu se transpun prin proiectul </w:t>
            </w:r>
            <w:proofErr w:type="spellStart"/>
            <w:r w:rsidRPr="00454EAC">
              <w:rPr>
                <w:rFonts w:ascii="Times New Roman" w:hAnsi="Times New Roman" w:cs="Times New Roman"/>
                <w:color w:val="000000" w:themeColor="text1"/>
              </w:rPr>
              <w:t>hotărîrii</w:t>
            </w:r>
            <w:proofErr w:type="spellEnd"/>
            <w:r w:rsidRPr="00454EAC">
              <w:rPr>
                <w:rFonts w:ascii="Times New Roman" w:hAnsi="Times New Roman" w:cs="Times New Roman"/>
                <w:color w:val="000000" w:themeColor="text1"/>
              </w:rPr>
              <w:t>, sau au alt context/definiție deja existentă în sistemul național, ex.;</w:t>
            </w:r>
          </w:p>
          <w:p w14:paraId="116CAE32" w14:textId="47090CA3"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„emitent” înseamnă un emitent astfel cum este definit la articolul 2 litera (h) din Regulamentul (UE) 2017/1129 al Parlamentului European și al Consiliului.</w:t>
            </w:r>
          </w:p>
          <w:p w14:paraId="2EBF6DEA" w14:textId="3BF36FDD"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lastRenderedPageBreak/>
              <w:t>„gaz cu efect de seră” înseamnă un gaz cu efect de seră enumerat în anexa I la Regulamentul (UE) nr. 525/2013 al Parlamentului European și al Consiliului.</w:t>
            </w:r>
          </w:p>
          <w:p w14:paraId="00E87F18" w14:textId="77777777"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„ierarhia deșeurilor” înseamnă ierarhia deșeurilor astfel cum este prevăzută la articolul 4 din Directiva 2008/98/CE;</w:t>
            </w:r>
          </w:p>
          <w:p w14:paraId="726065B7" w14:textId="77777777"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„apă de suprafață” înseamnă apă de suprafață astfel cum este definită la articolul 2 punctul 1 din Directiva 2000/60/CE;</w:t>
            </w:r>
          </w:p>
          <w:p w14:paraId="772B0332" w14:textId="77777777"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„apă subterană” înseamnă apă subterană astfel cum este definită la articolul 2 punctul 2 din Directiva 2000/60/CE;</w:t>
            </w:r>
          </w:p>
          <w:p w14:paraId="48267D8A" w14:textId="77777777"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„stare ecologică bună” înseamnă o stare ecologică bună astfel cum este definită la articolul 3 punctul 5 din Directiva 2008/56/CE;</w:t>
            </w:r>
          </w:p>
          <w:p w14:paraId="07AAF206" w14:textId="77777777" w:rsidR="0011010C" w:rsidRPr="00454EAC" w:rsidRDefault="0011010C" w:rsidP="00454EAC">
            <w:pPr>
              <w:pStyle w:val="CommentText"/>
              <w:jc w:val="both"/>
              <w:rPr>
                <w:rFonts w:ascii="Times New Roman" w:hAnsi="Times New Roman" w:cs="Times New Roman"/>
                <w:color w:val="000000" w:themeColor="text1"/>
              </w:rPr>
            </w:pPr>
            <w:r w:rsidRPr="00454EAC">
              <w:rPr>
                <w:rFonts w:ascii="Times New Roman" w:hAnsi="Times New Roman" w:cs="Times New Roman"/>
                <w:color w:val="000000" w:themeColor="text1"/>
              </w:rPr>
              <w:t>„stare bună” înseamnă:</w:t>
            </w:r>
          </w:p>
          <w:p w14:paraId="6E42702E" w14:textId="44139052" w:rsidR="0011010C" w:rsidRPr="00454EAC" w:rsidRDefault="0011010C" w:rsidP="00454EAC">
            <w:pPr>
              <w:jc w:val="both"/>
              <w:rPr>
                <w:rFonts w:ascii="Times New Roman" w:eastAsia="Calibri" w:hAnsi="Times New Roman" w:cs="Times New Roman"/>
                <w:color w:val="000000" w:themeColor="text1"/>
              </w:rPr>
            </w:pPr>
            <w:r w:rsidRPr="00454EAC">
              <w:rPr>
                <w:rFonts w:ascii="Times New Roman" w:hAnsi="Times New Roman" w:cs="Times New Roman"/>
                <w:color w:val="000000" w:themeColor="text1"/>
                <w:sz w:val="20"/>
                <w:szCs w:val="20"/>
              </w:rPr>
              <w:t>(a) pentru apele de suprafață, care au atât „stare ecologică bună”, astfel cum este definită la articolul 2 punctul 22 din Directiva 2000/60/CE, cât și „stare chimică bună a apelor de suprafață”, astfel cum este definită la articolul 2 punctul 24 din directiva respectivă; (b) pentru apele subterane, care au atât „o stare chimică bună a apelor subterane”, astfel cum este definită la articolul 2 punctul 25 din Directiva 2000/60/CE, cât și „o stare cantitativă bună”, astfel cum este definită la articolul 2 punctul 28 din directiva respectivă;</w:t>
            </w:r>
          </w:p>
        </w:tc>
      </w:tr>
      <w:tr w:rsidR="0011010C" w:rsidRPr="00882F72" w14:paraId="47057777" w14:textId="77777777" w:rsidTr="00800EB7">
        <w:tc>
          <w:tcPr>
            <w:tcW w:w="797" w:type="pct"/>
            <w:vMerge/>
          </w:tcPr>
          <w:p w14:paraId="64CD1955" w14:textId="77777777" w:rsidR="0011010C" w:rsidRPr="00882F72" w:rsidRDefault="0011010C" w:rsidP="005B2CC7">
            <w:pPr>
              <w:tabs>
                <w:tab w:val="left" w:pos="355"/>
              </w:tabs>
              <w:rPr>
                <w:rFonts w:ascii="Times New Roman" w:eastAsia="Calibri" w:hAnsi="Times New Roman" w:cs="Times New Roman"/>
                <w:b/>
                <w:bCs/>
              </w:rPr>
            </w:pPr>
          </w:p>
        </w:tc>
        <w:tc>
          <w:tcPr>
            <w:tcW w:w="240" w:type="pct"/>
          </w:tcPr>
          <w:p w14:paraId="2B51BDED" w14:textId="6E83D483" w:rsidR="0011010C" w:rsidRPr="00AC40EE" w:rsidRDefault="0011010C" w:rsidP="005B2CC7">
            <w:pPr>
              <w:rPr>
                <w:rFonts w:ascii="Times New Roman" w:eastAsia="Calibri" w:hAnsi="Times New Roman" w:cs="Times New Roman"/>
              </w:rPr>
            </w:pPr>
            <w:r>
              <w:rPr>
                <w:rFonts w:ascii="Times New Roman" w:eastAsia="Calibri" w:hAnsi="Times New Roman" w:cs="Times New Roman"/>
              </w:rPr>
              <w:t>2.</w:t>
            </w:r>
          </w:p>
        </w:tc>
        <w:tc>
          <w:tcPr>
            <w:tcW w:w="2505" w:type="pct"/>
          </w:tcPr>
          <w:p w14:paraId="79F00416" w14:textId="0395DD71" w:rsidR="0011010C" w:rsidRPr="002E39C1" w:rsidRDefault="0011010C" w:rsidP="005B2CC7">
            <w:pPr>
              <w:jc w:val="both"/>
              <w:rPr>
                <w:rFonts w:ascii="Times New Roman" w:eastAsia="Calibri" w:hAnsi="Times New Roman" w:cs="Times New Roman"/>
              </w:rPr>
            </w:pPr>
            <w:r w:rsidRPr="00DD3C6B">
              <w:rPr>
                <w:rFonts w:ascii="Times New Roman" w:eastAsia="Calibri" w:hAnsi="Times New Roman" w:cs="Times New Roman"/>
              </w:rPr>
              <w:t xml:space="preserve">Proiectul național nu a transpus art. 5 - 7 din Regulamentul UE, care se referă la transparența investițiilor durabile din punctul de vedere al mediului în informațiile precontractuale și în rapoartele periodice, transparența produselor financiare care promovează caracteristici de mediu în informațiile precontractuale și în rapoartele periodice și transparența altor produse financiare în informațiile precontractuale și în rapoartele periodice, iar Tabelul de concordanță nu reflectă aceste prevederi și motivele netranspunerii acestora. Se impune reexaminarea acestor prevederi în vederea transpunerii de proiectul național; </w:t>
            </w:r>
          </w:p>
        </w:tc>
        <w:tc>
          <w:tcPr>
            <w:tcW w:w="1458" w:type="pct"/>
          </w:tcPr>
          <w:p w14:paraId="7A430025" w14:textId="77777777" w:rsidR="0011010C" w:rsidRPr="00AB1AEA" w:rsidRDefault="0011010C" w:rsidP="005B2CC7">
            <w:pPr>
              <w:rPr>
                <w:rFonts w:ascii="Times New Roman" w:hAnsi="Times New Roman" w:cs="Times New Roman"/>
                <w:b/>
                <w:bCs/>
                <w:color w:val="000000" w:themeColor="text1"/>
              </w:rPr>
            </w:pPr>
            <w:r w:rsidRPr="00AB1AEA">
              <w:rPr>
                <w:rFonts w:ascii="Times New Roman" w:hAnsi="Times New Roman" w:cs="Times New Roman"/>
                <w:b/>
                <w:bCs/>
                <w:color w:val="000000" w:themeColor="text1"/>
              </w:rPr>
              <w:t>Se acceptă</w:t>
            </w:r>
          </w:p>
          <w:p w14:paraId="07D9BBC7" w14:textId="77699036" w:rsidR="0011010C" w:rsidRPr="00882F72" w:rsidRDefault="0011010C" w:rsidP="00AB1AEA">
            <w:pPr>
              <w:jc w:val="both"/>
              <w:rPr>
                <w:rFonts w:ascii="Times New Roman" w:eastAsia="Calibri" w:hAnsi="Times New Roman" w:cs="Times New Roman"/>
              </w:rPr>
            </w:pPr>
            <w:r w:rsidRPr="00AB1AEA">
              <w:rPr>
                <w:rFonts w:ascii="Times New Roman" w:eastAsia="Calibri" w:hAnsi="Times New Roman" w:cs="Times New Roman"/>
                <w:color w:val="000000" w:themeColor="text1"/>
              </w:rPr>
              <w:t>Explicațiile au fost incluse în tabelul de concordanță</w:t>
            </w:r>
          </w:p>
        </w:tc>
      </w:tr>
      <w:tr w:rsidR="0011010C" w:rsidRPr="00882F72" w14:paraId="7A468A26" w14:textId="77777777" w:rsidTr="00800EB7">
        <w:tc>
          <w:tcPr>
            <w:tcW w:w="797" w:type="pct"/>
            <w:vMerge/>
          </w:tcPr>
          <w:p w14:paraId="7C43CAB4" w14:textId="77777777" w:rsidR="0011010C" w:rsidRPr="00882F72" w:rsidRDefault="0011010C" w:rsidP="005B2CC7">
            <w:pPr>
              <w:tabs>
                <w:tab w:val="left" w:pos="355"/>
              </w:tabs>
              <w:rPr>
                <w:rFonts w:ascii="Times New Roman" w:eastAsia="Calibri" w:hAnsi="Times New Roman" w:cs="Times New Roman"/>
                <w:b/>
                <w:bCs/>
              </w:rPr>
            </w:pPr>
          </w:p>
        </w:tc>
        <w:tc>
          <w:tcPr>
            <w:tcW w:w="240" w:type="pct"/>
          </w:tcPr>
          <w:p w14:paraId="4FC44DCE" w14:textId="12DD2641" w:rsidR="0011010C" w:rsidRPr="00AC40EE" w:rsidRDefault="0011010C" w:rsidP="005B2CC7">
            <w:pPr>
              <w:rPr>
                <w:rFonts w:ascii="Times New Roman" w:eastAsia="Calibri" w:hAnsi="Times New Roman" w:cs="Times New Roman"/>
              </w:rPr>
            </w:pPr>
            <w:r>
              <w:rPr>
                <w:rFonts w:ascii="Times New Roman" w:eastAsia="Calibri" w:hAnsi="Times New Roman" w:cs="Times New Roman"/>
              </w:rPr>
              <w:t>3.</w:t>
            </w:r>
          </w:p>
        </w:tc>
        <w:tc>
          <w:tcPr>
            <w:tcW w:w="2505" w:type="pct"/>
          </w:tcPr>
          <w:p w14:paraId="38E9BFC3" w14:textId="275CDA12" w:rsidR="0011010C" w:rsidRPr="002E39C1" w:rsidRDefault="0011010C" w:rsidP="005B2CC7">
            <w:pPr>
              <w:jc w:val="both"/>
              <w:rPr>
                <w:rFonts w:ascii="Times New Roman" w:eastAsia="Calibri" w:hAnsi="Times New Roman" w:cs="Times New Roman"/>
              </w:rPr>
            </w:pPr>
            <w:r w:rsidRPr="00DD3C6B">
              <w:rPr>
                <w:rFonts w:ascii="Times New Roman" w:eastAsia="Calibri" w:hAnsi="Times New Roman" w:cs="Times New Roman"/>
              </w:rPr>
              <w:t xml:space="preserve">Proiectul național nu a asigurat transpunerea art. 10 (2) din actul UE, care se referă la calificarea unei activități economice pentru care nu există o alternativă viabilă din punct de vedere tehnologic și economic cu un nivel scăzut de emisii de dioxid de carbon drept o activitate care contribuie în mod substanțial la atenuarea schimbărilor climatice, iar Tabelul de concordanță nu explică motivele netranspunerii. Se impune reexaminarea acestei prevederi în vederea transpunerii de proiectul național; </w:t>
            </w:r>
          </w:p>
        </w:tc>
        <w:tc>
          <w:tcPr>
            <w:tcW w:w="1458" w:type="pct"/>
          </w:tcPr>
          <w:p w14:paraId="35D62500" w14:textId="77777777" w:rsidR="0011010C" w:rsidRPr="002825AF" w:rsidRDefault="0011010C" w:rsidP="005B2CC7">
            <w:pPr>
              <w:rPr>
                <w:rFonts w:ascii="Times New Roman" w:hAnsi="Times New Roman" w:cs="Times New Roman"/>
                <w:b/>
                <w:bCs/>
                <w:color w:val="000000" w:themeColor="text1"/>
              </w:rPr>
            </w:pPr>
            <w:r w:rsidRPr="002825AF">
              <w:rPr>
                <w:rFonts w:ascii="Times New Roman" w:hAnsi="Times New Roman" w:cs="Times New Roman"/>
                <w:b/>
                <w:bCs/>
                <w:color w:val="000000" w:themeColor="text1"/>
              </w:rPr>
              <w:t>Se acceptă</w:t>
            </w:r>
          </w:p>
          <w:p w14:paraId="7A6E7334" w14:textId="0773D149" w:rsidR="0011010C" w:rsidRPr="002825AF" w:rsidRDefault="0011010C" w:rsidP="00454EAC">
            <w:pPr>
              <w:jc w:val="both"/>
              <w:rPr>
                <w:rFonts w:ascii="Times New Roman" w:eastAsia="Calibri" w:hAnsi="Times New Roman" w:cs="Times New Roman"/>
              </w:rPr>
            </w:pPr>
            <w:r w:rsidRPr="002825AF">
              <w:rPr>
                <w:rFonts w:ascii="Times New Roman" w:eastAsia="Calibri" w:hAnsi="Times New Roman" w:cs="Times New Roman"/>
                <w:color w:val="000000" w:themeColor="text1"/>
              </w:rPr>
              <w:t xml:space="preserve">pct.16.1. al Proiectului </w:t>
            </w:r>
            <w:proofErr w:type="spellStart"/>
            <w:r w:rsidRPr="002825AF">
              <w:rPr>
                <w:rFonts w:ascii="Times New Roman" w:eastAsia="Calibri" w:hAnsi="Times New Roman" w:cs="Times New Roman"/>
                <w:color w:val="000000" w:themeColor="text1"/>
              </w:rPr>
              <w:t>hotărîrii</w:t>
            </w:r>
            <w:proofErr w:type="spellEnd"/>
            <w:r w:rsidRPr="002825AF">
              <w:rPr>
                <w:rFonts w:ascii="Times New Roman" w:eastAsia="Calibri" w:hAnsi="Times New Roman" w:cs="Times New Roman"/>
                <w:color w:val="000000" w:themeColor="text1"/>
              </w:rPr>
              <w:t xml:space="preserve"> de Guvern a fost completat corespunzător </w:t>
            </w:r>
          </w:p>
        </w:tc>
      </w:tr>
      <w:tr w:rsidR="0011010C" w:rsidRPr="004331D6" w14:paraId="7520B3F9" w14:textId="77777777" w:rsidTr="00800EB7">
        <w:tc>
          <w:tcPr>
            <w:tcW w:w="797" w:type="pct"/>
            <w:vMerge/>
          </w:tcPr>
          <w:p w14:paraId="34E15275"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432512B8" w14:textId="57D6042C" w:rsidR="0011010C" w:rsidRPr="00454EAC" w:rsidRDefault="0011010C" w:rsidP="00454EAC">
            <w:pPr>
              <w:rPr>
                <w:rFonts w:ascii="Times New Roman" w:eastAsia="Calibri" w:hAnsi="Times New Roman" w:cs="Times New Roman"/>
              </w:rPr>
            </w:pPr>
            <w:r>
              <w:rPr>
                <w:rFonts w:ascii="Times New Roman" w:eastAsia="Calibri" w:hAnsi="Times New Roman" w:cs="Times New Roman"/>
              </w:rPr>
              <w:t>4.</w:t>
            </w:r>
          </w:p>
        </w:tc>
        <w:tc>
          <w:tcPr>
            <w:tcW w:w="2505" w:type="pct"/>
          </w:tcPr>
          <w:p w14:paraId="004BE9E0" w14:textId="3026A9D9" w:rsidR="0011010C" w:rsidRPr="00DD3C6B" w:rsidRDefault="0011010C" w:rsidP="005B2CC7">
            <w:pPr>
              <w:jc w:val="both"/>
              <w:rPr>
                <w:rFonts w:ascii="Times New Roman" w:eastAsia="Calibri" w:hAnsi="Times New Roman" w:cs="Times New Roman"/>
              </w:rPr>
            </w:pPr>
            <w:r w:rsidRPr="00DD3C6B">
              <w:rPr>
                <w:rFonts w:ascii="Times New Roman" w:eastAsia="Calibri" w:hAnsi="Times New Roman" w:cs="Times New Roman"/>
              </w:rPr>
              <w:t xml:space="preserve">Proiectul național nu a asigurat transpunerea prevederilor din actul UE care se referă la mediul marin, precum art. 11 (1) (d), art. 17 (1) (c) (ii), iar Tabelul de concordanță </w:t>
            </w:r>
            <w:r w:rsidRPr="00DD3C6B">
              <w:rPr>
                <w:rFonts w:ascii="Times New Roman" w:eastAsia="Calibri" w:hAnsi="Times New Roman" w:cs="Times New Roman"/>
              </w:rPr>
              <w:lastRenderedPageBreak/>
              <w:t>nu explică motivele netranspunerii. Se impune reexaminarea acestor prevederi în vederea transpunerii de proiectul național;</w:t>
            </w:r>
          </w:p>
        </w:tc>
        <w:tc>
          <w:tcPr>
            <w:tcW w:w="1458" w:type="pct"/>
          </w:tcPr>
          <w:p w14:paraId="18B127B8" w14:textId="7C55C415" w:rsidR="0011010C" w:rsidRPr="002825AF" w:rsidRDefault="0011010C" w:rsidP="005B2CC7">
            <w:pPr>
              <w:rPr>
                <w:rFonts w:ascii="Times New Roman" w:hAnsi="Times New Roman" w:cs="Times New Roman"/>
                <w:b/>
                <w:bCs/>
                <w:color w:val="000000" w:themeColor="text1"/>
              </w:rPr>
            </w:pPr>
            <w:r w:rsidRPr="002825AF">
              <w:rPr>
                <w:rFonts w:ascii="Times New Roman" w:hAnsi="Times New Roman" w:cs="Times New Roman"/>
                <w:b/>
                <w:bCs/>
                <w:color w:val="000000" w:themeColor="text1"/>
              </w:rPr>
              <w:lastRenderedPageBreak/>
              <w:t>Se acceptă</w:t>
            </w:r>
          </w:p>
          <w:p w14:paraId="7B57DF5C" w14:textId="750EFA68" w:rsidR="0011010C" w:rsidRPr="004331D6" w:rsidRDefault="0011010C" w:rsidP="00AB1AEA">
            <w:pPr>
              <w:jc w:val="both"/>
              <w:rPr>
                <w:rFonts w:ascii="Times New Roman" w:hAnsi="Times New Roman" w:cs="Times New Roman"/>
                <w:b/>
                <w:bCs/>
                <w:color w:val="C00000"/>
                <w:sz w:val="20"/>
                <w:szCs w:val="20"/>
              </w:rPr>
            </w:pPr>
            <w:r w:rsidRPr="002825AF">
              <w:rPr>
                <w:rFonts w:ascii="Times New Roman" w:hAnsi="Times New Roman" w:cs="Times New Roman"/>
                <w:color w:val="000000" w:themeColor="text1"/>
              </w:rPr>
              <w:t>Proiectul a fost completa</w:t>
            </w:r>
            <w:r w:rsidR="00AB1AEA">
              <w:rPr>
                <w:rFonts w:ascii="Times New Roman" w:hAnsi="Times New Roman" w:cs="Times New Roman"/>
                <w:color w:val="000000" w:themeColor="text1"/>
              </w:rPr>
              <w:t>t</w:t>
            </w:r>
            <w:r w:rsidRPr="002825AF">
              <w:rPr>
                <w:rFonts w:ascii="Times New Roman" w:hAnsi="Times New Roman" w:cs="Times New Roman"/>
                <w:color w:val="000000" w:themeColor="text1"/>
              </w:rPr>
              <w:t xml:space="preserve"> în modul corespunzător.</w:t>
            </w:r>
            <w:r w:rsidRPr="00454EAC">
              <w:rPr>
                <w:rFonts w:ascii="Times New Roman" w:hAnsi="Times New Roman" w:cs="Times New Roman"/>
                <w:color w:val="000000" w:themeColor="text1"/>
                <w:sz w:val="20"/>
                <w:szCs w:val="20"/>
              </w:rPr>
              <w:t xml:space="preserve"> </w:t>
            </w:r>
          </w:p>
        </w:tc>
      </w:tr>
      <w:tr w:rsidR="0011010C" w:rsidRPr="00454EAC" w14:paraId="7F4D8AFF" w14:textId="77777777" w:rsidTr="00800EB7">
        <w:tc>
          <w:tcPr>
            <w:tcW w:w="797" w:type="pct"/>
            <w:vMerge/>
          </w:tcPr>
          <w:p w14:paraId="3247D950"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096898A6" w14:textId="397FB95A" w:rsidR="0011010C" w:rsidRPr="00454EAC" w:rsidRDefault="0011010C" w:rsidP="00454EAC">
            <w:pPr>
              <w:rPr>
                <w:rFonts w:ascii="Times New Roman" w:eastAsia="Calibri" w:hAnsi="Times New Roman" w:cs="Times New Roman"/>
              </w:rPr>
            </w:pPr>
            <w:r>
              <w:rPr>
                <w:rFonts w:ascii="Times New Roman" w:eastAsia="Calibri" w:hAnsi="Times New Roman" w:cs="Times New Roman"/>
              </w:rPr>
              <w:t>5.</w:t>
            </w:r>
          </w:p>
        </w:tc>
        <w:tc>
          <w:tcPr>
            <w:tcW w:w="2505" w:type="pct"/>
          </w:tcPr>
          <w:p w14:paraId="0CB4CFD4" w14:textId="564EC458" w:rsidR="0011010C" w:rsidRPr="00DD3C6B" w:rsidRDefault="0011010C" w:rsidP="005B2CC7">
            <w:pPr>
              <w:jc w:val="both"/>
              <w:rPr>
                <w:rFonts w:ascii="Times New Roman" w:eastAsia="Calibri" w:hAnsi="Times New Roman" w:cs="Times New Roman"/>
              </w:rPr>
            </w:pPr>
            <w:r w:rsidRPr="00DD3C6B">
              <w:rPr>
                <w:rFonts w:ascii="Times New Roman" w:eastAsia="Calibri" w:hAnsi="Times New Roman" w:cs="Times New Roman"/>
              </w:rPr>
              <w:t xml:space="preserve">Proiectul național nu a asigurat transpunerea art. 19 (2) – (4), care se referă la cerințe suplimentare pentru criteriile tehnice de examinare, iar Tabelul de concordanță nu explică motivele netranspunerii. Se impune reexaminarea acestor prevederi în vederea transpunerii de proiectul național; </w:t>
            </w:r>
          </w:p>
        </w:tc>
        <w:tc>
          <w:tcPr>
            <w:tcW w:w="1458" w:type="pct"/>
          </w:tcPr>
          <w:p w14:paraId="40D9930E" w14:textId="77777777" w:rsidR="0011010C" w:rsidRPr="002825AF" w:rsidRDefault="0011010C" w:rsidP="005B2CC7">
            <w:pPr>
              <w:rPr>
                <w:rFonts w:ascii="Times New Roman" w:hAnsi="Times New Roman" w:cs="Times New Roman"/>
                <w:b/>
                <w:bCs/>
                <w:color w:val="000000" w:themeColor="text1"/>
              </w:rPr>
            </w:pPr>
            <w:r w:rsidRPr="002825AF">
              <w:rPr>
                <w:rFonts w:ascii="Times New Roman" w:hAnsi="Times New Roman" w:cs="Times New Roman"/>
                <w:b/>
                <w:bCs/>
                <w:color w:val="000000" w:themeColor="text1"/>
              </w:rPr>
              <w:t>Se acceptă</w:t>
            </w:r>
          </w:p>
          <w:p w14:paraId="0F95C259" w14:textId="75EB59D9" w:rsidR="0011010C" w:rsidRPr="002825AF" w:rsidRDefault="0011010C" w:rsidP="00454EAC">
            <w:pPr>
              <w:jc w:val="both"/>
              <w:rPr>
                <w:rFonts w:ascii="Times New Roman" w:hAnsi="Times New Roman" w:cs="Times New Roman"/>
                <w:b/>
                <w:bCs/>
                <w:color w:val="000000" w:themeColor="text1"/>
              </w:rPr>
            </w:pPr>
            <w:r w:rsidRPr="002825AF">
              <w:rPr>
                <w:rFonts w:ascii="Times New Roman" w:eastAsia="Calibri" w:hAnsi="Times New Roman" w:cs="Times New Roman"/>
                <w:color w:val="000000" w:themeColor="text1"/>
              </w:rPr>
              <w:t xml:space="preserve">Tabelul de concordanță a fost completat </w:t>
            </w:r>
            <w:proofErr w:type="spellStart"/>
            <w:r w:rsidRPr="002825AF">
              <w:rPr>
                <w:rFonts w:ascii="Times New Roman" w:eastAsia="Calibri" w:hAnsi="Times New Roman" w:cs="Times New Roman"/>
                <w:color w:val="000000" w:themeColor="text1"/>
              </w:rPr>
              <w:t>corespunzator</w:t>
            </w:r>
            <w:proofErr w:type="spellEnd"/>
          </w:p>
        </w:tc>
      </w:tr>
      <w:tr w:rsidR="0011010C" w:rsidRPr="00882F72" w14:paraId="3A90D5D9" w14:textId="77777777" w:rsidTr="00800EB7">
        <w:tc>
          <w:tcPr>
            <w:tcW w:w="797" w:type="pct"/>
            <w:vMerge/>
          </w:tcPr>
          <w:p w14:paraId="65444EB6"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088C779C" w14:textId="26876CC0" w:rsidR="0011010C" w:rsidRPr="00454EAC" w:rsidRDefault="0011010C" w:rsidP="00454EAC">
            <w:pPr>
              <w:rPr>
                <w:rFonts w:ascii="Times New Roman" w:eastAsia="Calibri" w:hAnsi="Times New Roman" w:cs="Times New Roman"/>
              </w:rPr>
            </w:pPr>
            <w:r>
              <w:rPr>
                <w:rFonts w:ascii="Times New Roman" w:eastAsia="Calibri" w:hAnsi="Times New Roman" w:cs="Times New Roman"/>
              </w:rPr>
              <w:t>6.</w:t>
            </w:r>
          </w:p>
        </w:tc>
        <w:tc>
          <w:tcPr>
            <w:tcW w:w="2505" w:type="pct"/>
          </w:tcPr>
          <w:p w14:paraId="0FD546D5" w14:textId="26CF4DFF" w:rsidR="0011010C" w:rsidRPr="00DD3C6B" w:rsidRDefault="0011010C" w:rsidP="005B2CC7">
            <w:pPr>
              <w:jc w:val="both"/>
              <w:rPr>
                <w:rFonts w:ascii="Times New Roman" w:eastAsia="Calibri" w:hAnsi="Times New Roman" w:cs="Times New Roman"/>
              </w:rPr>
            </w:pPr>
            <w:r w:rsidRPr="00DD3C6B">
              <w:rPr>
                <w:rFonts w:ascii="Times New Roman" w:eastAsia="Calibri" w:hAnsi="Times New Roman" w:cs="Times New Roman"/>
              </w:rPr>
              <w:t xml:space="preserve">Se impune reexaminarea pct. 2 din proiectul HG, care stabilește atribuțiile autorităților administrației publice centrale prin prisma art. 21 din Regulamentul UE ori prevederile naționale reflectă doar atribuții cu caracter normativ, care nu acoperă atribuțiile care se impun potrivit actului UE – 1. de monitorizare a respectării de către participanții la piața financiară a cerințelor prevăzute; 2. de supraveghere și de investigare și 3. de cooperare și schimb de informații relevante pentru îndeplinirea obligațiilor ce reies; </w:t>
            </w:r>
          </w:p>
        </w:tc>
        <w:tc>
          <w:tcPr>
            <w:tcW w:w="1458" w:type="pct"/>
          </w:tcPr>
          <w:p w14:paraId="15803B09" w14:textId="77777777" w:rsidR="0011010C" w:rsidRDefault="0011010C" w:rsidP="002825AF">
            <w:pPr>
              <w:rPr>
                <w:rFonts w:ascii="Times New Roman" w:eastAsia="Calibri" w:hAnsi="Times New Roman" w:cs="Times New Roman"/>
                <w:b/>
                <w:bCs/>
              </w:rPr>
            </w:pPr>
            <w:r>
              <w:rPr>
                <w:rFonts w:ascii="Times New Roman" w:eastAsia="Calibri" w:hAnsi="Times New Roman" w:cs="Times New Roman"/>
                <w:b/>
                <w:bCs/>
              </w:rPr>
              <w:t>Nu se acceptă</w:t>
            </w:r>
            <w:r w:rsidRPr="00A16170">
              <w:rPr>
                <w:rFonts w:ascii="Times New Roman" w:eastAsia="Calibri" w:hAnsi="Times New Roman" w:cs="Times New Roman"/>
                <w:b/>
                <w:bCs/>
              </w:rPr>
              <w:t>.</w:t>
            </w:r>
          </w:p>
          <w:p w14:paraId="736595F8" w14:textId="77777777" w:rsidR="0011010C" w:rsidRPr="00A16170" w:rsidRDefault="0011010C" w:rsidP="002825AF">
            <w:pPr>
              <w:rPr>
                <w:rFonts w:ascii="Times New Roman" w:eastAsia="Calibri" w:hAnsi="Times New Roman" w:cs="Times New Roman"/>
                <w:b/>
                <w:bCs/>
              </w:rPr>
            </w:pPr>
            <w:r>
              <w:rPr>
                <w:rFonts w:ascii="Times New Roman" w:eastAsia="Calibri" w:hAnsi="Times New Roman" w:cs="Times New Roman"/>
                <w:b/>
                <w:bCs/>
              </w:rPr>
              <w:t>Pct. 2 din proiectul de Hotărâre prevede:</w:t>
            </w:r>
          </w:p>
          <w:p w14:paraId="1B3732CC" w14:textId="77777777" w:rsidR="0011010C" w:rsidRPr="00A23FF0" w:rsidRDefault="0011010C" w:rsidP="002825AF">
            <w:pPr>
              <w:widowControl w:val="0"/>
              <w:tabs>
                <w:tab w:val="left" w:pos="426"/>
                <w:tab w:val="left" w:pos="993"/>
              </w:tabs>
              <w:ind w:left="319" w:hanging="283"/>
              <w:jc w:val="both"/>
              <w:rPr>
                <w:rFonts w:ascii="Times New Roman" w:eastAsia="Times New Roman" w:hAnsi="Times New Roman" w:cs="Times New Roman"/>
              </w:rPr>
            </w:pPr>
            <w:r w:rsidRPr="00A23FF0">
              <w:rPr>
                <w:rFonts w:ascii="Times New Roman" w:eastAsia="Times New Roman" w:hAnsi="Times New Roman" w:cs="Times New Roman"/>
              </w:rPr>
              <w:t>2. Autoritățile administrației publice centrale:</w:t>
            </w:r>
          </w:p>
          <w:p w14:paraId="2FA47E92" w14:textId="77777777" w:rsidR="0011010C" w:rsidRPr="00A23FF0" w:rsidRDefault="0011010C">
            <w:pPr>
              <w:pStyle w:val="ListParagraph"/>
              <w:widowControl w:val="0"/>
              <w:numPr>
                <w:ilvl w:val="1"/>
                <w:numId w:val="19"/>
              </w:numPr>
              <w:tabs>
                <w:tab w:val="left" w:pos="426"/>
                <w:tab w:val="left" w:pos="993"/>
              </w:tabs>
              <w:jc w:val="both"/>
              <w:rPr>
                <w:rFonts w:ascii="Times New Roman" w:eastAsia="Times New Roman" w:hAnsi="Times New Roman" w:cs="Times New Roman"/>
              </w:rPr>
            </w:pPr>
            <w:r w:rsidRPr="00A23FF0">
              <w:rPr>
                <w:rFonts w:ascii="Times New Roman" w:eastAsia="Calibri" w:hAnsi="Times New Roman" w:cs="Times New Roman"/>
                <w:bCs/>
                <w:iCs/>
              </w:rPr>
              <w:t>vor prezenta Guvernului propuneri privind aducerea legislației în conformitate cu prevederile Taxonomiei;</w:t>
            </w:r>
          </w:p>
          <w:p w14:paraId="5498854C" w14:textId="77777777" w:rsidR="0011010C" w:rsidRPr="00A23FF0" w:rsidRDefault="0011010C">
            <w:pPr>
              <w:pStyle w:val="ListParagraph"/>
              <w:widowControl w:val="0"/>
              <w:numPr>
                <w:ilvl w:val="1"/>
                <w:numId w:val="19"/>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vor aduce actele sale normative în conformitate cu prevederile Taxonomiei;</w:t>
            </w:r>
          </w:p>
          <w:p w14:paraId="7A3EA1C7" w14:textId="77777777" w:rsidR="0011010C" w:rsidRDefault="0011010C">
            <w:pPr>
              <w:pStyle w:val="ListParagraph"/>
              <w:widowControl w:val="0"/>
              <w:numPr>
                <w:ilvl w:val="1"/>
                <w:numId w:val="19"/>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 xml:space="preserve"> vor asigura elaborarea și aprobarea actelor normative necesare pentru punerea în aplicare a Taxonomiei.</w:t>
            </w:r>
          </w:p>
          <w:p w14:paraId="040B24D6" w14:textId="154A71F9" w:rsidR="0011010C" w:rsidRPr="002825AF" w:rsidRDefault="0011010C" w:rsidP="002825AF">
            <w:pPr>
              <w:widowControl w:val="0"/>
              <w:tabs>
                <w:tab w:val="left" w:pos="426"/>
                <w:tab w:val="left" w:pos="993"/>
              </w:tabs>
              <w:jc w:val="both"/>
              <w:rPr>
                <w:rFonts w:ascii="Times New Roman" w:eastAsia="Calibri" w:hAnsi="Times New Roman" w:cs="Times New Roman"/>
                <w:bCs/>
                <w:iCs/>
              </w:rPr>
            </w:pPr>
            <w:r>
              <w:rPr>
                <w:rFonts w:ascii="Times New Roman" w:eastAsia="Calibri" w:hAnsi="Times New Roman" w:cs="Times New Roman"/>
                <w:bCs/>
                <w:iCs/>
              </w:rPr>
              <w:t>Respectiv, în dependență de domeniul de competență, autoritățile și instituțiile de resort urmează să-și ajusteze cadrul normativ relevant în scopul facilitării implementării Taxonomiei.</w:t>
            </w:r>
          </w:p>
        </w:tc>
      </w:tr>
      <w:tr w:rsidR="0011010C" w:rsidRPr="00882F72" w14:paraId="6BBC4F91" w14:textId="77777777" w:rsidTr="00800EB7">
        <w:tc>
          <w:tcPr>
            <w:tcW w:w="797" w:type="pct"/>
            <w:vMerge/>
          </w:tcPr>
          <w:p w14:paraId="6BE7F7C3"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3D18E176" w14:textId="03D57072" w:rsidR="0011010C" w:rsidRPr="00454EAC" w:rsidRDefault="0011010C" w:rsidP="00454EAC">
            <w:pPr>
              <w:rPr>
                <w:rFonts w:ascii="Times New Roman" w:eastAsia="Calibri" w:hAnsi="Times New Roman" w:cs="Times New Roman"/>
              </w:rPr>
            </w:pPr>
            <w:r>
              <w:rPr>
                <w:rFonts w:ascii="Times New Roman" w:eastAsia="Calibri" w:hAnsi="Times New Roman" w:cs="Times New Roman"/>
              </w:rPr>
              <w:t>7.</w:t>
            </w:r>
          </w:p>
        </w:tc>
        <w:tc>
          <w:tcPr>
            <w:tcW w:w="2505" w:type="pct"/>
          </w:tcPr>
          <w:p w14:paraId="7E8E3BD0" w14:textId="79EFE3EF" w:rsidR="0011010C" w:rsidRPr="00DD3C6B" w:rsidRDefault="0011010C" w:rsidP="005B2CC7">
            <w:pPr>
              <w:jc w:val="both"/>
              <w:rPr>
                <w:rFonts w:ascii="Times New Roman" w:eastAsia="Calibri" w:hAnsi="Times New Roman" w:cs="Times New Roman"/>
              </w:rPr>
            </w:pPr>
            <w:r w:rsidRPr="00DD3C6B">
              <w:rPr>
                <w:rFonts w:ascii="Times New Roman" w:eastAsia="Calibri" w:hAnsi="Times New Roman" w:cs="Times New Roman"/>
              </w:rPr>
              <w:t>Se impune transpunerea obligatorie a art. 22 din actul UE, care impune statelor stabilirea normelor privind măsurile și sancțiunile eficace, proporționale și cu efect de descurajare, aplicabile pentru încălcarea actului UE. Respectiv, măsurile vor fi fixate în proiectul național, iar sancțiunile prin modificarea corespunzătoare a legislației de sancționare civilă, contravențională, etc.</w:t>
            </w:r>
          </w:p>
        </w:tc>
        <w:tc>
          <w:tcPr>
            <w:tcW w:w="1458" w:type="pct"/>
          </w:tcPr>
          <w:p w14:paraId="01D92FE9" w14:textId="355D1CF0" w:rsidR="0011010C" w:rsidRDefault="0011010C" w:rsidP="002825AF">
            <w:pPr>
              <w:rPr>
                <w:rFonts w:ascii="Times New Roman" w:eastAsia="Calibri" w:hAnsi="Times New Roman" w:cs="Times New Roman"/>
                <w:b/>
                <w:bCs/>
              </w:rPr>
            </w:pPr>
            <w:r>
              <w:rPr>
                <w:rFonts w:ascii="Times New Roman" w:eastAsia="Calibri" w:hAnsi="Times New Roman" w:cs="Times New Roman"/>
                <w:b/>
                <w:bCs/>
              </w:rPr>
              <w:t>Se acceptă parțial</w:t>
            </w:r>
            <w:r w:rsidRPr="00A16170">
              <w:rPr>
                <w:rFonts w:ascii="Times New Roman" w:eastAsia="Calibri" w:hAnsi="Times New Roman" w:cs="Times New Roman"/>
                <w:b/>
                <w:bCs/>
              </w:rPr>
              <w:t>.</w:t>
            </w:r>
          </w:p>
          <w:p w14:paraId="040FAA02" w14:textId="77777777" w:rsidR="0011010C" w:rsidRPr="00A16170" w:rsidRDefault="0011010C" w:rsidP="002825AF">
            <w:pPr>
              <w:rPr>
                <w:rFonts w:ascii="Times New Roman" w:eastAsia="Calibri" w:hAnsi="Times New Roman" w:cs="Times New Roman"/>
                <w:b/>
                <w:bCs/>
              </w:rPr>
            </w:pPr>
            <w:r>
              <w:rPr>
                <w:rFonts w:ascii="Times New Roman" w:eastAsia="Calibri" w:hAnsi="Times New Roman" w:cs="Times New Roman"/>
                <w:b/>
                <w:bCs/>
              </w:rPr>
              <w:t>Pct. 2 din proiectul de Hotărâre prevede:</w:t>
            </w:r>
          </w:p>
          <w:p w14:paraId="67F9B038" w14:textId="77777777" w:rsidR="0011010C" w:rsidRPr="00A23FF0" w:rsidRDefault="0011010C" w:rsidP="002825AF">
            <w:pPr>
              <w:widowControl w:val="0"/>
              <w:tabs>
                <w:tab w:val="left" w:pos="426"/>
                <w:tab w:val="left" w:pos="993"/>
              </w:tabs>
              <w:ind w:left="319" w:hanging="283"/>
              <w:jc w:val="both"/>
              <w:rPr>
                <w:rFonts w:ascii="Times New Roman" w:eastAsia="Times New Roman" w:hAnsi="Times New Roman" w:cs="Times New Roman"/>
              </w:rPr>
            </w:pPr>
            <w:r w:rsidRPr="00A23FF0">
              <w:rPr>
                <w:rFonts w:ascii="Times New Roman" w:eastAsia="Times New Roman" w:hAnsi="Times New Roman" w:cs="Times New Roman"/>
              </w:rPr>
              <w:t>2. Autoritățile administrației publice centrale:</w:t>
            </w:r>
          </w:p>
          <w:p w14:paraId="70EA4C97" w14:textId="77777777" w:rsidR="0011010C" w:rsidRPr="00A23FF0" w:rsidRDefault="0011010C">
            <w:pPr>
              <w:pStyle w:val="ListParagraph"/>
              <w:widowControl w:val="0"/>
              <w:numPr>
                <w:ilvl w:val="1"/>
                <w:numId w:val="20"/>
              </w:numPr>
              <w:tabs>
                <w:tab w:val="left" w:pos="426"/>
                <w:tab w:val="left" w:pos="993"/>
              </w:tabs>
              <w:jc w:val="both"/>
              <w:rPr>
                <w:rFonts w:ascii="Times New Roman" w:eastAsia="Times New Roman" w:hAnsi="Times New Roman" w:cs="Times New Roman"/>
              </w:rPr>
            </w:pPr>
            <w:r w:rsidRPr="00A23FF0">
              <w:rPr>
                <w:rFonts w:ascii="Times New Roman" w:eastAsia="Calibri" w:hAnsi="Times New Roman" w:cs="Times New Roman"/>
                <w:bCs/>
                <w:iCs/>
              </w:rPr>
              <w:t>vor prezenta Guvernului propuneri privind aducerea legislației în conformitate cu prevederile Taxonomiei;</w:t>
            </w:r>
          </w:p>
          <w:p w14:paraId="6789423A" w14:textId="77777777" w:rsidR="0011010C" w:rsidRPr="00A23FF0" w:rsidRDefault="0011010C">
            <w:pPr>
              <w:pStyle w:val="ListParagraph"/>
              <w:widowControl w:val="0"/>
              <w:numPr>
                <w:ilvl w:val="1"/>
                <w:numId w:val="20"/>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vor aduce actele sale normative în conformitate cu prevederile Taxonomiei;</w:t>
            </w:r>
          </w:p>
          <w:p w14:paraId="17BE9133" w14:textId="77777777" w:rsidR="0011010C" w:rsidRDefault="0011010C">
            <w:pPr>
              <w:pStyle w:val="ListParagraph"/>
              <w:widowControl w:val="0"/>
              <w:numPr>
                <w:ilvl w:val="1"/>
                <w:numId w:val="20"/>
              </w:numPr>
              <w:tabs>
                <w:tab w:val="left" w:pos="426"/>
                <w:tab w:val="left" w:pos="993"/>
              </w:tabs>
              <w:jc w:val="both"/>
              <w:rPr>
                <w:rFonts w:ascii="Times New Roman" w:eastAsia="Calibri" w:hAnsi="Times New Roman" w:cs="Times New Roman"/>
                <w:bCs/>
                <w:iCs/>
              </w:rPr>
            </w:pPr>
            <w:r w:rsidRPr="00A23FF0">
              <w:rPr>
                <w:rFonts w:ascii="Times New Roman" w:eastAsia="Calibri" w:hAnsi="Times New Roman" w:cs="Times New Roman"/>
                <w:bCs/>
                <w:iCs/>
              </w:rPr>
              <w:t xml:space="preserve"> vor asigura elaborarea și aprobarea actelor normative necesare pentru punerea în aplicare a Taxonomiei.</w:t>
            </w:r>
          </w:p>
          <w:p w14:paraId="3199937F" w14:textId="058F8EBC" w:rsidR="0011010C" w:rsidRPr="002A2E2A" w:rsidRDefault="0011010C" w:rsidP="002A2E2A">
            <w:pPr>
              <w:widowControl w:val="0"/>
              <w:tabs>
                <w:tab w:val="left" w:pos="426"/>
                <w:tab w:val="left" w:pos="993"/>
              </w:tabs>
              <w:jc w:val="both"/>
              <w:rPr>
                <w:rFonts w:ascii="Times New Roman" w:eastAsia="Calibri" w:hAnsi="Times New Roman" w:cs="Times New Roman"/>
                <w:bCs/>
                <w:iCs/>
              </w:rPr>
            </w:pPr>
            <w:r>
              <w:rPr>
                <w:rFonts w:ascii="Times New Roman" w:eastAsia="Calibri" w:hAnsi="Times New Roman" w:cs="Times New Roman"/>
                <w:bCs/>
                <w:iCs/>
              </w:rPr>
              <w:t>Respectiv, în dependență de domeniul de competență, autoritățile și instituțiile de resort urmează să-și ajusteze cadrul normativ relevant în scopul facilitării implementării Taxonomiei.</w:t>
            </w:r>
          </w:p>
        </w:tc>
      </w:tr>
      <w:tr w:rsidR="0011010C" w:rsidRPr="00882F72" w14:paraId="7AF2EB82" w14:textId="77777777" w:rsidTr="00F968A9">
        <w:tc>
          <w:tcPr>
            <w:tcW w:w="797" w:type="pct"/>
            <w:vMerge/>
          </w:tcPr>
          <w:p w14:paraId="2AC704FE"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301746F6" w14:textId="055D66DE" w:rsidR="0011010C" w:rsidRPr="00454EAC" w:rsidRDefault="0011010C" w:rsidP="005B2CC7">
            <w:pPr>
              <w:rPr>
                <w:rFonts w:ascii="Times New Roman" w:eastAsia="Calibri" w:hAnsi="Times New Roman" w:cs="Times New Roman"/>
              </w:rPr>
            </w:pPr>
            <w:r w:rsidRPr="00454EAC">
              <w:rPr>
                <w:rFonts w:ascii="Times New Roman" w:eastAsia="Calibri" w:hAnsi="Times New Roman" w:cs="Times New Roman"/>
              </w:rPr>
              <w:t>8.</w:t>
            </w:r>
          </w:p>
        </w:tc>
        <w:tc>
          <w:tcPr>
            <w:tcW w:w="2505" w:type="pct"/>
          </w:tcPr>
          <w:p w14:paraId="7D629FE9" w14:textId="77777777" w:rsidR="0011010C" w:rsidRPr="00DD3C6B" w:rsidRDefault="0011010C" w:rsidP="005B2CC7">
            <w:pPr>
              <w:jc w:val="both"/>
              <w:rPr>
                <w:rFonts w:ascii="Times New Roman" w:eastAsia="Calibri" w:hAnsi="Times New Roman" w:cs="Times New Roman"/>
                <w:b/>
                <w:bCs/>
              </w:rPr>
            </w:pPr>
            <w:r w:rsidRPr="00DD3C6B">
              <w:rPr>
                <w:rFonts w:ascii="Times New Roman" w:eastAsia="Calibri" w:hAnsi="Times New Roman" w:cs="Times New Roman"/>
                <w:b/>
                <w:bCs/>
              </w:rPr>
              <w:t>Regulamentul delegat (UE) 2023/2486 al Comisiei din 27 iunie 2023</w:t>
            </w:r>
          </w:p>
          <w:p w14:paraId="080A182C" w14:textId="7806F379" w:rsidR="0011010C" w:rsidRPr="00DD3C6B" w:rsidRDefault="0011010C" w:rsidP="005B2CC7">
            <w:pPr>
              <w:jc w:val="both"/>
              <w:rPr>
                <w:rFonts w:ascii="Times New Roman" w:eastAsia="Calibri" w:hAnsi="Times New Roman" w:cs="Times New Roman"/>
                <w:b/>
                <w:bCs/>
              </w:rPr>
            </w:pPr>
            <w:r w:rsidRPr="00882F72">
              <w:rPr>
                <w:rFonts w:ascii="Times New Roman" w:eastAsia="Calibri" w:hAnsi="Times New Roman" w:cs="Times New Roman"/>
              </w:rPr>
              <w:lastRenderedPageBreak/>
              <w:t>Se va exclude, în toate cazurile, orice trimitere la actele UE și se vor înlocui cu acte naționale care au asigurat transpunerea acestora. În cazul în care nu există un echivalent național, se va face o trimitere generică la legislația relevantă în domeniu.</w:t>
            </w:r>
          </w:p>
        </w:tc>
        <w:tc>
          <w:tcPr>
            <w:tcW w:w="1458" w:type="pct"/>
          </w:tcPr>
          <w:p w14:paraId="7EB43166" w14:textId="77777777" w:rsidR="0011010C" w:rsidRDefault="0011010C" w:rsidP="00FE43B7">
            <w:pPr>
              <w:rPr>
                <w:rFonts w:ascii="Times New Roman" w:eastAsia="Calibri" w:hAnsi="Times New Roman" w:cs="Times New Roman"/>
                <w:b/>
                <w:bCs/>
              </w:rPr>
            </w:pPr>
            <w:r w:rsidRPr="002825AF">
              <w:rPr>
                <w:rFonts w:ascii="Times New Roman" w:eastAsia="Calibri" w:hAnsi="Times New Roman" w:cs="Times New Roman"/>
                <w:b/>
                <w:bCs/>
              </w:rPr>
              <w:lastRenderedPageBreak/>
              <w:t>Se acceptă.</w:t>
            </w:r>
          </w:p>
          <w:p w14:paraId="064E0A6F" w14:textId="259C77FF" w:rsidR="0011010C" w:rsidRPr="00882F72" w:rsidRDefault="0011010C" w:rsidP="00FE43B7">
            <w:pPr>
              <w:rPr>
                <w:rFonts w:ascii="Times New Roman" w:eastAsia="Calibri" w:hAnsi="Times New Roman" w:cs="Times New Roman"/>
                <w:b/>
                <w:bCs/>
              </w:rPr>
            </w:pPr>
            <w:r w:rsidRPr="002825AF">
              <w:rPr>
                <w:rFonts w:ascii="Times New Roman" w:eastAsia="Calibri" w:hAnsi="Times New Roman" w:cs="Times New Roman"/>
                <w:bCs/>
              </w:rPr>
              <w:lastRenderedPageBreak/>
              <w:t>Proiectul a fost modificat conform propunerii.</w:t>
            </w:r>
          </w:p>
        </w:tc>
      </w:tr>
      <w:tr w:rsidR="0011010C" w:rsidRPr="00882F72" w14:paraId="577437EF" w14:textId="77777777" w:rsidTr="00F968A9">
        <w:tc>
          <w:tcPr>
            <w:tcW w:w="797" w:type="pct"/>
            <w:vMerge/>
          </w:tcPr>
          <w:p w14:paraId="53278DDF" w14:textId="77777777" w:rsidR="0011010C" w:rsidRPr="00882F72" w:rsidRDefault="0011010C" w:rsidP="005B2CC7">
            <w:pPr>
              <w:pStyle w:val="ListParagraph"/>
              <w:tabs>
                <w:tab w:val="left" w:pos="355"/>
              </w:tabs>
              <w:rPr>
                <w:rFonts w:ascii="Times New Roman" w:eastAsia="Calibri" w:hAnsi="Times New Roman" w:cs="Times New Roman"/>
                <w:b/>
                <w:bCs/>
              </w:rPr>
            </w:pPr>
          </w:p>
        </w:tc>
        <w:tc>
          <w:tcPr>
            <w:tcW w:w="240" w:type="pct"/>
          </w:tcPr>
          <w:p w14:paraId="2F7A7A8E" w14:textId="567F80FE" w:rsidR="0011010C" w:rsidRPr="00454EAC" w:rsidRDefault="0011010C" w:rsidP="00454EAC">
            <w:pPr>
              <w:rPr>
                <w:rFonts w:ascii="Times New Roman" w:eastAsia="Calibri" w:hAnsi="Times New Roman" w:cs="Times New Roman"/>
              </w:rPr>
            </w:pPr>
            <w:r w:rsidRPr="00454EAC">
              <w:rPr>
                <w:rFonts w:ascii="Times New Roman" w:eastAsia="Calibri" w:hAnsi="Times New Roman" w:cs="Times New Roman"/>
              </w:rPr>
              <w:t>9.</w:t>
            </w:r>
          </w:p>
        </w:tc>
        <w:tc>
          <w:tcPr>
            <w:tcW w:w="2505" w:type="pct"/>
          </w:tcPr>
          <w:p w14:paraId="2092BF71" w14:textId="77777777" w:rsidR="0011010C" w:rsidRPr="00882F72" w:rsidRDefault="0011010C" w:rsidP="005B2CC7">
            <w:pPr>
              <w:ind w:left="360" w:hanging="387"/>
              <w:jc w:val="both"/>
              <w:rPr>
                <w:rFonts w:ascii="Times New Roman" w:eastAsia="Calibri" w:hAnsi="Times New Roman" w:cs="Times New Roman"/>
              </w:rPr>
            </w:pPr>
            <w:r w:rsidRPr="00882F72">
              <w:rPr>
                <w:rFonts w:ascii="Times New Roman" w:eastAsia="Calibri" w:hAnsi="Times New Roman" w:cs="Times New Roman"/>
                <w:b/>
                <w:bCs/>
              </w:rPr>
              <w:t>Regulamentul delegat (UE) 2021/2139 al Comisiei din 4 iunie 2021</w:t>
            </w:r>
          </w:p>
          <w:p w14:paraId="08BC6B90" w14:textId="47BB6BBD" w:rsidR="0011010C" w:rsidRPr="00882F72" w:rsidRDefault="0011010C" w:rsidP="005B2CC7">
            <w:pPr>
              <w:ind w:left="360" w:hanging="387"/>
              <w:jc w:val="both"/>
              <w:rPr>
                <w:rFonts w:ascii="Times New Roman" w:eastAsia="Calibri" w:hAnsi="Times New Roman" w:cs="Times New Roman"/>
                <w:b/>
                <w:bCs/>
              </w:rPr>
            </w:pPr>
            <w:r w:rsidRPr="00016773">
              <w:rPr>
                <w:rFonts w:ascii="Times New Roman" w:eastAsia="Calibri" w:hAnsi="Times New Roman" w:cs="Times New Roman"/>
              </w:rPr>
              <w:t>Se va asigura reflectarea în Tabelul de concordanță a textului exact al proiectului național, prin asigurarea unei uniformități totale, în special, în ceea ce privește formularea frazelor sau înlocuirea unor cuvinte.</w:t>
            </w:r>
          </w:p>
        </w:tc>
        <w:tc>
          <w:tcPr>
            <w:tcW w:w="1458" w:type="pct"/>
          </w:tcPr>
          <w:p w14:paraId="56E2C397" w14:textId="77777777" w:rsidR="0011010C" w:rsidRDefault="0011010C" w:rsidP="002825AF">
            <w:pPr>
              <w:rPr>
                <w:rFonts w:ascii="Times New Roman" w:eastAsia="Calibri" w:hAnsi="Times New Roman" w:cs="Times New Roman"/>
                <w:b/>
                <w:bCs/>
              </w:rPr>
            </w:pPr>
            <w:r w:rsidRPr="002825AF">
              <w:rPr>
                <w:rFonts w:ascii="Times New Roman" w:eastAsia="Calibri" w:hAnsi="Times New Roman" w:cs="Times New Roman"/>
                <w:b/>
                <w:bCs/>
              </w:rPr>
              <w:t>Se acceptă.</w:t>
            </w:r>
          </w:p>
          <w:p w14:paraId="3F771BD9" w14:textId="2B1B71A0" w:rsidR="0011010C" w:rsidRPr="00882F72" w:rsidRDefault="0011010C" w:rsidP="002825AF">
            <w:pPr>
              <w:rPr>
                <w:rFonts w:ascii="Times New Roman" w:eastAsia="Calibri" w:hAnsi="Times New Roman" w:cs="Times New Roman"/>
                <w:b/>
                <w:bCs/>
              </w:rPr>
            </w:pPr>
            <w:r w:rsidRPr="002825AF">
              <w:rPr>
                <w:rFonts w:ascii="Times New Roman" w:eastAsia="Calibri" w:hAnsi="Times New Roman" w:cs="Times New Roman"/>
                <w:bCs/>
              </w:rPr>
              <w:t>Proiectul a fost modificat conform propunerii.</w:t>
            </w:r>
          </w:p>
        </w:tc>
      </w:tr>
      <w:tr w:rsidR="0011010C" w:rsidRPr="00882F72" w14:paraId="20EE186C" w14:textId="77777777" w:rsidTr="00F968A9">
        <w:tc>
          <w:tcPr>
            <w:tcW w:w="797" w:type="pct"/>
            <w:vMerge/>
          </w:tcPr>
          <w:p w14:paraId="216E01CB" w14:textId="77777777" w:rsidR="0011010C" w:rsidRPr="00882F72" w:rsidRDefault="0011010C" w:rsidP="005B2CC7">
            <w:pPr>
              <w:tabs>
                <w:tab w:val="left" w:pos="355"/>
              </w:tabs>
              <w:jc w:val="center"/>
              <w:rPr>
                <w:rFonts w:ascii="Times New Roman" w:eastAsia="Calibri" w:hAnsi="Times New Roman" w:cs="Times New Roman"/>
                <w:b/>
                <w:bCs/>
              </w:rPr>
            </w:pPr>
          </w:p>
        </w:tc>
        <w:tc>
          <w:tcPr>
            <w:tcW w:w="240" w:type="pct"/>
          </w:tcPr>
          <w:p w14:paraId="14477F12" w14:textId="1675DBFF" w:rsidR="0011010C" w:rsidRPr="00454EAC" w:rsidRDefault="0011010C" w:rsidP="00454EAC">
            <w:pPr>
              <w:rPr>
                <w:rFonts w:ascii="Times New Roman" w:eastAsia="Calibri" w:hAnsi="Times New Roman" w:cs="Times New Roman"/>
                <w:lang w:val="ro-RO"/>
              </w:rPr>
            </w:pPr>
            <w:r w:rsidRPr="00454EAC">
              <w:rPr>
                <w:rFonts w:ascii="Times New Roman" w:eastAsia="Calibri" w:hAnsi="Times New Roman" w:cs="Times New Roman"/>
                <w:lang w:val="ro-RO"/>
              </w:rPr>
              <w:t>10.</w:t>
            </w:r>
          </w:p>
        </w:tc>
        <w:tc>
          <w:tcPr>
            <w:tcW w:w="2505" w:type="pct"/>
          </w:tcPr>
          <w:p w14:paraId="766DFFAE"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t>Clauza de armonizare a PHG se va expune în următoarea redacție:</w:t>
            </w:r>
          </w:p>
          <w:p w14:paraId="74F6A028" w14:textId="77777777" w:rsidR="0011010C" w:rsidRPr="00882F72" w:rsidRDefault="0011010C" w:rsidP="005B2CC7">
            <w:pPr>
              <w:ind w:left="360"/>
              <w:jc w:val="both"/>
              <w:rPr>
                <w:rFonts w:ascii="Times New Roman" w:eastAsia="Calibri" w:hAnsi="Times New Roman" w:cs="Times New Roman"/>
              </w:rPr>
            </w:pPr>
            <w:r w:rsidRPr="00882F72">
              <w:rPr>
                <w:rFonts w:ascii="Times New Roman" w:eastAsia="Calibri" w:hAnsi="Times New Roman" w:cs="Times New Roman"/>
              </w:rPr>
              <w:t>„Prezenta Taxonomie:</w:t>
            </w:r>
          </w:p>
          <w:p w14:paraId="346B18BE" w14:textId="77777777" w:rsidR="0011010C" w:rsidRPr="00882F72" w:rsidRDefault="0011010C">
            <w:pPr>
              <w:pStyle w:val="ListParagraph"/>
              <w:numPr>
                <w:ilvl w:val="0"/>
                <w:numId w:val="4"/>
              </w:numPr>
              <w:ind w:left="256" w:hanging="283"/>
              <w:jc w:val="both"/>
              <w:rPr>
                <w:rFonts w:ascii="Times New Roman" w:eastAsia="Calibri" w:hAnsi="Times New Roman" w:cs="Times New Roman"/>
              </w:rPr>
            </w:pPr>
            <w:r w:rsidRPr="00882F72">
              <w:rPr>
                <w:rFonts w:ascii="Times New Roman" w:eastAsia="Calibri" w:hAnsi="Times New Roman" w:cs="Times New Roman"/>
              </w:rPr>
              <w:t>transpune parțial Regulamentul (UE) 2020/852 al Parlamentului European și al Consiliului din 18 iunie 2020 privind instituirea unui cadru care să faciliteze investițiile durabile și de modificare a Regulamentului (UE) 2019/2088, CELEX: 32020R0852, publicat în Jurnalul Oficial al Uniunii Europene seria L 198 din 22 iunie 2020;</w:t>
            </w:r>
          </w:p>
          <w:p w14:paraId="0BA0EE65" w14:textId="77777777" w:rsidR="0011010C" w:rsidRPr="00882F72" w:rsidRDefault="0011010C">
            <w:pPr>
              <w:pStyle w:val="ListParagraph"/>
              <w:numPr>
                <w:ilvl w:val="0"/>
                <w:numId w:val="4"/>
              </w:numPr>
              <w:ind w:left="256" w:hanging="283"/>
              <w:jc w:val="both"/>
              <w:rPr>
                <w:rFonts w:ascii="Times New Roman" w:eastAsia="Calibri" w:hAnsi="Times New Roman" w:cs="Times New Roman"/>
              </w:rPr>
            </w:pPr>
            <w:r w:rsidRPr="00882F72">
              <w:rPr>
                <w:rFonts w:ascii="Times New Roman" w:eastAsia="Calibri" w:hAnsi="Times New Roman" w:cs="Times New Roman"/>
              </w:rPr>
              <w:t>transpune Regulamentul delegat (UE) 2023/2486 al Comisiei din 27 iunie 2023 de completare a Regulamentului (UE) 2020/852 al Parlamentului European și al Consiliului prin stabilirea criteriilor tehnice de examinare pentru a determina condițiile în care o activitate economică se califică drept activitate care contribuie în mod substanțial la utilizarea durabilă și la protejarea resurselor de apă și a resurselor marine, la tranziția către o economie circulară, la prevenirea și controlul poluării sau la protejarea și refacerea biodiversității și a ecosistemelor și pentru a stabili dacă activitatea economică respectivă aduce prejudicii semnificative vreunuia dintre celelalte obiective de mediu și de modificare a Regulamentului delegat (UE) 2021/2178 al Comisiei în ceea ce privește publicarea de informații specifice referitoare la activitățile economice respective, CELEX: 32023R2486, publicat în Jurnalul Oficial al Uniunii Europene seria L 2023/2486 din 21 noiembrie 2023;</w:t>
            </w:r>
          </w:p>
          <w:p w14:paraId="15E2A378" w14:textId="6E060C65" w:rsidR="0011010C" w:rsidRPr="002A2E2A" w:rsidRDefault="0011010C">
            <w:pPr>
              <w:pStyle w:val="ListParagraph"/>
              <w:numPr>
                <w:ilvl w:val="0"/>
                <w:numId w:val="4"/>
              </w:numPr>
              <w:ind w:left="322"/>
              <w:jc w:val="both"/>
              <w:rPr>
                <w:rFonts w:ascii="Times New Roman" w:eastAsia="Calibri" w:hAnsi="Times New Roman" w:cs="Times New Roman"/>
                <w:b/>
                <w:bCs/>
                <w:lang w:val="ro-RO"/>
              </w:rPr>
            </w:pPr>
            <w:r w:rsidRPr="002A2E2A">
              <w:rPr>
                <w:rFonts w:ascii="Times New Roman" w:eastAsia="Calibri" w:hAnsi="Times New Roman" w:cs="Times New Roman"/>
              </w:rPr>
              <w:t>transpune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CELEX: 32021R2139, publicat în Jurnalul Oficial al Uniunii Europene seria L 442 din 9 decembrie 2021, așa cum a fost modificat ultima dată prin Regulamentul delegat (UE) 2024/3215 al Comisiei din 28 iunie 2024”</w:t>
            </w:r>
          </w:p>
        </w:tc>
        <w:tc>
          <w:tcPr>
            <w:tcW w:w="1458" w:type="pct"/>
          </w:tcPr>
          <w:p w14:paraId="12E9B137" w14:textId="77777777" w:rsidR="0011010C" w:rsidRPr="002825AF" w:rsidRDefault="0011010C" w:rsidP="005B2CC7">
            <w:pPr>
              <w:rPr>
                <w:rFonts w:ascii="Times New Roman" w:eastAsia="Calibri" w:hAnsi="Times New Roman" w:cs="Times New Roman"/>
                <w:b/>
                <w:bCs/>
              </w:rPr>
            </w:pPr>
            <w:r w:rsidRPr="002825AF">
              <w:rPr>
                <w:rFonts w:ascii="Times New Roman" w:eastAsia="Calibri" w:hAnsi="Times New Roman" w:cs="Times New Roman"/>
                <w:b/>
                <w:bCs/>
              </w:rPr>
              <w:t>Se acceptă.</w:t>
            </w:r>
          </w:p>
          <w:p w14:paraId="32A5E279" w14:textId="299B566A" w:rsidR="0011010C" w:rsidRPr="002825AF" w:rsidRDefault="0011010C" w:rsidP="005B2CC7">
            <w:pPr>
              <w:rPr>
                <w:rFonts w:ascii="Times New Roman" w:eastAsia="Calibri" w:hAnsi="Times New Roman" w:cs="Times New Roman"/>
                <w:bCs/>
                <w:color w:val="C00000"/>
              </w:rPr>
            </w:pPr>
            <w:r w:rsidRPr="002825AF">
              <w:rPr>
                <w:rFonts w:ascii="Times New Roman" w:eastAsia="Calibri" w:hAnsi="Times New Roman" w:cs="Times New Roman"/>
                <w:bCs/>
              </w:rPr>
              <w:t>Proiectul a fost modificat conform propunerii.</w:t>
            </w:r>
          </w:p>
        </w:tc>
      </w:tr>
      <w:tr w:rsidR="0011010C" w:rsidRPr="00882F72" w14:paraId="5A4BFEF8" w14:textId="77777777" w:rsidTr="00800EB7">
        <w:tc>
          <w:tcPr>
            <w:tcW w:w="797" w:type="pct"/>
            <w:vMerge/>
          </w:tcPr>
          <w:p w14:paraId="68BB95D4" w14:textId="77777777" w:rsidR="0011010C" w:rsidRPr="00882F72" w:rsidRDefault="0011010C" w:rsidP="005B2CC7">
            <w:pPr>
              <w:tabs>
                <w:tab w:val="left" w:pos="355"/>
              </w:tabs>
              <w:jc w:val="center"/>
              <w:rPr>
                <w:rFonts w:ascii="Times New Roman" w:eastAsia="Calibri" w:hAnsi="Times New Roman" w:cs="Times New Roman"/>
                <w:b/>
                <w:bCs/>
              </w:rPr>
            </w:pPr>
          </w:p>
        </w:tc>
        <w:tc>
          <w:tcPr>
            <w:tcW w:w="240" w:type="pct"/>
          </w:tcPr>
          <w:p w14:paraId="7F6FD61B" w14:textId="2D6314A8" w:rsidR="0011010C" w:rsidRPr="00454EAC" w:rsidRDefault="0011010C" w:rsidP="00454EAC">
            <w:pPr>
              <w:rPr>
                <w:rFonts w:ascii="Times New Roman" w:eastAsia="Calibri" w:hAnsi="Times New Roman" w:cs="Times New Roman"/>
              </w:rPr>
            </w:pPr>
            <w:r>
              <w:rPr>
                <w:rFonts w:ascii="Times New Roman" w:eastAsia="Calibri" w:hAnsi="Times New Roman" w:cs="Times New Roman"/>
              </w:rPr>
              <w:t>11.</w:t>
            </w:r>
          </w:p>
        </w:tc>
        <w:tc>
          <w:tcPr>
            <w:tcW w:w="2505" w:type="pct"/>
          </w:tcPr>
          <w:p w14:paraId="6E372261" w14:textId="77777777" w:rsidR="0011010C" w:rsidRPr="00882F72" w:rsidRDefault="0011010C" w:rsidP="005B2CC7">
            <w:pPr>
              <w:jc w:val="both"/>
              <w:rPr>
                <w:rFonts w:ascii="Times New Roman" w:eastAsia="Calibri" w:hAnsi="Times New Roman" w:cs="Times New Roman"/>
                <w:b/>
                <w:bCs/>
              </w:rPr>
            </w:pPr>
            <w:r w:rsidRPr="00882F72">
              <w:rPr>
                <w:rFonts w:ascii="Times New Roman" w:eastAsia="Calibri" w:hAnsi="Times New Roman" w:cs="Times New Roman"/>
                <w:b/>
                <w:bCs/>
              </w:rPr>
              <w:t>Observații generale:</w:t>
            </w:r>
          </w:p>
          <w:p w14:paraId="542EC325" w14:textId="77777777" w:rsidR="0011010C" w:rsidRDefault="0011010C" w:rsidP="005B2CC7">
            <w:pPr>
              <w:jc w:val="both"/>
              <w:rPr>
                <w:rFonts w:ascii="Times New Roman" w:eastAsia="Calibri" w:hAnsi="Times New Roman" w:cs="Times New Roman"/>
              </w:rPr>
            </w:pPr>
            <w:r w:rsidRPr="00882F72">
              <w:rPr>
                <w:rFonts w:ascii="Times New Roman" w:eastAsia="Calibri" w:hAnsi="Times New Roman" w:cs="Times New Roman"/>
              </w:rPr>
              <w:t xml:space="preserve">Tabelele de concordanță vor fi completate cu textul integral al actelor UE supuse transpunerii, chiar dacă acestea nu sunt transpuse de proiectul național. De exemplu, </w:t>
            </w:r>
            <w:r w:rsidRPr="00882F72">
              <w:rPr>
                <w:rFonts w:ascii="Times New Roman" w:eastAsia="Calibri" w:hAnsi="Times New Roman" w:cs="Times New Roman"/>
              </w:rPr>
              <w:lastRenderedPageBreak/>
              <w:t>se vor trece toate definițiile care sunt la art. 2 din Regulamentul (UE) 2020/852, chiar dacă proiectul național a asigurat transpunerea doar a câtorva dintre ele.</w:t>
            </w:r>
          </w:p>
          <w:p w14:paraId="21014F77"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t>În cazurile în care puncte din proiectul național transpun parțial prevederi ale unor articole din actul UE, iar acestea, coroborate cu alte prevederi dintr-un act național în vigoare asigură transpunerea integrală, se vor indica punctele/articolele din actul național și se va include textul acestuia, nu doar denumirea acestuia.</w:t>
            </w:r>
          </w:p>
          <w:p w14:paraId="4A5246B8" w14:textId="77777777" w:rsidR="0011010C" w:rsidRPr="006215FE" w:rsidRDefault="0011010C" w:rsidP="005B2CC7">
            <w:pPr>
              <w:jc w:val="both"/>
              <w:rPr>
                <w:rFonts w:ascii="Times New Roman" w:eastAsia="Calibri" w:hAnsi="Times New Roman" w:cs="Times New Roman"/>
                <w:b/>
                <w:bCs/>
              </w:rPr>
            </w:pPr>
            <w:r w:rsidRPr="006215FE">
              <w:rPr>
                <w:rFonts w:ascii="Times New Roman" w:eastAsia="Calibri" w:hAnsi="Times New Roman" w:cs="Times New Roman"/>
                <w:b/>
                <w:bCs/>
              </w:rPr>
              <w:t>Tabelul Regulamentului (UE) 2020/852 al Parlamentului European și al Consiliului din 18 iunie 2020</w:t>
            </w:r>
          </w:p>
          <w:p w14:paraId="516FED6A"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t>Compartimentul 1 al TC va fi redactat și se va completa cu denumirea completă a actului UE; se va exclude mențiunea privind utilizarea versiunii consolidate a actului, luând în considerare că acesta nu a suferit nicio modificare de la varianta sa inițială: Regulamentul (UE) 2020/852 al Parlamentului European și al Consiliului din 18 iunie 2020 privind instituirea unui cadru care să faciliteze investițiile durabile și de modificare a Regulamentului (UE) 2019/2088, CELEX: 32020R0852, publicat în Jurnalul Oficial al Uniunii Europene seria L 198 din 22 iunie 2020.</w:t>
            </w:r>
          </w:p>
          <w:p w14:paraId="4DF3DCEA"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t>Se va stabili grad de compatibilitate pentru fiecare dintre alineatele a</w:t>
            </w:r>
            <w:r>
              <w:rPr>
                <w:rFonts w:ascii="Times New Roman" w:eastAsia="Calibri" w:hAnsi="Times New Roman" w:cs="Times New Roman"/>
              </w:rPr>
              <w:t>r</w:t>
            </w:r>
            <w:r w:rsidRPr="00882F72">
              <w:rPr>
                <w:rFonts w:ascii="Times New Roman" w:eastAsia="Calibri" w:hAnsi="Times New Roman" w:cs="Times New Roman"/>
              </w:rPr>
              <w:t>ticolelor din actul UE, de exemplu – pentru alin. (1) și (2) din art. 10 al Regulamentului (UE) 2020/852 gradul de compatibilitate se va stabili drept Compatibil, iar pentru alin. (3) - (6) ale aceluiași articol – Prevederi UE neaplicabile, întrucât țin de atribuții ale Comisiei; la fel și în cazul art. 11 și ale altor asemenea.</w:t>
            </w:r>
          </w:p>
          <w:p w14:paraId="0075BFD3" w14:textId="1F6EDBF2" w:rsidR="0011010C" w:rsidRPr="00882F72" w:rsidRDefault="0011010C" w:rsidP="005B2CC7">
            <w:pPr>
              <w:jc w:val="both"/>
              <w:rPr>
                <w:rFonts w:ascii="Times New Roman" w:eastAsia="Calibri" w:hAnsi="Times New Roman" w:cs="Times New Roman"/>
                <w:i/>
                <w:iCs/>
              </w:rPr>
            </w:pPr>
            <w:r w:rsidRPr="00882F72">
              <w:rPr>
                <w:rFonts w:ascii="Times New Roman" w:eastAsia="Calibri" w:hAnsi="Times New Roman" w:cs="Times New Roman"/>
              </w:rPr>
              <w:t>Din compartimentul 9 al TC vor fi excluse observațiile ce țin de neaplicabilitatea anumitor alineate, gradul fiind stabilit în compartimentul 8, așa cum a fost expus mai sus. Se vor stabili grade de compatibilitate corespunzătoare fiecărui caz – Prevederi UE neaplicabile/Prevederi UE netranspuse – conform HG 1171/2018.</w:t>
            </w:r>
          </w:p>
        </w:tc>
        <w:tc>
          <w:tcPr>
            <w:tcW w:w="1458" w:type="pct"/>
          </w:tcPr>
          <w:p w14:paraId="301C1AF5" w14:textId="77777777" w:rsidR="0011010C" w:rsidRPr="002825AF" w:rsidRDefault="0011010C" w:rsidP="002A2E2A">
            <w:pPr>
              <w:rPr>
                <w:rFonts w:ascii="Times New Roman" w:eastAsia="Calibri" w:hAnsi="Times New Roman" w:cs="Times New Roman"/>
                <w:b/>
                <w:bCs/>
              </w:rPr>
            </w:pPr>
            <w:r w:rsidRPr="002825AF">
              <w:rPr>
                <w:rFonts w:ascii="Times New Roman" w:eastAsia="Calibri" w:hAnsi="Times New Roman" w:cs="Times New Roman"/>
                <w:b/>
                <w:bCs/>
              </w:rPr>
              <w:lastRenderedPageBreak/>
              <w:t>Se acceptă.</w:t>
            </w:r>
          </w:p>
          <w:p w14:paraId="7AF88BB5" w14:textId="4142E446" w:rsidR="0011010C" w:rsidRDefault="0011010C" w:rsidP="002A2E2A">
            <w:pPr>
              <w:rPr>
                <w:rFonts w:ascii="Times New Roman" w:eastAsia="Calibri" w:hAnsi="Times New Roman" w:cs="Times New Roman"/>
                <w:b/>
                <w:bCs/>
              </w:rPr>
            </w:pPr>
            <w:r w:rsidRPr="002825AF">
              <w:rPr>
                <w:rFonts w:ascii="Times New Roman" w:eastAsia="Calibri" w:hAnsi="Times New Roman" w:cs="Times New Roman"/>
                <w:bCs/>
              </w:rPr>
              <w:t>Proiectul a fost modificat conform propunerii.</w:t>
            </w:r>
          </w:p>
          <w:p w14:paraId="2C1492D2" w14:textId="77777777" w:rsidR="0011010C" w:rsidRDefault="0011010C" w:rsidP="005B2CC7">
            <w:pPr>
              <w:jc w:val="center"/>
              <w:rPr>
                <w:rFonts w:ascii="Times New Roman" w:eastAsia="Calibri" w:hAnsi="Times New Roman" w:cs="Times New Roman"/>
                <w:b/>
                <w:bCs/>
              </w:rPr>
            </w:pPr>
          </w:p>
          <w:p w14:paraId="2C5143B4" w14:textId="77777777" w:rsidR="0011010C" w:rsidRDefault="0011010C" w:rsidP="005B2CC7">
            <w:pPr>
              <w:jc w:val="center"/>
              <w:rPr>
                <w:rFonts w:ascii="Times New Roman" w:eastAsia="Calibri" w:hAnsi="Times New Roman" w:cs="Times New Roman"/>
                <w:b/>
                <w:bCs/>
              </w:rPr>
            </w:pPr>
          </w:p>
          <w:p w14:paraId="449F19D2" w14:textId="77777777" w:rsidR="0011010C" w:rsidRDefault="0011010C" w:rsidP="005B2CC7">
            <w:pPr>
              <w:jc w:val="center"/>
              <w:rPr>
                <w:rFonts w:ascii="Times New Roman" w:eastAsia="Calibri" w:hAnsi="Times New Roman" w:cs="Times New Roman"/>
                <w:b/>
                <w:bCs/>
              </w:rPr>
            </w:pPr>
          </w:p>
          <w:p w14:paraId="26AE676E" w14:textId="77777777" w:rsidR="0011010C" w:rsidRDefault="0011010C" w:rsidP="005B2CC7">
            <w:pPr>
              <w:jc w:val="center"/>
              <w:rPr>
                <w:rFonts w:ascii="Times New Roman" w:eastAsia="Calibri" w:hAnsi="Times New Roman" w:cs="Times New Roman"/>
                <w:b/>
                <w:bCs/>
              </w:rPr>
            </w:pPr>
          </w:p>
          <w:p w14:paraId="0BC2AE25" w14:textId="77777777" w:rsidR="0011010C" w:rsidRDefault="0011010C" w:rsidP="005B2CC7">
            <w:pPr>
              <w:jc w:val="center"/>
              <w:rPr>
                <w:rFonts w:ascii="Times New Roman" w:eastAsia="Calibri" w:hAnsi="Times New Roman" w:cs="Times New Roman"/>
                <w:b/>
                <w:bCs/>
              </w:rPr>
            </w:pPr>
          </w:p>
          <w:p w14:paraId="469F8A59" w14:textId="77777777" w:rsidR="0011010C" w:rsidRDefault="0011010C" w:rsidP="005B2CC7">
            <w:pPr>
              <w:jc w:val="center"/>
              <w:rPr>
                <w:rFonts w:ascii="Times New Roman" w:eastAsia="Calibri" w:hAnsi="Times New Roman" w:cs="Times New Roman"/>
                <w:b/>
                <w:bCs/>
              </w:rPr>
            </w:pPr>
          </w:p>
          <w:p w14:paraId="718B480E" w14:textId="77777777" w:rsidR="0011010C" w:rsidRDefault="0011010C" w:rsidP="005B2CC7">
            <w:pPr>
              <w:jc w:val="center"/>
              <w:rPr>
                <w:rFonts w:ascii="Times New Roman" w:eastAsia="Calibri" w:hAnsi="Times New Roman" w:cs="Times New Roman"/>
                <w:b/>
                <w:bCs/>
              </w:rPr>
            </w:pPr>
          </w:p>
          <w:p w14:paraId="0758251E" w14:textId="77777777" w:rsidR="0011010C" w:rsidRDefault="0011010C" w:rsidP="005B2CC7">
            <w:pPr>
              <w:jc w:val="center"/>
              <w:rPr>
                <w:rFonts w:ascii="Times New Roman" w:eastAsia="Calibri" w:hAnsi="Times New Roman" w:cs="Times New Roman"/>
                <w:b/>
                <w:bCs/>
              </w:rPr>
            </w:pPr>
          </w:p>
          <w:p w14:paraId="5B94B641" w14:textId="77777777" w:rsidR="0011010C" w:rsidRDefault="0011010C" w:rsidP="005B2CC7">
            <w:pPr>
              <w:jc w:val="center"/>
              <w:rPr>
                <w:rFonts w:ascii="Times New Roman" w:eastAsia="Calibri" w:hAnsi="Times New Roman" w:cs="Times New Roman"/>
                <w:b/>
                <w:bCs/>
              </w:rPr>
            </w:pPr>
          </w:p>
          <w:p w14:paraId="7320CAF4" w14:textId="77777777" w:rsidR="0011010C" w:rsidRDefault="0011010C" w:rsidP="005B2CC7">
            <w:pPr>
              <w:jc w:val="center"/>
              <w:rPr>
                <w:rFonts w:ascii="Times New Roman" w:eastAsia="Calibri" w:hAnsi="Times New Roman" w:cs="Times New Roman"/>
                <w:b/>
                <w:bCs/>
              </w:rPr>
            </w:pPr>
          </w:p>
          <w:p w14:paraId="404CB86D" w14:textId="469B13F1" w:rsidR="0011010C" w:rsidRDefault="0011010C" w:rsidP="005B2CC7">
            <w:pPr>
              <w:jc w:val="center"/>
              <w:rPr>
                <w:rFonts w:ascii="Times New Roman" w:eastAsia="Calibri" w:hAnsi="Times New Roman" w:cs="Times New Roman"/>
                <w:b/>
                <w:bCs/>
              </w:rPr>
            </w:pPr>
          </w:p>
        </w:tc>
      </w:tr>
      <w:tr w:rsidR="0011010C" w:rsidRPr="00882F72" w14:paraId="65A680EA" w14:textId="77777777" w:rsidTr="00800EB7">
        <w:tc>
          <w:tcPr>
            <w:tcW w:w="797" w:type="pct"/>
            <w:vMerge/>
          </w:tcPr>
          <w:p w14:paraId="359B446C" w14:textId="77777777" w:rsidR="0011010C" w:rsidRPr="00882F72" w:rsidRDefault="0011010C" w:rsidP="005B2CC7">
            <w:pPr>
              <w:tabs>
                <w:tab w:val="left" w:pos="355"/>
              </w:tabs>
              <w:jc w:val="center"/>
              <w:rPr>
                <w:rFonts w:ascii="Times New Roman" w:eastAsia="Calibri" w:hAnsi="Times New Roman" w:cs="Times New Roman"/>
                <w:b/>
                <w:bCs/>
              </w:rPr>
            </w:pPr>
          </w:p>
        </w:tc>
        <w:tc>
          <w:tcPr>
            <w:tcW w:w="240" w:type="pct"/>
          </w:tcPr>
          <w:p w14:paraId="209CBB94" w14:textId="747B74EC" w:rsidR="0011010C" w:rsidRPr="00454EAC" w:rsidRDefault="0011010C" w:rsidP="00454EAC">
            <w:pPr>
              <w:rPr>
                <w:rFonts w:ascii="Times New Roman" w:eastAsia="Calibri" w:hAnsi="Times New Roman" w:cs="Times New Roman"/>
              </w:rPr>
            </w:pPr>
            <w:r w:rsidRPr="00454EAC">
              <w:rPr>
                <w:rFonts w:ascii="Times New Roman" w:eastAsia="Calibri" w:hAnsi="Times New Roman" w:cs="Times New Roman"/>
              </w:rPr>
              <w:t>12.</w:t>
            </w:r>
          </w:p>
        </w:tc>
        <w:tc>
          <w:tcPr>
            <w:tcW w:w="2505" w:type="pct"/>
          </w:tcPr>
          <w:p w14:paraId="3FAC7CD4" w14:textId="77777777" w:rsidR="0011010C" w:rsidRPr="006215FE" w:rsidRDefault="0011010C" w:rsidP="005B2CC7">
            <w:pPr>
              <w:jc w:val="both"/>
              <w:rPr>
                <w:rFonts w:ascii="Times New Roman" w:eastAsia="Calibri" w:hAnsi="Times New Roman" w:cs="Times New Roman"/>
                <w:b/>
                <w:bCs/>
              </w:rPr>
            </w:pPr>
            <w:r w:rsidRPr="006215FE">
              <w:rPr>
                <w:rFonts w:ascii="Times New Roman" w:eastAsia="Calibri" w:hAnsi="Times New Roman" w:cs="Times New Roman"/>
                <w:b/>
                <w:bCs/>
              </w:rPr>
              <w:t>Tabelul Regulamentului delegat (UE) 2023/2486 al Comisiei din 27 iunie 2023</w:t>
            </w:r>
          </w:p>
          <w:p w14:paraId="573DB977"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t>Compartimentul 1 al TC va fi redactat și se va completa cu denumirea completă a actului UE; se va exclude mențiunea privind utilizarea versiunii consolidate a actului, luând în considerare că acesta nu a suferit nicio modificare de la varianta sa inițială: Regulamentul delegat (UE) 2023/2486 al Comisiei din 27 iunie 2023 de completare a Regulamentului (UE) 2020/852 al Parlamentului European și al Consiliului prin stabilirea criteriilor tehnice de examinare pentru a determina condițiile în care o activitate economică se califică drept activitate care contribuie în mod substanțial la utilizarea durabilă și la protejarea resurselor de apă și a resurselor marine, la tranziția către o economie circulară, la prevenirea și controlul poluării sau la protejarea și refacerea biodiversității și a ecosistemelor și pentru a stabili dacă activitatea economică respectivă aduce prejudicii semnificative vreunuia dintre celelalte obiective de mediu și de modificare a Regulamentului delegat (UE) 2021/2178 al Comisiei în ceea ce privește publicarea de informații specifice referitoare la activitățile economice respective, CELEX: 32023R2486, publicat în Jurnalul Oficial al Uniunii Europene seria L 2023/2486 din 21 noiembrie 2023.</w:t>
            </w:r>
          </w:p>
          <w:p w14:paraId="7600EC02" w14:textId="77777777" w:rsidR="0011010C" w:rsidRPr="00882F72" w:rsidRDefault="0011010C" w:rsidP="005B2CC7">
            <w:pPr>
              <w:jc w:val="both"/>
              <w:rPr>
                <w:rFonts w:ascii="Times New Roman" w:eastAsia="Calibri" w:hAnsi="Times New Roman" w:cs="Times New Roman"/>
              </w:rPr>
            </w:pPr>
            <w:r w:rsidRPr="00882F72">
              <w:rPr>
                <w:rFonts w:ascii="Times New Roman" w:eastAsia="Calibri" w:hAnsi="Times New Roman" w:cs="Times New Roman"/>
              </w:rPr>
              <w:lastRenderedPageBreak/>
              <w:t xml:space="preserve">Tabelul de concordanță trebuie să conțină textul integral al actului UE supus transpunerii, chiar dacă nu se asigură preluarea integrală a prevederilor acestuia. Se vor revedea și completa situațiile în care se conțin doar fragmente din act, atât în cazul Regulamentului UE, cât și în cazul proiectului național. De asemenea, compartimentul 6 din TC va conține textul original al actului, așa cum este reflectat în sursa oficială – </w:t>
            </w:r>
            <w:proofErr w:type="spellStart"/>
            <w:r w:rsidRPr="00882F72">
              <w:rPr>
                <w:rFonts w:ascii="Times New Roman" w:eastAsia="Calibri" w:hAnsi="Times New Roman" w:cs="Times New Roman"/>
              </w:rPr>
              <w:t>Eurlex</w:t>
            </w:r>
            <w:proofErr w:type="spellEnd"/>
            <w:r w:rsidRPr="00882F72">
              <w:rPr>
                <w:rFonts w:ascii="Times New Roman" w:eastAsia="Calibri" w:hAnsi="Times New Roman" w:cs="Times New Roman"/>
              </w:rPr>
              <w:t>, fără a se aduce modificări, comentarii sau precizări în corpul acestuia.</w:t>
            </w:r>
          </w:p>
          <w:p w14:paraId="37D4D629" w14:textId="1C6B0A81" w:rsidR="0011010C" w:rsidRPr="006215FE" w:rsidRDefault="0011010C" w:rsidP="005B2CC7">
            <w:pPr>
              <w:jc w:val="both"/>
              <w:rPr>
                <w:rFonts w:ascii="Times New Roman" w:eastAsia="Calibri" w:hAnsi="Times New Roman" w:cs="Times New Roman"/>
                <w:b/>
                <w:bCs/>
              </w:rPr>
            </w:pPr>
            <w:r w:rsidRPr="00882F72">
              <w:rPr>
                <w:rFonts w:ascii="Times New Roman" w:eastAsia="Calibri" w:hAnsi="Times New Roman" w:cs="Times New Roman"/>
              </w:rPr>
              <w:t>Din TC se vor exclude precizările „Text original”/„Versiunea națională” din compartimentele 6, respectiv 7 ale acestuia, întrucât este clară versiunea actului, din moment ce textul este încadrat în unul dintre compartimente.</w:t>
            </w:r>
          </w:p>
        </w:tc>
        <w:tc>
          <w:tcPr>
            <w:tcW w:w="1458" w:type="pct"/>
          </w:tcPr>
          <w:p w14:paraId="74A31B60" w14:textId="77777777" w:rsidR="0011010C" w:rsidRPr="002825AF" w:rsidRDefault="0011010C" w:rsidP="002A2E2A">
            <w:pPr>
              <w:rPr>
                <w:rFonts w:ascii="Times New Roman" w:eastAsia="Calibri" w:hAnsi="Times New Roman" w:cs="Times New Roman"/>
                <w:b/>
                <w:bCs/>
              </w:rPr>
            </w:pPr>
            <w:r w:rsidRPr="002825AF">
              <w:rPr>
                <w:rFonts w:ascii="Times New Roman" w:eastAsia="Calibri" w:hAnsi="Times New Roman" w:cs="Times New Roman"/>
                <w:b/>
                <w:bCs/>
              </w:rPr>
              <w:lastRenderedPageBreak/>
              <w:t>Se acceptă.</w:t>
            </w:r>
          </w:p>
          <w:p w14:paraId="7B28C1FA" w14:textId="305E1BE6" w:rsidR="0011010C" w:rsidRPr="00882F72" w:rsidRDefault="0011010C" w:rsidP="002A2E2A">
            <w:pPr>
              <w:rPr>
                <w:rFonts w:ascii="Times New Roman" w:eastAsia="Calibri" w:hAnsi="Times New Roman" w:cs="Times New Roman"/>
                <w:b/>
                <w:bCs/>
              </w:rPr>
            </w:pPr>
            <w:r w:rsidRPr="002825AF">
              <w:rPr>
                <w:rFonts w:ascii="Times New Roman" w:eastAsia="Calibri" w:hAnsi="Times New Roman" w:cs="Times New Roman"/>
                <w:bCs/>
              </w:rPr>
              <w:t>Proiectul a fost modificat conform propunerii.</w:t>
            </w:r>
          </w:p>
        </w:tc>
      </w:tr>
      <w:tr w:rsidR="0011010C" w:rsidRPr="00882F72" w14:paraId="1F70C6DF" w14:textId="77777777" w:rsidTr="00F968A9">
        <w:tc>
          <w:tcPr>
            <w:tcW w:w="797" w:type="pct"/>
            <w:vMerge/>
          </w:tcPr>
          <w:p w14:paraId="37297E60" w14:textId="77777777" w:rsidR="0011010C" w:rsidRPr="00882F72" w:rsidRDefault="0011010C" w:rsidP="005B2CC7">
            <w:pPr>
              <w:tabs>
                <w:tab w:val="left" w:pos="355"/>
              </w:tabs>
              <w:jc w:val="center"/>
              <w:rPr>
                <w:rFonts w:ascii="Times New Roman" w:eastAsia="Calibri" w:hAnsi="Times New Roman" w:cs="Times New Roman"/>
                <w:b/>
                <w:bCs/>
              </w:rPr>
            </w:pPr>
          </w:p>
        </w:tc>
        <w:tc>
          <w:tcPr>
            <w:tcW w:w="240" w:type="pct"/>
          </w:tcPr>
          <w:p w14:paraId="4DE20ABB" w14:textId="03A53A83" w:rsidR="0011010C" w:rsidRPr="00454EAC" w:rsidRDefault="0011010C" w:rsidP="00454EAC">
            <w:pPr>
              <w:rPr>
                <w:rFonts w:ascii="Times New Roman" w:eastAsia="Calibri" w:hAnsi="Times New Roman" w:cs="Times New Roman"/>
              </w:rPr>
            </w:pPr>
            <w:r w:rsidRPr="00454EAC">
              <w:rPr>
                <w:rFonts w:ascii="Times New Roman" w:eastAsia="Calibri" w:hAnsi="Times New Roman" w:cs="Times New Roman"/>
              </w:rPr>
              <w:t>13.</w:t>
            </w:r>
          </w:p>
        </w:tc>
        <w:tc>
          <w:tcPr>
            <w:tcW w:w="2505" w:type="pct"/>
          </w:tcPr>
          <w:p w14:paraId="448A2B95" w14:textId="77777777" w:rsidR="0011010C" w:rsidRPr="008420FE" w:rsidRDefault="0011010C" w:rsidP="005B2CC7">
            <w:pPr>
              <w:jc w:val="both"/>
              <w:rPr>
                <w:rFonts w:ascii="Times New Roman" w:eastAsia="Calibri" w:hAnsi="Times New Roman" w:cs="Times New Roman"/>
                <w:b/>
                <w:bCs/>
              </w:rPr>
            </w:pPr>
            <w:r w:rsidRPr="008420FE">
              <w:rPr>
                <w:rFonts w:ascii="Times New Roman" w:eastAsia="Calibri" w:hAnsi="Times New Roman" w:cs="Times New Roman"/>
                <w:b/>
                <w:bCs/>
              </w:rPr>
              <w:t>Tabelul Regulamentului delegat (UE) 2021/2139 al Comisiei din 4 iunie 2021</w:t>
            </w:r>
          </w:p>
          <w:p w14:paraId="03B6D36A" w14:textId="77777777" w:rsidR="0011010C" w:rsidRPr="008420FE" w:rsidRDefault="0011010C" w:rsidP="005B2CC7">
            <w:pPr>
              <w:jc w:val="both"/>
              <w:rPr>
                <w:rFonts w:ascii="Times New Roman" w:eastAsia="Calibri" w:hAnsi="Times New Roman" w:cs="Times New Roman"/>
              </w:rPr>
            </w:pPr>
            <w:r w:rsidRPr="008420FE">
              <w:rPr>
                <w:rFonts w:ascii="Times New Roman" w:eastAsia="Calibri" w:hAnsi="Times New Roman" w:cs="Times New Roman"/>
              </w:rPr>
              <w:t>Se vor revedea gradele de compatibilitate utilizate în Tabelul de concordanță și se vor înlocui cu cele prevăzute la pct. 42 din HG 1171/2018.</w:t>
            </w:r>
          </w:p>
          <w:p w14:paraId="73C28A50" w14:textId="17D94CA5" w:rsidR="0011010C" w:rsidRPr="008420FE" w:rsidRDefault="0011010C" w:rsidP="005B2CC7">
            <w:pPr>
              <w:jc w:val="both"/>
              <w:rPr>
                <w:rFonts w:ascii="Times New Roman" w:eastAsia="Calibri" w:hAnsi="Times New Roman" w:cs="Times New Roman"/>
                <w:b/>
                <w:bCs/>
              </w:rPr>
            </w:pPr>
            <w:r w:rsidRPr="008420FE">
              <w:rPr>
                <w:rFonts w:ascii="Times New Roman" w:eastAsia="Calibri" w:hAnsi="Times New Roman" w:cs="Times New Roman"/>
              </w:rPr>
              <w:t xml:space="preserve">Compartimentul 9 al TC se va completa cu punctele/articolele din actele naționale în vigoare, nu doar cu mențiunea denumirii lor, în cazul în care prevederi ale acestora, </w:t>
            </w:r>
            <w:proofErr w:type="spellStart"/>
            <w:r w:rsidRPr="008420FE">
              <w:rPr>
                <w:rFonts w:ascii="Times New Roman" w:eastAsia="Calibri" w:hAnsi="Times New Roman" w:cs="Times New Roman"/>
              </w:rPr>
              <w:t>coraborate</w:t>
            </w:r>
            <w:proofErr w:type="spellEnd"/>
            <w:r w:rsidRPr="008420FE">
              <w:rPr>
                <w:rFonts w:ascii="Times New Roman" w:eastAsia="Calibri" w:hAnsi="Times New Roman" w:cs="Times New Roman"/>
              </w:rPr>
              <w:t xml:space="preserve"> cu prevederi ale proiectului național asigură transpunerea integrală a unor articole din actul UE.</w:t>
            </w:r>
          </w:p>
        </w:tc>
        <w:tc>
          <w:tcPr>
            <w:tcW w:w="1458" w:type="pct"/>
          </w:tcPr>
          <w:p w14:paraId="572D612B" w14:textId="77777777" w:rsidR="0011010C" w:rsidRPr="00454EAC" w:rsidRDefault="0011010C" w:rsidP="00454EAC">
            <w:pPr>
              <w:rPr>
                <w:rFonts w:ascii="Times New Roman" w:eastAsia="Calibri" w:hAnsi="Times New Roman" w:cs="Times New Roman"/>
                <w:b/>
                <w:bCs/>
                <w:color w:val="000000" w:themeColor="text1"/>
              </w:rPr>
            </w:pPr>
            <w:r w:rsidRPr="00454EAC">
              <w:rPr>
                <w:rFonts w:ascii="Times New Roman" w:eastAsia="Calibri" w:hAnsi="Times New Roman" w:cs="Times New Roman"/>
                <w:b/>
                <w:bCs/>
                <w:color w:val="000000" w:themeColor="text1"/>
              </w:rPr>
              <w:t>Se acceptă.</w:t>
            </w:r>
          </w:p>
          <w:p w14:paraId="09410BDD" w14:textId="320A12A5" w:rsidR="0011010C" w:rsidRPr="00882F72" w:rsidRDefault="0011010C" w:rsidP="002A2E2A">
            <w:pPr>
              <w:jc w:val="both"/>
              <w:rPr>
                <w:rFonts w:ascii="Times New Roman" w:eastAsia="Calibri" w:hAnsi="Times New Roman" w:cs="Times New Roman"/>
                <w:b/>
                <w:bCs/>
              </w:rPr>
            </w:pPr>
            <w:r>
              <w:rPr>
                <w:rFonts w:ascii="Times New Roman" w:eastAsia="Calibri" w:hAnsi="Times New Roman" w:cs="Times New Roman"/>
                <w:color w:val="000000" w:themeColor="text1"/>
              </w:rPr>
              <w:t xml:space="preserve">Tabelul a fost ajustat prin utilizarea calificativelor de transpunere prevăzute de cadrul legal </w:t>
            </w:r>
            <w:r w:rsidRPr="00454EAC">
              <w:rPr>
                <w:rFonts w:ascii="Times New Roman" w:eastAsia="Calibri" w:hAnsi="Times New Roman" w:cs="Times New Roman"/>
                <w:color w:val="000000" w:themeColor="text1"/>
              </w:rPr>
              <w:t>Nota a fost ajustată conform propunerii.</w:t>
            </w:r>
          </w:p>
        </w:tc>
      </w:tr>
      <w:tr w:rsidR="0011010C" w:rsidRPr="00882F72" w14:paraId="0DAF8B08" w14:textId="77777777" w:rsidTr="00F968A9">
        <w:tc>
          <w:tcPr>
            <w:tcW w:w="797" w:type="pct"/>
            <w:vMerge/>
          </w:tcPr>
          <w:p w14:paraId="050719C0" w14:textId="77777777" w:rsidR="0011010C" w:rsidRPr="00EB0784" w:rsidRDefault="0011010C" w:rsidP="005B2CC7">
            <w:pPr>
              <w:tabs>
                <w:tab w:val="left" w:pos="355"/>
              </w:tabs>
              <w:rPr>
                <w:rFonts w:ascii="Times New Roman" w:eastAsia="Calibri" w:hAnsi="Times New Roman" w:cs="Times New Roman"/>
                <w:b/>
                <w:bCs/>
              </w:rPr>
            </w:pPr>
          </w:p>
        </w:tc>
        <w:tc>
          <w:tcPr>
            <w:tcW w:w="240" w:type="pct"/>
          </w:tcPr>
          <w:p w14:paraId="7C739D22" w14:textId="4562145A" w:rsidR="0011010C" w:rsidRPr="00454EAC" w:rsidRDefault="0011010C" w:rsidP="00454EAC">
            <w:pPr>
              <w:rPr>
                <w:rFonts w:ascii="Times New Roman" w:eastAsia="Calibri" w:hAnsi="Times New Roman" w:cs="Times New Roman"/>
              </w:rPr>
            </w:pPr>
            <w:r>
              <w:rPr>
                <w:rFonts w:ascii="Times New Roman" w:eastAsia="Calibri" w:hAnsi="Times New Roman" w:cs="Times New Roman"/>
              </w:rPr>
              <w:t>14.</w:t>
            </w:r>
          </w:p>
        </w:tc>
        <w:tc>
          <w:tcPr>
            <w:tcW w:w="2505" w:type="pct"/>
          </w:tcPr>
          <w:p w14:paraId="7A601F01" w14:textId="0F45F52E" w:rsidR="0011010C" w:rsidRPr="00454EAC" w:rsidRDefault="0011010C" w:rsidP="00454EAC">
            <w:pPr>
              <w:jc w:val="both"/>
              <w:rPr>
                <w:rFonts w:ascii="Times New Roman" w:eastAsia="Calibri" w:hAnsi="Times New Roman" w:cs="Times New Roman"/>
                <w:i/>
                <w:iCs/>
              </w:rPr>
            </w:pPr>
            <w:r w:rsidRPr="00454EAC">
              <w:rPr>
                <w:rFonts w:ascii="Times New Roman" w:eastAsia="Calibri" w:hAnsi="Times New Roman" w:cs="Times New Roman"/>
              </w:rPr>
              <w:t>Din compartimentul 5 al Notei de fundamentare se va exclude referința la Regulamentul delegat (UE) 2022/1214 al Comisiei din 9 martie 2022 și la Regulamentul delegat (UE) 2023/2485 al Comisiei din 27 iunie 2023, întrucât sunt acte de modificare ale Regulamentului delegat (UE) 2021/2139 și modificările pe care le aduc se conțin în versiunea consolidată a acestuia.</w:t>
            </w:r>
          </w:p>
        </w:tc>
        <w:tc>
          <w:tcPr>
            <w:tcW w:w="1458" w:type="pct"/>
          </w:tcPr>
          <w:p w14:paraId="609B4B9A" w14:textId="77777777" w:rsidR="0011010C" w:rsidRPr="00454EAC" w:rsidRDefault="0011010C" w:rsidP="005B2CC7">
            <w:pPr>
              <w:rPr>
                <w:rFonts w:ascii="Times New Roman" w:eastAsia="Calibri" w:hAnsi="Times New Roman" w:cs="Times New Roman"/>
                <w:b/>
                <w:bCs/>
                <w:color w:val="000000" w:themeColor="text1"/>
              </w:rPr>
            </w:pPr>
            <w:r w:rsidRPr="00454EAC">
              <w:rPr>
                <w:rFonts w:ascii="Times New Roman" w:eastAsia="Calibri" w:hAnsi="Times New Roman" w:cs="Times New Roman"/>
                <w:b/>
                <w:bCs/>
                <w:color w:val="000000" w:themeColor="text1"/>
              </w:rPr>
              <w:t>Se acceptă.</w:t>
            </w:r>
          </w:p>
          <w:p w14:paraId="54925ABB" w14:textId="5E93AC6C" w:rsidR="0011010C" w:rsidRPr="008420FE" w:rsidRDefault="0011010C" w:rsidP="005B2CC7">
            <w:pPr>
              <w:rPr>
                <w:rFonts w:ascii="Times New Roman" w:eastAsia="Calibri" w:hAnsi="Times New Roman" w:cs="Times New Roman"/>
                <w:b/>
                <w:bCs/>
                <w:color w:val="C00000"/>
              </w:rPr>
            </w:pPr>
            <w:r w:rsidRPr="00454EAC">
              <w:rPr>
                <w:rFonts w:ascii="Times New Roman" w:eastAsia="Calibri" w:hAnsi="Times New Roman" w:cs="Times New Roman"/>
                <w:color w:val="000000" w:themeColor="text1"/>
              </w:rPr>
              <w:t>Nota a fost ajustată conform propunerii.</w:t>
            </w:r>
          </w:p>
        </w:tc>
      </w:tr>
      <w:tr w:rsidR="000C063F" w:rsidRPr="00882F72" w14:paraId="19E824C7" w14:textId="77777777" w:rsidTr="000C063F">
        <w:trPr>
          <w:trHeight w:val="999"/>
        </w:trPr>
        <w:tc>
          <w:tcPr>
            <w:tcW w:w="797" w:type="pct"/>
            <w:vMerge w:val="restart"/>
          </w:tcPr>
          <w:p w14:paraId="1606AF44" w14:textId="77777777" w:rsidR="000C063F" w:rsidRPr="00AB1AEA" w:rsidRDefault="000C063F" w:rsidP="005B2CC7">
            <w:pPr>
              <w:tabs>
                <w:tab w:val="left" w:pos="355"/>
              </w:tabs>
              <w:rPr>
                <w:rFonts w:ascii="Times New Roman" w:eastAsia="Calibri" w:hAnsi="Times New Roman" w:cs="Times New Roman"/>
                <w:b/>
                <w:bCs/>
              </w:rPr>
            </w:pPr>
            <w:r w:rsidRPr="00AB1AEA">
              <w:rPr>
                <w:rFonts w:ascii="Times New Roman" w:eastAsia="Calibri" w:hAnsi="Times New Roman" w:cs="Times New Roman"/>
                <w:b/>
                <w:bCs/>
              </w:rPr>
              <w:t>Centrul de Armonizare a Legislației</w:t>
            </w:r>
          </w:p>
          <w:p w14:paraId="78D51265" w14:textId="43EDE530" w:rsidR="000C063F" w:rsidRPr="000C063F" w:rsidRDefault="000C063F" w:rsidP="005B2CC7">
            <w:pPr>
              <w:tabs>
                <w:tab w:val="left" w:pos="355"/>
              </w:tabs>
              <w:rPr>
                <w:rFonts w:ascii="Times New Roman" w:eastAsia="Calibri" w:hAnsi="Times New Roman" w:cs="Times New Roman"/>
                <w:highlight w:val="yellow"/>
                <w:lang w:val="ro-RO"/>
              </w:rPr>
            </w:pPr>
            <w:r w:rsidRPr="00AB1AEA">
              <w:rPr>
                <w:rFonts w:ascii="Times New Roman" w:eastAsia="Calibri" w:hAnsi="Times New Roman" w:cs="Times New Roman"/>
              </w:rPr>
              <w:t>comentariu în Legiferare</w:t>
            </w:r>
          </w:p>
        </w:tc>
        <w:tc>
          <w:tcPr>
            <w:tcW w:w="240" w:type="pct"/>
          </w:tcPr>
          <w:p w14:paraId="212F9FEF" w14:textId="3B20F3D1" w:rsidR="000C063F" w:rsidRDefault="000C063F" w:rsidP="00454EAC">
            <w:pPr>
              <w:rPr>
                <w:rFonts w:ascii="Times New Roman" w:eastAsia="Calibri" w:hAnsi="Times New Roman" w:cs="Times New Roman"/>
              </w:rPr>
            </w:pPr>
            <w:r>
              <w:rPr>
                <w:rFonts w:ascii="Times New Roman" w:eastAsia="Calibri" w:hAnsi="Times New Roman" w:cs="Times New Roman"/>
              </w:rPr>
              <w:t>1.</w:t>
            </w:r>
          </w:p>
        </w:tc>
        <w:tc>
          <w:tcPr>
            <w:tcW w:w="2505" w:type="pct"/>
          </w:tcPr>
          <w:p w14:paraId="3B175563" w14:textId="1C0B4C56" w:rsidR="000C063F" w:rsidRPr="00454EAC" w:rsidRDefault="000C063F" w:rsidP="00454EAC">
            <w:pPr>
              <w:jc w:val="both"/>
              <w:rPr>
                <w:rFonts w:ascii="Times New Roman" w:eastAsia="Calibri" w:hAnsi="Times New Roman" w:cs="Times New Roman"/>
              </w:rPr>
            </w:pPr>
            <w:r w:rsidRPr="000C063F">
              <w:rPr>
                <w:rFonts w:ascii="Times New Roman" w:eastAsia="Calibri" w:hAnsi="Times New Roman" w:cs="Times New Roman"/>
              </w:rPr>
              <w:t xml:space="preserve">Din compartimentul 5 al Notei de fundamentare se va exclude referința la Regulamentul delegat (UE) 2024/3215 al Comisiei din 28 iunie 2024 și se va păstra doar mențiunea care ține de actele supuse transpunerii: Regulamentul (UE) 2020/852, Regulamentul delegat (UE) 2021/2139 și Regulamentul delegat (UE) 2023/2486. </w:t>
            </w:r>
          </w:p>
        </w:tc>
        <w:tc>
          <w:tcPr>
            <w:tcW w:w="1458" w:type="pct"/>
          </w:tcPr>
          <w:p w14:paraId="509556E6"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9338E56" w14:textId="0C33A7D3" w:rsidR="000C063F"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0C063F" w:rsidRPr="00882F72" w14:paraId="5D97EC1F" w14:textId="77777777" w:rsidTr="000C063F">
        <w:trPr>
          <w:trHeight w:val="841"/>
        </w:trPr>
        <w:tc>
          <w:tcPr>
            <w:tcW w:w="797" w:type="pct"/>
            <w:vMerge/>
          </w:tcPr>
          <w:p w14:paraId="01CA74CF" w14:textId="77777777" w:rsidR="000C063F" w:rsidRPr="000C063F" w:rsidRDefault="000C063F" w:rsidP="005B2CC7">
            <w:pPr>
              <w:tabs>
                <w:tab w:val="left" w:pos="355"/>
              </w:tabs>
              <w:rPr>
                <w:rFonts w:ascii="Times New Roman" w:eastAsia="Calibri" w:hAnsi="Times New Roman" w:cs="Times New Roman"/>
                <w:b/>
                <w:bCs/>
              </w:rPr>
            </w:pPr>
          </w:p>
        </w:tc>
        <w:tc>
          <w:tcPr>
            <w:tcW w:w="240" w:type="pct"/>
          </w:tcPr>
          <w:p w14:paraId="4EEFE8D0" w14:textId="738D7682" w:rsidR="000C063F" w:rsidRDefault="000C063F" w:rsidP="00454EAC">
            <w:pPr>
              <w:rPr>
                <w:rFonts w:ascii="Times New Roman" w:eastAsia="Calibri" w:hAnsi="Times New Roman" w:cs="Times New Roman"/>
              </w:rPr>
            </w:pPr>
            <w:r>
              <w:rPr>
                <w:rFonts w:ascii="Times New Roman" w:eastAsia="Calibri" w:hAnsi="Times New Roman" w:cs="Times New Roman"/>
              </w:rPr>
              <w:t>2.</w:t>
            </w:r>
          </w:p>
        </w:tc>
        <w:tc>
          <w:tcPr>
            <w:tcW w:w="2505" w:type="pct"/>
          </w:tcPr>
          <w:p w14:paraId="64C35592" w14:textId="77777777" w:rsidR="000C063F" w:rsidRPr="000C063F" w:rsidRDefault="000C063F" w:rsidP="00454EAC">
            <w:pPr>
              <w:jc w:val="both"/>
              <w:rPr>
                <w:rFonts w:ascii="Times New Roman" w:eastAsia="Calibri" w:hAnsi="Times New Roman" w:cs="Times New Roman"/>
              </w:rPr>
            </w:pPr>
            <w:r w:rsidRPr="000C063F">
              <w:rPr>
                <w:rFonts w:ascii="Times New Roman" w:eastAsia="Calibri" w:hAnsi="Times New Roman" w:cs="Times New Roman"/>
              </w:rPr>
              <w:t>Tabelul de sinteză motivează nepreluarea unor definiții din Regulamentul (UE) 2020/852 prin faptul că acestea s-ar regăsi în legislația națională. În cazul în care au fost preluate odată cu transpunerea actului UE la care se face trimitere în Regulamentul expertizat, Tabelul de concordanță se va completa cu redacția actului național care a asigurat transpunerea; în cazul în care nu există echivalent în legislația națională, și nici proiectul nu le-a preluat, se va stabili gradul de compatibilitate ca Prevederi UE netranspuse.</w:t>
            </w:r>
          </w:p>
        </w:tc>
        <w:tc>
          <w:tcPr>
            <w:tcW w:w="1458" w:type="pct"/>
          </w:tcPr>
          <w:p w14:paraId="7AB5B60E" w14:textId="77777777" w:rsidR="000C063F" w:rsidRDefault="00AB1AEA" w:rsidP="005B2CC7">
            <w:pP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Se acceptă.</w:t>
            </w:r>
          </w:p>
          <w:p w14:paraId="34B6A2FF" w14:textId="0A8663A3" w:rsidR="00AB1AEA" w:rsidRPr="00AB1AEA" w:rsidRDefault="00AB1AEA" w:rsidP="005B2CC7">
            <w:pPr>
              <w:rPr>
                <w:rFonts w:ascii="Times New Roman" w:eastAsia="Calibri" w:hAnsi="Times New Roman" w:cs="Times New Roman"/>
                <w:bCs/>
                <w:color w:val="000000" w:themeColor="text1"/>
              </w:rPr>
            </w:pPr>
            <w:r w:rsidRPr="00AB1AEA">
              <w:rPr>
                <w:rFonts w:ascii="Times New Roman" w:eastAsia="Calibri" w:hAnsi="Times New Roman" w:cs="Times New Roman"/>
                <w:bCs/>
                <w:color w:val="000000" w:themeColor="text1"/>
              </w:rPr>
              <w:t>Tabelul de concordanță a fost revăzut în mod corespunzător.</w:t>
            </w:r>
          </w:p>
        </w:tc>
      </w:tr>
      <w:tr w:rsidR="00D033A9" w:rsidRPr="00882F72" w14:paraId="4AD881DE" w14:textId="77777777" w:rsidTr="00F968A9">
        <w:tc>
          <w:tcPr>
            <w:tcW w:w="797" w:type="pct"/>
            <w:vMerge w:val="restart"/>
          </w:tcPr>
          <w:p w14:paraId="5957C6D8" w14:textId="77777777" w:rsidR="00D033A9" w:rsidRDefault="00D033A9" w:rsidP="00F83F83">
            <w:pPr>
              <w:tabs>
                <w:tab w:val="left" w:pos="355"/>
              </w:tabs>
              <w:rPr>
                <w:rFonts w:ascii="Times New Roman" w:eastAsia="Calibri" w:hAnsi="Times New Roman" w:cs="Times New Roman"/>
                <w:b/>
                <w:bCs/>
              </w:rPr>
            </w:pPr>
            <w:r>
              <w:rPr>
                <w:rFonts w:ascii="Times New Roman" w:eastAsia="Calibri" w:hAnsi="Times New Roman" w:cs="Times New Roman"/>
                <w:b/>
                <w:bCs/>
              </w:rPr>
              <w:t>Ministerul Justiției</w:t>
            </w:r>
          </w:p>
          <w:p w14:paraId="0E336A77" w14:textId="77777777" w:rsidR="00D033A9" w:rsidRDefault="00D033A9" w:rsidP="00F83F83">
            <w:pPr>
              <w:tabs>
                <w:tab w:val="left" w:pos="355"/>
              </w:tabs>
              <w:rPr>
                <w:rFonts w:ascii="Times New Roman" w:eastAsia="Calibri" w:hAnsi="Times New Roman" w:cs="Times New Roman"/>
                <w:bCs/>
              </w:rPr>
            </w:pPr>
          </w:p>
          <w:p w14:paraId="132F0224" w14:textId="629F23F5" w:rsidR="00D033A9" w:rsidRPr="00F83F83" w:rsidRDefault="00D033A9" w:rsidP="00F83F83">
            <w:pPr>
              <w:tabs>
                <w:tab w:val="left" w:pos="355"/>
              </w:tabs>
              <w:rPr>
                <w:rFonts w:ascii="Times New Roman" w:eastAsia="Calibri" w:hAnsi="Times New Roman" w:cs="Times New Roman"/>
                <w:bCs/>
              </w:rPr>
            </w:pPr>
            <w:r w:rsidRPr="00F83F83">
              <w:rPr>
                <w:rFonts w:ascii="Times New Roman" w:eastAsia="Calibri" w:hAnsi="Times New Roman" w:cs="Times New Roman"/>
                <w:bCs/>
              </w:rPr>
              <w:t>nr. 04/2-3370</w:t>
            </w:r>
            <w:r>
              <w:rPr>
                <w:rFonts w:ascii="Times New Roman" w:eastAsia="Calibri" w:hAnsi="Times New Roman" w:cs="Times New Roman"/>
                <w:bCs/>
              </w:rPr>
              <w:t xml:space="preserve"> din </w:t>
            </w:r>
            <w:r w:rsidRPr="00F83F83">
              <w:rPr>
                <w:rFonts w:ascii="Times New Roman" w:eastAsia="Calibri" w:hAnsi="Times New Roman" w:cs="Times New Roman"/>
                <w:bCs/>
              </w:rPr>
              <w:t>26.03.2026</w:t>
            </w:r>
          </w:p>
        </w:tc>
        <w:tc>
          <w:tcPr>
            <w:tcW w:w="240" w:type="pct"/>
          </w:tcPr>
          <w:p w14:paraId="0D71CA3E" w14:textId="0D59D72F" w:rsidR="00D033A9" w:rsidRDefault="00D033A9" w:rsidP="00F83F83">
            <w:pPr>
              <w:rPr>
                <w:rFonts w:ascii="Times New Roman" w:eastAsia="Calibri" w:hAnsi="Times New Roman" w:cs="Times New Roman"/>
              </w:rPr>
            </w:pPr>
            <w:r>
              <w:rPr>
                <w:rFonts w:ascii="Times New Roman" w:eastAsia="Calibri" w:hAnsi="Times New Roman" w:cs="Times New Roman"/>
              </w:rPr>
              <w:t>1.</w:t>
            </w:r>
          </w:p>
        </w:tc>
        <w:tc>
          <w:tcPr>
            <w:tcW w:w="2505" w:type="pct"/>
          </w:tcPr>
          <w:p w14:paraId="377A2869" w14:textId="77777777" w:rsidR="00D033A9" w:rsidRDefault="00D033A9" w:rsidP="00F83F83">
            <w:pPr>
              <w:jc w:val="both"/>
              <w:rPr>
                <w:rFonts w:ascii="Times New Roman" w:eastAsia="Calibri" w:hAnsi="Times New Roman" w:cs="Times New Roman"/>
              </w:rPr>
            </w:pPr>
            <w:r w:rsidRPr="00FE354C">
              <w:rPr>
                <w:rFonts w:ascii="Times New Roman" w:eastAsia="Calibri" w:hAnsi="Times New Roman" w:cs="Times New Roman"/>
                <w:b/>
                <w:i/>
                <w:u w:val="single"/>
              </w:rPr>
              <w:t>La proiectul hotărârii:</w:t>
            </w:r>
            <w:r w:rsidRPr="00FE354C">
              <w:rPr>
                <w:rFonts w:ascii="Times New Roman" w:eastAsia="Calibri" w:hAnsi="Times New Roman" w:cs="Times New Roman"/>
              </w:rPr>
              <w:t xml:space="preserve"> </w:t>
            </w:r>
          </w:p>
          <w:p w14:paraId="6168519C" w14:textId="70B3A2ED" w:rsidR="00D033A9" w:rsidRPr="00454EAC" w:rsidRDefault="00D033A9" w:rsidP="00F83F83">
            <w:pPr>
              <w:jc w:val="both"/>
              <w:rPr>
                <w:rFonts w:ascii="Times New Roman" w:eastAsia="Calibri" w:hAnsi="Times New Roman" w:cs="Times New Roman"/>
              </w:rPr>
            </w:pPr>
            <w:r w:rsidRPr="00FE354C">
              <w:rPr>
                <w:rFonts w:ascii="Times New Roman" w:eastAsia="Calibri" w:hAnsi="Times New Roman" w:cs="Times New Roman"/>
              </w:rPr>
              <w:t xml:space="preserve">În clauza de adoptare se va indica doar temeiul juridic concret pentru adoptarea actului normativ, referințele la alte norme ale actelor normative care nu constituie temei juridic de adoptare a actului normativ elaborat (nu constituie temei juridic pentru obiectul de reglementare al proiectului), nu se vor indica în clauza de adoptare. Prin urmare, se propune a se exclude referința la art. 102 alin. (2) din Constituția Republicii Moldova, art. 37 alin. (1) din Legea nr. 136/2017 cu privire la Guvern și art. 14 alin. (1) din Legea nr. 100/2017 cu privire la actele normative, întrucât acesta nu constituie temei legal pentru intervenția propusă. Dispozițiile care se referă la competența </w:t>
            </w:r>
            <w:r w:rsidRPr="00FE354C">
              <w:rPr>
                <w:rFonts w:ascii="Times New Roman" w:eastAsia="Calibri" w:hAnsi="Times New Roman" w:cs="Times New Roman"/>
              </w:rPr>
              <w:lastRenderedPageBreak/>
              <w:t xml:space="preserve">generală a autorității publice de a adopta acte normative în domeniul său de competență, nu constituie temei juridic de emitere. </w:t>
            </w:r>
          </w:p>
        </w:tc>
        <w:tc>
          <w:tcPr>
            <w:tcW w:w="1458" w:type="pct"/>
          </w:tcPr>
          <w:p w14:paraId="216500AC"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lastRenderedPageBreak/>
              <w:t>Se acceptă.</w:t>
            </w:r>
          </w:p>
          <w:p w14:paraId="7A0FCA80" w14:textId="3AD77D42"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A31353E" w14:textId="77777777" w:rsidTr="00F968A9">
        <w:tc>
          <w:tcPr>
            <w:tcW w:w="797" w:type="pct"/>
            <w:vMerge/>
          </w:tcPr>
          <w:p w14:paraId="4676F6D4" w14:textId="77777777" w:rsidR="00D033A9" w:rsidRDefault="00D033A9" w:rsidP="00F83F83">
            <w:pPr>
              <w:tabs>
                <w:tab w:val="left" w:pos="355"/>
              </w:tabs>
              <w:rPr>
                <w:rFonts w:ascii="Times New Roman" w:eastAsia="Calibri" w:hAnsi="Times New Roman" w:cs="Times New Roman"/>
                <w:b/>
                <w:bCs/>
              </w:rPr>
            </w:pPr>
          </w:p>
        </w:tc>
        <w:tc>
          <w:tcPr>
            <w:tcW w:w="240" w:type="pct"/>
          </w:tcPr>
          <w:p w14:paraId="5CE7EB9F" w14:textId="29CBC345" w:rsidR="00D033A9" w:rsidRDefault="00D033A9" w:rsidP="00F83F83">
            <w:pPr>
              <w:rPr>
                <w:rFonts w:ascii="Times New Roman" w:eastAsia="Calibri" w:hAnsi="Times New Roman" w:cs="Times New Roman"/>
              </w:rPr>
            </w:pPr>
            <w:r>
              <w:rPr>
                <w:rFonts w:ascii="Times New Roman" w:eastAsia="Calibri" w:hAnsi="Times New Roman" w:cs="Times New Roman"/>
              </w:rPr>
              <w:t>2.</w:t>
            </w:r>
          </w:p>
        </w:tc>
        <w:tc>
          <w:tcPr>
            <w:tcW w:w="2505" w:type="pct"/>
          </w:tcPr>
          <w:p w14:paraId="48470CFA" w14:textId="4E8320EF"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 xml:space="preserve">La </w:t>
            </w:r>
            <w:proofErr w:type="spellStart"/>
            <w:r w:rsidRPr="00F6049B">
              <w:rPr>
                <w:rFonts w:ascii="Times New Roman" w:eastAsia="Calibri" w:hAnsi="Times New Roman" w:cs="Times New Roman"/>
                <w:bCs/>
                <w:iCs/>
              </w:rPr>
              <w:t>subpct</w:t>
            </w:r>
            <w:proofErr w:type="spellEnd"/>
            <w:r w:rsidRPr="00F6049B">
              <w:rPr>
                <w:rFonts w:ascii="Times New Roman" w:eastAsia="Calibri" w:hAnsi="Times New Roman" w:cs="Times New Roman"/>
                <w:bCs/>
                <w:iCs/>
              </w:rPr>
              <w:t>. 2.1 se va revedea termenul „legislației”, având în vedere principiul ierarhiei actelor normative, întrucât prin norma respectivă se impune modificarea actelor legislative în temeiul unui act normativ subsecvent legii.</w:t>
            </w:r>
          </w:p>
        </w:tc>
        <w:tc>
          <w:tcPr>
            <w:tcW w:w="1458" w:type="pct"/>
          </w:tcPr>
          <w:p w14:paraId="3C64FAA4"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8C9A0F8" w14:textId="08F033E2"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DF0F052" w14:textId="77777777" w:rsidTr="00F968A9">
        <w:tc>
          <w:tcPr>
            <w:tcW w:w="797" w:type="pct"/>
            <w:vMerge/>
          </w:tcPr>
          <w:p w14:paraId="70B6F740" w14:textId="77777777" w:rsidR="00D033A9" w:rsidRDefault="00D033A9" w:rsidP="00F83F83">
            <w:pPr>
              <w:tabs>
                <w:tab w:val="left" w:pos="355"/>
              </w:tabs>
              <w:rPr>
                <w:rFonts w:ascii="Times New Roman" w:eastAsia="Calibri" w:hAnsi="Times New Roman" w:cs="Times New Roman"/>
                <w:b/>
                <w:bCs/>
              </w:rPr>
            </w:pPr>
          </w:p>
        </w:tc>
        <w:tc>
          <w:tcPr>
            <w:tcW w:w="240" w:type="pct"/>
          </w:tcPr>
          <w:p w14:paraId="36384C02" w14:textId="5734EBBD" w:rsidR="00D033A9" w:rsidRDefault="00D033A9" w:rsidP="00F83F83">
            <w:pPr>
              <w:rPr>
                <w:rFonts w:ascii="Times New Roman" w:eastAsia="Calibri" w:hAnsi="Times New Roman" w:cs="Times New Roman"/>
              </w:rPr>
            </w:pPr>
            <w:r>
              <w:rPr>
                <w:rFonts w:ascii="Times New Roman" w:eastAsia="Calibri" w:hAnsi="Times New Roman" w:cs="Times New Roman"/>
              </w:rPr>
              <w:t>3.</w:t>
            </w:r>
          </w:p>
        </w:tc>
        <w:tc>
          <w:tcPr>
            <w:tcW w:w="2505" w:type="pct"/>
          </w:tcPr>
          <w:p w14:paraId="28C8C903" w14:textId="75F8F940"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 xml:space="preserve">La </w:t>
            </w:r>
            <w:proofErr w:type="spellStart"/>
            <w:r w:rsidRPr="00F6049B">
              <w:rPr>
                <w:rFonts w:ascii="Times New Roman" w:eastAsia="Calibri" w:hAnsi="Times New Roman" w:cs="Times New Roman"/>
                <w:bCs/>
                <w:iCs/>
              </w:rPr>
              <w:t>subpct</w:t>
            </w:r>
            <w:proofErr w:type="spellEnd"/>
            <w:r w:rsidRPr="00F6049B">
              <w:rPr>
                <w:rFonts w:ascii="Times New Roman" w:eastAsia="Calibri" w:hAnsi="Times New Roman" w:cs="Times New Roman"/>
                <w:bCs/>
                <w:iCs/>
              </w:rPr>
              <w:t>. 2.2 cuvântul „Taxonomiei” se va substitui cu textul „Taxonomiei pentru finanțare durabilă, indicate la pct. 1 (în continuare - Taxonomie)”, pentru precizia normei.</w:t>
            </w:r>
          </w:p>
        </w:tc>
        <w:tc>
          <w:tcPr>
            <w:tcW w:w="1458" w:type="pct"/>
          </w:tcPr>
          <w:p w14:paraId="1BFAB86D"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39D43B3A" w14:textId="52BD8926"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r w:rsidR="000009EA">
              <w:rPr>
                <w:rFonts w:ascii="Times New Roman" w:eastAsia="Calibri" w:hAnsi="Times New Roman" w:cs="Times New Roman"/>
                <w:bCs/>
              </w:rPr>
              <w:t xml:space="preserve"> la </w:t>
            </w:r>
            <w:proofErr w:type="spellStart"/>
            <w:r w:rsidR="000009EA">
              <w:rPr>
                <w:rFonts w:ascii="Times New Roman" w:eastAsia="Calibri" w:hAnsi="Times New Roman" w:cs="Times New Roman"/>
                <w:bCs/>
              </w:rPr>
              <w:t>subpct</w:t>
            </w:r>
            <w:proofErr w:type="spellEnd"/>
            <w:r w:rsidR="000009EA">
              <w:rPr>
                <w:rFonts w:ascii="Times New Roman" w:eastAsia="Calibri" w:hAnsi="Times New Roman" w:cs="Times New Roman"/>
                <w:bCs/>
              </w:rPr>
              <w:t xml:space="preserve">. 2.1, deoarece cuvântul „Taxonomie se utilizează pentru prima dată la </w:t>
            </w:r>
            <w:proofErr w:type="spellStart"/>
            <w:r w:rsidR="000009EA">
              <w:rPr>
                <w:rFonts w:ascii="Times New Roman" w:eastAsia="Calibri" w:hAnsi="Times New Roman" w:cs="Times New Roman"/>
                <w:bCs/>
              </w:rPr>
              <w:t>subpct</w:t>
            </w:r>
            <w:proofErr w:type="spellEnd"/>
            <w:r w:rsidR="000009EA">
              <w:rPr>
                <w:rFonts w:ascii="Times New Roman" w:eastAsia="Calibri" w:hAnsi="Times New Roman" w:cs="Times New Roman"/>
                <w:bCs/>
              </w:rPr>
              <w:t>. 2.1.</w:t>
            </w:r>
          </w:p>
        </w:tc>
      </w:tr>
      <w:tr w:rsidR="00D033A9" w:rsidRPr="00882F72" w14:paraId="06A84DF7" w14:textId="77777777" w:rsidTr="00F968A9">
        <w:tc>
          <w:tcPr>
            <w:tcW w:w="797" w:type="pct"/>
            <w:vMerge/>
          </w:tcPr>
          <w:p w14:paraId="5F36F9C3" w14:textId="77777777" w:rsidR="00D033A9" w:rsidRDefault="00D033A9" w:rsidP="00F83F83">
            <w:pPr>
              <w:tabs>
                <w:tab w:val="left" w:pos="355"/>
              </w:tabs>
              <w:rPr>
                <w:rFonts w:ascii="Times New Roman" w:eastAsia="Calibri" w:hAnsi="Times New Roman" w:cs="Times New Roman"/>
                <w:b/>
                <w:bCs/>
              </w:rPr>
            </w:pPr>
          </w:p>
        </w:tc>
        <w:tc>
          <w:tcPr>
            <w:tcW w:w="240" w:type="pct"/>
          </w:tcPr>
          <w:p w14:paraId="5B188C19" w14:textId="6F1A0654" w:rsidR="00D033A9" w:rsidRDefault="00D033A9" w:rsidP="00F83F83">
            <w:pPr>
              <w:rPr>
                <w:rFonts w:ascii="Times New Roman" w:eastAsia="Calibri" w:hAnsi="Times New Roman" w:cs="Times New Roman"/>
              </w:rPr>
            </w:pPr>
            <w:r>
              <w:rPr>
                <w:rFonts w:ascii="Times New Roman" w:eastAsia="Calibri" w:hAnsi="Times New Roman" w:cs="Times New Roman"/>
              </w:rPr>
              <w:t>4.</w:t>
            </w:r>
          </w:p>
        </w:tc>
        <w:tc>
          <w:tcPr>
            <w:tcW w:w="2505" w:type="pct"/>
          </w:tcPr>
          <w:p w14:paraId="57C38840" w14:textId="21330572"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La pct. 4, cuvintele „sau înlocuirea” se vor exclude, deoarece noțiunea de modificare a actului normativ include și ipoteza înlocuirii acestuia, iar menținerea ambelor formulări este redundantă și contravine cerințelor de tehnică legislativă privind evitarea paralelismelor. Totodată, punctul vizat nu are caracter normativ de dispoziție, urmând a fi plasat în conținutul notei de fundamentare la proiect.</w:t>
            </w:r>
          </w:p>
        </w:tc>
        <w:tc>
          <w:tcPr>
            <w:tcW w:w="1458" w:type="pct"/>
          </w:tcPr>
          <w:p w14:paraId="72205533"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34EF20B" w14:textId="5D7173F8"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3159ECFC" w14:textId="77777777" w:rsidTr="00F968A9">
        <w:tc>
          <w:tcPr>
            <w:tcW w:w="797" w:type="pct"/>
            <w:vMerge/>
          </w:tcPr>
          <w:p w14:paraId="3072AE3D" w14:textId="77777777" w:rsidR="00D033A9" w:rsidRDefault="00D033A9" w:rsidP="00F83F83">
            <w:pPr>
              <w:tabs>
                <w:tab w:val="left" w:pos="355"/>
              </w:tabs>
              <w:rPr>
                <w:rFonts w:ascii="Times New Roman" w:eastAsia="Calibri" w:hAnsi="Times New Roman" w:cs="Times New Roman"/>
                <w:b/>
                <w:bCs/>
              </w:rPr>
            </w:pPr>
          </w:p>
        </w:tc>
        <w:tc>
          <w:tcPr>
            <w:tcW w:w="240" w:type="pct"/>
          </w:tcPr>
          <w:p w14:paraId="3A9338F2" w14:textId="3939A0CA" w:rsidR="00D033A9" w:rsidRDefault="00D033A9" w:rsidP="00F83F83">
            <w:pPr>
              <w:rPr>
                <w:rFonts w:ascii="Times New Roman" w:eastAsia="Calibri" w:hAnsi="Times New Roman" w:cs="Times New Roman"/>
              </w:rPr>
            </w:pPr>
            <w:r>
              <w:rPr>
                <w:rFonts w:ascii="Times New Roman" w:eastAsia="Calibri" w:hAnsi="Times New Roman" w:cs="Times New Roman"/>
              </w:rPr>
              <w:t>5.</w:t>
            </w:r>
          </w:p>
        </w:tc>
        <w:tc>
          <w:tcPr>
            <w:tcW w:w="2505" w:type="pct"/>
          </w:tcPr>
          <w:p w14:paraId="3CFC6D23" w14:textId="2F738A27"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La pct. 5, textul „în termen de 12 luni” se va substitui cu textul „la expirarea a 12 luni”, deoarece prima formulare nu indică un moment exact al intrării în vigoare, ci o perioadă de timp, contrar cerințelor de tehnică legislativă.</w:t>
            </w:r>
          </w:p>
        </w:tc>
        <w:tc>
          <w:tcPr>
            <w:tcW w:w="1458" w:type="pct"/>
          </w:tcPr>
          <w:p w14:paraId="418C563D"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3AF3ADA9" w14:textId="3FD526FB"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76BCCF5A" w14:textId="77777777" w:rsidTr="00F968A9">
        <w:tc>
          <w:tcPr>
            <w:tcW w:w="797" w:type="pct"/>
            <w:vMerge/>
          </w:tcPr>
          <w:p w14:paraId="26E06E04" w14:textId="77777777" w:rsidR="00D033A9" w:rsidRDefault="00D033A9" w:rsidP="00F83F83">
            <w:pPr>
              <w:tabs>
                <w:tab w:val="left" w:pos="355"/>
              </w:tabs>
              <w:rPr>
                <w:rFonts w:ascii="Times New Roman" w:eastAsia="Calibri" w:hAnsi="Times New Roman" w:cs="Times New Roman"/>
                <w:b/>
                <w:bCs/>
              </w:rPr>
            </w:pPr>
          </w:p>
        </w:tc>
        <w:tc>
          <w:tcPr>
            <w:tcW w:w="240" w:type="pct"/>
          </w:tcPr>
          <w:p w14:paraId="0AE950A5" w14:textId="76A8BC84" w:rsidR="00D033A9" w:rsidRDefault="00D033A9" w:rsidP="00F83F83">
            <w:pPr>
              <w:rPr>
                <w:rFonts w:ascii="Times New Roman" w:eastAsia="Calibri" w:hAnsi="Times New Roman" w:cs="Times New Roman"/>
              </w:rPr>
            </w:pPr>
            <w:r>
              <w:rPr>
                <w:rFonts w:ascii="Times New Roman" w:eastAsia="Calibri" w:hAnsi="Times New Roman" w:cs="Times New Roman"/>
              </w:rPr>
              <w:t>6.</w:t>
            </w:r>
          </w:p>
        </w:tc>
        <w:tc>
          <w:tcPr>
            <w:tcW w:w="2505" w:type="pct"/>
          </w:tcPr>
          <w:p w14:paraId="242BD41A" w14:textId="77777777" w:rsidR="00D033A9" w:rsidRPr="00F6049B" w:rsidRDefault="00D033A9" w:rsidP="00F6049B">
            <w:pPr>
              <w:jc w:val="both"/>
              <w:rPr>
                <w:rFonts w:ascii="Times New Roman" w:eastAsia="Calibri" w:hAnsi="Times New Roman" w:cs="Times New Roman"/>
                <w:bCs/>
                <w:iCs/>
              </w:rPr>
            </w:pPr>
            <w:r w:rsidRPr="00F6049B">
              <w:rPr>
                <w:rFonts w:ascii="Times New Roman" w:eastAsia="Calibri" w:hAnsi="Times New Roman" w:cs="Times New Roman"/>
                <w:bCs/>
                <w:iCs/>
              </w:rPr>
              <w:t xml:space="preserve">La anexa hotărârii: </w:t>
            </w:r>
          </w:p>
          <w:p w14:paraId="33C77E78" w14:textId="40749C52" w:rsidR="00D033A9" w:rsidRPr="00F6049B" w:rsidRDefault="00D033A9" w:rsidP="00F6049B">
            <w:pPr>
              <w:jc w:val="both"/>
              <w:rPr>
                <w:rFonts w:ascii="Times New Roman" w:eastAsia="Calibri" w:hAnsi="Times New Roman" w:cs="Times New Roman"/>
                <w:bCs/>
                <w:iCs/>
              </w:rPr>
            </w:pPr>
            <w:r w:rsidRPr="00F6049B">
              <w:rPr>
                <w:rFonts w:ascii="Times New Roman" w:eastAsia="Calibri" w:hAnsi="Times New Roman" w:cs="Times New Roman"/>
                <w:bCs/>
                <w:iCs/>
              </w:rPr>
              <w:t>Întru corectitudinea redactării, parafa de aprobare se va indica după cum urmează: „Aprobată prin Hotărârea Guvernului nr. ___/2026”.</w:t>
            </w:r>
          </w:p>
        </w:tc>
        <w:tc>
          <w:tcPr>
            <w:tcW w:w="1458" w:type="pct"/>
          </w:tcPr>
          <w:p w14:paraId="6CE9C887"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74B81BC" w14:textId="5FBEE3D8"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23B13B34" w14:textId="77777777" w:rsidTr="00F968A9">
        <w:tc>
          <w:tcPr>
            <w:tcW w:w="797" w:type="pct"/>
            <w:vMerge/>
          </w:tcPr>
          <w:p w14:paraId="7DC4744F" w14:textId="77777777" w:rsidR="00D033A9" w:rsidRDefault="00D033A9" w:rsidP="00F83F83">
            <w:pPr>
              <w:tabs>
                <w:tab w:val="left" w:pos="355"/>
              </w:tabs>
              <w:rPr>
                <w:rFonts w:ascii="Times New Roman" w:eastAsia="Calibri" w:hAnsi="Times New Roman" w:cs="Times New Roman"/>
                <w:b/>
                <w:bCs/>
              </w:rPr>
            </w:pPr>
          </w:p>
        </w:tc>
        <w:tc>
          <w:tcPr>
            <w:tcW w:w="240" w:type="pct"/>
          </w:tcPr>
          <w:p w14:paraId="74AEF9ED" w14:textId="50EB22A1" w:rsidR="00D033A9" w:rsidRDefault="00D033A9" w:rsidP="00F83F83">
            <w:pPr>
              <w:rPr>
                <w:rFonts w:ascii="Times New Roman" w:eastAsia="Calibri" w:hAnsi="Times New Roman" w:cs="Times New Roman"/>
              </w:rPr>
            </w:pPr>
            <w:r>
              <w:rPr>
                <w:rFonts w:ascii="Times New Roman" w:eastAsia="Calibri" w:hAnsi="Times New Roman" w:cs="Times New Roman"/>
              </w:rPr>
              <w:t>7.</w:t>
            </w:r>
          </w:p>
        </w:tc>
        <w:tc>
          <w:tcPr>
            <w:tcW w:w="2505" w:type="pct"/>
          </w:tcPr>
          <w:p w14:paraId="77B6E36B" w14:textId="4AA3E6C4" w:rsidR="00D033A9" w:rsidRPr="00F6049B" w:rsidRDefault="00D033A9" w:rsidP="00F6049B">
            <w:pPr>
              <w:jc w:val="both"/>
              <w:rPr>
                <w:rFonts w:ascii="Times New Roman" w:eastAsia="Calibri" w:hAnsi="Times New Roman" w:cs="Times New Roman"/>
                <w:bCs/>
                <w:iCs/>
              </w:rPr>
            </w:pPr>
            <w:r w:rsidRPr="00F6049B">
              <w:rPr>
                <w:rFonts w:ascii="Times New Roman" w:eastAsia="Calibri" w:hAnsi="Times New Roman" w:cs="Times New Roman"/>
                <w:bCs/>
                <w:iCs/>
              </w:rPr>
              <w:t>La pct. 1 cuvintele „Prezenta Taxonomie” se vor substitui cu textul „Taxonomia pentru finanțare durabilă (în continuare - Taxonomie)”.</w:t>
            </w:r>
          </w:p>
        </w:tc>
        <w:tc>
          <w:tcPr>
            <w:tcW w:w="1458" w:type="pct"/>
          </w:tcPr>
          <w:p w14:paraId="7131541F"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3E3F767C" w14:textId="0C7525A5"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633806EA" w14:textId="77777777" w:rsidTr="00F968A9">
        <w:tc>
          <w:tcPr>
            <w:tcW w:w="797" w:type="pct"/>
            <w:vMerge/>
          </w:tcPr>
          <w:p w14:paraId="22FB5141" w14:textId="77777777" w:rsidR="00D033A9" w:rsidRDefault="00D033A9" w:rsidP="00F83F83">
            <w:pPr>
              <w:tabs>
                <w:tab w:val="left" w:pos="355"/>
              </w:tabs>
              <w:rPr>
                <w:rFonts w:ascii="Times New Roman" w:eastAsia="Calibri" w:hAnsi="Times New Roman" w:cs="Times New Roman"/>
                <w:b/>
                <w:bCs/>
              </w:rPr>
            </w:pPr>
          </w:p>
        </w:tc>
        <w:tc>
          <w:tcPr>
            <w:tcW w:w="240" w:type="pct"/>
          </w:tcPr>
          <w:p w14:paraId="1E690069" w14:textId="25C944BA" w:rsidR="00D033A9" w:rsidRDefault="00D033A9" w:rsidP="00F83F83">
            <w:pPr>
              <w:rPr>
                <w:rFonts w:ascii="Times New Roman" w:eastAsia="Calibri" w:hAnsi="Times New Roman" w:cs="Times New Roman"/>
              </w:rPr>
            </w:pPr>
            <w:r>
              <w:rPr>
                <w:rFonts w:ascii="Times New Roman" w:eastAsia="Calibri" w:hAnsi="Times New Roman" w:cs="Times New Roman"/>
              </w:rPr>
              <w:t>8.</w:t>
            </w:r>
          </w:p>
        </w:tc>
        <w:tc>
          <w:tcPr>
            <w:tcW w:w="2505" w:type="pct"/>
          </w:tcPr>
          <w:p w14:paraId="3D416ECC" w14:textId="28FD2E43" w:rsidR="00D033A9" w:rsidRPr="00F6049B" w:rsidRDefault="00D033A9" w:rsidP="00F83F83">
            <w:pPr>
              <w:jc w:val="both"/>
              <w:rPr>
                <w:rFonts w:ascii="Times New Roman" w:eastAsia="Calibri" w:hAnsi="Times New Roman" w:cs="Times New Roman"/>
                <w:bCs/>
                <w:iCs/>
              </w:rPr>
            </w:pPr>
            <w:proofErr w:type="spellStart"/>
            <w:r w:rsidRPr="00F6049B">
              <w:rPr>
                <w:rFonts w:ascii="Times New Roman" w:eastAsia="Calibri" w:hAnsi="Times New Roman" w:cs="Times New Roman"/>
                <w:bCs/>
                <w:iCs/>
              </w:rPr>
              <w:t>Subpct</w:t>
            </w:r>
            <w:proofErr w:type="spellEnd"/>
            <w:r w:rsidRPr="00F6049B">
              <w:rPr>
                <w:rFonts w:ascii="Times New Roman" w:eastAsia="Calibri" w:hAnsi="Times New Roman" w:cs="Times New Roman"/>
                <w:bCs/>
                <w:iCs/>
              </w:rPr>
              <w:t xml:space="preserve">. 3.3 se va separa de </w:t>
            </w:r>
            <w:proofErr w:type="spellStart"/>
            <w:r w:rsidRPr="00F6049B">
              <w:rPr>
                <w:rFonts w:ascii="Times New Roman" w:eastAsia="Calibri" w:hAnsi="Times New Roman" w:cs="Times New Roman"/>
                <w:bCs/>
                <w:iCs/>
              </w:rPr>
              <w:t>subpct</w:t>
            </w:r>
            <w:proofErr w:type="spellEnd"/>
            <w:r w:rsidRPr="00F6049B">
              <w:rPr>
                <w:rFonts w:ascii="Times New Roman" w:eastAsia="Calibri" w:hAnsi="Times New Roman" w:cs="Times New Roman"/>
                <w:bCs/>
                <w:iCs/>
              </w:rPr>
              <w:t>. 3.2 și se va expune din alineat.</w:t>
            </w:r>
          </w:p>
        </w:tc>
        <w:tc>
          <w:tcPr>
            <w:tcW w:w="1458" w:type="pct"/>
          </w:tcPr>
          <w:p w14:paraId="07DD9D45"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124459DC" w14:textId="5BE71DBB"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72023C89" w14:textId="77777777" w:rsidTr="00F968A9">
        <w:tc>
          <w:tcPr>
            <w:tcW w:w="797" w:type="pct"/>
            <w:vMerge/>
          </w:tcPr>
          <w:p w14:paraId="04A65479" w14:textId="77777777" w:rsidR="00D033A9" w:rsidRDefault="00D033A9" w:rsidP="00F83F83">
            <w:pPr>
              <w:tabs>
                <w:tab w:val="left" w:pos="355"/>
              </w:tabs>
              <w:rPr>
                <w:rFonts w:ascii="Times New Roman" w:eastAsia="Calibri" w:hAnsi="Times New Roman" w:cs="Times New Roman"/>
                <w:b/>
                <w:bCs/>
              </w:rPr>
            </w:pPr>
          </w:p>
        </w:tc>
        <w:tc>
          <w:tcPr>
            <w:tcW w:w="240" w:type="pct"/>
          </w:tcPr>
          <w:p w14:paraId="7C0368DD" w14:textId="1820D0F7" w:rsidR="00D033A9" w:rsidRDefault="00D033A9" w:rsidP="00F83F83">
            <w:pPr>
              <w:rPr>
                <w:rFonts w:ascii="Times New Roman" w:eastAsia="Calibri" w:hAnsi="Times New Roman" w:cs="Times New Roman"/>
              </w:rPr>
            </w:pPr>
            <w:r>
              <w:rPr>
                <w:rFonts w:ascii="Times New Roman" w:eastAsia="Calibri" w:hAnsi="Times New Roman" w:cs="Times New Roman"/>
              </w:rPr>
              <w:t>9.</w:t>
            </w:r>
          </w:p>
        </w:tc>
        <w:tc>
          <w:tcPr>
            <w:tcW w:w="2505" w:type="pct"/>
          </w:tcPr>
          <w:p w14:paraId="29DAEE5B" w14:textId="1E44D29C"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 xml:space="preserve">La pct. 4 noțiunile propuse se vor expune în ordinea alfabetică, conform rigorilor tehnicii legislative. Totodată, se va reține că definirea </w:t>
            </w:r>
            <w:proofErr w:type="spellStart"/>
            <w:r w:rsidRPr="00F6049B">
              <w:rPr>
                <w:rFonts w:ascii="Times New Roman" w:eastAsia="Calibri" w:hAnsi="Times New Roman" w:cs="Times New Roman"/>
                <w:bCs/>
                <w:iCs/>
              </w:rPr>
              <w:t>noţiunilor</w:t>
            </w:r>
            <w:proofErr w:type="spellEnd"/>
            <w:r w:rsidRPr="00F6049B">
              <w:rPr>
                <w:rFonts w:ascii="Times New Roman" w:eastAsia="Calibri" w:hAnsi="Times New Roman" w:cs="Times New Roman"/>
                <w:bCs/>
                <w:iCs/>
              </w:rPr>
              <w:t xml:space="preserve"> se justifică doar în cazul în care la momentul adoptării actului normativ se </w:t>
            </w:r>
            <w:proofErr w:type="spellStart"/>
            <w:r w:rsidRPr="00F6049B">
              <w:rPr>
                <w:rFonts w:ascii="Times New Roman" w:eastAsia="Calibri" w:hAnsi="Times New Roman" w:cs="Times New Roman"/>
                <w:bCs/>
                <w:iCs/>
              </w:rPr>
              <w:t>ştie</w:t>
            </w:r>
            <w:proofErr w:type="spellEnd"/>
            <w:r w:rsidRPr="00F6049B">
              <w:rPr>
                <w:rFonts w:ascii="Times New Roman" w:eastAsia="Calibri" w:hAnsi="Times New Roman" w:cs="Times New Roman"/>
                <w:bCs/>
                <w:iCs/>
              </w:rPr>
              <w:t xml:space="preserve"> cu certitudine că, un termen nu este definit în alte acte normative sau acesta este pasibil de mai multe interpretări.</w:t>
            </w:r>
          </w:p>
        </w:tc>
        <w:tc>
          <w:tcPr>
            <w:tcW w:w="1458" w:type="pct"/>
          </w:tcPr>
          <w:p w14:paraId="0E5D858B"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EF6ED81" w14:textId="34D8D72D"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64CB906" w14:textId="77777777" w:rsidTr="00F968A9">
        <w:tc>
          <w:tcPr>
            <w:tcW w:w="797" w:type="pct"/>
            <w:vMerge/>
          </w:tcPr>
          <w:p w14:paraId="663FE5DC" w14:textId="77777777" w:rsidR="00D033A9" w:rsidRDefault="00D033A9" w:rsidP="00F83F83">
            <w:pPr>
              <w:tabs>
                <w:tab w:val="left" w:pos="355"/>
              </w:tabs>
              <w:rPr>
                <w:rFonts w:ascii="Times New Roman" w:eastAsia="Calibri" w:hAnsi="Times New Roman" w:cs="Times New Roman"/>
                <w:b/>
                <w:bCs/>
              </w:rPr>
            </w:pPr>
          </w:p>
        </w:tc>
        <w:tc>
          <w:tcPr>
            <w:tcW w:w="240" w:type="pct"/>
          </w:tcPr>
          <w:p w14:paraId="3C62290D" w14:textId="6B98E87C" w:rsidR="00D033A9" w:rsidRDefault="00D033A9" w:rsidP="00F83F83">
            <w:pPr>
              <w:rPr>
                <w:rFonts w:ascii="Times New Roman" w:eastAsia="Calibri" w:hAnsi="Times New Roman" w:cs="Times New Roman"/>
              </w:rPr>
            </w:pPr>
            <w:r>
              <w:rPr>
                <w:rFonts w:ascii="Times New Roman" w:eastAsia="Calibri" w:hAnsi="Times New Roman" w:cs="Times New Roman"/>
              </w:rPr>
              <w:t>10.</w:t>
            </w:r>
          </w:p>
        </w:tc>
        <w:tc>
          <w:tcPr>
            <w:tcW w:w="2505" w:type="pct"/>
          </w:tcPr>
          <w:p w14:paraId="1CCDA26E" w14:textId="3FBF85D4"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La pct. 5 dispoziția introductivă se recomandă a fi completată cu cuvintele „în activitatea”, în scopul respectării principiului autonomiei ale mai multor autorități menționate.</w:t>
            </w:r>
          </w:p>
        </w:tc>
        <w:tc>
          <w:tcPr>
            <w:tcW w:w="1458" w:type="pct"/>
          </w:tcPr>
          <w:p w14:paraId="2D12EE10"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17DD0D1C" w14:textId="4A43B0A2"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3D20CFC9" w14:textId="77777777" w:rsidTr="00F968A9">
        <w:tc>
          <w:tcPr>
            <w:tcW w:w="797" w:type="pct"/>
            <w:vMerge/>
          </w:tcPr>
          <w:p w14:paraId="2E22F50E" w14:textId="77777777" w:rsidR="00D033A9" w:rsidRDefault="00D033A9" w:rsidP="00F83F83">
            <w:pPr>
              <w:tabs>
                <w:tab w:val="left" w:pos="355"/>
              </w:tabs>
              <w:rPr>
                <w:rFonts w:ascii="Times New Roman" w:eastAsia="Calibri" w:hAnsi="Times New Roman" w:cs="Times New Roman"/>
                <w:b/>
                <w:bCs/>
              </w:rPr>
            </w:pPr>
          </w:p>
        </w:tc>
        <w:tc>
          <w:tcPr>
            <w:tcW w:w="240" w:type="pct"/>
          </w:tcPr>
          <w:p w14:paraId="0E1FEB3D" w14:textId="186EB424" w:rsidR="00D033A9" w:rsidRDefault="00D033A9" w:rsidP="00F83F83">
            <w:pPr>
              <w:rPr>
                <w:rFonts w:ascii="Times New Roman" w:eastAsia="Calibri" w:hAnsi="Times New Roman" w:cs="Times New Roman"/>
              </w:rPr>
            </w:pPr>
            <w:r>
              <w:rPr>
                <w:rFonts w:ascii="Times New Roman" w:eastAsia="Calibri" w:hAnsi="Times New Roman" w:cs="Times New Roman"/>
              </w:rPr>
              <w:t>11.</w:t>
            </w:r>
          </w:p>
        </w:tc>
        <w:tc>
          <w:tcPr>
            <w:tcW w:w="2505" w:type="pct"/>
          </w:tcPr>
          <w:p w14:paraId="79902BC5" w14:textId="4214E68D"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 xml:space="preserve">La </w:t>
            </w:r>
            <w:proofErr w:type="spellStart"/>
            <w:r w:rsidRPr="00F6049B">
              <w:rPr>
                <w:rFonts w:ascii="Times New Roman" w:eastAsia="Calibri" w:hAnsi="Times New Roman" w:cs="Times New Roman"/>
                <w:bCs/>
                <w:iCs/>
              </w:rPr>
              <w:t>subpct</w:t>
            </w:r>
            <w:proofErr w:type="spellEnd"/>
            <w:r w:rsidRPr="00F6049B">
              <w:rPr>
                <w:rFonts w:ascii="Times New Roman" w:eastAsia="Calibri" w:hAnsi="Times New Roman" w:cs="Times New Roman"/>
                <w:bCs/>
                <w:iCs/>
              </w:rPr>
              <w:t>. 5.4 se va exclude cuvântul „respectiv” ca fiind excedent în cazul dat.</w:t>
            </w:r>
          </w:p>
        </w:tc>
        <w:tc>
          <w:tcPr>
            <w:tcW w:w="1458" w:type="pct"/>
          </w:tcPr>
          <w:p w14:paraId="7BB09B23"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2AEC0FA4" w14:textId="413C9184"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2CDB1EBC" w14:textId="77777777" w:rsidTr="00F968A9">
        <w:tc>
          <w:tcPr>
            <w:tcW w:w="797" w:type="pct"/>
            <w:vMerge/>
          </w:tcPr>
          <w:p w14:paraId="1B97DA08" w14:textId="77777777" w:rsidR="00D033A9" w:rsidRDefault="00D033A9" w:rsidP="00F83F83">
            <w:pPr>
              <w:tabs>
                <w:tab w:val="left" w:pos="355"/>
              </w:tabs>
              <w:rPr>
                <w:rFonts w:ascii="Times New Roman" w:eastAsia="Calibri" w:hAnsi="Times New Roman" w:cs="Times New Roman"/>
                <w:b/>
                <w:bCs/>
              </w:rPr>
            </w:pPr>
          </w:p>
        </w:tc>
        <w:tc>
          <w:tcPr>
            <w:tcW w:w="240" w:type="pct"/>
          </w:tcPr>
          <w:p w14:paraId="2B9421AD" w14:textId="584FAC26" w:rsidR="00D033A9" w:rsidRDefault="00D033A9" w:rsidP="00F83F83">
            <w:pPr>
              <w:rPr>
                <w:rFonts w:ascii="Times New Roman" w:eastAsia="Calibri" w:hAnsi="Times New Roman" w:cs="Times New Roman"/>
              </w:rPr>
            </w:pPr>
            <w:r>
              <w:rPr>
                <w:rFonts w:ascii="Times New Roman" w:eastAsia="Calibri" w:hAnsi="Times New Roman" w:cs="Times New Roman"/>
              </w:rPr>
              <w:t>12.</w:t>
            </w:r>
          </w:p>
        </w:tc>
        <w:tc>
          <w:tcPr>
            <w:tcW w:w="2505" w:type="pct"/>
          </w:tcPr>
          <w:p w14:paraId="6CDCA93C" w14:textId="7EBB6FDA" w:rsidR="00D033A9" w:rsidRPr="00F6049B" w:rsidRDefault="00D033A9" w:rsidP="00F83F83">
            <w:pPr>
              <w:jc w:val="both"/>
              <w:rPr>
                <w:rFonts w:ascii="Times New Roman" w:eastAsia="Calibri" w:hAnsi="Times New Roman" w:cs="Times New Roman"/>
                <w:bCs/>
                <w:iCs/>
              </w:rPr>
            </w:pPr>
            <w:r w:rsidRPr="00F6049B">
              <w:rPr>
                <w:rFonts w:ascii="Times New Roman" w:eastAsia="Calibri" w:hAnsi="Times New Roman" w:cs="Times New Roman"/>
                <w:bCs/>
                <w:iCs/>
              </w:rPr>
              <w:t>La pct. 12, cuvintele „din prezenta Taxonomie” se vor exclude, având în vedere art. 55 alin. (4) din Legea nr. 100/2017 cu privire la actele normative (în continuare – Legea nr. 100/2017), potrivit cărora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(observație valabilă în tot textul proiectului).</w:t>
            </w:r>
          </w:p>
        </w:tc>
        <w:tc>
          <w:tcPr>
            <w:tcW w:w="1458" w:type="pct"/>
          </w:tcPr>
          <w:p w14:paraId="09342CE1"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8555642" w14:textId="31AA5B60"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5BDF9A54" w14:textId="77777777" w:rsidTr="00F968A9">
        <w:tc>
          <w:tcPr>
            <w:tcW w:w="797" w:type="pct"/>
            <w:vMerge/>
          </w:tcPr>
          <w:p w14:paraId="2681A5A8" w14:textId="77777777" w:rsidR="00D033A9" w:rsidRDefault="00D033A9" w:rsidP="00F83F83">
            <w:pPr>
              <w:tabs>
                <w:tab w:val="left" w:pos="355"/>
              </w:tabs>
              <w:rPr>
                <w:rFonts w:ascii="Times New Roman" w:eastAsia="Calibri" w:hAnsi="Times New Roman" w:cs="Times New Roman"/>
                <w:b/>
                <w:bCs/>
              </w:rPr>
            </w:pPr>
          </w:p>
        </w:tc>
        <w:tc>
          <w:tcPr>
            <w:tcW w:w="240" w:type="pct"/>
          </w:tcPr>
          <w:p w14:paraId="56BCF1BA" w14:textId="56D2CF91" w:rsidR="00D033A9" w:rsidRDefault="00D033A9" w:rsidP="00F83F83">
            <w:pPr>
              <w:rPr>
                <w:rFonts w:ascii="Times New Roman" w:eastAsia="Calibri" w:hAnsi="Times New Roman" w:cs="Times New Roman"/>
              </w:rPr>
            </w:pPr>
            <w:r>
              <w:rPr>
                <w:rFonts w:ascii="Times New Roman" w:eastAsia="Calibri" w:hAnsi="Times New Roman" w:cs="Times New Roman"/>
              </w:rPr>
              <w:t>13.</w:t>
            </w:r>
          </w:p>
        </w:tc>
        <w:tc>
          <w:tcPr>
            <w:tcW w:w="2505" w:type="pct"/>
          </w:tcPr>
          <w:p w14:paraId="2992424A" w14:textId="6BFE3711" w:rsidR="00D033A9" w:rsidRPr="00F6049B"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 xml:space="preserve">La </w:t>
            </w:r>
            <w:proofErr w:type="spellStart"/>
            <w:r w:rsidRPr="009001F6">
              <w:rPr>
                <w:rFonts w:ascii="Times New Roman" w:eastAsia="Calibri" w:hAnsi="Times New Roman" w:cs="Times New Roman"/>
                <w:bCs/>
                <w:iCs/>
              </w:rPr>
              <w:t>subpct</w:t>
            </w:r>
            <w:proofErr w:type="spellEnd"/>
            <w:r w:rsidRPr="009001F6">
              <w:rPr>
                <w:rFonts w:ascii="Times New Roman" w:eastAsia="Calibri" w:hAnsi="Times New Roman" w:cs="Times New Roman"/>
                <w:bCs/>
                <w:iCs/>
              </w:rPr>
              <w:t xml:space="preserve">. 14.1, textul „Titlului I Definiția de „Contribuție substanțială și anexa 1 din Taxonomie” se va substitui cu textul „secțiunii 1 „Definițiile de „Contribuție Substanțială” din prezentul capitol și anexa nr. 1”, deoarece proiectul nu utilizează structura pe titluri, ci pe capitole și secțiuni, iar terminologia trebuie să fie unitară și corelată cu sistematizarea actului normativ (obiecție valabilă pentru întregul text al proiectului, în cazuri similare privind denumirea elementelor structurale, spre exemplu, </w:t>
            </w:r>
            <w:proofErr w:type="spellStart"/>
            <w:r w:rsidRPr="009001F6">
              <w:rPr>
                <w:rFonts w:ascii="Times New Roman" w:eastAsia="Calibri" w:hAnsi="Times New Roman" w:cs="Times New Roman"/>
                <w:bCs/>
                <w:iCs/>
              </w:rPr>
              <w:t>subpct</w:t>
            </w:r>
            <w:proofErr w:type="spellEnd"/>
            <w:r w:rsidRPr="009001F6">
              <w:rPr>
                <w:rFonts w:ascii="Times New Roman" w:eastAsia="Calibri" w:hAnsi="Times New Roman" w:cs="Times New Roman"/>
                <w:bCs/>
                <w:iCs/>
              </w:rPr>
              <w:t>. 14.2, 14.3 etc.). De asemenea, se va reține că secțiunile sunt însemnate succesiv cu numere ordinare exprimate prin cifre arabe (a se vedea art. 53 alin. (1) lit. a) din Legea nr. 100/2017).</w:t>
            </w:r>
          </w:p>
        </w:tc>
        <w:tc>
          <w:tcPr>
            <w:tcW w:w="1458" w:type="pct"/>
          </w:tcPr>
          <w:p w14:paraId="05EEC17A"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B05E2ED" w14:textId="33812130"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D17CD68" w14:textId="77777777" w:rsidTr="00F968A9">
        <w:tc>
          <w:tcPr>
            <w:tcW w:w="797" w:type="pct"/>
            <w:vMerge/>
          </w:tcPr>
          <w:p w14:paraId="55717DBC" w14:textId="77777777" w:rsidR="00D033A9" w:rsidRDefault="00D033A9" w:rsidP="00F83F83">
            <w:pPr>
              <w:tabs>
                <w:tab w:val="left" w:pos="355"/>
              </w:tabs>
              <w:rPr>
                <w:rFonts w:ascii="Times New Roman" w:eastAsia="Calibri" w:hAnsi="Times New Roman" w:cs="Times New Roman"/>
                <w:b/>
                <w:bCs/>
              </w:rPr>
            </w:pPr>
          </w:p>
        </w:tc>
        <w:tc>
          <w:tcPr>
            <w:tcW w:w="240" w:type="pct"/>
          </w:tcPr>
          <w:p w14:paraId="7DF18623" w14:textId="6A21F6A3" w:rsidR="00D033A9" w:rsidRDefault="00D033A9" w:rsidP="00F83F83">
            <w:pPr>
              <w:rPr>
                <w:rFonts w:ascii="Times New Roman" w:eastAsia="Calibri" w:hAnsi="Times New Roman" w:cs="Times New Roman"/>
              </w:rPr>
            </w:pPr>
            <w:r>
              <w:rPr>
                <w:rFonts w:ascii="Times New Roman" w:eastAsia="Calibri" w:hAnsi="Times New Roman" w:cs="Times New Roman"/>
              </w:rPr>
              <w:t>14.</w:t>
            </w:r>
          </w:p>
        </w:tc>
        <w:tc>
          <w:tcPr>
            <w:tcW w:w="2505" w:type="pct"/>
          </w:tcPr>
          <w:p w14:paraId="35B3DBAF" w14:textId="251A66BE" w:rsidR="00D033A9" w:rsidRPr="00F6049B"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La pct. 15, se propune numerotarea corespunzătoare a tuturor alineatelor sau, alternativ, excluderea tabelului și structurarea textului în format clasic, pentru a asigura claritatea și accesibilitatea normei. Obiecția este valabilă pentru pct. 16 și 18, unde prezentarea normelor în tabel, fără numerotare clară, afectează identificarea clară și aplicarea acestora. În cazul în care tabelele se vor menține, acestea se vor numerota corespunzător temeiului-cadru prevăzut în textul Taxonomiei, fiind renumerotate toate elementele structurale ale acesteia.</w:t>
            </w:r>
          </w:p>
        </w:tc>
        <w:tc>
          <w:tcPr>
            <w:tcW w:w="1458" w:type="pct"/>
          </w:tcPr>
          <w:p w14:paraId="5664A2E5" w14:textId="77777777" w:rsidR="002D0717" w:rsidRPr="00DA1F51" w:rsidRDefault="002D0717" w:rsidP="002D0717">
            <w:pPr>
              <w:rPr>
                <w:rFonts w:ascii="Times New Roman" w:eastAsia="Calibri" w:hAnsi="Times New Roman" w:cs="Times New Roman"/>
                <w:b/>
              </w:rPr>
            </w:pPr>
            <w:r w:rsidRPr="00DA1F51">
              <w:rPr>
                <w:rFonts w:ascii="Times New Roman" w:eastAsia="Calibri" w:hAnsi="Times New Roman" w:cs="Times New Roman"/>
                <w:b/>
              </w:rPr>
              <w:t>Se acceptă.</w:t>
            </w:r>
          </w:p>
          <w:p w14:paraId="4FFFA2DD" w14:textId="6DCA04F4" w:rsidR="00D033A9" w:rsidRPr="00454EAC" w:rsidRDefault="002D0717" w:rsidP="002D0717">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50587021" w14:textId="77777777" w:rsidTr="00F968A9">
        <w:tc>
          <w:tcPr>
            <w:tcW w:w="797" w:type="pct"/>
            <w:vMerge/>
          </w:tcPr>
          <w:p w14:paraId="6B4E8586" w14:textId="77777777" w:rsidR="00D033A9" w:rsidRDefault="00D033A9" w:rsidP="00F83F83">
            <w:pPr>
              <w:tabs>
                <w:tab w:val="left" w:pos="355"/>
              </w:tabs>
              <w:rPr>
                <w:rFonts w:ascii="Times New Roman" w:eastAsia="Calibri" w:hAnsi="Times New Roman" w:cs="Times New Roman"/>
                <w:b/>
                <w:bCs/>
              </w:rPr>
            </w:pPr>
          </w:p>
        </w:tc>
        <w:tc>
          <w:tcPr>
            <w:tcW w:w="240" w:type="pct"/>
          </w:tcPr>
          <w:p w14:paraId="3E6543A4" w14:textId="5A43D0C5" w:rsidR="00D033A9" w:rsidRDefault="00D033A9" w:rsidP="00F83F83">
            <w:pPr>
              <w:rPr>
                <w:rFonts w:ascii="Times New Roman" w:eastAsia="Calibri" w:hAnsi="Times New Roman" w:cs="Times New Roman"/>
              </w:rPr>
            </w:pPr>
            <w:r>
              <w:rPr>
                <w:rFonts w:ascii="Times New Roman" w:eastAsia="Calibri" w:hAnsi="Times New Roman" w:cs="Times New Roman"/>
              </w:rPr>
              <w:t>15.</w:t>
            </w:r>
          </w:p>
        </w:tc>
        <w:tc>
          <w:tcPr>
            <w:tcW w:w="2505" w:type="pct"/>
          </w:tcPr>
          <w:p w14:paraId="4DE0BC06" w14:textId="113F9120" w:rsidR="00D033A9" w:rsidRPr="00F6049B"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 xml:space="preserve">La </w:t>
            </w:r>
            <w:proofErr w:type="spellStart"/>
            <w:r w:rsidRPr="009001F6">
              <w:rPr>
                <w:rFonts w:ascii="Times New Roman" w:eastAsia="Calibri" w:hAnsi="Times New Roman" w:cs="Times New Roman"/>
                <w:bCs/>
                <w:iCs/>
              </w:rPr>
              <w:t>subpct</w:t>
            </w:r>
            <w:proofErr w:type="spellEnd"/>
            <w:r w:rsidRPr="009001F6">
              <w:rPr>
                <w:rFonts w:ascii="Times New Roman" w:eastAsia="Calibri" w:hAnsi="Times New Roman" w:cs="Times New Roman"/>
                <w:bCs/>
                <w:iCs/>
              </w:rPr>
              <w:t>. 16.1.9, textul „pct. 16.1.1-16.1.8” se va substitui cu textul „</w:t>
            </w:r>
            <w:proofErr w:type="spellStart"/>
            <w:r w:rsidRPr="009001F6">
              <w:rPr>
                <w:rFonts w:ascii="Times New Roman" w:eastAsia="Calibri" w:hAnsi="Times New Roman" w:cs="Times New Roman"/>
                <w:bCs/>
                <w:iCs/>
              </w:rPr>
              <w:t>subpct</w:t>
            </w:r>
            <w:proofErr w:type="spellEnd"/>
            <w:r w:rsidRPr="009001F6">
              <w:rPr>
                <w:rFonts w:ascii="Times New Roman" w:eastAsia="Calibri" w:hAnsi="Times New Roman" w:cs="Times New Roman"/>
                <w:bCs/>
                <w:iCs/>
              </w:rPr>
              <w:t>. 16.1.1-16.1.8”, pentru a asigura corectitudinea trimiterilor la elementele structurale și uniformitatea terminologiei utilizate în cadrul actului normativ (observație valabilă pentru toate cazurile similare din proiect).</w:t>
            </w:r>
          </w:p>
        </w:tc>
        <w:tc>
          <w:tcPr>
            <w:tcW w:w="1458" w:type="pct"/>
          </w:tcPr>
          <w:p w14:paraId="461225FC"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19A1D07" w14:textId="414820BE"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00CEF456" w14:textId="77777777" w:rsidTr="00F968A9">
        <w:tc>
          <w:tcPr>
            <w:tcW w:w="797" w:type="pct"/>
            <w:vMerge/>
          </w:tcPr>
          <w:p w14:paraId="269269D2" w14:textId="77777777" w:rsidR="00D033A9" w:rsidRDefault="00D033A9" w:rsidP="00F83F83">
            <w:pPr>
              <w:tabs>
                <w:tab w:val="left" w:pos="355"/>
              </w:tabs>
              <w:rPr>
                <w:rFonts w:ascii="Times New Roman" w:eastAsia="Calibri" w:hAnsi="Times New Roman" w:cs="Times New Roman"/>
                <w:b/>
                <w:bCs/>
              </w:rPr>
            </w:pPr>
          </w:p>
        </w:tc>
        <w:tc>
          <w:tcPr>
            <w:tcW w:w="240" w:type="pct"/>
          </w:tcPr>
          <w:p w14:paraId="59F25E67" w14:textId="3492F267" w:rsidR="00D033A9" w:rsidRDefault="00D033A9" w:rsidP="00F83F83">
            <w:pPr>
              <w:rPr>
                <w:rFonts w:ascii="Times New Roman" w:eastAsia="Calibri" w:hAnsi="Times New Roman" w:cs="Times New Roman"/>
              </w:rPr>
            </w:pPr>
            <w:r>
              <w:rPr>
                <w:rFonts w:ascii="Times New Roman" w:eastAsia="Calibri" w:hAnsi="Times New Roman" w:cs="Times New Roman"/>
              </w:rPr>
              <w:t>16.</w:t>
            </w:r>
          </w:p>
        </w:tc>
        <w:tc>
          <w:tcPr>
            <w:tcW w:w="2505" w:type="pct"/>
          </w:tcPr>
          <w:p w14:paraId="421C6956" w14:textId="2B179C1E" w:rsidR="00D033A9" w:rsidRPr="009001F6"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 xml:space="preserve">La </w:t>
            </w:r>
            <w:proofErr w:type="spellStart"/>
            <w:r w:rsidRPr="009001F6">
              <w:rPr>
                <w:rFonts w:ascii="Times New Roman" w:eastAsia="Calibri" w:hAnsi="Times New Roman" w:cs="Times New Roman"/>
                <w:bCs/>
                <w:iCs/>
              </w:rPr>
              <w:t>subpct</w:t>
            </w:r>
            <w:proofErr w:type="spellEnd"/>
            <w:r w:rsidRPr="009001F6">
              <w:rPr>
                <w:rFonts w:ascii="Times New Roman" w:eastAsia="Calibri" w:hAnsi="Times New Roman" w:cs="Times New Roman"/>
                <w:bCs/>
                <w:iCs/>
              </w:rPr>
              <w:t>. 16.2.2, textul „definiția activităților de facilitare prevăzute în Titlul IV,” se va exclude ca fiind redundant și se va lăsa doar referința la pct. 26. Tot aici, în partea ce vizează însemnarea diviziunilor unei dispoziții se consideră necesară respectarea art. 52 alin. (3) al Legii nr. 100/2017, care prevede că, pentru interpretare corectă și aplicare comodă, punctele pot fi divizate în subpuncte care se numerotează prin adăugarea consecutivă a cifrelor arabe, până la gradul de detaliere necesar. Astfel, însemnarea prin „(i), (ii), (iii)”, se va conforma rigorilor de tehnică legislativă (observație valabilă pentru toate cazurile similare din proiect și anexe în care sunt utilizate marcaje de tip „(i), (ii), (iii)” în locul numerotării cu cifre arabe a subpunctelor).</w:t>
            </w:r>
          </w:p>
        </w:tc>
        <w:tc>
          <w:tcPr>
            <w:tcW w:w="1458" w:type="pct"/>
          </w:tcPr>
          <w:p w14:paraId="358437B0"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5701F2DD" w14:textId="2C5927AA"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4BB1B373" w14:textId="77777777" w:rsidTr="00F968A9">
        <w:tc>
          <w:tcPr>
            <w:tcW w:w="797" w:type="pct"/>
            <w:vMerge/>
          </w:tcPr>
          <w:p w14:paraId="4F94C96F" w14:textId="77777777" w:rsidR="00D033A9" w:rsidRDefault="00D033A9" w:rsidP="00F83F83">
            <w:pPr>
              <w:tabs>
                <w:tab w:val="left" w:pos="355"/>
              </w:tabs>
              <w:rPr>
                <w:rFonts w:ascii="Times New Roman" w:eastAsia="Calibri" w:hAnsi="Times New Roman" w:cs="Times New Roman"/>
                <w:b/>
                <w:bCs/>
              </w:rPr>
            </w:pPr>
          </w:p>
        </w:tc>
        <w:tc>
          <w:tcPr>
            <w:tcW w:w="240" w:type="pct"/>
          </w:tcPr>
          <w:p w14:paraId="1A0081EA" w14:textId="67A2DE1F" w:rsidR="00D033A9" w:rsidRDefault="00D033A9" w:rsidP="00F83F83">
            <w:pPr>
              <w:rPr>
                <w:rFonts w:ascii="Times New Roman" w:eastAsia="Calibri" w:hAnsi="Times New Roman" w:cs="Times New Roman"/>
              </w:rPr>
            </w:pPr>
            <w:r>
              <w:rPr>
                <w:rFonts w:ascii="Times New Roman" w:eastAsia="Calibri" w:hAnsi="Times New Roman" w:cs="Times New Roman"/>
              </w:rPr>
              <w:t>17.</w:t>
            </w:r>
          </w:p>
        </w:tc>
        <w:tc>
          <w:tcPr>
            <w:tcW w:w="2505" w:type="pct"/>
          </w:tcPr>
          <w:p w14:paraId="2084B8A3" w14:textId="30A00909" w:rsidR="00D033A9" w:rsidRPr="009001F6"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La pct. 19 textul „pct. 17-18” se va substitui cu textul „pct. 17 și 18”. Se va reține că doar în cazul în care se face referință la mai mult de două elemente structurale consecutive, acestea se menționează prin cratimă (spre exemplu, pct. 17 19).</w:t>
            </w:r>
          </w:p>
        </w:tc>
        <w:tc>
          <w:tcPr>
            <w:tcW w:w="1458" w:type="pct"/>
          </w:tcPr>
          <w:p w14:paraId="7C83FE28"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1EAC1BC2" w14:textId="6EBA4E8C"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4492B454" w14:textId="77777777" w:rsidTr="00F968A9">
        <w:tc>
          <w:tcPr>
            <w:tcW w:w="797" w:type="pct"/>
            <w:vMerge/>
          </w:tcPr>
          <w:p w14:paraId="0FA58EC9" w14:textId="77777777" w:rsidR="00D033A9" w:rsidRDefault="00D033A9" w:rsidP="00F83F83">
            <w:pPr>
              <w:tabs>
                <w:tab w:val="left" w:pos="355"/>
              </w:tabs>
              <w:rPr>
                <w:rFonts w:ascii="Times New Roman" w:eastAsia="Calibri" w:hAnsi="Times New Roman" w:cs="Times New Roman"/>
                <w:b/>
                <w:bCs/>
              </w:rPr>
            </w:pPr>
          </w:p>
        </w:tc>
        <w:tc>
          <w:tcPr>
            <w:tcW w:w="240" w:type="pct"/>
          </w:tcPr>
          <w:p w14:paraId="5D635EFA" w14:textId="61A34B66" w:rsidR="00D033A9" w:rsidRDefault="00D033A9" w:rsidP="00F83F83">
            <w:pPr>
              <w:rPr>
                <w:rFonts w:ascii="Times New Roman" w:eastAsia="Calibri" w:hAnsi="Times New Roman" w:cs="Times New Roman"/>
              </w:rPr>
            </w:pPr>
            <w:r>
              <w:rPr>
                <w:rFonts w:ascii="Times New Roman" w:eastAsia="Calibri" w:hAnsi="Times New Roman" w:cs="Times New Roman"/>
              </w:rPr>
              <w:t>18.</w:t>
            </w:r>
          </w:p>
        </w:tc>
        <w:tc>
          <w:tcPr>
            <w:tcW w:w="2505" w:type="pct"/>
          </w:tcPr>
          <w:p w14:paraId="78A4B3D2" w14:textId="77777777" w:rsidR="00D033A9"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 xml:space="preserve">La pct. 29.6, după utilizarea semnului „ : ”, textul se va structura în subpuncte distincte, pentru a asigura claritatea și coerența normei. Se propune expunerea pct. 29.6 după cum urmează: </w:t>
            </w:r>
          </w:p>
          <w:p w14:paraId="6F197E5A" w14:textId="77777777" w:rsidR="00D033A9"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 xml:space="preserve">„29.6. iau în considerare natura și amploarea activității economice, inclusiv: </w:t>
            </w:r>
          </w:p>
          <w:p w14:paraId="6CF914A6" w14:textId="77777777" w:rsidR="00D033A9"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29.6.1. dacă este o activitate de facilitare, astfel cum este menționată la pct. 26; sau</w:t>
            </w:r>
          </w:p>
          <w:p w14:paraId="69544F07" w14:textId="77777777" w:rsidR="00D033A9"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 xml:space="preserve">29.6.2. dacă este o activitate de tranziție, astfel cum este menționată la pct. 25 și indică în mod clar acest fapt.”. </w:t>
            </w:r>
          </w:p>
          <w:p w14:paraId="483F923C" w14:textId="7252B0C4" w:rsidR="00D033A9" w:rsidRPr="009001F6"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lastRenderedPageBreak/>
              <w:t>La final, textul ce se referă la „ANEXE” și enumerarea acestora se va exclude ca fiind excedent în conținutul Taxonomiei.</w:t>
            </w:r>
          </w:p>
        </w:tc>
        <w:tc>
          <w:tcPr>
            <w:tcW w:w="1458" w:type="pct"/>
          </w:tcPr>
          <w:p w14:paraId="75E12FD7"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lastRenderedPageBreak/>
              <w:t>Se acceptă.</w:t>
            </w:r>
          </w:p>
          <w:p w14:paraId="49D9D379" w14:textId="5AF53068"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0BAEB0E7" w14:textId="77777777" w:rsidTr="00F968A9">
        <w:tc>
          <w:tcPr>
            <w:tcW w:w="797" w:type="pct"/>
            <w:vMerge/>
          </w:tcPr>
          <w:p w14:paraId="28CBA40C" w14:textId="77777777" w:rsidR="00D033A9" w:rsidRDefault="00D033A9" w:rsidP="00F83F83">
            <w:pPr>
              <w:tabs>
                <w:tab w:val="left" w:pos="355"/>
              </w:tabs>
              <w:rPr>
                <w:rFonts w:ascii="Times New Roman" w:eastAsia="Calibri" w:hAnsi="Times New Roman" w:cs="Times New Roman"/>
                <w:b/>
                <w:bCs/>
              </w:rPr>
            </w:pPr>
          </w:p>
        </w:tc>
        <w:tc>
          <w:tcPr>
            <w:tcW w:w="240" w:type="pct"/>
          </w:tcPr>
          <w:p w14:paraId="2761322F" w14:textId="408E95E3" w:rsidR="00D033A9" w:rsidRDefault="00D033A9" w:rsidP="00F83F83">
            <w:pPr>
              <w:rPr>
                <w:rFonts w:ascii="Times New Roman" w:eastAsia="Calibri" w:hAnsi="Times New Roman" w:cs="Times New Roman"/>
              </w:rPr>
            </w:pPr>
            <w:r>
              <w:rPr>
                <w:rFonts w:ascii="Times New Roman" w:eastAsia="Calibri" w:hAnsi="Times New Roman" w:cs="Times New Roman"/>
              </w:rPr>
              <w:t>19.</w:t>
            </w:r>
          </w:p>
        </w:tc>
        <w:tc>
          <w:tcPr>
            <w:tcW w:w="2505" w:type="pct"/>
          </w:tcPr>
          <w:p w14:paraId="56CEF609" w14:textId="60A214F3" w:rsidR="00D033A9" w:rsidRPr="009001F6" w:rsidRDefault="00D033A9" w:rsidP="00F83F83">
            <w:pPr>
              <w:jc w:val="both"/>
              <w:rPr>
                <w:rFonts w:ascii="Times New Roman" w:eastAsia="Calibri" w:hAnsi="Times New Roman" w:cs="Times New Roman"/>
                <w:bCs/>
                <w:iCs/>
              </w:rPr>
            </w:pPr>
            <w:r w:rsidRPr="009001F6">
              <w:rPr>
                <w:rFonts w:ascii="Times New Roman" w:eastAsia="Calibri" w:hAnsi="Times New Roman" w:cs="Times New Roman"/>
                <w:bCs/>
                <w:iCs/>
              </w:rPr>
              <w:t>În anexele nr. 1 și nr. 2 la Taxonomie este inclus un cuprins, care, în conformitate cu prevederile Legii nr. 100/2017 și practicii de redactare a actelor normative, nu este un element constitutiv al actului normativ. Prin urmare, se recomandă excluderea acestuia din anexe.</w:t>
            </w:r>
          </w:p>
        </w:tc>
        <w:tc>
          <w:tcPr>
            <w:tcW w:w="1458" w:type="pct"/>
          </w:tcPr>
          <w:p w14:paraId="39AE436C"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5CC1A39D" w14:textId="6D5D56C8"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2CF05B1D" w14:textId="77777777" w:rsidTr="00F968A9">
        <w:tc>
          <w:tcPr>
            <w:tcW w:w="797" w:type="pct"/>
            <w:vMerge/>
          </w:tcPr>
          <w:p w14:paraId="753819F2" w14:textId="77777777" w:rsidR="00D033A9" w:rsidRDefault="00D033A9" w:rsidP="00F83F83">
            <w:pPr>
              <w:tabs>
                <w:tab w:val="left" w:pos="355"/>
              </w:tabs>
              <w:rPr>
                <w:rFonts w:ascii="Times New Roman" w:eastAsia="Calibri" w:hAnsi="Times New Roman" w:cs="Times New Roman"/>
                <w:b/>
                <w:bCs/>
              </w:rPr>
            </w:pPr>
          </w:p>
        </w:tc>
        <w:tc>
          <w:tcPr>
            <w:tcW w:w="240" w:type="pct"/>
          </w:tcPr>
          <w:p w14:paraId="04484471" w14:textId="197C00F3" w:rsidR="00D033A9" w:rsidRDefault="00D033A9" w:rsidP="00F83F83">
            <w:pPr>
              <w:rPr>
                <w:rFonts w:ascii="Times New Roman" w:eastAsia="Calibri" w:hAnsi="Times New Roman" w:cs="Times New Roman"/>
              </w:rPr>
            </w:pPr>
            <w:r>
              <w:rPr>
                <w:rFonts w:ascii="Times New Roman" w:eastAsia="Calibri" w:hAnsi="Times New Roman" w:cs="Times New Roman"/>
              </w:rPr>
              <w:t>20.</w:t>
            </w:r>
          </w:p>
        </w:tc>
        <w:tc>
          <w:tcPr>
            <w:tcW w:w="2505" w:type="pct"/>
          </w:tcPr>
          <w:p w14:paraId="6743ED2D" w14:textId="77777777"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anexa nr. 1 la Taxonomie:</w:t>
            </w:r>
          </w:p>
          <w:p w14:paraId="63764956" w14:textId="33EEB6E2"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În parafa de aprobare textul „aprobată prin Hotărârea Guvernului nr. -_____ din _______” se va exclude ca fiind inutil. Astfel, întru corectitudinea redactării, parafa de aprobare se va indica după cum urmează: „Anexa nr. 1 la Taxonomia pentru finanțare durabilă” (obiecție valabilă și pentru parafele anexelor nr. 2-4).</w:t>
            </w:r>
          </w:p>
        </w:tc>
        <w:tc>
          <w:tcPr>
            <w:tcW w:w="1458" w:type="pct"/>
          </w:tcPr>
          <w:p w14:paraId="1AC40546"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BE8617A" w14:textId="6D0B2186"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3EDFA05E" w14:textId="77777777" w:rsidTr="00F968A9">
        <w:tc>
          <w:tcPr>
            <w:tcW w:w="797" w:type="pct"/>
            <w:vMerge/>
          </w:tcPr>
          <w:p w14:paraId="6F2807CF" w14:textId="77777777" w:rsidR="00D033A9" w:rsidRDefault="00D033A9" w:rsidP="00F83F83">
            <w:pPr>
              <w:tabs>
                <w:tab w:val="left" w:pos="355"/>
              </w:tabs>
              <w:rPr>
                <w:rFonts w:ascii="Times New Roman" w:eastAsia="Calibri" w:hAnsi="Times New Roman" w:cs="Times New Roman"/>
                <w:b/>
                <w:bCs/>
              </w:rPr>
            </w:pPr>
          </w:p>
        </w:tc>
        <w:tc>
          <w:tcPr>
            <w:tcW w:w="240" w:type="pct"/>
          </w:tcPr>
          <w:p w14:paraId="6DC08ADB" w14:textId="5BDA307F" w:rsidR="00D033A9" w:rsidRDefault="00D033A9" w:rsidP="00F83F83">
            <w:pPr>
              <w:rPr>
                <w:rFonts w:ascii="Times New Roman" w:eastAsia="Calibri" w:hAnsi="Times New Roman" w:cs="Times New Roman"/>
              </w:rPr>
            </w:pPr>
            <w:r>
              <w:rPr>
                <w:rFonts w:ascii="Times New Roman" w:eastAsia="Calibri" w:hAnsi="Times New Roman" w:cs="Times New Roman"/>
              </w:rPr>
              <w:t>21.</w:t>
            </w:r>
          </w:p>
        </w:tc>
        <w:tc>
          <w:tcPr>
            <w:tcW w:w="2505" w:type="pct"/>
          </w:tcPr>
          <w:p w14:paraId="5D552C05" w14:textId="77777777"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 xml:space="preserve">Totodată, în aceeași anexă la rubrica „Acte normative conexe și standarde internaționale” au fost atestate următoarele carențe: </w:t>
            </w:r>
          </w:p>
          <w:p w14:paraId="0E9BDABD" w14:textId="27869608"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5, textul „Codul Silvic nr. 64/2024” se va substitui cu textul „Codul silvic nr. 69/2024”.</w:t>
            </w:r>
          </w:p>
        </w:tc>
        <w:tc>
          <w:tcPr>
            <w:tcW w:w="1458" w:type="pct"/>
          </w:tcPr>
          <w:p w14:paraId="5F20E107"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C233CC9" w14:textId="0B65A542"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3B9BEEE0" w14:textId="77777777" w:rsidTr="00F968A9">
        <w:tc>
          <w:tcPr>
            <w:tcW w:w="797" w:type="pct"/>
            <w:vMerge/>
          </w:tcPr>
          <w:p w14:paraId="21ECEC40" w14:textId="77777777" w:rsidR="00D033A9" w:rsidRDefault="00D033A9" w:rsidP="00F83F83">
            <w:pPr>
              <w:tabs>
                <w:tab w:val="left" w:pos="355"/>
              </w:tabs>
              <w:rPr>
                <w:rFonts w:ascii="Times New Roman" w:eastAsia="Calibri" w:hAnsi="Times New Roman" w:cs="Times New Roman"/>
                <w:b/>
                <w:bCs/>
              </w:rPr>
            </w:pPr>
          </w:p>
        </w:tc>
        <w:tc>
          <w:tcPr>
            <w:tcW w:w="240" w:type="pct"/>
          </w:tcPr>
          <w:p w14:paraId="19300D3F" w14:textId="08FA63A2" w:rsidR="00D033A9" w:rsidRDefault="00D033A9" w:rsidP="00F83F83">
            <w:pPr>
              <w:rPr>
                <w:rFonts w:ascii="Times New Roman" w:eastAsia="Calibri" w:hAnsi="Times New Roman" w:cs="Times New Roman"/>
              </w:rPr>
            </w:pPr>
            <w:r>
              <w:rPr>
                <w:rFonts w:ascii="Times New Roman" w:eastAsia="Calibri" w:hAnsi="Times New Roman" w:cs="Times New Roman"/>
              </w:rPr>
              <w:t>22.</w:t>
            </w:r>
          </w:p>
        </w:tc>
        <w:tc>
          <w:tcPr>
            <w:tcW w:w="2505" w:type="pct"/>
          </w:tcPr>
          <w:p w14:paraId="6378F3FD" w14:textId="46DC8DAA"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8, referința la Regulamentul (UE) 2019/631 este redată incomplet. În conformitate cu cerințele de tehnică legislativă, actele Uniunii Europene se indică prin denumirea completă, potrivit versiunii publicate în Jurnalul Oficial al Uniunii Europene. Prin urmare, se recomandă redarea integrală a titlului, după cum urmează: „Regulamentul (UE) 2019/631 al Parlamentului European și al Consiliului din 17 aprilie 2019 de stabilire a standardelor de performanță privind emisiile de CO2 pentru autoturismele noi și pentru vehiculele utilitare ușoare noi și de abrogare a Regulamentelor (CE) nr. 443/2009 și (UE) nr. 510/2011”. Obiecția este valabilă și pentru referința de la pagina 19, privind denumirea Regulamentului dat.</w:t>
            </w:r>
          </w:p>
        </w:tc>
        <w:tc>
          <w:tcPr>
            <w:tcW w:w="1458" w:type="pct"/>
          </w:tcPr>
          <w:p w14:paraId="20C1B0E0"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32352367" w14:textId="41AB5632"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5C86B771" w14:textId="77777777" w:rsidTr="00F968A9">
        <w:tc>
          <w:tcPr>
            <w:tcW w:w="797" w:type="pct"/>
            <w:vMerge/>
          </w:tcPr>
          <w:p w14:paraId="74F31A6A" w14:textId="77777777" w:rsidR="00D033A9" w:rsidRDefault="00D033A9" w:rsidP="00F83F83">
            <w:pPr>
              <w:tabs>
                <w:tab w:val="left" w:pos="355"/>
              </w:tabs>
              <w:rPr>
                <w:rFonts w:ascii="Times New Roman" w:eastAsia="Calibri" w:hAnsi="Times New Roman" w:cs="Times New Roman"/>
                <w:b/>
                <w:bCs/>
              </w:rPr>
            </w:pPr>
          </w:p>
        </w:tc>
        <w:tc>
          <w:tcPr>
            <w:tcW w:w="240" w:type="pct"/>
          </w:tcPr>
          <w:p w14:paraId="2D493AF0" w14:textId="47B769FE" w:rsidR="00D033A9" w:rsidRDefault="00D033A9" w:rsidP="00F83F83">
            <w:pPr>
              <w:rPr>
                <w:rFonts w:ascii="Times New Roman" w:eastAsia="Calibri" w:hAnsi="Times New Roman" w:cs="Times New Roman"/>
              </w:rPr>
            </w:pPr>
            <w:r>
              <w:rPr>
                <w:rFonts w:ascii="Times New Roman" w:eastAsia="Calibri" w:hAnsi="Times New Roman" w:cs="Times New Roman"/>
              </w:rPr>
              <w:t>23.</w:t>
            </w:r>
          </w:p>
        </w:tc>
        <w:tc>
          <w:tcPr>
            <w:tcW w:w="2505" w:type="pct"/>
          </w:tcPr>
          <w:p w14:paraId="6D66C859" w14:textId="11BF870C"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13, referința la Regulamentul delegat (UE) 2019/331 este redată incomplet. Prin urmare, se va reda denumirea integrală a actului UE, după cum urmează: „Regulamentul delegat (UE) 2019/331 al Comisiei din 19 decembrie 2018 de stabilire a normelor tranzitorii pentru întreaga Uniune privind alocarea armonizată și cu titlu gratuit a certificatelor de emisii în temeiul articolului 10a din Directiva 2003/87/CE a Parlamentului European și a Consiliului” (obiecție valabilă și pentru referințele la paginile 14-17, privind denumirea Regulamentului dat).</w:t>
            </w:r>
          </w:p>
        </w:tc>
        <w:tc>
          <w:tcPr>
            <w:tcW w:w="1458" w:type="pct"/>
          </w:tcPr>
          <w:p w14:paraId="5D1805C2"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1B210342" w14:textId="7DA1C28F"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20ED6B0E" w14:textId="77777777" w:rsidTr="00F968A9">
        <w:tc>
          <w:tcPr>
            <w:tcW w:w="797" w:type="pct"/>
            <w:vMerge/>
          </w:tcPr>
          <w:p w14:paraId="0CD3D001" w14:textId="77777777" w:rsidR="00D033A9" w:rsidRDefault="00D033A9" w:rsidP="00F83F83">
            <w:pPr>
              <w:tabs>
                <w:tab w:val="left" w:pos="355"/>
              </w:tabs>
              <w:rPr>
                <w:rFonts w:ascii="Times New Roman" w:eastAsia="Calibri" w:hAnsi="Times New Roman" w:cs="Times New Roman"/>
                <w:b/>
                <w:bCs/>
              </w:rPr>
            </w:pPr>
          </w:p>
        </w:tc>
        <w:tc>
          <w:tcPr>
            <w:tcW w:w="240" w:type="pct"/>
          </w:tcPr>
          <w:p w14:paraId="34DF7202" w14:textId="6EEB24F4" w:rsidR="00D033A9" w:rsidRDefault="00D033A9" w:rsidP="00F83F83">
            <w:pPr>
              <w:rPr>
                <w:rFonts w:ascii="Times New Roman" w:eastAsia="Calibri" w:hAnsi="Times New Roman" w:cs="Times New Roman"/>
              </w:rPr>
            </w:pPr>
            <w:r>
              <w:rPr>
                <w:rFonts w:ascii="Times New Roman" w:eastAsia="Calibri" w:hAnsi="Times New Roman" w:cs="Times New Roman"/>
              </w:rPr>
              <w:t>24.</w:t>
            </w:r>
          </w:p>
        </w:tc>
        <w:tc>
          <w:tcPr>
            <w:tcW w:w="2505" w:type="pct"/>
          </w:tcPr>
          <w:p w14:paraId="7B2580AD" w14:textId="5D2D86FB"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26, referința la Hotărârea Agenției Naționale pentru Reglementare în Energetică nr. 743/2024 este redată incomplet. Prin urmare, denumirea se va completa, după cum urmează: „Hotărârea Agenției Naționale pentru Reglementare în Energetică nr. 743/2024 privind aprobarea Regulamentului cu privire la comunitățile de energie din surse regenerabile”.</w:t>
            </w:r>
          </w:p>
        </w:tc>
        <w:tc>
          <w:tcPr>
            <w:tcW w:w="1458" w:type="pct"/>
          </w:tcPr>
          <w:p w14:paraId="75B8F6AD"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8C677C3" w14:textId="53DC3F83"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00D7C120" w14:textId="77777777" w:rsidTr="00F968A9">
        <w:tc>
          <w:tcPr>
            <w:tcW w:w="797" w:type="pct"/>
            <w:vMerge/>
          </w:tcPr>
          <w:p w14:paraId="32646F43" w14:textId="77777777" w:rsidR="00D033A9" w:rsidRDefault="00D033A9" w:rsidP="00F83F83">
            <w:pPr>
              <w:tabs>
                <w:tab w:val="left" w:pos="355"/>
              </w:tabs>
              <w:rPr>
                <w:rFonts w:ascii="Times New Roman" w:eastAsia="Calibri" w:hAnsi="Times New Roman" w:cs="Times New Roman"/>
                <w:b/>
                <w:bCs/>
              </w:rPr>
            </w:pPr>
          </w:p>
        </w:tc>
        <w:tc>
          <w:tcPr>
            <w:tcW w:w="240" w:type="pct"/>
          </w:tcPr>
          <w:p w14:paraId="520D37C7" w14:textId="6A3E2747" w:rsidR="00D033A9" w:rsidRDefault="00D033A9" w:rsidP="00F83F83">
            <w:pPr>
              <w:rPr>
                <w:rFonts w:ascii="Times New Roman" w:eastAsia="Calibri" w:hAnsi="Times New Roman" w:cs="Times New Roman"/>
              </w:rPr>
            </w:pPr>
            <w:r>
              <w:rPr>
                <w:rFonts w:ascii="Times New Roman" w:eastAsia="Calibri" w:hAnsi="Times New Roman" w:cs="Times New Roman"/>
              </w:rPr>
              <w:t>25.</w:t>
            </w:r>
          </w:p>
        </w:tc>
        <w:tc>
          <w:tcPr>
            <w:tcW w:w="2505" w:type="pct"/>
          </w:tcPr>
          <w:p w14:paraId="6021B059" w14:textId="097186EA" w:rsidR="00D033A9" w:rsidRPr="00AB1AEA" w:rsidRDefault="00D033A9" w:rsidP="009001F6">
            <w:pPr>
              <w:jc w:val="both"/>
              <w:rPr>
                <w:rFonts w:ascii="Times New Roman" w:eastAsia="Calibri" w:hAnsi="Times New Roman" w:cs="Times New Roman"/>
                <w:bCs/>
                <w:iCs/>
              </w:rPr>
            </w:pPr>
            <w:r w:rsidRPr="00AB1AEA">
              <w:rPr>
                <w:rFonts w:ascii="Times New Roman" w:eastAsia="Calibri" w:hAnsi="Times New Roman" w:cs="Times New Roman"/>
                <w:bCs/>
                <w:iCs/>
              </w:rPr>
              <w:t>La pagina 27, în denumirea Hotărârii Guvernului nr. 102/2013, după cuvintele „până în” se va completa cu cuvântul „anul”, în vederea redării corecte a denumirii actului normativ (obiecție valabilă pentru situațiile similare de la paginile 28 și 32).</w:t>
            </w:r>
          </w:p>
        </w:tc>
        <w:tc>
          <w:tcPr>
            <w:tcW w:w="1458" w:type="pct"/>
          </w:tcPr>
          <w:p w14:paraId="037BBDC1" w14:textId="77777777" w:rsidR="00DA1F51" w:rsidRPr="00AB1AEA" w:rsidRDefault="00DA1F51" w:rsidP="00DA1F51">
            <w:pPr>
              <w:rPr>
                <w:rFonts w:ascii="Times New Roman" w:eastAsia="Calibri" w:hAnsi="Times New Roman" w:cs="Times New Roman"/>
                <w:b/>
              </w:rPr>
            </w:pPr>
            <w:r w:rsidRPr="00AB1AEA">
              <w:rPr>
                <w:rFonts w:ascii="Times New Roman" w:eastAsia="Calibri" w:hAnsi="Times New Roman" w:cs="Times New Roman"/>
                <w:b/>
              </w:rPr>
              <w:t>Se acceptă.</w:t>
            </w:r>
          </w:p>
          <w:p w14:paraId="0777251F" w14:textId="3D2B5986" w:rsidR="00D033A9" w:rsidRPr="00AB1AEA" w:rsidRDefault="00DA1F51" w:rsidP="00DA1F51">
            <w:pPr>
              <w:rPr>
                <w:rFonts w:ascii="Times New Roman" w:eastAsia="Calibri" w:hAnsi="Times New Roman" w:cs="Times New Roman"/>
                <w:b/>
                <w:bCs/>
                <w:color w:val="000000" w:themeColor="text1"/>
              </w:rPr>
            </w:pPr>
            <w:r w:rsidRPr="00AB1AEA">
              <w:rPr>
                <w:rFonts w:ascii="Times New Roman" w:eastAsia="Calibri" w:hAnsi="Times New Roman" w:cs="Times New Roman"/>
                <w:bCs/>
              </w:rPr>
              <w:t>Proiectul a fost ajustat conform propunerii.</w:t>
            </w:r>
          </w:p>
        </w:tc>
      </w:tr>
      <w:tr w:rsidR="00D033A9" w:rsidRPr="00882F72" w14:paraId="02E0AE77" w14:textId="77777777" w:rsidTr="00F968A9">
        <w:tc>
          <w:tcPr>
            <w:tcW w:w="797" w:type="pct"/>
            <w:vMerge/>
          </w:tcPr>
          <w:p w14:paraId="092D09C6" w14:textId="77777777" w:rsidR="00D033A9" w:rsidRDefault="00D033A9" w:rsidP="00F83F83">
            <w:pPr>
              <w:tabs>
                <w:tab w:val="left" w:pos="355"/>
              </w:tabs>
              <w:rPr>
                <w:rFonts w:ascii="Times New Roman" w:eastAsia="Calibri" w:hAnsi="Times New Roman" w:cs="Times New Roman"/>
                <w:b/>
                <w:bCs/>
              </w:rPr>
            </w:pPr>
          </w:p>
        </w:tc>
        <w:tc>
          <w:tcPr>
            <w:tcW w:w="240" w:type="pct"/>
          </w:tcPr>
          <w:p w14:paraId="1FDCA335" w14:textId="517AFA61" w:rsidR="00D033A9" w:rsidRDefault="00D033A9" w:rsidP="00F83F83">
            <w:pPr>
              <w:rPr>
                <w:rFonts w:ascii="Times New Roman" w:eastAsia="Calibri" w:hAnsi="Times New Roman" w:cs="Times New Roman"/>
              </w:rPr>
            </w:pPr>
            <w:r>
              <w:rPr>
                <w:rFonts w:ascii="Times New Roman" w:eastAsia="Calibri" w:hAnsi="Times New Roman" w:cs="Times New Roman"/>
              </w:rPr>
              <w:t>26.</w:t>
            </w:r>
          </w:p>
        </w:tc>
        <w:tc>
          <w:tcPr>
            <w:tcW w:w="2505" w:type="pct"/>
          </w:tcPr>
          <w:p w14:paraId="6E6DFD85" w14:textId="7108EB47"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 xml:space="preserve">La pagina 29, denumirea Hotărârii Guvernului nr. 53/2025 se va reda integral după cum urmează: „Hotărârea Guvernului nr. 53/2025 privind aprobarea Regulamentului </w:t>
            </w:r>
            <w:r w:rsidRPr="009001F6">
              <w:rPr>
                <w:rFonts w:ascii="Times New Roman" w:eastAsia="Calibri" w:hAnsi="Times New Roman" w:cs="Times New Roman"/>
                <w:bCs/>
                <w:iCs/>
              </w:rPr>
              <w:lastRenderedPageBreak/>
              <w:t xml:space="preserve">cu privire la criteriile de durabilitate și de reducere a emisiilor de gaze cu efect de seră pentru </w:t>
            </w:r>
            <w:proofErr w:type="spellStart"/>
            <w:r w:rsidRPr="009001F6">
              <w:rPr>
                <w:rFonts w:ascii="Times New Roman" w:eastAsia="Calibri" w:hAnsi="Times New Roman" w:cs="Times New Roman"/>
                <w:bCs/>
                <w:iCs/>
              </w:rPr>
              <w:t>biocarburanți</w:t>
            </w:r>
            <w:proofErr w:type="spellEnd"/>
            <w:r w:rsidRPr="009001F6">
              <w:rPr>
                <w:rFonts w:ascii="Times New Roman" w:eastAsia="Calibri" w:hAnsi="Times New Roman" w:cs="Times New Roman"/>
                <w:bCs/>
                <w:iCs/>
              </w:rPr>
              <w:t xml:space="preserve">, </w:t>
            </w:r>
            <w:proofErr w:type="spellStart"/>
            <w:r w:rsidRPr="009001F6">
              <w:rPr>
                <w:rFonts w:ascii="Times New Roman" w:eastAsia="Calibri" w:hAnsi="Times New Roman" w:cs="Times New Roman"/>
                <w:bCs/>
                <w:iCs/>
              </w:rPr>
              <w:t>biolichide</w:t>
            </w:r>
            <w:proofErr w:type="spellEnd"/>
            <w:r w:rsidRPr="009001F6">
              <w:rPr>
                <w:rFonts w:ascii="Times New Roman" w:eastAsia="Calibri" w:hAnsi="Times New Roman" w:cs="Times New Roman"/>
                <w:bCs/>
                <w:iCs/>
              </w:rPr>
              <w:t xml:space="preserve"> și combustibili din biomasă și a Metodologiei de calcul al impactului </w:t>
            </w:r>
            <w:proofErr w:type="spellStart"/>
            <w:r w:rsidRPr="009001F6">
              <w:rPr>
                <w:rFonts w:ascii="Times New Roman" w:eastAsia="Calibri" w:hAnsi="Times New Roman" w:cs="Times New Roman"/>
                <w:bCs/>
                <w:iCs/>
              </w:rPr>
              <w:t>biocarburanților</w:t>
            </w:r>
            <w:proofErr w:type="spellEnd"/>
            <w:r w:rsidRPr="009001F6">
              <w:rPr>
                <w:rFonts w:ascii="Times New Roman" w:eastAsia="Calibri" w:hAnsi="Times New Roman" w:cs="Times New Roman"/>
                <w:bCs/>
                <w:iCs/>
              </w:rPr>
              <w:t xml:space="preserve">, </w:t>
            </w:r>
            <w:proofErr w:type="spellStart"/>
            <w:r w:rsidRPr="009001F6">
              <w:rPr>
                <w:rFonts w:ascii="Times New Roman" w:eastAsia="Calibri" w:hAnsi="Times New Roman" w:cs="Times New Roman"/>
                <w:bCs/>
                <w:iCs/>
              </w:rPr>
              <w:t>biolichidelor</w:t>
            </w:r>
            <w:proofErr w:type="spellEnd"/>
            <w:r w:rsidRPr="009001F6">
              <w:rPr>
                <w:rFonts w:ascii="Times New Roman" w:eastAsia="Calibri" w:hAnsi="Times New Roman" w:cs="Times New Roman"/>
                <w:bCs/>
                <w:iCs/>
              </w:rPr>
              <w:t xml:space="preserve"> și combustibililor din biomasă asupra emisiilor de gaze cu efect de seră” (obiecție similară și pentru pag. 33, 37, 42).</w:t>
            </w:r>
          </w:p>
        </w:tc>
        <w:tc>
          <w:tcPr>
            <w:tcW w:w="1458" w:type="pct"/>
          </w:tcPr>
          <w:p w14:paraId="0953DBE5"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lastRenderedPageBreak/>
              <w:t>Se acceptă.</w:t>
            </w:r>
          </w:p>
          <w:p w14:paraId="0CA3CC48" w14:textId="7127A293"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BC4C714" w14:textId="77777777" w:rsidTr="00F968A9">
        <w:tc>
          <w:tcPr>
            <w:tcW w:w="797" w:type="pct"/>
            <w:vMerge/>
          </w:tcPr>
          <w:p w14:paraId="33487FC3" w14:textId="77777777" w:rsidR="00D033A9" w:rsidRDefault="00D033A9" w:rsidP="00F83F83">
            <w:pPr>
              <w:tabs>
                <w:tab w:val="left" w:pos="355"/>
              </w:tabs>
              <w:rPr>
                <w:rFonts w:ascii="Times New Roman" w:eastAsia="Calibri" w:hAnsi="Times New Roman" w:cs="Times New Roman"/>
                <w:b/>
                <w:bCs/>
              </w:rPr>
            </w:pPr>
          </w:p>
        </w:tc>
        <w:tc>
          <w:tcPr>
            <w:tcW w:w="240" w:type="pct"/>
          </w:tcPr>
          <w:p w14:paraId="7F5A23B1" w14:textId="2818A406" w:rsidR="00D033A9" w:rsidRDefault="00D033A9" w:rsidP="00F83F83">
            <w:pPr>
              <w:rPr>
                <w:rFonts w:ascii="Times New Roman" w:eastAsia="Calibri" w:hAnsi="Times New Roman" w:cs="Times New Roman"/>
              </w:rPr>
            </w:pPr>
            <w:r>
              <w:rPr>
                <w:rFonts w:ascii="Times New Roman" w:eastAsia="Calibri" w:hAnsi="Times New Roman" w:cs="Times New Roman"/>
              </w:rPr>
              <w:t>27.</w:t>
            </w:r>
          </w:p>
        </w:tc>
        <w:tc>
          <w:tcPr>
            <w:tcW w:w="2505" w:type="pct"/>
          </w:tcPr>
          <w:p w14:paraId="401844EC" w14:textId="410FB189"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33, textul „Legea nr. 174 cu privire la energetică” se va substitui cu textul „ Legea nr. 174/2017 cu privire la energetică”.</w:t>
            </w:r>
          </w:p>
        </w:tc>
        <w:tc>
          <w:tcPr>
            <w:tcW w:w="1458" w:type="pct"/>
          </w:tcPr>
          <w:p w14:paraId="1B805BE5"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7E18E2E1" w14:textId="265210F9"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E35EA04" w14:textId="77777777" w:rsidTr="00F968A9">
        <w:tc>
          <w:tcPr>
            <w:tcW w:w="797" w:type="pct"/>
            <w:vMerge/>
          </w:tcPr>
          <w:p w14:paraId="0AE3166D" w14:textId="77777777" w:rsidR="00D033A9" w:rsidRDefault="00D033A9" w:rsidP="00F83F83">
            <w:pPr>
              <w:tabs>
                <w:tab w:val="left" w:pos="355"/>
              </w:tabs>
              <w:rPr>
                <w:rFonts w:ascii="Times New Roman" w:eastAsia="Calibri" w:hAnsi="Times New Roman" w:cs="Times New Roman"/>
                <w:b/>
                <w:bCs/>
              </w:rPr>
            </w:pPr>
          </w:p>
        </w:tc>
        <w:tc>
          <w:tcPr>
            <w:tcW w:w="240" w:type="pct"/>
          </w:tcPr>
          <w:p w14:paraId="44E00833" w14:textId="2733893A" w:rsidR="00D033A9" w:rsidRDefault="00D033A9" w:rsidP="00F83F83">
            <w:pPr>
              <w:rPr>
                <w:rFonts w:ascii="Times New Roman" w:eastAsia="Calibri" w:hAnsi="Times New Roman" w:cs="Times New Roman"/>
              </w:rPr>
            </w:pPr>
            <w:r>
              <w:rPr>
                <w:rFonts w:ascii="Times New Roman" w:eastAsia="Calibri" w:hAnsi="Times New Roman" w:cs="Times New Roman"/>
              </w:rPr>
              <w:t>28.</w:t>
            </w:r>
          </w:p>
        </w:tc>
        <w:tc>
          <w:tcPr>
            <w:tcW w:w="2505" w:type="pct"/>
          </w:tcPr>
          <w:p w14:paraId="61A753A2" w14:textId="50DA66F5"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34, cu referire la Legea nr. 108/2016 cuvintele „privind gazele naturale” se vor substitui cu cuvintele „cu privire la gazele naturale”, în vederea redării corecte a denumirii actului.</w:t>
            </w:r>
          </w:p>
        </w:tc>
        <w:tc>
          <w:tcPr>
            <w:tcW w:w="1458" w:type="pct"/>
          </w:tcPr>
          <w:p w14:paraId="4E5496F0"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B405626" w14:textId="1E2F50E7"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2BEABF5" w14:textId="77777777" w:rsidTr="00F968A9">
        <w:tc>
          <w:tcPr>
            <w:tcW w:w="797" w:type="pct"/>
            <w:vMerge/>
          </w:tcPr>
          <w:p w14:paraId="3265F149" w14:textId="77777777" w:rsidR="00D033A9" w:rsidRDefault="00D033A9" w:rsidP="00F83F83">
            <w:pPr>
              <w:tabs>
                <w:tab w:val="left" w:pos="355"/>
              </w:tabs>
              <w:rPr>
                <w:rFonts w:ascii="Times New Roman" w:eastAsia="Calibri" w:hAnsi="Times New Roman" w:cs="Times New Roman"/>
                <w:b/>
                <w:bCs/>
              </w:rPr>
            </w:pPr>
          </w:p>
        </w:tc>
        <w:tc>
          <w:tcPr>
            <w:tcW w:w="240" w:type="pct"/>
          </w:tcPr>
          <w:p w14:paraId="0BE65BA2" w14:textId="1411806F" w:rsidR="00D033A9" w:rsidRDefault="00D033A9" w:rsidP="00F83F83">
            <w:pPr>
              <w:rPr>
                <w:rFonts w:ascii="Times New Roman" w:eastAsia="Calibri" w:hAnsi="Times New Roman" w:cs="Times New Roman"/>
              </w:rPr>
            </w:pPr>
            <w:r>
              <w:rPr>
                <w:rFonts w:ascii="Times New Roman" w:eastAsia="Calibri" w:hAnsi="Times New Roman" w:cs="Times New Roman"/>
              </w:rPr>
              <w:t>29.</w:t>
            </w:r>
          </w:p>
        </w:tc>
        <w:tc>
          <w:tcPr>
            <w:tcW w:w="2505" w:type="pct"/>
          </w:tcPr>
          <w:p w14:paraId="1F560EB9" w14:textId="5CA511AE" w:rsidR="00D033A9" w:rsidRPr="009001F6" w:rsidRDefault="00D033A9" w:rsidP="009001F6">
            <w:pPr>
              <w:jc w:val="both"/>
              <w:rPr>
                <w:rFonts w:ascii="Times New Roman" w:eastAsia="Calibri" w:hAnsi="Times New Roman" w:cs="Times New Roman"/>
                <w:bCs/>
                <w:iCs/>
              </w:rPr>
            </w:pPr>
            <w:r w:rsidRPr="009001F6">
              <w:rPr>
                <w:rFonts w:ascii="Times New Roman" w:eastAsia="Calibri" w:hAnsi="Times New Roman" w:cs="Times New Roman"/>
                <w:bCs/>
                <w:iCs/>
              </w:rPr>
              <w:t>La pagina 66, referința la Regulamentul (UE) 2023/1804 este redată incomplet. Prin urmare, se recomandă redarea integrală a denumirii acestuia, după cum urmează: „Regulamentul (UE) 2023/1804 al Parlamentului European și al Consiliului din 13 septembrie 2023 privind instalarea infrastructurii pentru combustibili alternativi și de abrogare a Directivei 2014/94/UE”. Tot aici, referința la Regulamentul (UE) 2018/1139 se va reda după cum urmează: „Regulamentul (UE) 2018/1139 al Parlamentului European și al Consiliului din 4 iulie 2018 privind normele comune în domeniul aviației civile și de înființare a Agenției Uniunii Europene pentru Siguranța Aviației, de modificare a Regulamentelor (CE) nr. 2111/2005, (CE) nr. 1008/2008, (UE) nr. 996/2010, (UE) nr. 376/2014 și a Directivelor 2014/30/UE și 2014/53/UE ale Parlamentului European și ale Consiliului, precum și de abrogare a Regulamentelor (CE) nr. 552/2004 și (CE) nr. 216/2008 ale Parlamentului European și ale Consiliului și a Regulamentului (CEE) nr. 3922/91 al Consiliului”.</w:t>
            </w:r>
          </w:p>
        </w:tc>
        <w:tc>
          <w:tcPr>
            <w:tcW w:w="1458" w:type="pct"/>
          </w:tcPr>
          <w:p w14:paraId="1FD81446"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37FA3E0" w14:textId="3F8E817E"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2FD1E9C4" w14:textId="77777777" w:rsidTr="00F968A9">
        <w:tc>
          <w:tcPr>
            <w:tcW w:w="797" w:type="pct"/>
            <w:vMerge/>
          </w:tcPr>
          <w:p w14:paraId="603EDD7E" w14:textId="77777777" w:rsidR="00D033A9" w:rsidRDefault="00D033A9" w:rsidP="00F83F83">
            <w:pPr>
              <w:tabs>
                <w:tab w:val="left" w:pos="355"/>
              </w:tabs>
              <w:rPr>
                <w:rFonts w:ascii="Times New Roman" w:eastAsia="Calibri" w:hAnsi="Times New Roman" w:cs="Times New Roman"/>
                <w:b/>
                <w:bCs/>
              </w:rPr>
            </w:pPr>
          </w:p>
        </w:tc>
        <w:tc>
          <w:tcPr>
            <w:tcW w:w="240" w:type="pct"/>
          </w:tcPr>
          <w:p w14:paraId="66C427C0" w14:textId="7A498B74" w:rsidR="00D033A9" w:rsidRDefault="00D033A9" w:rsidP="00F83F83">
            <w:pPr>
              <w:rPr>
                <w:rFonts w:ascii="Times New Roman" w:eastAsia="Calibri" w:hAnsi="Times New Roman" w:cs="Times New Roman"/>
              </w:rPr>
            </w:pPr>
            <w:r>
              <w:rPr>
                <w:rFonts w:ascii="Times New Roman" w:eastAsia="Calibri" w:hAnsi="Times New Roman" w:cs="Times New Roman"/>
              </w:rPr>
              <w:t>30.</w:t>
            </w:r>
          </w:p>
        </w:tc>
        <w:tc>
          <w:tcPr>
            <w:tcW w:w="2505" w:type="pct"/>
          </w:tcPr>
          <w:p w14:paraId="0E35F00E" w14:textId="7B169532" w:rsidR="00D033A9" w:rsidRPr="009001F6" w:rsidRDefault="00D033A9" w:rsidP="009001F6">
            <w:pPr>
              <w:jc w:val="both"/>
              <w:rPr>
                <w:rFonts w:ascii="Times New Roman" w:eastAsia="Calibri" w:hAnsi="Times New Roman" w:cs="Times New Roman"/>
                <w:bCs/>
                <w:iCs/>
              </w:rPr>
            </w:pPr>
            <w:r w:rsidRPr="00D033A9">
              <w:rPr>
                <w:rFonts w:ascii="Times New Roman" w:eastAsia="Calibri" w:hAnsi="Times New Roman" w:cs="Times New Roman"/>
                <w:bCs/>
                <w:iCs/>
              </w:rPr>
              <w:t>La pagina 69: textul „HG nr. 621/2024 Regulamentul privind procedura de certificare a performanței energetice a clădirilor și a unităților de clădire” se va substitui cu textul „ Hotărârea Guvernului nr. 621/2024 pentru aprobarea Regulamentului privind procedura de certificare a performanței energetice a clădirilor și a unităților de clădire” (obiecție similară și pentru pag. 74); referința la ordinele ministrului Infrastructurii și Dezvoltării Regionale se vor exclude, pornind de la principiul ierarhiei actelor normative (obiecție valabilă pentru toate cazurile similare din proiect).</w:t>
            </w:r>
          </w:p>
        </w:tc>
        <w:tc>
          <w:tcPr>
            <w:tcW w:w="1458" w:type="pct"/>
          </w:tcPr>
          <w:p w14:paraId="6106F73D"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64713DD" w14:textId="6347D159"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647BAC82" w14:textId="77777777" w:rsidTr="00F968A9">
        <w:tc>
          <w:tcPr>
            <w:tcW w:w="797" w:type="pct"/>
            <w:vMerge/>
          </w:tcPr>
          <w:p w14:paraId="711F9F61" w14:textId="77777777" w:rsidR="00D033A9" w:rsidRDefault="00D033A9" w:rsidP="00F83F83">
            <w:pPr>
              <w:tabs>
                <w:tab w:val="left" w:pos="355"/>
              </w:tabs>
              <w:rPr>
                <w:rFonts w:ascii="Times New Roman" w:eastAsia="Calibri" w:hAnsi="Times New Roman" w:cs="Times New Roman"/>
                <w:b/>
                <w:bCs/>
              </w:rPr>
            </w:pPr>
          </w:p>
        </w:tc>
        <w:tc>
          <w:tcPr>
            <w:tcW w:w="240" w:type="pct"/>
          </w:tcPr>
          <w:p w14:paraId="65324CBD" w14:textId="49DA37FA" w:rsidR="00D033A9" w:rsidRDefault="00D033A9" w:rsidP="00F83F83">
            <w:pPr>
              <w:rPr>
                <w:rFonts w:ascii="Times New Roman" w:eastAsia="Calibri" w:hAnsi="Times New Roman" w:cs="Times New Roman"/>
              </w:rPr>
            </w:pPr>
            <w:r>
              <w:rPr>
                <w:rFonts w:ascii="Times New Roman" w:eastAsia="Calibri" w:hAnsi="Times New Roman" w:cs="Times New Roman"/>
              </w:rPr>
              <w:t>31.</w:t>
            </w:r>
          </w:p>
        </w:tc>
        <w:tc>
          <w:tcPr>
            <w:tcW w:w="2505" w:type="pct"/>
          </w:tcPr>
          <w:p w14:paraId="55B6DC47" w14:textId="48761196" w:rsidR="00D033A9" w:rsidRPr="009001F6" w:rsidRDefault="00D033A9" w:rsidP="009001F6">
            <w:pPr>
              <w:jc w:val="both"/>
              <w:rPr>
                <w:rFonts w:ascii="Times New Roman" w:eastAsia="Calibri" w:hAnsi="Times New Roman" w:cs="Times New Roman"/>
                <w:bCs/>
                <w:iCs/>
              </w:rPr>
            </w:pPr>
            <w:r w:rsidRPr="00D033A9">
              <w:rPr>
                <w:rFonts w:ascii="Times New Roman" w:eastAsia="Calibri" w:hAnsi="Times New Roman" w:cs="Times New Roman"/>
                <w:bCs/>
                <w:iCs/>
              </w:rPr>
              <w:t xml:space="preserve">La pagina 72, referința la Regulament este redată incomplet. Prin urmare, se va reda denumirea integrală a acestuia conform formulei: „Regulament cu privire la criteriile de durabilitate și de reducere a emisiilor de gaze cu efect de seră pentru </w:t>
            </w:r>
            <w:proofErr w:type="spellStart"/>
            <w:r w:rsidRPr="00D033A9">
              <w:rPr>
                <w:rFonts w:ascii="Times New Roman" w:eastAsia="Calibri" w:hAnsi="Times New Roman" w:cs="Times New Roman"/>
                <w:bCs/>
                <w:iCs/>
              </w:rPr>
              <w:t>biocarburanți</w:t>
            </w:r>
            <w:proofErr w:type="spellEnd"/>
            <w:r w:rsidRPr="00D033A9">
              <w:rPr>
                <w:rFonts w:ascii="Times New Roman" w:eastAsia="Calibri" w:hAnsi="Times New Roman" w:cs="Times New Roman"/>
                <w:bCs/>
                <w:iCs/>
              </w:rPr>
              <w:t xml:space="preserve">, </w:t>
            </w:r>
            <w:proofErr w:type="spellStart"/>
            <w:r w:rsidRPr="00D033A9">
              <w:rPr>
                <w:rFonts w:ascii="Times New Roman" w:eastAsia="Calibri" w:hAnsi="Times New Roman" w:cs="Times New Roman"/>
                <w:bCs/>
                <w:iCs/>
              </w:rPr>
              <w:t>biolichide</w:t>
            </w:r>
            <w:proofErr w:type="spellEnd"/>
            <w:r w:rsidRPr="00D033A9">
              <w:rPr>
                <w:rFonts w:ascii="Times New Roman" w:eastAsia="Calibri" w:hAnsi="Times New Roman" w:cs="Times New Roman"/>
                <w:bCs/>
                <w:iCs/>
              </w:rPr>
              <w:t xml:space="preserve"> și combustibili din biomasă, aprobat prin Hotărârea Guvernului nr. 53/2025”.</w:t>
            </w:r>
          </w:p>
        </w:tc>
        <w:tc>
          <w:tcPr>
            <w:tcW w:w="1458" w:type="pct"/>
          </w:tcPr>
          <w:p w14:paraId="148698EF"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32D8607" w14:textId="0AA5C00D"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40061440" w14:textId="77777777" w:rsidTr="00F968A9">
        <w:tc>
          <w:tcPr>
            <w:tcW w:w="797" w:type="pct"/>
            <w:vMerge/>
          </w:tcPr>
          <w:p w14:paraId="7F9B66FD" w14:textId="77777777" w:rsidR="00D033A9" w:rsidRDefault="00D033A9" w:rsidP="00F83F83">
            <w:pPr>
              <w:tabs>
                <w:tab w:val="left" w:pos="355"/>
              </w:tabs>
              <w:rPr>
                <w:rFonts w:ascii="Times New Roman" w:eastAsia="Calibri" w:hAnsi="Times New Roman" w:cs="Times New Roman"/>
                <w:b/>
                <w:bCs/>
              </w:rPr>
            </w:pPr>
          </w:p>
        </w:tc>
        <w:tc>
          <w:tcPr>
            <w:tcW w:w="240" w:type="pct"/>
          </w:tcPr>
          <w:p w14:paraId="07CAFD5C" w14:textId="24D707E0" w:rsidR="00D033A9" w:rsidRDefault="00D033A9" w:rsidP="00F83F83">
            <w:pPr>
              <w:rPr>
                <w:rFonts w:ascii="Times New Roman" w:eastAsia="Calibri" w:hAnsi="Times New Roman" w:cs="Times New Roman"/>
              </w:rPr>
            </w:pPr>
            <w:r>
              <w:rPr>
                <w:rFonts w:ascii="Times New Roman" w:eastAsia="Calibri" w:hAnsi="Times New Roman" w:cs="Times New Roman"/>
              </w:rPr>
              <w:t>32.</w:t>
            </w:r>
          </w:p>
        </w:tc>
        <w:tc>
          <w:tcPr>
            <w:tcW w:w="2505" w:type="pct"/>
          </w:tcPr>
          <w:p w14:paraId="1166793B" w14:textId="1D5D806D" w:rsidR="00D033A9" w:rsidRPr="009001F6"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 xml:space="preserve">La pagina 121, referința la Regulamentul UE 2019/1009 este redată incomplet, actele Uniunii Europene se indică prin denumirea completă, potrivit versiunii publicate în Jurnalul Oficial al Uniunii Europene. Prin urmare, se va reda denumirea integrală a acestuia, după cum urmează: „Regulamentul (UE) 2019/1009 al Parlamentului European și al Consiliului din 5 iunie 2019 de stabilire a normelor privind punerea la dispoziție pe piață a produselor fertilizante UE și de modificare a Regulamentelor (CE) </w:t>
            </w:r>
            <w:r w:rsidRPr="00D033A9">
              <w:rPr>
                <w:rFonts w:ascii="Times New Roman" w:eastAsia="Calibri" w:hAnsi="Times New Roman" w:cs="Times New Roman"/>
                <w:bCs/>
                <w:iCs/>
              </w:rPr>
              <w:lastRenderedPageBreak/>
              <w:t>nr. 1069/2009 și (CE) nr. 1107/2009 și de abrogare a Regulamentului (CE) nr. 2003/2003”.</w:t>
            </w:r>
          </w:p>
        </w:tc>
        <w:tc>
          <w:tcPr>
            <w:tcW w:w="1458" w:type="pct"/>
          </w:tcPr>
          <w:p w14:paraId="4AE41C03"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lastRenderedPageBreak/>
              <w:t>Se acceptă.</w:t>
            </w:r>
          </w:p>
          <w:p w14:paraId="234598DD" w14:textId="2C136945"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7C9081FD" w14:textId="77777777" w:rsidTr="00F968A9">
        <w:tc>
          <w:tcPr>
            <w:tcW w:w="797" w:type="pct"/>
            <w:vMerge/>
          </w:tcPr>
          <w:p w14:paraId="612B4F7C" w14:textId="77777777" w:rsidR="00D033A9" w:rsidRDefault="00D033A9" w:rsidP="00F83F83">
            <w:pPr>
              <w:tabs>
                <w:tab w:val="left" w:pos="355"/>
              </w:tabs>
              <w:rPr>
                <w:rFonts w:ascii="Times New Roman" w:eastAsia="Calibri" w:hAnsi="Times New Roman" w:cs="Times New Roman"/>
                <w:b/>
                <w:bCs/>
              </w:rPr>
            </w:pPr>
          </w:p>
        </w:tc>
        <w:tc>
          <w:tcPr>
            <w:tcW w:w="240" w:type="pct"/>
          </w:tcPr>
          <w:p w14:paraId="55954148" w14:textId="721AAFD6" w:rsidR="00D033A9" w:rsidRDefault="00D033A9" w:rsidP="00F83F83">
            <w:pPr>
              <w:rPr>
                <w:rFonts w:ascii="Times New Roman" w:eastAsia="Calibri" w:hAnsi="Times New Roman" w:cs="Times New Roman"/>
              </w:rPr>
            </w:pPr>
            <w:r>
              <w:rPr>
                <w:rFonts w:ascii="Times New Roman" w:eastAsia="Calibri" w:hAnsi="Times New Roman" w:cs="Times New Roman"/>
              </w:rPr>
              <w:t>33.</w:t>
            </w:r>
          </w:p>
        </w:tc>
        <w:tc>
          <w:tcPr>
            <w:tcW w:w="2505" w:type="pct"/>
          </w:tcPr>
          <w:p w14:paraId="59F63CF3" w14:textId="1E199040" w:rsidR="00D033A9" w:rsidRPr="00D033A9"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La pagina 124, textul „privind poluanții organici persistenți (</w:t>
            </w:r>
            <w:proofErr w:type="spellStart"/>
            <w:r w:rsidRPr="00D033A9">
              <w:rPr>
                <w:rFonts w:ascii="Times New Roman" w:eastAsia="Calibri" w:hAnsi="Times New Roman" w:cs="Times New Roman"/>
                <w:bCs/>
                <w:iCs/>
              </w:rPr>
              <w:t>POPs</w:t>
            </w:r>
            <w:proofErr w:type="spellEnd"/>
            <w:r w:rsidRPr="00D033A9">
              <w:rPr>
                <w:rFonts w:ascii="Times New Roman" w:eastAsia="Calibri" w:hAnsi="Times New Roman" w:cs="Times New Roman"/>
                <w:bCs/>
                <w:iCs/>
              </w:rPr>
              <w:t>)” se va substitui cu textul „pentru aprobarea Regulamentului privind poluanții organici persistenți (</w:t>
            </w:r>
            <w:proofErr w:type="spellStart"/>
            <w:r w:rsidRPr="00D033A9">
              <w:rPr>
                <w:rFonts w:ascii="Times New Roman" w:eastAsia="Calibri" w:hAnsi="Times New Roman" w:cs="Times New Roman"/>
                <w:bCs/>
                <w:iCs/>
              </w:rPr>
              <w:t>POPs</w:t>
            </w:r>
            <w:proofErr w:type="spellEnd"/>
            <w:r w:rsidRPr="00D033A9">
              <w:rPr>
                <w:rFonts w:ascii="Times New Roman" w:eastAsia="Calibri" w:hAnsi="Times New Roman" w:cs="Times New Roman"/>
                <w:bCs/>
                <w:iCs/>
              </w:rPr>
              <w:t>)”.</w:t>
            </w:r>
          </w:p>
        </w:tc>
        <w:tc>
          <w:tcPr>
            <w:tcW w:w="1458" w:type="pct"/>
          </w:tcPr>
          <w:p w14:paraId="146C7FD3"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568D0F4B" w14:textId="21707548"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4A3A636F" w14:textId="77777777" w:rsidTr="00F968A9">
        <w:tc>
          <w:tcPr>
            <w:tcW w:w="797" w:type="pct"/>
            <w:vMerge/>
          </w:tcPr>
          <w:p w14:paraId="28CC5B51" w14:textId="77777777" w:rsidR="00D033A9" w:rsidRDefault="00D033A9" w:rsidP="00F83F83">
            <w:pPr>
              <w:tabs>
                <w:tab w:val="left" w:pos="355"/>
              </w:tabs>
              <w:rPr>
                <w:rFonts w:ascii="Times New Roman" w:eastAsia="Calibri" w:hAnsi="Times New Roman" w:cs="Times New Roman"/>
                <w:b/>
                <w:bCs/>
              </w:rPr>
            </w:pPr>
          </w:p>
        </w:tc>
        <w:tc>
          <w:tcPr>
            <w:tcW w:w="240" w:type="pct"/>
          </w:tcPr>
          <w:p w14:paraId="42D7ECA5" w14:textId="01F7DFA9" w:rsidR="00D033A9" w:rsidRDefault="00D033A9" w:rsidP="00F83F83">
            <w:pPr>
              <w:rPr>
                <w:rFonts w:ascii="Times New Roman" w:eastAsia="Calibri" w:hAnsi="Times New Roman" w:cs="Times New Roman"/>
              </w:rPr>
            </w:pPr>
            <w:r>
              <w:rPr>
                <w:rFonts w:ascii="Times New Roman" w:eastAsia="Calibri" w:hAnsi="Times New Roman" w:cs="Times New Roman"/>
              </w:rPr>
              <w:t>34.</w:t>
            </w:r>
          </w:p>
        </w:tc>
        <w:tc>
          <w:tcPr>
            <w:tcW w:w="2505" w:type="pct"/>
          </w:tcPr>
          <w:p w14:paraId="709E54F3" w14:textId="0CC58AE8" w:rsidR="00D033A9" w:rsidRPr="00D033A9"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La pagina 163: cuvintele „</w:t>
            </w:r>
            <w:proofErr w:type="spellStart"/>
            <w:r w:rsidRPr="00D033A9">
              <w:rPr>
                <w:rFonts w:ascii="Times New Roman" w:eastAsia="Calibri" w:hAnsi="Times New Roman" w:cs="Times New Roman"/>
                <w:bCs/>
                <w:iCs/>
              </w:rPr>
              <w:t>poluantii</w:t>
            </w:r>
            <w:proofErr w:type="spellEnd"/>
            <w:r w:rsidRPr="00D033A9">
              <w:rPr>
                <w:rFonts w:ascii="Times New Roman" w:eastAsia="Calibri" w:hAnsi="Times New Roman" w:cs="Times New Roman"/>
                <w:bCs/>
                <w:iCs/>
              </w:rPr>
              <w:t xml:space="preserve"> organici </w:t>
            </w:r>
            <w:proofErr w:type="spellStart"/>
            <w:r w:rsidRPr="00D033A9">
              <w:rPr>
                <w:rFonts w:ascii="Times New Roman" w:eastAsia="Calibri" w:hAnsi="Times New Roman" w:cs="Times New Roman"/>
                <w:bCs/>
                <w:iCs/>
              </w:rPr>
              <w:t>persistenti</w:t>
            </w:r>
            <w:proofErr w:type="spellEnd"/>
            <w:r w:rsidRPr="00D033A9">
              <w:rPr>
                <w:rFonts w:ascii="Times New Roman" w:eastAsia="Calibri" w:hAnsi="Times New Roman" w:cs="Times New Roman"/>
                <w:bCs/>
                <w:iCs/>
              </w:rPr>
              <w:t>” se vor substitui cu textul „poluanții organici persistenți (</w:t>
            </w:r>
            <w:proofErr w:type="spellStart"/>
            <w:r w:rsidRPr="00D033A9">
              <w:rPr>
                <w:rFonts w:ascii="Times New Roman" w:eastAsia="Calibri" w:hAnsi="Times New Roman" w:cs="Times New Roman"/>
                <w:bCs/>
                <w:iCs/>
              </w:rPr>
              <w:t>POPs</w:t>
            </w:r>
            <w:proofErr w:type="spellEnd"/>
            <w:r w:rsidRPr="00D033A9">
              <w:rPr>
                <w:rFonts w:ascii="Times New Roman" w:eastAsia="Calibri" w:hAnsi="Times New Roman" w:cs="Times New Roman"/>
                <w:bCs/>
                <w:iCs/>
              </w:rPr>
              <w:t>)”; referința la Hotărârea Guvernului nr. 411/2022 privind transferurile de deșeuri are denumirea incompletă, respectiv, după textul „nr. 411/2022” cuvintele „ privind transferurile de deșeuri” se vor substitui cu cuvintele „pentru aprobarea Regulamentului privind transferurile de deșeuri”; textul „Hotărârea Guvernului nr. 144 din 28-02-2024 de aprobare a Regulamentului privind gestionarea de mediu a deșeurilor de mercur” se va substitui cu textul „Hotărârea Guvernului nr. 144/2024 pentru aprobarea Regulamentului privind gestionarea ecologică a deșeurilor de mercur.”.</w:t>
            </w:r>
          </w:p>
        </w:tc>
        <w:tc>
          <w:tcPr>
            <w:tcW w:w="1458" w:type="pct"/>
          </w:tcPr>
          <w:p w14:paraId="253E465E"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52DD469" w14:textId="611E543F"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41C198E4" w14:textId="77777777" w:rsidTr="00F968A9">
        <w:tc>
          <w:tcPr>
            <w:tcW w:w="797" w:type="pct"/>
            <w:vMerge/>
          </w:tcPr>
          <w:p w14:paraId="236D118D" w14:textId="77777777" w:rsidR="00D033A9" w:rsidRDefault="00D033A9" w:rsidP="00F83F83">
            <w:pPr>
              <w:tabs>
                <w:tab w:val="left" w:pos="355"/>
              </w:tabs>
              <w:rPr>
                <w:rFonts w:ascii="Times New Roman" w:eastAsia="Calibri" w:hAnsi="Times New Roman" w:cs="Times New Roman"/>
                <w:b/>
                <w:bCs/>
              </w:rPr>
            </w:pPr>
          </w:p>
        </w:tc>
        <w:tc>
          <w:tcPr>
            <w:tcW w:w="240" w:type="pct"/>
          </w:tcPr>
          <w:p w14:paraId="2A470C57" w14:textId="35C6D459" w:rsidR="00D033A9" w:rsidRDefault="00D033A9" w:rsidP="00F83F83">
            <w:pPr>
              <w:rPr>
                <w:rFonts w:ascii="Times New Roman" w:eastAsia="Calibri" w:hAnsi="Times New Roman" w:cs="Times New Roman"/>
              </w:rPr>
            </w:pPr>
            <w:r>
              <w:rPr>
                <w:rFonts w:ascii="Times New Roman" w:eastAsia="Calibri" w:hAnsi="Times New Roman" w:cs="Times New Roman"/>
              </w:rPr>
              <w:t>35.</w:t>
            </w:r>
          </w:p>
        </w:tc>
        <w:tc>
          <w:tcPr>
            <w:tcW w:w="2505" w:type="pct"/>
          </w:tcPr>
          <w:p w14:paraId="02B12F57" w14:textId="38DD9BDF" w:rsidR="00D033A9" w:rsidRPr="00D033A9"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La pagina 166, textul „Legea nr. 107/2025 privind răspunderea de mediu cu referire la prevenirea și repararea daunelor asupra mediului” se va exclude ca fiind redundant.</w:t>
            </w:r>
          </w:p>
        </w:tc>
        <w:tc>
          <w:tcPr>
            <w:tcW w:w="1458" w:type="pct"/>
          </w:tcPr>
          <w:p w14:paraId="49C40857"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6271C5E4" w14:textId="0080CE5F"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7709EFFC" w14:textId="77777777" w:rsidTr="00F968A9">
        <w:tc>
          <w:tcPr>
            <w:tcW w:w="797" w:type="pct"/>
            <w:vMerge/>
          </w:tcPr>
          <w:p w14:paraId="09BAA1DC" w14:textId="77777777" w:rsidR="00D033A9" w:rsidRDefault="00D033A9" w:rsidP="00F83F83">
            <w:pPr>
              <w:tabs>
                <w:tab w:val="left" w:pos="355"/>
              </w:tabs>
              <w:rPr>
                <w:rFonts w:ascii="Times New Roman" w:eastAsia="Calibri" w:hAnsi="Times New Roman" w:cs="Times New Roman"/>
                <w:b/>
                <w:bCs/>
              </w:rPr>
            </w:pPr>
          </w:p>
        </w:tc>
        <w:tc>
          <w:tcPr>
            <w:tcW w:w="240" w:type="pct"/>
          </w:tcPr>
          <w:p w14:paraId="57E03DFA" w14:textId="5D85F91D" w:rsidR="00D033A9" w:rsidRDefault="00D033A9" w:rsidP="00F83F83">
            <w:pPr>
              <w:rPr>
                <w:rFonts w:ascii="Times New Roman" w:eastAsia="Calibri" w:hAnsi="Times New Roman" w:cs="Times New Roman"/>
              </w:rPr>
            </w:pPr>
            <w:r>
              <w:rPr>
                <w:rFonts w:ascii="Times New Roman" w:eastAsia="Calibri" w:hAnsi="Times New Roman" w:cs="Times New Roman"/>
              </w:rPr>
              <w:t>36.</w:t>
            </w:r>
          </w:p>
        </w:tc>
        <w:tc>
          <w:tcPr>
            <w:tcW w:w="2505" w:type="pct"/>
          </w:tcPr>
          <w:p w14:paraId="1D638403" w14:textId="77777777" w:rsidR="00D033A9" w:rsidRPr="00D033A9" w:rsidRDefault="00D033A9" w:rsidP="00D033A9">
            <w:pPr>
              <w:jc w:val="both"/>
              <w:rPr>
                <w:rFonts w:ascii="Times New Roman" w:eastAsia="Calibri" w:hAnsi="Times New Roman" w:cs="Times New Roman"/>
                <w:bCs/>
                <w:iCs/>
              </w:rPr>
            </w:pPr>
            <w:r w:rsidRPr="00D033A9">
              <w:rPr>
                <w:rFonts w:ascii="Times New Roman" w:eastAsia="Calibri" w:hAnsi="Times New Roman" w:cs="Times New Roman"/>
                <w:bCs/>
                <w:iCs/>
              </w:rPr>
              <w:t xml:space="preserve">La anexa nr. 2 la Taxonomie, în rubrica „Acte normative sau standarde”: </w:t>
            </w:r>
          </w:p>
          <w:p w14:paraId="50B67D7B" w14:textId="0DCC3279" w:rsidR="00D033A9" w:rsidRPr="00D033A9" w:rsidRDefault="00D033A9" w:rsidP="00D033A9">
            <w:pPr>
              <w:jc w:val="both"/>
              <w:rPr>
                <w:rFonts w:ascii="Times New Roman" w:eastAsia="Calibri" w:hAnsi="Times New Roman" w:cs="Times New Roman"/>
                <w:bCs/>
                <w:iCs/>
              </w:rPr>
            </w:pPr>
            <w:r w:rsidRPr="00D033A9">
              <w:rPr>
                <w:rFonts w:ascii="Times New Roman" w:eastAsia="Calibri" w:hAnsi="Times New Roman" w:cs="Times New Roman"/>
                <w:bCs/>
                <w:iCs/>
              </w:rPr>
              <w:t>Pentru identificarea corectă și completă a actelor Uniunii Europene, denumirile acestora trebuie să corespundă integral celor publicate în Jurnalul Oficial al Uniunii Europene. În acest sens, se impune revizuirea tuturor denumirilor actelor UE din anexe.</w:t>
            </w:r>
          </w:p>
        </w:tc>
        <w:tc>
          <w:tcPr>
            <w:tcW w:w="1458" w:type="pct"/>
          </w:tcPr>
          <w:p w14:paraId="569BF462"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3F8B37A" w14:textId="37FB3DED"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05FD03F6" w14:textId="77777777" w:rsidTr="00F968A9">
        <w:tc>
          <w:tcPr>
            <w:tcW w:w="797" w:type="pct"/>
            <w:vMerge/>
          </w:tcPr>
          <w:p w14:paraId="255F128D" w14:textId="77777777" w:rsidR="00D033A9" w:rsidRDefault="00D033A9" w:rsidP="00F83F83">
            <w:pPr>
              <w:tabs>
                <w:tab w:val="left" w:pos="355"/>
              </w:tabs>
              <w:rPr>
                <w:rFonts w:ascii="Times New Roman" w:eastAsia="Calibri" w:hAnsi="Times New Roman" w:cs="Times New Roman"/>
                <w:b/>
                <w:bCs/>
              </w:rPr>
            </w:pPr>
          </w:p>
        </w:tc>
        <w:tc>
          <w:tcPr>
            <w:tcW w:w="240" w:type="pct"/>
          </w:tcPr>
          <w:p w14:paraId="4B577EC4" w14:textId="6E8B21B1" w:rsidR="00D033A9" w:rsidRDefault="00D033A9" w:rsidP="00F83F83">
            <w:pPr>
              <w:rPr>
                <w:rFonts w:ascii="Times New Roman" w:eastAsia="Calibri" w:hAnsi="Times New Roman" w:cs="Times New Roman"/>
              </w:rPr>
            </w:pPr>
            <w:r>
              <w:rPr>
                <w:rFonts w:ascii="Times New Roman" w:eastAsia="Calibri" w:hAnsi="Times New Roman" w:cs="Times New Roman"/>
              </w:rPr>
              <w:t>37.</w:t>
            </w:r>
          </w:p>
        </w:tc>
        <w:tc>
          <w:tcPr>
            <w:tcW w:w="2505" w:type="pct"/>
          </w:tcPr>
          <w:p w14:paraId="76A71358" w14:textId="1EEAEEA6" w:rsidR="00D033A9" w:rsidRPr="00D033A9"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La pagina 17, cu referire la Hotărârea Guvernului nr. 74/2025 cuvântul „privind” se substituie cu textul „cu privire la”.</w:t>
            </w:r>
          </w:p>
        </w:tc>
        <w:tc>
          <w:tcPr>
            <w:tcW w:w="1458" w:type="pct"/>
          </w:tcPr>
          <w:p w14:paraId="6AA44865"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029E17A0" w14:textId="3B7A4A72"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40D79477" w14:textId="77777777" w:rsidTr="00F968A9">
        <w:tc>
          <w:tcPr>
            <w:tcW w:w="797" w:type="pct"/>
            <w:vMerge/>
          </w:tcPr>
          <w:p w14:paraId="69AF1E0A" w14:textId="77777777" w:rsidR="00D033A9" w:rsidRDefault="00D033A9" w:rsidP="00F83F83">
            <w:pPr>
              <w:tabs>
                <w:tab w:val="left" w:pos="355"/>
              </w:tabs>
              <w:rPr>
                <w:rFonts w:ascii="Times New Roman" w:eastAsia="Calibri" w:hAnsi="Times New Roman" w:cs="Times New Roman"/>
                <w:b/>
                <w:bCs/>
              </w:rPr>
            </w:pPr>
          </w:p>
        </w:tc>
        <w:tc>
          <w:tcPr>
            <w:tcW w:w="240" w:type="pct"/>
          </w:tcPr>
          <w:p w14:paraId="7E205280" w14:textId="69AD5E62" w:rsidR="00D033A9" w:rsidRDefault="00D033A9" w:rsidP="00F83F83">
            <w:pPr>
              <w:rPr>
                <w:rFonts w:ascii="Times New Roman" w:eastAsia="Calibri" w:hAnsi="Times New Roman" w:cs="Times New Roman"/>
              </w:rPr>
            </w:pPr>
            <w:r>
              <w:rPr>
                <w:rFonts w:ascii="Times New Roman" w:eastAsia="Calibri" w:hAnsi="Times New Roman" w:cs="Times New Roman"/>
              </w:rPr>
              <w:t>38.</w:t>
            </w:r>
          </w:p>
        </w:tc>
        <w:tc>
          <w:tcPr>
            <w:tcW w:w="2505" w:type="pct"/>
          </w:tcPr>
          <w:p w14:paraId="3909F5C8" w14:textId="6C2866C8" w:rsidR="00D033A9" w:rsidRPr="00D033A9"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La pagina 87, referința la Codul aerian este incompletă, lipsește numărul de ordine și anul (obiecție similară și pentru pag. 104).</w:t>
            </w:r>
          </w:p>
        </w:tc>
        <w:tc>
          <w:tcPr>
            <w:tcW w:w="1458" w:type="pct"/>
          </w:tcPr>
          <w:p w14:paraId="5EC1FE93" w14:textId="77777777" w:rsidR="00DA1F51" w:rsidRPr="00DA1F51" w:rsidRDefault="00DA1F51" w:rsidP="00DA1F51">
            <w:pPr>
              <w:rPr>
                <w:rFonts w:ascii="Times New Roman" w:eastAsia="Calibri" w:hAnsi="Times New Roman" w:cs="Times New Roman"/>
                <w:b/>
              </w:rPr>
            </w:pPr>
            <w:r w:rsidRPr="00DA1F51">
              <w:rPr>
                <w:rFonts w:ascii="Times New Roman" w:eastAsia="Calibri" w:hAnsi="Times New Roman" w:cs="Times New Roman"/>
                <w:b/>
              </w:rPr>
              <w:t>Se acceptă.</w:t>
            </w:r>
          </w:p>
          <w:p w14:paraId="4E26C81B" w14:textId="535032A1" w:rsidR="00D033A9" w:rsidRPr="00454EAC" w:rsidRDefault="00DA1F51" w:rsidP="00DA1F51">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1D5C3F1C" w14:textId="77777777" w:rsidTr="00F968A9">
        <w:tc>
          <w:tcPr>
            <w:tcW w:w="797" w:type="pct"/>
            <w:vMerge/>
          </w:tcPr>
          <w:p w14:paraId="7C6C22D6" w14:textId="77777777" w:rsidR="00D033A9" w:rsidRDefault="00D033A9" w:rsidP="00F83F83">
            <w:pPr>
              <w:tabs>
                <w:tab w:val="left" w:pos="355"/>
              </w:tabs>
              <w:rPr>
                <w:rFonts w:ascii="Times New Roman" w:eastAsia="Calibri" w:hAnsi="Times New Roman" w:cs="Times New Roman"/>
                <w:b/>
                <w:bCs/>
              </w:rPr>
            </w:pPr>
          </w:p>
        </w:tc>
        <w:tc>
          <w:tcPr>
            <w:tcW w:w="240" w:type="pct"/>
          </w:tcPr>
          <w:p w14:paraId="5B815BAF" w14:textId="2176E436" w:rsidR="00D033A9" w:rsidRDefault="00D033A9" w:rsidP="00F83F83">
            <w:pPr>
              <w:rPr>
                <w:rFonts w:ascii="Times New Roman" w:eastAsia="Calibri" w:hAnsi="Times New Roman" w:cs="Times New Roman"/>
              </w:rPr>
            </w:pPr>
            <w:r>
              <w:rPr>
                <w:rFonts w:ascii="Times New Roman" w:eastAsia="Calibri" w:hAnsi="Times New Roman" w:cs="Times New Roman"/>
              </w:rPr>
              <w:t>39.</w:t>
            </w:r>
          </w:p>
        </w:tc>
        <w:tc>
          <w:tcPr>
            <w:tcW w:w="2505" w:type="pct"/>
          </w:tcPr>
          <w:p w14:paraId="0CA730CE" w14:textId="47FBC9D2" w:rsidR="00D033A9" w:rsidRPr="00D033A9"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Cu referire la anexa nr. 4 la Taxonomie, semnalăm că aceasta nu are temei cadru în textul Taxonomiei, astfel cum este prevăzut la art. 49 alin. (3) din Legea nr. 100/2017. Prin urmare, se va înlătura această omisiune din proiect.</w:t>
            </w:r>
          </w:p>
        </w:tc>
        <w:tc>
          <w:tcPr>
            <w:tcW w:w="1458" w:type="pct"/>
          </w:tcPr>
          <w:p w14:paraId="26313858" w14:textId="77777777" w:rsidR="00D033A9" w:rsidRDefault="00730F99" w:rsidP="00F83F83">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Se acceptă.</w:t>
            </w:r>
          </w:p>
          <w:p w14:paraId="0507F55A" w14:textId="05AD39BD" w:rsidR="00730F99" w:rsidRPr="002F15B7" w:rsidRDefault="00730F99" w:rsidP="00F83F83">
            <w:pPr>
              <w:rPr>
                <w:rFonts w:ascii="Times New Roman" w:eastAsia="Calibri" w:hAnsi="Times New Roman" w:cs="Times New Roman"/>
                <w:color w:val="000000" w:themeColor="text1"/>
                <w:lang w:val="ro-RO"/>
              </w:rPr>
            </w:pPr>
            <w:r>
              <w:rPr>
                <w:rFonts w:ascii="Times New Roman" w:eastAsia="Calibri" w:hAnsi="Times New Roman" w:cs="Times New Roman"/>
                <w:color w:val="000000" w:themeColor="text1"/>
              </w:rPr>
              <w:t>Referința de rigoare la anexa nr.4 a fost asigurată în conținutul proiectului Taxonomiei.</w:t>
            </w:r>
          </w:p>
        </w:tc>
      </w:tr>
      <w:tr w:rsidR="00D033A9" w:rsidRPr="00882F72" w14:paraId="2144565A" w14:textId="77777777" w:rsidTr="00F968A9">
        <w:tc>
          <w:tcPr>
            <w:tcW w:w="797" w:type="pct"/>
            <w:vMerge/>
          </w:tcPr>
          <w:p w14:paraId="604CD160" w14:textId="77777777" w:rsidR="00D033A9" w:rsidRDefault="00D033A9" w:rsidP="00F83F83">
            <w:pPr>
              <w:tabs>
                <w:tab w:val="left" w:pos="355"/>
              </w:tabs>
              <w:rPr>
                <w:rFonts w:ascii="Times New Roman" w:eastAsia="Calibri" w:hAnsi="Times New Roman" w:cs="Times New Roman"/>
                <w:b/>
                <w:bCs/>
              </w:rPr>
            </w:pPr>
          </w:p>
        </w:tc>
        <w:tc>
          <w:tcPr>
            <w:tcW w:w="240" w:type="pct"/>
          </w:tcPr>
          <w:p w14:paraId="7E094236" w14:textId="5C7ED0E5" w:rsidR="00D033A9" w:rsidRDefault="00D033A9" w:rsidP="00F83F83">
            <w:pPr>
              <w:rPr>
                <w:rFonts w:ascii="Times New Roman" w:eastAsia="Calibri" w:hAnsi="Times New Roman" w:cs="Times New Roman"/>
              </w:rPr>
            </w:pPr>
            <w:r>
              <w:rPr>
                <w:rFonts w:ascii="Times New Roman" w:eastAsia="Calibri" w:hAnsi="Times New Roman" w:cs="Times New Roman"/>
              </w:rPr>
              <w:t>40.</w:t>
            </w:r>
          </w:p>
        </w:tc>
        <w:tc>
          <w:tcPr>
            <w:tcW w:w="2505" w:type="pct"/>
          </w:tcPr>
          <w:p w14:paraId="26AA3A18" w14:textId="77777777" w:rsidR="00D033A9" w:rsidRPr="00D033A9" w:rsidRDefault="00D033A9" w:rsidP="00D033A9">
            <w:pPr>
              <w:jc w:val="both"/>
              <w:rPr>
                <w:rFonts w:ascii="Times New Roman" w:eastAsia="Calibri" w:hAnsi="Times New Roman" w:cs="Times New Roman"/>
                <w:bCs/>
                <w:iCs/>
              </w:rPr>
            </w:pPr>
            <w:r w:rsidRPr="00D033A9">
              <w:rPr>
                <w:rFonts w:ascii="Times New Roman" w:eastAsia="Calibri" w:hAnsi="Times New Roman" w:cs="Times New Roman"/>
                <w:bCs/>
                <w:iCs/>
              </w:rPr>
              <w:t>Cu titlu general:</w:t>
            </w:r>
          </w:p>
          <w:p w14:paraId="6B83666F" w14:textId="77777777" w:rsidR="00D033A9" w:rsidRPr="00D033A9" w:rsidRDefault="00D033A9" w:rsidP="00D033A9">
            <w:pPr>
              <w:jc w:val="both"/>
              <w:rPr>
                <w:rFonts w:ascii="Times New Roman" w:eastAsia="Calibri" w:hAnsi="Times New Roman" w:cs="Times New Roman"/>
                <w:bCs/>
                <w:iCs/>
              </w:rPr>
            </w:pPr>
            <w:r w:rsidRPr="00D033A9">
              <w:rPr>
                <w:rFonts w:ascii="Times New Roman" w:eastAsia="Calibri" w:hAnsi="Times New Roman" w:cs="Times New Roman"/>
                <w:bCs/>
                <w:iCs/>
              </w:rPr>
              <w:t xml:space="preserve">În textul anexelor sunt incluse link-uri (URL-uri) directe, ceea ce nu corespunde regulilor de tehnică legislativă. Se propune eliminarea acestora și formularea referințelor prin indicarea actelor normative sau standardelor relevante. </w:t>
            </w:r>
          </w:p>
          <w:p w14:paraId="443E18DD" w14:textId="298DD3A2" w:rsidR="00D033A9" w:rsidRPr="00D033A9" w:rsidRDefault="00D033A9" w:rsidP="00D033A9">
            <w:pPr>
              <w:jc w:val="both"/>
              <w:rPr>
                <w:rFonts w:ascii="Times New Roman" w:eastAsia="Calibri" w:hAnsi="Times New Roman" w:cs="Times New Roman"/>
                <w:bCs/>
                <w:iCs/>
              </w:rPr>
            </w:pPr>
          </w:p>
        </w:tc>
        <w:tc>
          <w:tcPr>
            <w:tcW w:w="1458" w:type="pct"/>
          </w:tcPr>
          <w:p w14:paraId="4E2AE38F" w14:textId="77777777" w:rsidR="002F15B7" w:rsidRPr="00DA1F51" w:rsidRDefault="002F15B7" w:rsidP="002F15B7">
            <w:pPr>
              <w:rPr>
                <w:rFonts w:ascii="Times New Roman" w:eastAsia="Calibri" w:hAnsi="Times New Roman" w:cs="Times New Roman"/>
                <w:b/>
              </w:rPr>
            </w:pPr>
            <w:r w:rsidRPr="00DA1F51">
              <w:rPr>
                <w:rFonts w:ascii="Times New Roman" w:eastAsia="Calibri" w:hAnsi="Times New Roman" w:cs="Times New Roman"/>
                <w:b/>
              </w:rPr>
              <w:t>Se acceptă.</w:t>
            </w:r>
          </w:p>
          <w:p w14:paraId="1D4CAAE2" w14:textId="5E68B2F3" w:rsidR="00D033A9" w:rsidRPr="00454EAC" w:rsidRDefault="002F15B7" w:rsidP="002F15B7">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71CFA46F" w14:textId="77777777" w:rsidTr="00F968A9">
        <w:tc>
          <w:tcPr>
            <w:tcW w:w="797" w:type="pct"/>
            <w:vMerge/>
          </w:tcPr>
          <w:p w14:paraId="09E811B1" w14:textId="77777777" w:rsidR="00D033A9" w:rsidRDefault="00D033A9" w:rsidP="00F83F83">
            <w:pPr>
              <w:tabs>
                <w:tab w:val="left" w:pos="355"/>
              </w:tabs>
              <w:rPr>
                <w:rFonts w:ascii="Times New Roman" w:eastAsia="Calibri" w:hAnsi="Times New Roman" w:cs="Times New Roman"/>
                <w:b/>
                <w:bCs/>
              </w:rPr>
            </w:pPr>
          </w:p>
        </w:tc>
        <w:tc>
          <w:tcPr>
            <w:tcW w:w="240" w:type="pct"/>
          </w:tcPr>
          <w:p w14:paraId="26FB5A91" w14:textId="06896312" w:rsidR="00D033A9" w:rsidRDefault="00D033A9" w:rsidP="00F83F83">
            <w:pPr>
              <w:rPr>
                <w:rFonts w:ascii="Times New Roman" w:eastAsia="Calibri" w:hAnsi="Times New Roman" w:cs="Times New Roman"/>
              </w:rPr>
            </w:pPr>
            <w:r>
              <w:rPr>
                <w:rFonts w:ascii="Times New Roman" w:eastAsia="Calibri" w:hAnsi="Times New Roman" w:cs="Times New Roman"/>
              </w:rPr>
              <w:t>41.</w:t>
            </w:r>
          </w:p>
        </w:tc>
        <w:tc>
          <w:tcPr>
            <w:tcW w:w="2505" w:type="pct"/>
          </w:tcPr>
          <w:p w14:paraId="13CE270C" w14:textId="12AB0A4D" w:rsidR="00D033A9" w:rsidRPr="00F6049B" w:rsidRDefault="00D033A9" w:rsidP="00F83F83">
            <w:pPr>
              <w:jc w:val="both"/>
              <w:rPr>
                <w:rFonts w:ascii="Times New Roman" w:eastAsia="Calibri" w:hAnsi="Times New Roman" w:cs="Times New Roman"/>
                <w:bCs/>
                <w:iCs/>
              </w:rPr>
            </w:pPr>
            <w:r w:rsidRPr="00D033A9">
              <w:rPr>
                <w:rFonts w:ascii="Times New Roman" w:eastAsia="Calibri" w:hAnsi="Times New Roman" w:cs="Times New Roman"/>
                <w:bCs/>
                <w:iCs/>
              </w:rPr>
              <w:t>Totodată, se atestă referiri la acte normative neadoptate sau planificate, ceea ce afectează certitudinea juridică și nu corespunde.</w:t>
            </w:r>
          </w:p>
        </w:tc>
        <w:tc>
          <w:tcPr>
            <w:tcW w:w="1458" w:type="pct"/>
          </w:tcPr>
          <w:p w14:paraId="3DD3CE28" w14:textId="77777777" w:rsidR="002F15B7" w:rsidRPr="00DA1F51" w:rsidRDefault="002F15B7" w:rsidP="002F15B7">
            <w:pPr>
              <w:rPr>
                <w:rFonts w:ascii="Times New Roman" w:eastAsia="Calibri" w:hAnsi="Times New Roman" w:cs="Times New Roman"/>
                <w:b/>
              </w:rPr>
            </w:pPr>
            <w:r w:rsidRPr="00DA1F51">
              <w:rPr>
                <w:rFonts w:ascii="Times New Roman" w:eastAsia="Calibri" w:hAnsi="Times New Roman" w:cs="Times New Roman"/>
                <w:b/>
              </w:rPr>
              <w:t>Se acceptă.</w:t>
            </w:r>
          </w:p>
          <w:p w14:paraId="66BCBDF1" w14:textId="0198A47C" w:rsidR="00D033A9" w:rsidRPr="00454EAC" w:rsidRDefault="002F15B7" w:rsidP="002F15B7">
            <w:pPr>
              <w:rPr>
                <w:rFonts w:ascii="Times New Roman" w:eastAsia="Calibri" w:hAnsi="Times New Roman" w:cs="Times New Roman"/>
                <w:b/>
                <w:bCs/>
                <w:color w:val="000000" w:themeColor="text1"/>
              </w:rPr>
            </w:pPr>
            <w:r w:rsidRPr="00DA1F51">
              <w:rPr>
                <w:rFonts w:ascii="Times New Roman" w:eastAsia="Calibri" w:hAnsi="Times New Roman" w:cs="Times New Roman"/>
                <w:bCs/>
              </w:rPr>
              <w:t>Proiectul a fost ajustat conform propunerii.</w:t>
            </w:r>
          </w:p>
        </w:tc>
      </w:tr>
      <w:tr w:rsidR="00D033A9" w:rsidRPr="00882F72" w14:paraId="303C418A" w14:textId="77777777" w:rsidTr="00F968A9">
        <w:tc>
          <w:tcPr>
            <w:tcW w:w="797" w:type="pct"/>
            <w:vMerge/>
          </w:tcPr>
          <w:p w14:paraId="23E0F6FB" w14:textId="77777777" w:rsidR="00D033A9" w:rsidRDefault="00D033A9" w:rsidP="00F83F83">
            <w:pPr>
              <w:tabs>
                <w:tab w:val="left" w:pos="355"/>
              </w:tabs>
              <w:rPr>
                <w:rFonts w:ascii="Times New Roman" w:eastAsia="Calibri" w:hAnsi="Times New Roman" w:cs="Times New Roman"/>
                <w:b/>
                <w:bCs/>
              </w:rPr>
            </w:pPr>
          </w:p>
        </w:tc>
        <w:tc>
          <w:tcPr>
            <w:tcW w:w="240" w:type="pct"/>
          </w:tcPr>
          <w:p w14:paraId="086FB359" w14:textId="09D97665" w:rsidR="00D033A9" w:rsidRDefault="00D033A9" w:rsidP="00F83F83">
            <w:pPr>
              <w:rPr>
                <w:rFonts w:ascii="Times New Roman" w:eastAsia="Calibri" w:hAnsi="Times New Roman" w:cs="Times New Roman"/>
              </w:rPr>
            </w:pPr>
            <w:r>
              <w:rPr>
                <w:rFonts w:ascii="Times New Roman" w:eastAsia="Calibri" w:hAnsi="Times New Roman" w:cs="Times New Roman"/>
              </w:rPr>
              <w:t>42.</w:t>
            </w:r>
          </w:p>
        </w:tc>
        <w:tc>
          <w:tcPr>
            <w:tcW w:w="2505" w:type="pct"/>
          </w:tcPr>
          <w:p w14:paraId="404002FC" w14:textId="40FCB87B" w:rsidR="00D033A9" w:rsidRPr="00D033A9" w:rsidRDefault="00D033A9" w:rsidP="00D033A9">
            <w:pPr>
              <w:jc w:val="both"/>
              <w:rPr>
                <w:rFonts w:ascii="Times New Roman" w:eastAsia="Calibri" w:hAnsi="Times New Roman" w:cs="Times New Roman"/>
                <w:bCs/>
                <w:iCs/>
              </w:rPr>
            </w:pPr>
            <w:r w:rsidRPr="00D033A9">
              <w:rPr>
                <w:rFonts w:ascii="Times New Roman" w:eastAsia="Calibri" w:hAnsi="Times New Roman" w:cs="Times New Roman"/>
                <w:bCs/>
                <w:iCs/>
              </w:rPr>
              <w:t>Textul anexei conține formulări descriptive și explicative, specifice ghidurilor, nu actelor normative. Se impune reformularea acestora într-un limbaj normativ, concis și imperativ.</w:t>
            </w:r>
          </w:p>
        </w:tc>
        <w:tc>
          <w:tcPr>
            <w:tcW w:w="1458" w:type="pct"/>
          </w:tcPr>
          <w:p w14:paraId="6C4F5EF1" w14:textId="77777777" w:rsidR="00D033A9" w:rsidRDefault="00AB1AEA" w:rsidP="00F83F83">
            <w:pP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Se acceptă.</w:t>
            </w:r>
          </w:p>
          <w:p w14:paraId="72BF4EBB" w14:textId="7F08724A" w:rsidR="00AB1AEA" w:rsidRPr="00AB1AEA" w:rsidRDefault="00AB1AEA" w:rsidP="00AB1AEA">
            <w:pPr>
              <w:jc w:val="both"/>
              <w:rPr>
                <w:rFonts w:ascii="Times New Roman" w:eastAsia="Calibri" w:hAnsi="Times New Roman" w:cs="Times New Roman"/>
                <w:bCs/>
                <w:color w:val="000000" w:themeColor="text1"/>
              </w:rPr>
            </w:pPr>
            <w:r w:rsidRPr="00AB1AEA">
              <w:rPr>
                <w:rFonts w:ascii="Times New Roman" w:eastAsia="Calibri" w:hAnsi="Times New Roman" w:cs="Times New Roman"/>
                <w:bCs/>
                <w:color w:val="000000" w:themeColor="text1"/>
              </w:rPr>
              <w:t>Textul proiectului a fost revăzut în măsura posibilităților pentru asigurarea respectării limbajului și normelor de tehnică legislativă.</w:t>
            </w:r>
          </w:p>
        </w:tc>
      </w:tr>
      <w:tr w:rsidR="00F83F83" w:rsidRPr="00882F72" w14:paraId="39BFACBF" w14:textId="77777777" w:rsidTr="00F968A9">
        <w:tc>
          <w:tcPr>
            <w:tcW w:w="797" w:type="pct"/>
          </w:tcPr>
          <w:p w14:paraId="474BEF63" w14:textId="77777777" w:rsidR="00F83F83" w:rsidRDefault="002A6B24" w:rsidP="00F83F83">
            <w:pPr>
              <w:tabs>
                <w:tab w:val="left" w:pos="355"/>
              </w:tabs>
              <w:rPr>
                <w:rFonts w:ascii="Times New Roman" w:eastAsia="Calibri" w:hAnsi="Times New Roman" w:cs="Times New Roman"/>
                <w:b/>
                <w:bCs/>
              </w:rPr>
            </w:pPr>
            <w:r>
              <w:rPr>
                <w:rFonts w:ascii="Times New Roman" w:eastAsia="Calibri" w:hAnsi="Times New Roman" w:cs="Times New Roman"/>
                <w:b/>
                <w:bCs/>
              </w:rPr>
              <w:t>Centrul Național Anticorupție</w:t>
            </w:r>
          </w:p>
          <w:p w14:paraId="6AB910D8" w14:textId="77777777" w:rsidR="00021BBB" w:rsidRDefault="00021BBB" w:rsidP="00F83F83">
            <w:pPr>
              <w:tabs>
                <w:tab w:val="left" w:pos="355"/>
              </w:tabs>
              <w:rPr>
                <w:rFonts w:ascii="Times New Roman" w:eastAsia="Calibri" w:hAnsi="Times New Roman" w:cs="Times New Roman"/>
                <w:b/>
                <w:bCs/>
              </w:rPr>
            </w:pPr>
          </w:p>
          <w:p w14:paraId="11AEDEF2" w14:textId="2FCAEDA8" w:rsidR="00021BBB" w:rsidRPr="00021BBB" w:rsidRDefault="00021BBB" w:rsidP="00F83F83">
            <w:pPr>
              <w:tabs>
                <w:tab w:val="left" w:pos="355"/>
              </w:tabs>
              <w:rPr>
                <w:rFonts w:ascii="Times New Roman" w:eastAsia="Calibri" w:hAnsi="Times New Roman" w:cs="Times New Roman"/>
              </w:rPr>
            </w:pPr>
            <w:r>
              <w:rPr>
                <w:rFonts w:ascii="Times New Roman" w:eastAsia="Calibri" w:hAnsi="Times New Roman" w:cs="Times New Roman"/>
              </w:rPr>
              <w:t>nr. 06/2/5564 din 26.03.2026</w:t>
            </w:r>
          </w:p>
        </w:tc>
        <w:tc>
          <w:tcPr>
            <w:tcW w:w="240" w:type="pct"/>
          </w:tcPr>
          <w:p w14:paraId="7CABB477" w14:textId="3EA699E6" w:rsidR="00F83F83" w:rsidRDefault="002A6B24" w:rsidP="00F83F83">
            <w:pPr>
              <w:rPr>
                <w:rFonts w:ascii="Times New Roman" w:eastAsia="Calibri" w:hAnsi="Times New Roman" w:cs="Times New Roman"/>
              </w:rPr>
            </w:pPr>
            <w:r>
              <w:rPr>
                <w:rFonts w:ascii="Times New Roman" w:eastAsia="Calibri" w:hAnsi="Times New Roman" w:cs="Times New Roman"/>
              </w:rPr>
              <w:lastRenderedPageBreak/>
              <w:t>1.</w:t>
            </w:r>
          </w:p>
        </w:tc>
        <w:tc>
          <w:tcPr>
            <w:tcW w:w="2505" w:type="pct"/>
          </w:tcPr>
          <w:p w14:paraId="62372F2A" w14:textId="230A7BB0" w:rsidR="00F83F83" w:rsidRPr="00DC67EC" w:rsidRDefault="00DC67EC" w:rsidP="00F83F83">
            <w:pPr>
              <w:jc w:val="both"/>
              <w:rPr>
                <w:rFonts w:ascii="Times New Roman" w:eastAsia="Calibri" w:hAnsi="Times New Roman" w:cs="Times New Roman"/>
                <w:lang w:val="ro-RO"/>
              </w:rPr>
            </w:pPr>
            <w:proofErr w:type="spellStart"/>
            <w:r>
              <w:rPr>
                <w:rFonts w:ascii="Times New Roman" w:eastAsia="Calibri" w:hAnsi="Times New Roman" w:cs="Times New Roman"/>
              </w:rPr>
              <w:t>Lips</w:t>
            </w:r>
            <w:proofErr w:type="spellEnd"/>
            <w:r>
              <w:rPr>
                <w:rFonts w:ascii="Times New Roman" w:eastAsia="Calibri" w:hAnsi="Times New Roman" w:cs="Times New Roman"/>
                <w:lang w:val="ro-RO"/>
              </w:rPr>
              <w:t>ă de obiecții și propuneri.</w:t>
            </w:r>
          </w:p>
        </w:tc>
        <w:tc>
          <w:tcPr>
            <w:tcW w:w="1458" w:type="pct"/>
          </w:tcPr>
          <w:p w14:paraId="7A195ADC" w14:textId="77777777" w:rsidR="00F83F83" w:rsidRPr="00454EAC" w:rsidRDefault="00F83F83" w:rsidP="00F83F83">
            <w:pPr>
              <w:rPr>
                <w:rFonts w:ascii="Times New Roman" w:eastAsia="Calibri" w:hAnsi="Times New Roman" w:cs="Times New Roman"/>
                <w:b/>
                <w:bCs/>
                <w:color w:val="000000" w:themeColor="text1"/>
              </w:rPr>
            </w:pPr>
          </w:p>
        </w:tc>
      </w:tr>
    </w:tbl>
    <w:p w14:paraId="3DCF6F1E" w14:textId="139892FA" w:rsidR="006947FB" w:rsidRPr="00882F72" w:rsidRDefault="006947FB">
      <w:pPr>
        <w:rPr>
          <w:rFonts w:ascii="Times New Roman" w:hAnsi="Times New Roman" w:cs="Times New Roman"/>
          <w:sz w:val="22"/>
          <w:szCs w:val="22"/>
        </w:rPr>
      </w:pPr>
    </w:p>
    <w:sectPr w:rsidR="006947FB" w:rsidRPr="00882F72" w:rsidSect="00AC5A28">
      <w:footerReference w:type="default" r:id="rId11"/>
      <w:pgSz w:w="16838" w:h="11906" w:orient="landscape"/>
      <w:pgMar w:top="567" w:right="1134" w:bottom="709" w:left="1134"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21AB1" w14:textId="77777777" w:rsidR="00FC1298" w:rsidRDefault="00FC1298" w:rsidP="000B3417">
      <w:pPr>
        <w:spacing w:after="0" w:line="240" w:lineRule="auto"/>
      </w:pPr>
      <w:r>
        <w:separator/>
      </w:r>
    </w:p>
  </w:endnote>
  <w:endnote w:type="continuationSeparator" w:id="0">
    <w:p w14:paraId="4D917BA2" w14:textId="77777777" w:rsidR="00FC1298" w:rsidRDefault="00FC1298" w:rsidP="000B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erifTypeface">
    <w:altName w:val="Calibri"/>
    <w:charset w:val="CC"/>
    <w:family w:val="auto"/>
    <w:pitch w:val="variable"/>
    <w:sig w:usb0="A000022F" w:usb1="4000A46A"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361070"/>
      <w:docPartObj>
        <w:docPartGallery w:val="Page Numbers (Bottom of Page)"/>
        <w:docPartUnique/>
      </w:docPartObj>
    </w:sdtPr>
    <w:sdtEndPr>
      <w:rPr>
        <w:rFonts w:ascii="Roboto" w:hAnsi="Roboto"/>
        <w:noProof/>
      </w:rPr>
    </w:sdtEndPr>
    <w:sdtContent>
      <w:p w14:paraId="31A8091B" w14:textId="147CE00C" w:rsidR="00AB1AEA" w:rsidRPr="000B3417" w:rsidRDefault="00AB1AEA">
        <w:pPr>
          <w:pStyle w:val="Footer"/>
          <w:jc w:val="center"/>
          <w:rPr>
            <w:rFonts w:ascii="Roboto" w:hAnsi="Roboto"/>
          </w:rPr>
        </w:pPr>
        <w:r w:rsidRPr="000B3417">
          <w:rPr>
            <w:rFonts w:ascii="Roboto" w:hAnsi="Roboto"/>
          </w:rPr>
          <w:fldChar w:fldCharType="begin"/>
        </w:r>
        <w:r w:rsidRPr="000B3417">
          <w:rPr>
            <w:rFonts w:ascii="Roboto" w:hAnsi="Roboto"/>
          </w:rPr>
          <w:instrText xml:space="preserve"> PAGE   \* MERGEFORMAT </w:instrText>
        </w:r>
        <w:r w:rsidRPr="000B3417">
          <w:rPr>
            <w:rFonts w:ascii="Roboto" w:hAnsi="Roboto"/>
          </w:rPr>
          <w:fldChar w:fldCharType="separate"/>
        </w:r>
        <w:r w:rsidR="00AA6D56">
          <w:rPr>
            <w:rFonts w:ascii="Roboto" w:hAnsi="Roboto"/>
            <w:noProof/>
          </w:rPr>
          <w:t>48</w:t>
        </w:r>
        <w:r w:rsidRPr="000B3417">
          <w:rPr>
            <w:rFonts w:ascii="Roboto" w:hAnsi="Roboto"/>
            <w:noProof/>
          </w:rPr>
          <w:fldChar w:fldCharType="end"/>
        </w:r>
      </w:p>
    </w:sdtContent>
  </w:sdt>
  <w:p w14:paraId="7892A3D3" w14:textId="77777777" w:rsidR="00AB1AEA" w:rsidRDefault="00AB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36B3" w14:textId="77777777" w:rsidR="00FC1298" w:rsidRDefault="00FC1298" w:rsidP="000B3417">
      <w:pPr>
        <w:spacing w:after="0" w:line="240" w:lineRule="auto"/>
      </w:pPr>
      <w:r>
        <w:separator/>
      </w:r>
    </w:p>
  </w:footnote>
  <w:footnote w:type="continuationSeparator" w:id="0">
    <w:p w14:paraId="70ED100F" w14:textId="77777777" w:rsidR="00FC1298" w:rsidRDefault="00FC1298" w:rsidP="000B3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D39"/>
    <w:multiLevelType w:val="hybridMultilevel"/>
    <w:tmpl w:val="275A1722"/>
    <w:lvl w:ilvl="0" w:tplc="FB6C291A">
      <w:start w:val="1"/>
      <w:numFmt w:val="decimal"/>
      <w:lvlText w:val="%1."/>
      <w:lvlJc w:val="left"/>
      <w:pPr>
        <w:ind w:left="768" w:hanging="360"/>
      </w:pPr>
      <w:rPr>
        <w:rFonts w:hint="default"/>
        <w:sz w:val="22"/>
        <w:szCs w:val="22"/>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 w15:restartNumberingAfterBreak="0">
    <w:nsid w:val="0C0A1044"/>
    <w:multiLevelType w:val="hybridMultilevel"/>
    <w:tmpl w:val="B3AC7772"/>
    <w:lvl w:ilvl="0" w:tplc="FFFFFFFF">
      <w:start w:val="1"/>
      <w:numFmt w:val="decimal"/>
      <w:lvlText w:val="%1."/>
      <w:lvlJc w:val="left"/>
      <w:pPr>
        <w:ind w:left="36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F5823"/>
    <w:multiLevelType w:val="hybridMultilevel"/>
    <w:tmpl w:val="00CCF184"/>
    <w:lvl w:ilvl="0" w:tplc="FFFFFFFF">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 w15:restartNumberingAfterBreak="0">
    <w:nsid w:val="12EA3E41"/>
    <w:multiLevelType w:val="hybridMultilevel"/>
    <w:tmpl w:val="D9C878EE"/>
    <w:lvl w:ilvl="0" w:tplc="5978BCBC">
      <w:start w:val="1"/>
      <w:numFmt w:val="decimal"/>
      <w:lvlText w:val="%1."/>
      <w:lvlJc w:val="left"/>
      <w:pPr>
        <w:ind w:left="36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AF761A"/>
    <w:multiLevelType w:val="multilevel"/>
    <w:tmpl w:val="9780B160"/>
    <w:lvl w:ilvl="0">
      <w:start w:val="2"/>
      <w:numFmt w:val="decimal"/>
      <w:lvlText w:val="%1."/>
      <w:lvlJc w:val="left"/>
      <w:pPr>
        <w:ind w:left="360" w:hanging="360"/>
      </w:pPr>
      <w:rPr>
        <w:rFonts w:eastAsia="Calibri" w:hint="default"/>
      </w:rPr>
    </w:lvl>
    <w:lvl w:ilvl="1">
      <w:start w:val="1"/>
      <w:numFmt w:val="decimal"/>
      <w:lvlText w:val="%1.%2."/>
      <w:lvlJc w:val="left"/>
      <w:pPr>
        <w:ind w:left="1116" w:hanging="360"/>
      </w:pPr>
      <w:rPr>
        <w:rFonts w:eastAsia="Calibri" w:hint="default"/>
      </w:rPr>
    </w:lvl>
    <w:lvl w:ilvl="2">
      <w:start w:val="1"/>
      <w:numFmt w:val="decimal"/>
      <w:lvlText w:val="%1.%2.%3."/>
      <w:lvlJc w:val="left"/>
      <w:pPr>
        <w:ind w:left="2232" w:hanging="720"/>
      </w:pPr>
      <w:rPr>
        <w:rFonts w:eastAsia="Calibri" w:hint="default"/>
      </w:rPr>
    </w:lvl>
    <w:lvl w:ilvl="3">
      <w:start w:val="1"/>
      <w:numFmt w:val="decimal"/>
      <w:lvlText w:val="%1.%2.%3.%4."/>
      <w:lvlJc w:val="left"/>
      <w:pPr>
        <w:ind w:left="2988" w:hanging="720"/>
      </w:pPr>
      <w:rPr>
        <w:rFonts w:eastAsia="Calibri" w:hint="default"/>
      </w:rPr>
    </w:lvl>
    <w:lvl w:ilvl="4">
      <w:start w:val="1"/>
      <w:numFmt w:val="decimal"/>
      <w:lvlText w:val="%1.%2.%3.%4.%5."/>
      <w:lvlJc w:val="left"/>
      <w:pPr>
        <w:ind w:left="4104" w:hanging="1080"/>
      </w:pPr>
      <w:rPr>
        <w:rFonts w:eastAsia="Calibri" w:hint="default"/>
      </w:rPr>
    </w:lvl>
    <w:lvl w:ilvl="5">
      <w:start w:val="1"/>
      <w:numFmt w:val="decimal"/>
      <w:lvlText w:val="%1.%2.%3.%4.%5.%6."/>
      <w:lvlJc w:val="left"/>
      <w:pPr>
        <w:ind w:left="4860" w:hanging="1080"/>
      </w:pPr>
      <w:rPr>
        <w:rFonts w:eastAsia="Calibri" w:hint="default"/>
      </w:rPr>
    </w:lvl>
    <w:lvl w:ilvl="6">
      <w:start w:val="1"/>
      <w:numFmt w:val="decimal"/>
      <w:lvlText w:val="%1.%2.%3.%4.%5.%6.%7."/>
      <w:lvlJc w:val="left"/>
      <w:pPr>
        <w:ind w:left="5976" w:hanging="1440"/>
      </w:pPr>
      <w:rPr>
        <w:rFonts w:eastAsia="Calibri" w:hint="default"/>
      </w:rPr>
    </w:lvl>
    <w:lvl w:ilvl="7">
      <w:start w:val="1"/>
      <w:numFmt w:val="decimal"/>
      <w:lvlText w:val="%1.%2.%3.%4.%5.%6.%7.%8."/>
      <w:lvlJc w:val="left"/>
      <w:pPr>
        <w:ind w:left="6732" w:hanging="1440"/>
      </w:pPr>
      <w:rPr>
        <w:rFonts w:eastAsia="Calibri" w:hint="default"/>
      </w:rPr>
    </w:lvl>
    <w:lvl w:ilvl="8">
      <w:start w:val="1"/>
      <w:numFmt w:val="decimal"/>
      <w:lvlText w:val="%1.%2.%3.%4.%5.%6.%7.%8.%9."/>
      <w:lvlJc w:val="left"/>
      <w:pPr>
        <w:ind w:left="7848" w:hanging="1800"/>
      </w:pPr>
      <w:rPr>
        <w:rFonts w:eastAsia="Calibri" w:hint="default"/>
      </w:rPr>
    </w:lvl>
  </w:abstractNum>
  <w:abstractNum w:abstractNumId="5" w15:restartNumberingAfterBreak="0">
    <w:nsid w:val="17107E9F"/>
    <w:multiLevelType w:val="hybridMultilevel"/>
    <w:tmpl w:val="F814A3D0"/>
    <w:lvl w:ilvl="0" w:tplc="D5105C2C">
      <w:start w:val="1"/>
      <w:numFmt w:val="bullet"/>
      <w:lvlText w:val="-"/>
      <w:lvlJc w:val="left"/>
      <w:pPr>
        <w:ind w:left="720" w:hanging="360"/>
      </w:pPr>
      <w:rPr>
        <w:rFonts w:ascii="PermianSerifTypeface" w:hAnsi="PermianSerifTypeface"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655FD3"/>
    <w:multiLevelType w:val="hybridMultilevel"/>
    <w:tmpl w:val="2E4A4F00"/>
    <w:lvl w:ilvl="0" w:tplc="FFFFFFFF">
      <w:start w:val="1"/>
      <w:numFmt w:val="decimal"/>
      <w:lvlText w:val="%1."/>
      <w:lvlJc w:val="left"/>
      <w:pPr>
        <w:ind w:left="36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30496"/>
    <w:multiLevelType w:val="hybridMultilevel"/>
    <w:tmpl w:val="46A0CD94"/>
    <w:lvl w:ilvl="0" w:tplc="FFFFFFFF">
      <w:start w:val="1"/>
      <w:numFmt w:val="decimal"/>
      <w:lvlText w:val="%1."/>
      <w:lvlJc w:val="left"/>
      <w:pPr>
        <w:ind w:left="36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197458"/>
    <w:multiLevelType w:val="hybridMultilevel"/>
    <w:tmpl w:val="79C890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D22AED"/>
    <w:multiLevelType w:val="hybridMultilevel"/>
    <w:tmpl w:val="DEF4BEA2"/>
    <w:lvl w:ilvl="0" w:tplc="7B8038C4">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0" w15:restartNumberingAfterBreak="0">
    <w:nsid w:val="2B384136"/>
    <w:multiLevelType w:val="hybridMultilevel"/>
    <w:tmpl w:val="261ECBB4"/>
    <w:lvl w:ilvl="0" w:tplc="BD865EB8">
      <w:start w:val="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D54249D"/>
    <w:multiLevelType w:val="hybridMultilevel"/>
    <w:tmpl w:val="98A45248"/>
    <w:lvl w:ilvl="0" w:tplc="D5105C2C">
      <w:start w:val="1"/>
      <w:numFmt w:val="bullet"/>
      <w:lvlText w:val="-"/>
      <w:lvlJc w:val="left"/>
      <w:pPr>
        <w:ind w:left="720" w:hanging="360"/>
      </w:pPr>
      <w:rPr>
        <w:rFonts w:ascii="PermianSerifTypeface" w:hAnsi="PermianSerifTypeface"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5E22CA"/>
    <w:multiLevelType w:val="hybridMultilevel"/>
    <w:tmpl w:val="AED48AB2"/>
    <w:lvl w:ilvl="0" w:tplc="1E562DC8">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F736BF"/>
    <w:multiLevelType w:val="hybridMultilevel"/>
    <w:tmpl w:val="E8687486"/>
    <w:lvl w:ilvl="0" w:tplc="FFFFFFFF">
      <w:start w:val="1"/>
      <w:numFmt w:val="decimal"/>
      <w:lvlText w:val="%1."/>
      <w:lvlJc w:val="left"/>
      <w:pPr>
        <w:ind w:left="36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FC7338"/>
    <w:multiLevelType w:val="hybridMultilevel"/>
    <w:tmpl w:val="C946F7B6"/>
    <w:lvl w:ilvl="0" w:tplc="F0C69FBE">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5" w15:restartNumberingAfterBreak="0">
    <w:nsid w:val="53012338"/>
    <w:multiLevelType w:val="multilevel"/>
    <w:tmpl w:val="9780B160"/>
    <w:lvl w:ilvl="0">
      <w:start w:val="2"/>
      <w:numFmt w:val="decimal"/>
      <w:lvlText w:val="%1."/>
      <w:lvlJc w:val="left"/>
      <w:pPr>
        <w:ind w:left="360" w:hanging="360"/>
      </w:pPr>
      <w:rPr>
        <w:rFonts w:eastAsia="Calibri" w:hint="default"/>
      </w:rPr>
    </w:lvl>
    <w:lvl w:ilvl="1">
      <w:start w:val="1"/>
      <w:numFmt w:val="decimal"/>
      <w:lvlText w:val="%1.%2."/>
      <w:lvlJc w:val="left"/>
      <w:pPr>
        <w:ind w:left="1116" w:hanging="360"/>
      </w:pPr>
      <w:rPr>
        <w:rFonts w:eastAsia="Calibri" w:hint="default"/>
      </w:rPr>
    </w:lvl>
    <w:lvl w:ilvl="2">
      <w:start w:val="1"/>
      <w:numFmt w:val="decimal"/>
      <w:lvlText w:val="%1.%2.%3."/>
      <w:lvlJc w:val="left"/>
      <w:pPr>
        <w:ind w:left="2232" w:hanging="720"/>
      </w:pPr>
      <w:rPr>
        <w:rFonts w:eastAsia="Calibri" w:hint="default"/>
      </w:rPr>
    </w:lvl>
    <w:lvl w:ilvl="3">
      <w:start w:val="1"/>
      <w:numFmt w:val="decimal"/>
      <w:lvlText w:val="%1.%2.%3.%4."/>
      <w:lvlJc w:val="left"/>
      <w:pPr>
        <w:ind w:left="2988" w:hanging="720"/>
      </w:pPr>
      <w:rPr>
        <w:rFonts w:eastAsia="Calibri" w:hint="default"/>
      </w:rPr>
    </w:lvl>
    <w:lvl w:ilvl="4">
      <w:start w:val="1"/>
      <w:numFmt w:val="decimal"/>
      <w:lvlText w:val="%1.%2.%3.%4.%5."/>
      <w:lvlJc w:val="left"/>
      <w:pPr>
        <w:ind w:left="4104" w:hanging="1080"/>
      </w:pPr>
      <w:rPr>
        <w:rFonts w:eastAsia="Calibri" w:hint="default"/>
      </w:rPr>
    </w:lvl>
    <w:lvl w:ilvl="5">
      <w:start w:val="1"/>
      <w:numFmt w:val="decimal"/>
      <w:lvlText w:val="%1.%2.%3.%4.%5.%6."/>
      <w:lvlJc w:val="left"/>
      <w:pPr>
        <w:ind w:left="4860" w:hanging="1080"/>
      </w:pPr>
      <w:rPr>
        <w:rFonts w:eastAsia="Calibri" w:hint="default"/>
      </w:rPr>
    </w:lvl>
    <w:lvl w:ilvl="6">
      <w:start w:val="1"/>
      <w:numFmt w:val="decimal"/>
      <w:lvlText w:val="%1.%2.%3.%4.%5.%6.%7."/>
      <w:lvlJc w:val="left"/>
      <w:pPr>
        <w:ind w:left="5976" w:hanging="1440"/>
      </w:pPr>
      <w:rPr>
        <w:rFonts w:eastAsia="Calibri" w:hint="default"/>
      </w:rPr>
    </w:lvl>
    <w:lvl w:ilvl="7">
      <w:start w:val="1"/>
      <w:numFmt w:val="decimal"/>
      <w:lvlText w:val="%1.%2.%3.%4.%5.%6.%7.%8."/>
      <w:lvlJc w:val="left"/>
      <w:pPr>
        <w:ind w:left="6732" w:hanging="1440"/>
      </w:pPr>
      <w:rPr>
        <w:rFonts w:eastAsia="Calibri" w:hint="default"/>
      </w:rPr>
    </w:lvl>
    <w:lvl w:ilvl="8">
      <w:start w:val="1"/>
      <w:numFmt w:val="decimal"/>
      <w:lvlText w:val="%1.%2.%3.%4.%5.%6.%7.%8.%9."/>
      <w:lvlJc w:val="left"/>
      <w:pPr>
        <w:ind w:left="7848" w:hanging="1800"/>
      </w:pPr>
      <w:rPr>
        <w:rFonts w:eastAsia="Calibri" w:hint="default"/>
      </w:rPr>
    </w:lvl>
  </w:abstractNum>
  <w:abstractNum w:abstractNumId="16" w15:restartNumberingAfterBreak="0">
    <w:nsid w:val="6A0E6CE6"/>
    <w:multiLevelType w:val="hybridMultilevel"/>
    <w:tmpl w:val="D8583754"/>
    <w:lvl w:ilvl="0" w:tplc="0632FBE6">
      <w:start w:val="1"/>
      <w:numFmt w:val="decimal"/>
      <w:lvlText w:val="%1."/>
      <w:lvlJc w:val="left"/>
      <w:pPr>
        <w:ind w:left="720" w:hanging="360"/>
      </w:pPr>
      <w:rPr>
        <w:rFonts w:eastAsia="Calibri" w:cs="Times New Roman" w:hint="default"/>
        <w:lang w:val="ro-M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A3B2CCC"/>
    <w:multiLevelType w:val="multilevel"/>
    <w:tmpl w:val="9780B160"/>
    <w:lvl w:ilvl="0">
      <w:start w:val="2"/>
      <w:numFmt w:val="decimal"/>
      <w:lvlText w:val="%1."/>
      <w:lvlJc w:val="left"/>
      <w:pPr>
        <w:ind w:left="360" w:hanging="360"/>
      </w:pPr>
      <w:rPr>
        <w:rFonts w:eastAsia="Calibri" w:hint="default"/>
      </w:rPr>
    </w:lvl>
    <w:lvl w:ilvl="1">
      <w:start w:val="1"/>
      <w:numFmt w:val="decimal"/>
      <w:lvlText w:val="%1.%2."/>
      <w:lvlJc w:val="left"/>
      <w:pPr>
        <w:ind w:left="1116" w:hanging="360"/>
      </w:pPr>
      <w:rPr>
        <w:rFonts w:eastAsia="Calibri" w:hint="default"/>
      </w:rPr>
    </w:lvl>
    <w:lvl w:ilvl="2">
      <w:start w:val="1"/>
      <w:numFmt w:val="decimal"/>
      <w:lvlText w:val="%1.%2.%3."/>
      <w:lvlJc w:val="left"/>
      <w:pPr>
        <w:ind w:left="2232" w:hanging="720"/>
      </w:pPr>
      <w:rPr>
        <w:rFonts w:eastAsia="Calibri" w:hint="default"/>
      </w:rPr>
    </w:lvl>
    <w:lvl w:ilvl="3">
      <w:start w:val="1"/>
      <w:numFmt w:val="decimal"/>
      <w:lvlText w:val="%1.%2.%3.%4."/>
      <w:lvlJc w:val="left"/>
      <w:pPr>
        <w:ind w:left="2988" w:hanging="720"/>
      </w:pPr>
      <w:rPr>
        <w:rFonts w:eastAsia="Calibri" w:hint="default"/>
      </w:rPr>
    </w:lvl>
    <w:lvl w:ilvl="4">
      <w:start w:val="1"/>
      <w:numFmt w:val="decimal"/>
      <w:lvlText w:val="%1.%2.%3.%4.%5."/>
      <w:lvlJc w:val="left"/>
      <w:pPr>
        <w:ind w:left="4104" w:hanging="1080"/>
      </w:pPr>
      <w:rPr>
        <w:rFonts w:eastAsia="Calibri" w:hint="default"/>
      </w:rPr>
    </w:lvl>
    <w:lvl w:ilvl="5">
      <w:start w:val="1"/>
      <w:numFmt w:val="decimal"/>
      <w:lvlText w:val="%1.%2.%3.%4.%5.%6."/>
      <w:lvlJc w:val="left"/>
      <w:pPr>
        <w:ind w:left="4860" w:hanging="1080"/>
      </w:pPr>
      <w:rPr>
        <w:rFonts w:eastAsia="Calibri" w:hint="default"/>
      </w:rPr>
    </w:lvl>
    <w:lvl w:ilvl="6">
      <w:start w:val="1"/>
      <w:numFmt w:val="decimal"/>
      <w:lvlText w:val="%1.%2.%3.%4.%5.%6.%7."/>
      <w:lvlJc w:val="left"/>
      <w:pPr>
        <w:ind w:left="5976" w:hanging="1440"/>
      </w:pPr>
      <w:rPr>
        <w:rFonts w:eastAsia="Calibri" w:hint="default"/>
      </w:rPr>
    </w:lvl>
    <w:lvl w:ilvl="7">
      <w:start w:val="1"/>
      <w:numFmt w:val="decimal"/>
      <w:lvlText w:val="%1.%2.%3.%4.%5.%6.%7.%8."/>
      <w:lvlJc w:val="left"/>
      <w:pPr>
        <w:ind w:left="6732" w:hanging="1440"/>
      </w:pPr>
      <w:rPr>
        <w:rFonts w:eastAsia="Calibri" w:hint="default"/>
      </w:rPr>
    </w:lvl>
    <w:lvl w:ilvl="8">
      <w:start w:val="1"/>
      <w:numFmt w:val="decimal"/>
      <w:lvlText w:val="%1.%2.%3.%4.%5.%6.%7.%8.%9."/>
      <w:lvlJc w:val="left"/>
      <w:pPr>
        <w:ind w:left="7848" w:hanging="1800"/>
      </w:pPr>
      <w:rPr>
        <w:rFonts w:eastAsia="Calibri" w:hint="default"/>
      </w:rPr>
    </w:lvl>
  </w:abstractNum>
  <w:abstractNum w:abstractNumId="18" w15:restartNumberingAfterBreak="0">
    <w:nsid w:val="707912CE"/>
    <w:multiLevelType w:val="hybridMultilevel"/>
    <w:tmpl w:val="AC00FBE0"/>
    <w:lvl w:ilvl="0" w:tplc="1626F160">
      <w:start w:val="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7DDB0535"/>
    <w:multiLevelType w:val="multilevel"/>
    <w:tmpl w:val="9780B160"/>
    <w:lvl w:ilvl="0">
      <w:start w:val="2"/>
      <w:numFmt w:val="decimal"/>
      <w:lvlText w:val="%1."/>
      <w:lvlJc w:val="left"/>
      <w:pPr>
        <w:ind w:left="360" w:hanging="360"/>
      </w:pPr>
      <w:rPr>
        <w:rFonts w:eastAsia="Calibri" w:hint="default"/>
      </w:rPr>
    </w:lvl>
    <w:lvl w:ilvl="1">
      <w:start w:val="1"/>
      <w:numFmt w:val="decimal"/>
      <w:lvlText w:val="%1.%2."/>
      <w:lvlJc w:val="left"/>
      <w:pPr>
        <w:ind w:left="1116" w:hanging="360"/>
      </w:pPr>
      <w:rPr>
        <w:rFonts w:eastAsia="Calibri" w:hint="default"/>
      </w:rPr>
    </w:lvl>
    <w:lvl w:ilvl="2">
      <w:start w:val="1"/>
      <w:numFmt w:val="decimal"/>
      <w:lvlText w:val="%1.%2.%3."/>
      <w:lvlJc w:val="left"/>
      <w:pPr>
        <w:ind w:left="2232" w:hanging="720"/>
      </w:pPr>
      <w:rPr>
        <w:rFonts w:eastAsia="Calibri" w:hint="default"/>
      </w:rPr>
    </w:lvl>
    <w:lvl w:ilvl="3">
      <w:start w:val="1"/>
      <w:numFmt w:val="decimal"/>
      <w:lvlText w:val="%1.%2.%3.%4."/>
      <w:lvlJc w:val="left"/>
      <w:pPr>
        <w:ind w:left="2988" w:hanging="720"/>
      </w:pPr>
      <w:rPr>
        <w:rFonts w:eastAsia="Calibri" w:hint="default"/>
      </w:rPr>
    </w:lvl>
    <w:lvl w:ilvl="4">
      <w:start w:val="1"/>
      <w:numFmt w:val="decimal"/>
      <w:lvlText w:val="%1.%2.%3.%4.%5."/>
      <w:lvlJc w:val="left"/>
      <w:pPr>
        <w:ind w:left="4104" w:hanging="1080"/>
      </w:pPr>
      <w:rPr>
        <w:rFonts w:eastAsia="Calibri" w:hint="default"/>
      </w:rPr>
    </w:lvl>
    <w:lvl w:ilvl="5">
      <w:start w:val="1"/>
      <w:numFmt w:val="decimal"/>
      <w:lvlText w:val="%1.%2.%3.%4.%5.%6."/>
      <w:lvlJc w:val="left"/>
      <w:pPr>
        <w:ind w:left="4860" w:hanging="1080"/>
      </w:pPr>
      <w:rPr>
        <w:rFonts w:eastAsia="Calibri" w:hint="default"/>
      </w:rPr>
    </w:lvl>
    <w:lvl w:ilvl="6">
      <w:start w:val="1"/>
      <w:numFmt w:val="decimal"/>
      <w:lvlText w:val="%1.%2.%3.%4.%5.%6.%7."/>
      <w:lvlJc w:val="left"/>
      <w:pPr>
        <w:ind w:left="5976" w:hanging="1440"/>
      </w:pPr>
      <w:rPr>
        <w:rFonts w:eastAsia="Calibri" w:hint="default"/>
      </w:rPr>
    </w:lvl>
    <w:lvl w:ilvl="7">
      <w:start w:val="1"/>
      <w:numFmt w:val="decimal"/>
      <w:lvlText w:val="%1.%2.%3.%4.%5.%6.%7.%8."/>
      <w:lvlJc w:val="left"/>
      <w:pPr>
        <w:ind w:left="6732" w:hanging="1440"/>
      </w:pPr>
      <w:rPr>
        <w:rFonts w:eastAsia="Calibri" w:hint="default"/>
      </w:rPr>
    </w:lvl>
    <w:lvl w:ilvl="8">
      <w:start w:val="1"/>
      <w:numFmt w:val="decimal"/>
      <w:lvlText w:val="%1.%2.%3.%4.%5.%6.%7.%8.%9."/>
      <w:lvlJc w:val="left"/>
      <w:pPr>
        <w:ind w:left="7848" w:hanging="1800"/>
      </w:pPr>
      <w:rPr>
        <w:rFonts w:eastAsia="Calibri" w:hint="default"/>
      </w:rPr>
    </w:lvl>
  </w:abstractNum>
  <w:num w:numId="1">
    <w:abstractNumId w:val="16"/>
  </w:num>
  <w:num w:numId="2">
    <w:abstractNumId w:val="10"/>
  </w:num>
  <w:num w:numId="3">
    <w:abstractNumId w:val="18"/>
  </w:num>
  <w:num w:numId="4">
    <w:abstractNumId w:val="5"/>
  </w:num>
  <w:num w:numId="5">
    <w:abstractNumId w:val="11"/>
  </w:num>
  <w:num w:numId="6">
    <w:abstractNumId w:val="3"/>
  </w:num>
  <w:num w:numId="7">
    <w:abstractNumId w:val="12"/>
  </w:num>
  <w:num w:numId="8">
    <w:abstractNumId w:val="0"/>
  </w:num>
  <w:num w:numId="9">
    <w:abstractNumId w:val="8"/>
  </w:num>
  <w:num w:numId="10">
    <w:abstractNumId w:val="6"/>
  </w:num>
  <w:num w:numId="11">
    <w:abstractNumId w:val="7"/>
  </w:num>
  <w:num w:numId="12">
    <w:abstractNumId w:val="1"/>
  </w:num>
  <w:num w:numId="13">
    <w:abstractNumId w:val="13"/>
  </w:num>
  <w:num w:numId="14">
    <w:abstractNumId w:val="9"/>
  </w:num>
  <w:num w:numId="15">
    <w:abstractNumId w:val="2"/>
  </w:num>
  <w:num w:numId="16">
    <w:abstractNumId w:val="14"/>
  </w:num>
  <w:num w:numId="17">
    <w:abstractNumId w:val="17"/>
  </w:num>
  <w:num w:numId="18">
    <w:abstractNumId w:val="19"/>
  </w:num>
  <w:num w:numId="19">
    <w:abstractNumId w:val="4"/>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17"/>
    <w:rsid w:val="000009EA"/>
    <w:rsid w:val="00010F06"/>
    <w:rsid w:val="00012F0F"/>
    <w:rsid w:val="0001460F"/>
    <w:rsid w:val="00016773"/>
    <w:rsid w:val="00021BBB"/>
    <w:rsid w:val="000234A3"/>
    <w:rsid w:val="00034C0C"/>
    <w:rsid w:val="00034C28"/>
    <w:rsid w:val="00047FD9"/>
    <w:rsid w:val="00051CD7"/>
    <w:rsid w:val="00052440"/>
    <w:rsid w:val="00077256"/>
    <w:rsid w:val="00084C05"/>
    <w:rsid w:val="00095EBE"/>
    <w:rsid w:val="000A61F1"/>
    <w:rsid w:val="000B3417"/>
    <w:rsid w:val="000C063F"/>
    <w:rsid w:val="000D197E"/>
    <w:rsid w:val="000D2763"/>
    <w:rsid w:val="000F7A7D"/>
    <w:rsid w:val="0010384F"/>
    <w:rsid w:val="00106888"/>
    <w:rsid w:val="0011010C"/>
    <w:rsid w:val="00113896"/>
    <w:rsid w:val="00116482"/>
    <w:rsid w:val="001332D7"/>
    <w:rsid w:val="001410BB"/>
    <w:rsid w:val="00151909"/>
    <w:rsid w:val="00153BFD"/>
    <w:rsid w:val="00153CD6"/>
    <w:rsid w:val="0015436D"/>
    <w:rsid w:val="001867FF"/>
    <w:rsid w:val="00186A9C"/>
    <w:rsid w:val="00193644"/>
    <w:rsid w:val="001A47AD"/>
    <w:rsid w:val="001B4833"/>
    <w:rsid w:val="001C1419"/>
    <w:rsid w:val="001F27A7"/>
    <w:rsid w:val="001F481A"/>
    <w:rsid w:val="00201E93"/>
    <w:rsid w:val="00210E20"/>
    <w:rsid w:val="00222480"/>
    <w:rsid w:val="00234FB1"/>
    <w:rsid w:val="002445A4"/>
    <w:rsid w:val="0025621A"/>
    <w:rsid w:val="00261295"/>
    <w:rsid w:val="0027500B"/>
    <w:rsid w:val="002825AF"/>
    <w:rsid w:val="00286FAF"/>
    <w:rsid w:val="002904C4"/>
    <w:rsid w:val="00291934"/>
    <w:rsid w:val="0029278F"/>
    <w:rsid w:val="00296109"/>
    <w:rsid w:val="00296609"/>
    <w:rsid w:val="002A2E2A"/>
    <w:rsid w:val="002A6B24"/>
    <w:rsid w:val="002C5B47"/>
    <w:rsid w:val="002D0717"/>
    <w:rsid w:val="002E0A2C"/>
    <w:rsid w:val="002E39C1"/>
    <w:rsid w:val="002F15B7"/>
    <w:rsid w:val="00354F1B"/>
    <w:rsid w:val="00355D4B"/>
    <w:rsid w:val="00356C9B"/>
    <w:rsid w:val="003604DA"/>
    <w:rsid w:val="00374BC1"/>
    <w:rsid w:val="00383075"/>
    <w:rsid w:val="00391066"/>
    <w:rsid w:val="0039469C"/>
    <w:rsid w:val="0039780A"/>
    <w:rsid w:val="003A2AB6"/>
    <w:rsid w:val="003C57BB"/>
    <w:rsid w:val="003E356D"/>
    <w:rsid w:val="003E4DA2"/>
    <w:rsid w:val="003E726C"/>
    <w:rsid w:val="00416701"/>
    <w:rsid w:val="00416C8F"/>
    <w:rsid w:val="004239D8"/>
    <w:rsid w:val="004248AF"/>
    <w:rsid w:val="004331D6"/>
    <w:rsid w:val="00442DFE"/>
    <w:rsid w:val="00444873"/>
    <w:rsid w:val="00447A55"/>
    <w:rsid w:val="00452024"/>
    <w:rsid w:val="00454EAC"/>
    <w:rsid w:val="0047106C"/>
    <w:rsid w:val="00471FA5"/>
    <w:rsid w:val="00474BC3"/>
    <w:rsid w:val="004806E7"/>
    <w:rsid w:val="00490D04"/>
    <w:rsid w:val="00492E23"/>
    <w:rsid w:val="004A20D8"/>
    <w:rsid w:val="004A523E"/>
    <w:rsid w:val="004A6C88"/>
    <w:rsid w:val="004A7B6B"/>
    <w:rsid w:val="004B3E75"/>
    <w:rsid w:val="004B5072"/>
    <w:rsid w:val="004E67A3"/>
    <w:rsid w:val="004F1432"/>
    <w:rsid w:val="004F7C0F"/>
    <w:rsid w:val="00503060"/>
    <w:rsid w:val="005179C0"/>
    <w:rsid w:val="005227F9"/>
    <w:rsid w:val="00525341"/>
    <w:rsid w:val="0053434B"/>
    <w:rsid w:val="005612A9"/>
    <w:rsid w:val="00584777"/>
    <w:rsid w:val="005A05AE"/>
    <w:rsid w:val="005B2242"/>
    <w:rsid w:val="005B2CC7"/>
    <w:rsid w:val="005E5C6E"/>
    <w:rsid w:val="005E5E90"/>
    <w:rsid w:val="005E74A3"/>
    <w:rsid w:val="00603F8F"/>
    <w:rsid w:val="006215FE"/>
    <w:rsid w:val="0065128E"/>
    <w:rsid w:val="006560C7"/>
    <w:rsid w:val="00656C95"/>
    <w:rsid w:val="00667E80"/>
    <w:rsid w:val="006915EC"/>
    <w:rsid w:val="006947FB"/>
    <w:rsid w:val="006B56CF"/>
    <w:rsid w:val="006C5A90"/>
    <w:rsid w:val="006D00F3"/>
    <w:rsid w:val="006E7161"/>
    <w:rsid w:val="006F7E7C"/>
    <w:rsid w:val="00706A8A"/>
    <w:rsid w:val="007213FD"/>
    <w:rsid w:val="00730F99"/>
    <w:rsid w:val="0073446C"/>
    <w:rsid w:val="00740B2B"/>
    <w:rsid w:val="00774D12"/>
    <w:rsid w:val="0077624A"/>
    <w:rsid w:val="00791F98"/>
    <w:rsid w:val="007A6382"/>
    <w:rsid w:val="007A7C58"/>
    <w:rsid w:val="007B2B70"/>
    <w:rsid w:val="007D2906"/>
    <w:rsid w:val="007D2D71"/>
    <w:rsid w:val="007E7607"/>
    <w:rsid w:val="00800EB7"/>
    <w:rsid w:val="00801D34"/>
    <w:rsid w:val="00814701"/>
    <w:rsid w:val="0081675B"/>
    <w:rsid w:val="008167C1"/>
    <w:rsid w:val="008311F2"/>
    <w:rsid w:val="0083517C"/>
    <w:rsid w:val="008420FE"/>
    <w:rsid w:val="008603DD"/>
    <w:rsid w:val="008655D4"/>
    <w:rsid w:val="00882F72"/>
    <w:rsid w:val="008855ED"/>
    <w:rsid w:val="008874BB"/>
    <w:rsid w:val="008930A3"/>
    <w:rsid w:val="008B036F"/>
    <w:rsid w:val="008D05A2"/>
    <w:rsid w:val="008F08AE"/>
    <w:rsid w:val="009001F6"/>
    <w:rsid w:val="00914CFC"/>
    <w:rsid w:val="00914D56"/>
    <w:rsid w:val="009224FD"/>
    <w:rsid w:val="00943CC8"/>
    <w:rsid w:val="00943D57"/>
    <w:rsid w:val="0094419E"/>
    <w:rsid w:val="00946578"/>
    <w:rsid w:val="009619F4"/>
    <w:rsid w:val="00965F0B"/>
    <w:rsid w:val="009C2ED1"/>
    <w:rsid w:val="009C5CA5"/>
    <w:rsid w:val="009C700A"/>
    <w:rsid w:val="009E17F3"/>
    <w:rsid w:val="00A010A0"/>
    <w:rsid w:val="00A06868"/>
    <w:rsid w:val="00A16170"/>
    <w:rsid w:val="00A23D26"/>
    <w:rsid w:val="00A23FF0"/>
    <w:rsid w:val="00A44CFA"/>
    <w:rsid w:val="00A51DD0"/>
    <w:rsid w:val="00A52780"/>
    <w:rsid w:val="00A606C2"/>
    <w:rsid w:val="00A67D2D"/>
    <w:rsid w:val="00A85D4B"/>
    <w:rsid w:val="00A92363"/>
    <w:rsid w:val="00A97608"/>
    <w:rsid w:val="00AA6D56"/>
    <w:rsid w:val="00AB1AEA"/>
    <w:rsid w:val="00AC11A0"/>
    <w:rsid w:val="00AC3D27"/>
    <w:rsid w:val="00AC40EE"/>
    <w:rsid w:val="00AC5A28"/>
    <w:rsid w:val="00AD01F2"/>
    <w:rsid w:val="00AD715F"/>
    <w:rsid w:val="00AE0F57"/>
    <w:rsid w:val="00AE7435"/>
    <w:rsid w:val="00AF09CB"/>
    <w:rsid w:val="00AF4C3B"/>
    <w:rsid w:val="00B00154"/>
    <w:rsid w:val="00B007C2"/>
    <w:rsid w:val="00B01576"/>
    <w:rsid w:val="00B10920"/>
    <w:rsid w:val="00B20582"/>
    <w:rsid w:val="00B2225F"/>
    <w:rsid w:val="00B302F6"/>
    <w:rsid w:val="00B3446A"/>
    <w:rsid w:val="00B50592"/>
    <w:rsid w:val="00B70902"/>
    <w:rsid w:val="00B80045"/>
    <w:rsid w:val="00BB02C7"/>
    <w:rsid w:val="00BB2DB7"/>
    <w:rsid w:val="00BD43B0"/>
    <w:rsid w:val="00BD663D"/>
    <w:rsid w:val="00BE3E9F"/>
    <w:rsid w:val="00BF19E3"/>
    <w:rsid w:val="00BF60DC"/>
    <w:rsid w:val="00C032B7"/>
    <w:rsid w:val="00C125CF"/>
    <w:rsid w:val="00C250F0"/>
    <w:rsid w:val="00C37D1F"/>
    <w:rsid w:val="00C437AC"/>
    <w:rsid w:val="00C51316"/>
    <w:rsid w:val="00C65D96"/>
    <w:rsid w:val="00C6708E"/>
    <w:rsid w:val="00C677F8"/>
    <w:rsid w:val="00C7231E"/>
    <w:rsid w:val="00CB336D"/>
    <w:rsid w:val="00CB4523"/>
    <w:rsid w:val="00CC3D14"/>
    <w:rsid w:val="00CD5A05"/>
    <w:rsid w:val="00CD79F0"/>
    <w:rsid w:val="00CF09C1"/>
    <w:rsid w:val="00D033A9"/>
    <w:rsid w:val="00D2589B"/>
    <w:rsid w:val="00D27FEC"/>
    <w:rsid w:val="00D3102B"/>
    <w:rsid w:val="00D345AA"/>
    <w:rsid w:val="00D66DA6"/>
    <w:rsid w:val="00D75EB9"/>
    <w:rsid w:val="00D93BA3"/>
    <w:rsid w:val="00DA050C"/>
    <w:rsid w:val="00DA1F51"/>
    <w:rsid w:val="00DA2290"/>
    <w:rsid w:val="00DA3B4E"/>
    <w:rsid w:val="00DB2815"/>
    <w:rsid w:val="00DB2CFB"/>
    <w:rsid w:val="00DC031E"/>
    <w:rsid w:val="00DC46EA"/>
    <w:rsid w:val="00DC67EC"/>
    <w:rsid w:val="00DC687D"/>
    <w:rsid w:val="00DD16E9"/>
    <w:rsid w:val="00DD3C6B"/>
    <w:rsid w:val="00DD6F51"/>
    <w:rsid w:val="00DF4C7C"/>
    <w:rsid w:val="00DF6F5F"/>
    <w:rsid w:val="00E068AD"/>
    <w:rsid w:val="00E232FF"/>
    <w:rsid w:val="00E33436"/>
    <w:rsid w:val="00E36709"/>
    <w:rsid w:val="00E41464"/>
    <w:rsid w:val="00E42CB9"/>
    <w:rsid w:val="00E67889"/>
    <w:rsid w:val="00E76958"/>
    <w:rsid w:val="00E82E06"/>
    <w:rsid w:val="00E8657A"/>
    <w:rsid w:val="00EB0784"/>
    <w:rsid w:val="00EB2513"/>
    <w:rsid w:val="00EB6680"/>
    <w:rsid w:val="00EB7BF6"/>
    <w:rsid w:val="00ED0085"/>
    <w:rsid w:val="00ED10EF"/>
    <w:rsid w:val="00ED679A"/>
    <w:rsid w:val="00ED6861"/>
    <w:rsid w:val="00EF53D6"/>
    <w:rsid w:val="00F36AC0"/>
    <w:rsid w:val="00F55870"/>
    <w:rsid w:val="00F6049B"/>
    <w:rsid w:val="00F60B1D"/>
    <w:rsid w:val="00F83F83"/>
    <w:rsid w:val="00F855AC"/>
    <w:rsid w:val="00F94630"/>
    <w:rsid w:val="00F968A9"/>
    <w:rsid w:val="00FA375E"/>
    <w:rsid w:val="00FC1298"/>
    <w:rsid w:val="00FC3929"/>
    <w:rsid w:val="00FD7EC2"/>
    <w:rsid w:val="00FE354C"/>
    <w:rsid w:val="00FE43B7"/>
    <w:rsid w:val="00FE6FDC"/>
    <w:rsid w:val="00FF350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0F4A"/>
  <w15:chartTrackingRefBased/>
  <w15:docId w15:val="{071FCB85-145B-4D5A-A3F8-A05A9FF3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F51"/>
  </w:style>
  <w:style w:type="paragraph" w:styleId="Heading1">
    <w:name w:val="heading 1"/>
    <w:basedOn w:val="Normal"/>
    <w:next w:val="Normal"/>
    <w:link w:val="Heading1Char"/>
    <w:uiPriority w:val="9"/>
    <w:qFormat/>
    <w:rsid w:val="000B3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417"/>
    <w:rPr>
      <w:rFonts w:eastAsiaTheme="majorEastAsia" w:cstheme="majorBidi"/>
      <w:color w:val="272727" w:themeColor="text1" w:themeTint="D8"/>
    </w:rPr>
  </w:style>
  <w:style w:type="paragraph" w:styleId="Title">
    <w:name w:val="Title"/>
    <w:basedOn w:val="Normal"/>
    <w:next w:val="Normal"/>
    <w:link w:val="TitleChar"/>
    <w:uiPriority w:val="10"/>
    <w:qFormat/>
    <w:rsid w:val="000B3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417"/>
    <w:pPr>
      <w:spacing w:before="160"/>
      <w:jc w:val="center"/>
    </w:pPr>
    <w:rPr>
      <w:i/>
      <w:iCs/>
      <w:color w:val="404040" w:themeColor="text1" w:themeTint="BF"/>
    </w:rPr>
  </w:style>
  <w:style w:type="character" w:customStyle="1" w:styleId="QuoteChar">
    <w:name w:val="Quote Char"/>
    <w:basedOn w:val="DefaultParagraphFont"/>
    <w:link w:val="Quote"/>
    <w:uiPriority w:val="29"/>
    <w:rsid w:val="000B3417"/>
    <w:rPr>
      <w:i/>
      <w:iCs/>
      <w:color w:val="404040" w:themeColor="text1" w:themeTint="BF"/>
    </w:rPr>
  </w:style>
  <w:style w:type="paragraph" w:styleId="ListParagraph">
    <w:name w:val="List Paragraph"/>
    <w:basedOn w:val="Normal"/>
    <w:uiPriority w:val="34"/>
    <w:qFormat/>
    <w:rsid w:val="000B3417"/>
    <w:pPr>
      <w:ind w:left="720"/>
      <w:contextualSpacing/>
    </w:pPr>
  </w:style>
  <w:style w:type="character" w:styleId="IntenseEmphasis">
    <w:name w:val="Intense Emphasis"/>
    <w:basedOn w:val="DefaultParagraphFont"/>
    <w:uiPriority w:val="21"/>
    <w:qFormat/>
    <w:rsid w:val="000B3417"/>
    <w:rPr>
      <w:i/>
      <w:iCs/>
      <w:color w:val="0F4761" w:themeColor="accent1" w:themeShade="BF"/>
    </w:rPr>
  </w:style>
  <w:style w:type="paragraph" w:styleId="IntenseQuote">
    <w:name w:val="Intense Quote"/>
    <w:basedOn w:val="Normal"/>
    <w:next w:val="Normal"/>
    <w:link w:val="IntenseQuoteChar"/>
    <w:uiPriority w:val="30"/>
    <w:qFormat/>
    <w:rsid w:val="000B3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417"/>
    <w:rPr>
      <w:i/>
      <w:iCs/>
      <w:color w:val="0F4761" w:themeColor="accent1" w:themeShade="BF"/>
    </w:rPr>
  </w:style>
  <w:style w:type="character" w:styleId="IntenseReference">
    <w:name w:val="Intense Reference"/>
    <w:basedOn w:val="DefaultParagraphFont"/>
    <w:uiPriority w:val="32"/>
    <w:qFormat/>
    <w:rsid w:val="000B3417"/>
    <w:rPr>
      <w:b/>
      <w:bCs/>
      <w:smallCaps/>
      <w:color w:val="0F4761" w:themeColor="accent1" w:themeShade="BF"/>
      <w:spacing w:val="5"/>
    </w:rPr>
  </w:style>
  <w:style w:type="table" w:styleId="TableGrid">
    <w:name w:val="Table Grid"/>
    <w:basedOn w:val="TableNormal"/>
    <w:uiPriority w:val="39"/>
    <w:rsid w:val="000B34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417"/>
    <w:pPr>
      <w:tabs>
        <w:tab w:val="center" w:pos="4677"/>
        <w:tab w:val="right" w:pos="9355"/>
      </w:tabs>
      <w:spacing w:after="0" w:line="240" w:lineRule="auto"/>
    </w:pPr>
  </w:style>
  <w:style w:type="character" w:customStyle="1" w:styleId="HeaderChar">
    <w:name w:val="Header Char"/>
    <w:basedOn w:val="DefaultParagraphFont"/>
    <w:link w:val="Header"/>
    <w:uiPriority w:val="99"/>
    <w:rsid w:val="000B3417"/>
  </w:style>
  <w:style w:type="paragraph" w:styleId="Footer">
    <w:name w:val="footer"/>
    <w:basedOn w:val="Normal"/>
    <w:link w:val="FooterChar"/>
    <w:uiPriority w:val="99"/>
    <w:unhideWhenUsed/>
    <w:rsid w:val="000B3417"/>
    <w:pPr>
      <w:tabs>
        <w:tab w:val="center" w:pos="4677"/>
        <w:tab w:val="right" w:pos="9355"/>
      </w:tabs>
      <w:spacing w:after="0" w:line="240" w:lineRule="auto"/>
    </w:pPr>
  </w:style>
  <w:style w:type="character" w:customStyle="1" w:styleId="FooterChar">
    <w:name w:val="Footer Char"/>
    <w:basedOn w:val="DefaultParagraphFont"/>
    <w:link w:val="Footer"/>
    <w:uiPriority w:val="99"/>
    <w:rsid w:val="000B3417"/>
  </w:style>
  <w:style w:type="paragraph" w:customStyle="1" w:styleId="Default">
    <w:name w:val="Default"/>
    <w:rsid w:val="007A7C58"/>
    <w:pPr>
      <w:autoSpaceDE w:val="0"/>
      <w:autoSpaceDN w:val="0"/>
      <w:adjustRightInd w:val="0"/>
      <w:spacing w:after="0" w:line="240" w:lineRule="auto"/>
    </w:pPr>
    <w:rPr>
      <w:rFonts w:ascii="Calibri" w:hAnsi="Calibri" w:cs="Calibri"/>
      <w:color w:val="000000"/>
      <w:kern w:val="0"/>
    </w:rPr>
  </w:style>
  <w:style w:type="paragraph" w:customStyle="1" w:styleId="oj-normal">
    <w:name w:val="oj-normal"/>
    <w:basedOn w:val="Normal"/>
    <w:rsid w:val="0053434B"/>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rsid w:val="004E67A3"/>
    <w:rPr>
      <w:color w:val="0000FF"/>
      <w:u w:val="single"/>
    </w:rPr>
  </w:style>
  <w:style w:type="character" w:styleId="CommentReference">
    <w:name w:val="annotation reference"/>
    <w:basedOn w:val="DefaultParagraphFont"/>
    <w:uiPriority w:val="99"/>
    <w:semiHidden/>
    <w:unhideWhenUsed/>
    <w:rsid w:val="005E5C6E"/>
    <w:rPr>
      <w:sz w:val="16"/>
      <w:szCs w:val="16"/>
    </w:rPr>
  </w:style>
  <w:style w:type="paragraph" w:styleId="CommentText">
    <w:name w:val="annotation text"/>
    <w:basedOn w:val="Normal"/>
    <w:link w:val="CommentTextChar"/>
    <w:uiPriority w:val="99"/>
    <w:unhideWhenUsed/>
    <w:rsid w:val="005E5C6E"/>
    <w:pPr>
      <w:spacing w:line="240" w:lineRule="auto"/>
    </w:pPr>
    <w:rPr>
      <w:sz w:val="20"/>
      <w:szCs w:val="20"/>
    </w:rPr>
  </w:style>
  <w:style w:type="character" w:customStyle="1" w:styleId="CommentTextChar">
    <w:name w:val="Comment Text Char"/>
    <w:basedOn w:val="DefaultParagraphFont"/>
    <w:link w:val="CommentText"/>
    <w:uiPriority w:val="99"/>
    <w:rsid w:val="005E5C6E"/>
    <w:rPr>
      <w:sz w:val="20"/>
      <w:szCs w:val="20"/>
    </w:rPr>
  </w:style>
  <w:style w:type="character" w:styleId="SubtleEmphasis">
    <w:name w:val="Subtle Emphasis"/>
    <w:basedOn w:val="DefaultParagraphFont"/>
    <w:uiPriority w:val="19"/>
    <w:qFormat/>
    <w:rsid w:val="00A23FF0"/>
    <w:rPr>
      <w:rFonts w:ascii="Cambria" w:hAnsi="Cambria"/>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ec.europa.eu/publications/call-feedback-psf-preliminary-recommendations-review-climate-delegated-act-and-addition-activities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inance.ec.europa.eu/publications/call-feedback-psf-preliminary-recommendations-review-climate-delegated-act-and-addition-activities_en" TargetMode="External"/><Relationship Id="rId4" Type="http://schemas.openxmlformats.org/officeDocument/2006/relationships/settings" Target="settings.xml"/><Relationship Id="rId9" Type="http://schemas.openxmlformats.org/officeDocument/2006/relationships/hyperlink" Target="https://finance.ec.europa.eu/publications/call-feedback-psf-preliminary-recommendations-review-climate-delegated-act-and-addition-activit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C9B0-E68D-456C-BB89-ED2F9C94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27083</Words>
  <Characters>154377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181098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 Brasovschi-Velenciuc</dc:creator>
  <cp:keywords/>
  <dc:description/>
  <cp:lastModifiedBy>Litocenco, Ana</cp:lastModifiedBy>
  <cp:revision>4</cp:revision>
  <cp:lastPrinted>2026-03-30T08:26:00Z</cp:lastPrinted>
  <dcterms:created xsi:type="dcterms:W3CDTF">2026-04-01T15:07:00Z</dcterms:created>
  <dcterms:modified xsi:type="dcterms:W3CDTF">2026-04-01T16:19:00Z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2026-03-05T10:18:44Z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0915ec79-b917-41a4-9179-7e4692a510f8</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y fmtid="{D5CDD505-2E9C-101B-9397-08002B2CF9AE}" pid="10" name="TitusGUID">
    <vt:lpwstr>c1f41c02-e41f-4523-98c0-856b2835be56</vt:lpwstr>
  </property>
  <property fmtid="{D5CDD505-2E9C-101B-9397-08002B2CF9AE}" pid="11" name="Clasificare">
    <vt:lpwstr>NONE</vt:lpwstr>
  </property>
</Properties>
</file>