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6F6C3" w14:textId="7778EF5B" w:rsidR="008B4BE6" w:rsidRPr="00A23CC8" w:rsidRDefault="008B4BE6"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lang w:val="ro-RO"/>
        </w:rPr>
      </w:pPr>
    </w:p>
    <w:p w14:paraId="00A55B7A" w14:textId="77777777" w:rsidR="008B4BE6" w:rsidRPr="00A23CC8" w:rsidRDefault="006933C3"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lang w:val="ro-RO"/>
        </w:rPr>
      </w:pPr>
      <w:r w:rsidRPr="00A23CC8">
        <w:rPr>
          <w:b/>
          <w:lang w:val="ro-RO"/>
        </w:rPr>
        <w:t>SINTEZA</w:t>
      </w:r>
    </w:p>
    <w:p w14:paraId="16217F6D" w14:textId="31554790" w:rsidR="004546F7" w:rsidRPr="00A23CC8" w:rsidRDefault="006933C3" w:rsidP="00E729DD">
      <w:pPr>
        <w:ind w:firstLine="0"/>
        <w:jc w:val="center"/>
        <w:rPr>
          <w:b/>
          <w:lang w:val="ro-RO"/>
        </w:rPr>
      </w:pPr>
      <w:r w:rsidRPr="00A23CC8">
        <w:rPr>
          <w:b/>
          <w:lang w:val="ro-RO"/>
        </w:rPr>
        <w:t>la</w:t>
      </w:r>
      <w:r w:rsidR="00032B46" w:rsidRPr="00A23CC8">
        <w:rPr>
          <w:b/>
          <w:lang w:val="ro-RO"/>
        </w:rPr>
        <w:t xml:space="preserve"> </w:t>
      </w:r>
      <w:r w:rsidRPr="00A23CC8">
        <w:rPr>
          <w:b/>
          <w:lang w:val="ro-RO"/>
        </w:rPr>
        <w:t>proiectul</w:t>
      </w:r>
      <w:r w:rsidR="004546F7" w:rsidRPr="00A23CC8">
        <w:rPr>
          <w:b/>
          <w:lang w:val="ro-RO"/>
        </w:rPr>
        <w:t xml:space="preserve"> </w:t>
      </w:r>
      <w:r w:rsidR="006D7E62" w:rsidRPr="00A23CC8">
        <w:rPr>
          <w:b/>
          <w:lang w:val="ro-RO"/>
        </w:rPr>
        <w:t>de lege pentru modificarea Legii despre semințe nr. 68/2013</w:t>
      </w:r>
    </w:p>
    <w:p w14:paraId="2265058B" w14:textId="7FDE63ED" w:rsidR="008B4BE6" w:rsidRPr="00A23CC8" w:rsidRDefault="00032B46" w:rsidP="00E729DD">
      <w:pPr>
        <w:pBdr>
          <w:top w:val="none" w:sz="4" w:space="0" w:color="000000"/>
          <w:left w:val="none" w:sz="4" w:space="0" w:color="000000"/>
          <w:bottom w:val="none" w:sz="4" w:space="0" w:color="000000"/>
          <w:right w:val="none" w:sz="4" w:space="0" w:color="000000"/>
        </w:pBdr>
        <w:tabs>
          <w:tab w:val="left" w:pos="884"/>
          <w:tab w:val="left" w:pos="1196"/>
        </w:tabs>
        <w:ind w:firstLine="0"/>
        <w:rPr>
          <w:lang w:val="ro-RO"/>
        </w:rPr>
      </w:pPr>
      <w:r w:rsidRPr="00A23CC8">
        <w:rPr>
          <w:b/>
          <w:lang w:val="ro-RO"/>
        </w:rPr>
        <w:t xml:space="preserve"> </w:t>
      </w:r>
    </w:p>
    <w:tbl>
      <w:tblPr>
        <w:tblStyle w:val="Tabelgril"/>
        <w:tblW w:w="5019" w:type="pct"/>
        <w:tblInd w:w="-2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697"/>
        <w:gridCol w:w="930"/>
        <w:gridCol w:w="5905"/>
        <w:gridCol w:w="4515"/>
      </w:tblGrid>
      <w:tr w:rsidR="001C0794" w:rsidRPr="00A23CC8" w14:paraId="165C98F0" w14:textId="77777777" w:rsidTr="0061267D">
        <w:tc>
          <w:tcPr>
            <w:tcW w:w="9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A23CC8"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A23CC8">
              <w:rPr>
                <w:rFonts w:ascii="Times New Roman" w:hAnsi="Times New Roman"/>
                <w:b/>
                <w:lang w:val="ro-RO"/>
              </w:rPr>
              <w:t>Participantul</w:t>
            </w:r>
            <w:r w:rsidR="00032B46" w:rsidRPr="00A23CC8">
              <w:rPr>
                <w:rFonts w:ascii="Times New Roman" w:hAnsi="Times New Roman"/>
                <w:b/>
                <w:lang w:val="ro-RO"/>
              </w:rPr>
              <w:t xml:space="preserve"> </w:t>
            </w:r>
            <w:r w:rsidRPr="00A23CC8">
              <w:rPr>
                <w:rFonts w:ascii="Times New Roman" w:hAnsi="Times New Roman"/>
                <w:b/>
                <w:lang w:val="ro-RO"/>
              </w:rPr>
              <w:t>la</w:t>
            </w:r>
            <w:r w:rsidR="00032B46" w:rsidRPr="00A23CC8">
              <w:rPr>
                <w:rFonts w:ascii="Times New Roman" w:hAnsi="Times New Roman"/>
                <w:b/>
                <w:lang w:val="ro-RO"/>
              </w:rPr>
              <w:t xml:space="preserve"> </w:t>
            </w:r>
            <w:r w:rsidRPr="00A23CC8">
              <w:rPr>
                <w:rFonts w:ascii="Times New Roman" w:hAnsi="Times New Roman"/>
                <w:b/>
                <w:lang w:val="ro-RO"/>
              </w:rPr>
              <w:t>avizare,</w:t>
            </w:r>
            <w:r w:rsidR="00032B46" w:rsidRPr="00A23CC8">
              <w:rPr>
                <w:rFonts w:ascii="Times New Roman" w:hAnsi="Times New Roman"/>
                <w:b/>
                <w:lang w:val="ro-RO"/>
              </w:rPr>
              <w:t xml:space="preserve"> </w:t>
            </w:r>
            <w:r w:rsidRPr="00A23CC8">
              <w:rPr>
                <w:rFonts w:ascii="Times New Roman" w:hAnsi="Times New Roman"/>
                <w:b/>
                <w:lang w:val="ro-RO"/>
              </w:rPr>
              <w:t>consultare</w:t>
            </w:r>
            <w:r w:rsidR="00032B46" w:rsidRPr="00A23CC8">
              <w:rPr>
                <w:rFonts w:ascii="Times New Roman" w:hAnsi="Times New Roman"/>
                <w:b/>
                <w:lang w:val="ro-RO"/>
              </w:rPr>
              <w:t xml:space="preserve"> </w:t>
            </w:r>
            <w:r w:rsidRPr="00A23CC8">
              <w:rPr>
                <w:rFonts w:ascii="Times New Roman" w:hAnsi="Times New Roman"/>
                <w:b/>
                <w:lang w:val="ro-RO"/>
              </w:rPr>
              <w:t>publică,</w:t>
            </w:r>
            <w:r w:rsidR="00032B46" w:rsidRPr="00A23CC8">
              <w:rPr>
                <w:rFonts w:ascii="Times New Roman" w:hAnsi="Times New Roman"/>
                <w:b/>
                <w:lang w:val="ro-RO"/>
              </w:rPr>
              <w:t xml:space="preserve"> </w:t>
            </w:r>
            <w:r w:rsidRPr="00A23CC8">
              <w:rPr>
                <w:rFonts w:ascii="Times New Roman" w:hAnsi="Times New Roman"/>
                <w:b/>
                <w:lang w:val="ro-RO"/>
              </w:rPr>
              <w:t>expertizare</w:t>
            </w:r>
          </w:p>
        </w:tc>
        <w:tc>
          <w:tcPr>
            <w:tcW w:w="331"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A23CC8"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A23CC8">
              <w:rPr>
                <w:rFonts w:ascii="Times New Roman" w:hAnsi="Times New Roman"/>
                <w:b/>
                <w:lang w:val="ro-RO"/>
              </w:rPr>
              <w:t>Nr.</w:t>
            </w:r>
            <w:r w:rsidR="00032B46" w:rsidRPr="00A23CC8">
              <w:rPr>
                <w:rFonts w:ascii="Times New Roman" w:hAnsi="Times New Roman"/>
                <w:b/>
                <w:lang w:val="ro-RO"/>
              </w:rPr>
              <w:t xml:space="preserve"> </w:t>
            </w:r>
            <w:r w:rsidR="00BA5B5B" w:rsidRPr="00A23CC8">
              <w:rPr>
                <w:rFonts w:ascii="Times New Roman" w:hAnsi="Times New Roman"/>
                <w:b/>
                <w:lang w:val="ro-RO"/>
              </w:rPr>
              <w:t>crt.</w:t>
            </w:r>
          </w:p>
        </w:tc>
        <w:tc>
          <w:tcPr>
            <w:tcW w:w="2102"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A23CC8" w:rsidRDefault="006933C3"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lang w:val="ro-RO"/>
              </w:rPr>
            </w:pPr>
            <w:r w:rsidRPr="00A23CC8">
              <w:rPr>
                <w:rFonts w:ascii="Times New Roman" w:hAnsi="Times New Roman"/>
                <w:b/>
                <w:lang w:val="ro-RO"/>
              </w:rPr>
              <w:t>Con</w:t>
            </w:r>
            <w:r w:rsidR="00863417" w:rsidRPr="00A23CC8">
              <w:rPr>
                <w:rFonts w:ascii="Times New Roman" w:hAnsi="Times New Roman"/>
                <w:b/>
                <w:lang w:val="ro-RO"/>
              </w:rPr>
              <w:t>ț</w:t>
            </w:r>
            <w:r w:rsidRPr="00A23CC8">
              <w:rPr>
                <w:rFonts w:ascii="Times New Roman" w:hAnsi="Times New Roman"/>
                <w:b/>
                <w:lang w:val="ro-RO"/>
              </w:rPr>
              <w:t>inutul</w:t>
            </w:r>
            <w:r w:rsidR="00032B46" w:rsidRPr="00A23CC8">
              <w:rPr>
                <w:rFonts w:ascii="Times New Roman" w:hAnsi="Times New Roman"/>
                <w:b/>
                <w:lang w:val="ro-RO"/>
              </w:rPr>
              <w:t xml:space="preserve"> </w:t>
            </w:r>
            <w:r w:rsidRPr="00A23CC8">
              <w:rPr>
                <w:rFonts w:ascii="Times New Roman" w:hAnsi="Times New Roman"/>
                <w:b/>
                <w:lang w:val="ro-RO"/>
              </w:rPr>
              <w:t>obiec</w:t>
            </w:r>
            <w:r w:rsidR="00863417" w:rsidRPr="00A23CC8">
              <w:rPr>
                <w:rFonts w:ascii="Times New Roman" w:hAnsi="Times New Roman"/>
                <w:b/>
                <w:lang w:val="ro-RO"/>
              </w:rPr>
              <w:t>ț</w:t>
            </w:r>
            <w:r w:rsidRPr="00A23CC8">
              <w:rPr>
                <w:rFonts w:ascii="Times New Roman" w:hAnsi="Times New Roman"/>
                <w:b/>
                <w:lang w:val="ro-RO"/>
              </w:rPr>
              <w:t>iei,</w:t>
            </w:r>
          </w:p>
          <w:p w14:paraId="055FB5F6" w14:textId="56D3CBFA" w:rsidR="008B4BE6" w:rsidRPr="00A23CC8"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A23CC8">
              <w:rPr>
                <w:rFonts w:ascii="Times New Roman" w:hAnsi="Times New Roman"/>
                <w:b/>
                <w:lang w:val="ro-RO"/>
              </w:rPr>
              <w:t>propunerii,</w:t>
            </w:r>
            <w:r w:rsidR="00032B46" w:rsidRPr="00A23CC8">
              <w:rPr>
                <w:rFonts w:ascii="Times New Roman" w:hAnsi="Times New Roman"/>
                <w:b/>
                <w:lang w:val="ro-RO"/>
              </w:rPr>
              <w:t xml:space="preserve"> </w:t>
            </w:r>
            <w:r w:rsidRPr="00A23CC8">
              <w:rPr>
                <w:rFonts w:ascii="Times New Roman" w:hAnsi="Times New Roman"/>
                <w:b/>
                <w:lang w:val="ro-RO"/>
              </w:rPr>
              <w:t>recomandării,</w:t>
            </w:r>
            <w:r w:rsidR="00032B46" w:rsidRPr="00A23CC8">
              <w:rPr>
                <w:rFonts w:ascii="Times New Roman" w:hAnsi="Times New Roman"/>
                <w:b/>
                <w:lang w:val="ro-RO"/>
              </w:rPr>
              <w:t xml:space="preserve"> </w:t>
            </w:r>
            <w:r w:rsidRPr="00A23CC8">
              <w:rPr>
                <w:rFonts w:ascii="Times New Roman" w:hAnsi="Times New Roman"/>
                <w:b/>
                <w:lang w:val="ro-RO"/>
              </w:rPr>
              <w:t>concluziei</w:t>
            </w:r>
          </w:p>
        </w:tc>
        <w:tc>
          <w:tcPr>
            <w:tcW w:w="1607"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A23CC8" w:rsidRDefault="006933C3" w:rsidP="00E729D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lang w:val="ro-RO"/>
              </w:rPr>
            </w:pPr>
            <w:r w:rsidRPr="00A23CC8">
              <w:rPr>
                <w:rFonts w:ascii="Times New Roman" w:hAnsi="Times New Roman"/>
                <w:b/>
                <w:lang w:val="ro-RO"/>
              </w:rPr>
              <w:t>Argumentarea</w:t>
            </w:r>
          </w:p>
          <w:p w14:paraId="42C4E39B" w14:textId="729BF662" w:rsidR="008B4BE6" w:rsidRPr="00A23CC8"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A23CC8">
              <w:rPr>
                <w:rFonts w:ascii="Times New Roman" w:hAnsi="Times New Roman"/>
                <w:b/>
                <w:lang w:val="ro-RO"/>
              </w:rPr>
              <w:t>autorului</w:t>
            </w:r>
            <w:r w:rsidR="00032B46" w:rsidRPr="00A23CC8">
              <w:rPr>
                <w:rFonts w:ascii="Times New Roman" w:hAnsi="Times New Roman"/>
                <w:b/>
                <w:lang w:val="ro-RO"/>
              </w:rPr>
              <w:t xml:space="preserve"> </w:t>
            </w:r>
            <w:r w:rsidRPr="00A23CC8">
              <w:rPr>
                <w:rFonts w:ascii="Times New Roman" w:hAnsi="Times New Roman"/>
                <w:b/>
                <w:lang w:val="ro-RO"/>
              </w:rPr>
              <w:t>proiectului</w:t>
            </w:r>
          </w:p>
        </w:tc>
      </w:tr>
      <w:tr w:rsidR="006D3EB7" w:rsidRPr="00A23CC8" w14:paraId="092EF798" w14:textId="77777777" w:rsidTr="0061267D">
        <w:tc>
          <w:tcPr>
            <w:tcW w:w="5000" w:type="pct"/>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A23CC8" w:rsidRDefault="006933C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A23CC8">
              <w:rPr>
                <w:rFonts w:ascii="Times New Roman" w:eastAsia="Times New Roman" w:hAnsi="Times New Roman"/>
                <w:lang w:val="ro-RO"/>
              </w:rPr>
              <w:t>Avizare</w:t>
            </w:r>
            <w:r w:rsidR="00032B46" w:rsidRPr="00A23CC8">
              <w:rPr>
                <w:rFonts w:ascii="Times New Roman" w:eastAsia="Times New Roman" w:hAnsi="Times New Roman"/>
                <w:lang w:val="ro-RO"/>
              </w:rPr>
              <w:t xml:space="preserve"> </w:t>
            </w:r>
            <w:r w:rsidR="00863417" w:rsidRPr="00A23CC8">
              <w:rPr>
                <w:rFonts w:ascii="Times New Roman" w:hAnsi="Times New Roman"/>
                <w:lang w:val="ro-RO"/>
              </w:rPr>
              <w:t>ș</w:t>
            </w:r>
            <w:r w:rsidRPr="00A23CC8">
              <w:rPr>
                <w:rFonts w:ascii="Times New Roman" w:hAnsi="Times New Roman"/>
                <w:lang w:val="ro-RO"/>
              </w:rPr>
              <w:t>i</w:t>
            </w:r>
            <w:r w:rsidR="00032B46" w:rsidRPr="00A23CC8">
              <w:rPr>
                <w:rFonts w:ascii="Times New Roman" w:hAnsi="Times New Roman"/>
                <w:lang w:val="ro-RO"/>
              </w:rPr>
              <w:t xml:space="preserve"> </w:t>
            </w:r>
            <w:r w:rsidRPr="00A23CC8">
              <w:rPr>
                <w:rFonts w:ascii="Times New Roman" w:hAnsi="Times New Roman"/>
                <w:lang w:val="ro-RO"/>
              </w:rPr>
              <w:t>consultare</w:t>
            </w:r>
            <w:r w:rsidR="00032B46" w:rsidRPr="00A23CC8">
              <w:rPr>
                <w:rFonts w:ascii="Times New Roman" w:hAnsi="Times New Roman"/>
                <w:lang w:val="ro-RO"/>
              </w:rPr>
              <w:t xml:space="preserve"> </w:t>
            </w:r>
            <w:r w:rsidRPr="00A23CC8">
              <w:rPr>
                <w:rFonts w:ascii="Times New Roman" w:hAnsi="Times New Roman"/>
                <w:lang w:val="ro-RO"/>
              </w:rPr>
              <w:t>publică</w:t>
            </w:r>
          </w:p>
        </w:tc>
      </w:tr>
      <w:tr w:rsidR="001C0794" w:rsidRPr="00A23CC8" w14:paraId="1ACE251C" w14:textId="77777777" w:rsidTr="0061267D">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C13F0" w14:textId="78D4C7D1" w:rsidR="00DC4742" w:rsidRPr="00A23CC8" w:rsidRDefault="00DC4742"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Ministerul Sănătății</w:t>
            </w:r>
          </w:p>
          <w:p w14:paraId="4A8450A7" w14:textId="56D2DFAF" w:rsidR="00AF4A09" w:rsidRPr="00A23CC8" w:rsidRDefault="00DC4742"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 09/ 408 din 09.02.2026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116F30E" w14:textId="1602A752" w:rsidR="00A01180" w:rsidRPr="00A23CC8" w:rsidRDefault="00DC4742"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773880" w14:textId="25D8A025" w:rsidR="00A01180" w:rsidRPr="00A23CC8" w:rsidRDefault="00530548"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w:t>
            </w:r>
            <w:r w:rsidR="00DC4742" w:rsidRPr="00A23CC8">
              <w:rPr>
                <w:rFonts w:ascii="Times New Roman" w:hAnsi="Times New Roman"/>
                <w:lang w:val="ro-RO"/>
              </w:rPr>
              <w:t>ipsa de propuneri și obiecții</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BF6D3B" w14:textId="2EE262CC" w:rsidR="00A01180" w:rsidRPr="00A23CC8" w:rsidRDefault="00252EE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S-a luat act.</w:t>
            </w:r>
          </w:p>
        </w:tc>
      </w:tr>
      <w:tr w:rsidR="001C0794" w:rsidRPr="00A23CC8" w14:paraId="7A0F6A7D" w14:textId="77777777" w:rsidTr="0061267D">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487E" w14:textId="4F59EF87" w:rsidR="00DC4742" w:rsidRPr="00A23CC8" w:rsidRDefault="00DC474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Ministerul Finanțelor</w:t>
            </w:r>
          </w:p>
          <w:p w14:paraId="41F77C45" w14:textId="38797E5E" w:rsidR="00DC4742" w:rsidRPr="00A23CC8" w:rsidRDefault="00DC4742"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 xml:space="preserve">Nr. 09/2-03/75/146 din </w:t>
            </w:r>
            <w:r w:rsidR="00530548" w:rsidRPr="00A23CC8">
              <w:rPr>
                <w:rFonts w:ascii="Times New Roman" w:hAnsi="Times New Roman"/>
              </w:rPr>
              <w:t>10.02.2026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E673663" w14:textId="27F1AF05" w:rsidR="00DC4742" w:rsidRPr="00A23CC8" w:rsidRDefault="0053054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9E4D34" w14:textId="652EE988" w:rsidR="00DC4742" w:rsidRPr="00A23CC8" w:rsidRDefault="00530548"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Lipsa propunerilor și obiecțiilor pe marginea proiectului indicat</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04AA8B" w14:textId="4F35CA6F" w:rsidR="00DC4742" w:rsidRPr="00A23CC8" w:rsidRDefault="00252EE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S-a luat act.</w:t>
            </w:r>
          </w:p>
        </w:tc>
      </w:tr>
      <w:tr w:rsidR="001C0794" w:rsidRPr="00A23CC8" w14:paraId="50617766"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9634B3C" w14:textId="77777777" w:rsidR="00423F2E" w:rsidRPr="00A23CC8" w:rsidRDefault="00423F2E"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Ministerul Mediului</w:t>
            </w:r>
          </w:p>
          <w:p w14:paraId="557779A9" w14:textId="6C7B4EF3" w:rsidR="00423F2E" w:rsidRPr="00A23CC8" w:rsidRDefault="00423F2E"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Nr.13-05/389 din 11.02.2026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3832860" w14:textId="0C33B4E8" w:rsidR="00423F2E" w:rsidRPr="00A23CC8" w:rsidRDefault="00423F2E"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5E7B53" w14:textId="1B8A5D01"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pct. 3. s-a propus completarea art.9 cu cu alin. (2</w:t>
            </w:r>
            <w:r w:rsidRPr="00A23CC8">
              <w:rPr>
                <w:rFonts w:ascii="Times New Roman" w:hAnsi="Times New Roman"/>
                <w:vertAlign w:val="superscript"/>
                <w:lang w:val="ro-RO"/>
              </w:rPr>
              <w:t>2</w:t>
            </w:r>
            <w:r w:rsidRPr="00A23CC8">
              <w:rPr>
                <w:rFonts w:ascii="Times New Roman" w:hAnsi="Times New Roman"/>
                <w:lang w:val="ro-RO"/>
              </w:rPr>
              <w:t>), cu următorul cuprins: „(2</w:t>
            </w:r>
            <w:r w:rsidRPr="00A23CC8">
              <w:rPr>
                <w:rFonts w:ascii="Times New Roman" w:hAnsi="Times New Roman"/>
                <w:vertAlign w:val="superscript"/>
                <w:lang w:val="ro-RO"/>
              </w:rPr>
              <w:t>2</w:t>
            </w:r>
            <w:r w:rsidRPr="00A23CC8">
              <w:rPr>
                <w:rFonts w:ascii="Times New Roman" w:hAnsi="Times New Roman"/>
                <w:lang w:val="ro-RO"/>
              </w:rPr>
              <w:t>) Prin derogare de la alin (2), sunt admise pentru comercializare semințele ce aparțin unor soiuri pentru care s-a depus o cerere de înscriere în Catalogul soiurilor de plante, în modul stabilit de Guvern.”;</w:t>
            </w:r>
          </w:p>
          <w:p w14:paraId="00F72C09" w14:textId="7DB29525"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In acest context se menționează că propunerea dată nu se susține din următoarele considerente: Admiterea la comercializare a semințelor aparținând soiurilor pentru care a fost depusă o cerere de înscriere în Catalogul soiurilor de plante înainte de finalizarea procedurii de evaluare poate contribui la introducerea rapidă a inovațiilor în agricultură. Totodată, această soluție implică o serie de riscuri care necesită măsuri de protecție adecvate.</w:t>
            </w:r>
          </w:p>
          <w:p w14:paraId="0E36C2A5" w14:textId="6B2FCECB"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În cazul respingerii cererii de înscriere, apare un risc de insecuritate juridică, întrucât semințele au fost comercializate în mod legal, dar soiul nu dobândește statutul juridic necesar pentru utilizare permanentă. Lipsa unor reguli clare privind efectele deciziei de respingere poate genera incertitudini referitoare la utilizarea culturilor deja înființate, la statutul stocurilor de semințe și la responsabilitatea părților implicate.</w:t>
            </w:r>
          </w:p>
          <w:p w14:paraId="7C4A082E" w14:textId="63B98606"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De asemenea, există riscul producerii unor prejudicii economice pentru fermierii de bună</w:t>
            </w:r>
            <w:r w:rsidR="00C33571" w:rsidRPr="00A23CC8">
              <w:rPr>
                <w:rFonts w:ascii="Times New Roman" w:hAnsi="Times New Roman"/>
                <w:lang w:val="ro-RO"/>
              </w:rPr>
              <w:t xml:space="preserve"> </w:t>
            </w:r>
            <w:r w:rsidRPr="00A23CC8">
              <w:rPr>
                <w:rFonts w:ascii="Times New Roman" w:hAnsi="Times New Roman"/>
                <w:lang w:val="ro-RO"/>
              </w:rPr>
              <w:t>credință, care pot suporta pierderi ca urmare a imposibilității valorificării producției sau a excluderii de la anumite scheme de sprijin. În lipsa unor dispoziții exprese, aceste situații pot conduce la litigii și la angajarea răspunderii statului sau a autorităților competente.</w:t>
            </w:r>
          </w:p>
          <w:p w14:paraId="39B0DEDD" w14:textId="42863030"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 xml:space="preserve">Comercializarea anticipată poate afecta credibilitatea sistemului de certificare a semințelor și rolul Catalogului soiurilor de plante, dacă procedura de evaluare este percepută ca fiind secundară față de accesul </w:t>
            </w:r>
            <w:r w:rsidRPr="00A23CC8">
              <w:rPr>
                <w:rFonts w:ascii="Times New Roman" w:hAnsi="Times New Roman"/>
                <w:lang w:val="ro-RO"/>
              </w:rPr>
              <w:lastRenderedPageBreak/>
              <w:t>pe piață. Totodată, în situația în care respingerea cererii se bazează pe considerente tehnice sau fitosanitare, introducerea soiului în cultură poate avea efecte negative care nu mai pot fi corectate ulterior. În acest context, instituirea unor măsuri de protecție care să reglementeze consecințele respingerii cererii de înscriere, să limiteze utilizarea semințelor deja comercializate și să transfere riscurile comerciale către solicitant este necesară pentru asigurarea securității juridice, protejarea fermierilor și menținerea funcționalității sistemului național de certificare, în conformitate cu bunele practici europene.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0FBD8C" w14:textId="271ECACF" w:rsidR="00423F2E" w:rsidRPr="00A23CC8" w:rsidRDefault="0025103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Se acceptă parțial, a fost reformulat</w:t>
            </w:r>
            <w:r w:rsidR="005C55F0" w:rsidRPr="00A23CC8">
              <w:rPr>
                <w:rFonts w:ascii="Times New Roman" w:hAnsi="Times New Roman"/>
                <w:lang w:val="ro-RO"/>
              </w:rPr>
              <w:t xml:space="preserve">. </w:t>
            </w:r>
          </w:p>
          <w:p w14:paraId="5162A504" w14:textId="6B70F29F" w:rsidR="005C55F0" w:rsidRPr="00A23CC8" w:rsidRDefault="005C55F0" w:rsidP="00786C5F">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 xml:space="preserve">Această </w:t>
            </w:r>
            <w:r w:rsidR="00F53605" w:rsidRPr="00A23CC8">
              <w:rPr>
                <w:rFonts w:ascii="Times New Roman" w:hAnsi="Times New Roman"/>
                <w:lang w:val="ro-RO"/>
              </w:rPr>
              <w:t>prevedere a fost introdusă urmare a planurilor de acțiuni legislative și normative de transpunere a acquis-ului UE pentru anul 2026, adoptarea Hotărârii de Guvern cu privire la modalități de comercializarea semințelor aparținând unor soiuri pentru care s-a depus o cerere de înscriere în catalogul național al soiurilor de plante agricole și de specii de legume, de transpunere a Deciziei 2004/842/CE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Text cu relevanță pentru SEE</w:t>
            </w:r>
            <w:r w:rsidR="00786C5F" w:rsidRPr="00A23CC8">
              <w:rPr>
                <w:rFonts w:ascii="Times New Roman" w:hAnsi="Times New Roman"/>
                <w:lang w:val="ro-RO"/>
              </w:rPr>
              <w:t>, acțiunea nr. 79 din Hotărârea de Guvern nr. 306/2025 cu privire la aprobarea Programului național de aderare a Republicii Moldova la Uniunea Europeană pentru anii 2025-2029</w:t>
            </w:r>
            <w:r w:rsidR="00F53605" w:rsidRPr="00A23CC8">
              <w:rPr>
                <w:rFonts w:ascii="Times New Roman" w:hAnsi="Times New Roman"/>
                <w:lang w:val="ro-RO"/>
              </w:rPr>
              <w:t>;</w:t>
            </w:r>
          </w:p>
        </w:tc>
      </w:tr>
      <w:tr w:rsidR="001C0794" w:rsidRPr="00A23CC8" w14:paraId="7F50826B"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03BB20B" w14:textId="77777777" w:rsidR="00423F2E" w:rsidRPr="00A23CC8" w:rsidRDefault="00423F2E"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D2A2019" w14:textId="36AFE007" w:rsidR="00423F2E" w:rsidRPr="00A23CC8" w:rsidRDefault="00423F2E"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86EA96" w14:textId="07D69AD4"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pct. 10. din proiect cu referire la Articolul 20</w:t>
            </w:r>
            <w:r w:rsidRPr="00A23CC8">
              <w:rPr>
                <w:rFonts w:ascii="Times New Roman" w:hAnsi="Times New Roman"/>
                <w:vertAlign w:val="superscript"/>
                <w:lang w:val="ro-RO"/>
              </w:rPr>
              <w:t>4</w:t>
            </w:r>
            <w:r w:rsidRPr="00A23CC8">
              <w:rPr>
                <w:rFonts w:ascii="Times New Roman" w:hAnsi="Times New Roman"/>
                <w:lang w:val="ro-RO"/>
              </w:rPr>
              <w:t>:</w:t>
            </w:r>
          </w:p>
          <w:p w14:paraId="24179DC3" w14:textId="7C46621F"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(2) Semințele care nu sunt certificate definitiv se găsesc în ambalaje închise oficial și poartă eticheta specială prevăzută în acest sens de OECD; - expunerea este în varianta Deciziei Consiliului 2003/17/CE din 16 decembrie 2002.</w:t>
            </w:r>
          </w:p>
          <w:p w14:paraId="2253FBF9" w14:textId="5786BD48"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Menționăm că, în varianta engleză a Deciziei menționate „Seed not finally certified shall be packed in officially closed packages which bear a special label provided for this purpose by the OECD”, se utilizează expresia „shall be packed”, or expresia nu se traduce „se găsesc”, dar „se ambalează”. În acest context se propune redactarea alineatului (2) și expunerea, spre exemplu, în următoarea redacție: „Semințele necertificate definitiv sunt puse în ambalaje închise oficial, care poartă o etichetă specială prevăzută în acest scop de către OCDE.”, sau „Semințele necertificate definitiv se ambalează în ambalaje închise oficial, care poartă o etichetă specială prevăzută în acest scop de către OCDE.”.</w:t>
            </w:r>
          </w:p>
          <w:p w14:paraId="441E193A" w14:textId="5CB31D2B" w:rsidR="00423F2E" w:rsidRPr="00A23CC8" w:rsidRDefault="00423F2E"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De menționat că expresia „se ambalează în ambalaje” se regăsește în legislația Republicii Moldova (Vezi Hotărârea Guvernului nr. 1279/2008 cu privire la aprobarea Reglementării tehnice „Ambalarea, transportarea şi depozitarea fructelor, legumelor şi ciupercilor proaspete” ).</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BA9E1C" w14:textId="5D48D1C9" w:rsidR="00423F2E" w:rsidRPr="00A23CC8" w:rsidRDefault="004A4CF0" w:rsidP="004A4CF0">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modificat art. 20</w:t>
            </w:r>
            <w:r w:rsidRPr="00A23CC8">
              <w:rPr>
                <w:rFonts w:ascii="Times New Roman" w:hAnsi="Times New Roman"/>
                <w:vertAlign w:val="superscript"/>
                <w:lang w:val="ro-RO"/>
              </w:rPr>
              <w:t>4</w:t>
            </w:r>
            <w:r w:rsidRPr="00A23CC8">
              <w:rPr>
                <w:rFonts w:ascii="Times New Roman" w:hAnsi="Times New Roman"/>
                <w:lang w:val="ro-RO"/>
              </w:rPr>
              <w:t>.</w:t>
            </w:r>
          </w:p>
        </w:tc>
      </w:tr>
      <w:tr w:rsidR="001C0794" w:rsidRPr="00A23CC8" w14:paraId="2B02D97A"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530D3EA"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Ministerului Dezvoltării Economice și Digitalizării</w:t>
            </w:r>
          </w:p>
          <w:p w14:paraId="02614280" w14:textId="25D9D246"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Nr.03-475 din 12.02.2026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840D3BB" w14:textId="5BE24621"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5</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07A5B9" w14:textId="4AF33082"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pct. 3, la subpct. 2.1) se prevede completarea art. 9 cu alin. (2</w:t>
            </w:r>
            <w:r w:rsidRPr="00A23CC8">
              <w:rPr>
                <w:rFonts w:ascii="Times New Roman" w:hAnsi="Times New Roman"/>
                <w:vertAlign w:val="superscript"/>
                <w:lang w:val="ro-RO"/>
              </w:rPr>
              <w:t>2</w:t>
            </w:r>
            <w:r w:rsidRPr="00A23CC8">
              <w:rPr>
                <w:rFonts w:ascii="Times New Roman" w:hAnsi="Times New Roman"/>
                <w:lang w:val="ro-RO"/>
              </w:rPr>
              <w:t>) cu următorul cuprins „(2</w:t>
            </w:r>
            <w:r w:rsidRPr="00A23CC8">
              <w:rPr>
                <w:rFonts w:ascii="Times New Roman" w:hAnsi="Times New Roman"/>
                <w:vertAlign w:val="superscript"/>
                <w:lang w:val="ro-RO"/>
              </w:rPr>
              <w:t>2</w:t>
            </w:r>
            <w:r w:rsidRPr="00A23CC8">
              <w:rPr>
                <w:rFonts w:ascii="Times New Roman" w:hAnsi="Times New Roman"/>
                <w:lang w:val="ro-RO"/>
              </w:rPr>
              <w:t>) Prin derogare de la alin. (2), sunt admise pentru comercializare semințele ce aparțin unor soiuri pentru care s-a depus o cerere de înscriere în Catalogul soiurilor de plante,</w:t>
            </w:r>
            <w:r w:rsidR="004A4CF0" w:rsidRPr="00A23CC8">
              <w:rPr>
                <w:rFonts w:ascii="Times New Roman" w:hAnsi="Times New Roman"/>
                <w:lang w:val="ro-RO"/>
              </w:rPr>
              <w:t xml:space="preserve"> în modul stabilit de Guvern”. </w:t>
            </w:r>
            <w:r w:rsidRPr="00A23CC8">
              <w:rPr>
                <w:rFonts w:ascii="Times New Roman" w:hAnsi="Times New Roman"/>
                <w:lang w:val="ro-RO"/>
              </w:rPr>
              <w:t xml:space="preserve">În același timp, art. 9 alin. (2) din Legea nr. 68/2013 despre semințe, stipulează că „Sînt admise pentru comercializare, multiplicare şi utilizare în scop de înființare a plantațiilor de producţie-marfă doar semințele de soiuri înregistrate în Catalogul soiurilor de plante, Catalogul comun al soiurilor de plante agricole al Uniunii Europene (The Common Catalogue of Varieties of Agricultural Plant Species), </w:t>
            </w:r>
            <w:r w:rsidRPr="00A23CC8">
              <w:rPr>
                <w:rFonts w:ascii="Times New Roman" w:hAnsi="Times New Roman"/>
                <w:lang w:val="ro-RO"/>
              </w:rPr>
              <w:lastRenderedPageBreak/>
              <w:t>Catalogul soiurilor de specii de legume al Uniunii Europene (The Catalogue of Varieties of Vegetable Species), Catalogul comun al soiurilor de viță de vie al Uniunii Europene (The Common Catalogue of Varieties of Vine) și/sau în Sistemul informațional al materialului de înmulțire și plantare fructifer FRUMATIS (Fruit Reproductive Material Information System)”. Astfel, în vederea excluderii diferitor interpretări în aplicarea prevederilor de la art. 9, considerăm oportună revizuirea normei propuse de autor.</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6D6D32" w14:textId="0D3E4BA0" w:rsidR="00E729DD" w:rsidRPr="00A23CC8" w:rsidRDefault="0025103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Se acceptă parțial, a fost introdus în art. 9 alin 2</w:t>
            </w:r>
            <w:r w:rsidRPr="00A23CC8">
              <w:rPr>
                <w:rFonts w:ascii="Times New Roman" w:hAnsi="Times New Roman"/>
                <w:vertAlign w:val="superscript"/>
                <w:lang w:val="ro-RO"/>
              </w:rPr>
              <w:t>2</w:t>
            </w:r>
            <w:r w:rsidRPr="00A23CC8">
              <w:rPr>
                <w:rFonts w:ascii="Times New Roman" w:hAnsi="Times New Roman"/>
                <w:lang w:val="ro-RO"/>
              </w:rPr>
              <w:t>.</w:t>
            </w:r>
          </w:p>
        </w:tc>
      </w:tr>
      <w:tr w:rsidR="001C0794" w:rsidRPr="00A23CC8" w14:paraId="46D8CCE3"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1A51BE50"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CFEB0D8" w14:textId="12A95721"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6</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D327A2" w14:textId="7E142A08"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În continuare, la pct.3, subpct. 2.2) considerăm judicios specificarea concretă a articolului din Legea nr. 152/2022 cu privire la reglementarea și controlorul organismelor modificate genetic care reglementează normele cu privire la plasarea pe piață a semințelor modificate genetic.</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A45188" w14:textId="19ADDBDB" w:rsidR="00E729DD" w:rsidRPr="00A23CC8" w:rsidRDefault="004A4CF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 xml:space="preserve">Se acceptă, </w:t>
            </w:r>
            <w:r w:rsidR="00A7379E" w:rsidRPr="00A23CC8">
              <w:rPr>
                <w:rFonts w:ascii="Times New Roman" w:hAnsi="Times New Roman"/>
                <w:lang w:val="ro-RO"/>
              </w:rPr>
              <w:t xml:space="preserve">s-a inclus trimiterea la art. </w:t>
            </w:r>
          </w:p>
        </w:tc>
      </w:tr>
      <w:tr w:rsidR="001C0794" w:rsidRPr="00A23CC8" w14:paraId="7A99A61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AD239B6"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7DFCDE8B" w14:textId="05803920"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7</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F27C1F" w14:textId="66286D83"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pct. 7, subpct. 7.1) cu privire la modificarea art. 14 alin. (3) din Legea, autorul propune substituirea cuvântului „depunerea” cu cuvântul „recepționarea”. În acest context, menționăm că art. 14 alin. (3) al Legii nr. 68/2013 despre semințe, stabilește că „Subdiviziunea teritorială în a cărei rază de activitate se află agentul economic, în termen de 5 zile lucrătoare de la depunerea cererii, în urma vizitei la fața locului, întocmește un proces-verbal în care propune, după caz, înregistrarea sau refuză înregistrarea agentului economic”. Astfel, considerăm că substituirea în cauză, va crea situații de tergiversare a procedurii de înregistrare. Prin urmare, se recomandă de a revedea propunerea prenotată.</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909464" w14:textId="5C3D6E7F" w:rsidR="00E729DD" w:rsidRPr="00A23CC8" w:rsidRDefault="00A7379E"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această modificare a fost exclusă.</w:t>
            </w:r>
          </w:p>
        </w:tc>
      </w:tr>
      <w:tr w:rsidR="001C0794" w:rsidRPr="00A23CC8" w14:paraId="02A99CCE"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1066787" w14:textId="77B1D78F"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0DBE74B9" w14:textId="231C3394"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8</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4F9BBE" w14:textId="77777777"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 xml:space="preserve">De asemenea, la pct. 7, la subpct. 7.4) cu privire modificarea art. 14 alin. (7) din Lege, sintagma„ pentru o perioadă de 5 ani” se substituie cu sintagma „pe o durată nelimitată”. Potrivit propunerii autorului certificatul de înregistrare va fi eliberat de Agenţia Naţională pentru Siguranţa Alimentelor pe o durată nelimitată. În acest context, se recomandă în perspectivă de a examina oportunitatea modificării art. 14 din Lege, în scopul excluderii certificatului respectiv ca act permisiv și menținerea doar obligativității de înregistrare a agentului economic. În susținerea acestei recomandări, informăm că potrivit Agendei de Reforme aferentă Planului de creștere a Republicii Moldova pentru anii 2025-2027, aprobată prin Hotărârea Guvernului nr.260/2025, reforma nr.1, „Creșterea competitivității mediului antreprenorial prin îmbunătățirea cadrului de reglementare şi administrativ şi printr-o digitalizare îmbunătățit”, măsura 2, pentru anul curent, Ministerului Dezvoltării Economice și Digitalizării în comun cu ministerele de resort îi revine sarcina de a implementa noi reforme de debirocratizare.  </w:t>
            </w:r>
          </w:p>
          <w:p w14:paraId="5E90860B" w14:textId="1C656840"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lastRenderedPageBreak/>
              <w:t>Acestea vizează eliminarea a cel puțin 20 de acte permisive, precum și suspendarea așa-numitelor „acte permisive ascunse”, prin abrogarea lor sau integrarea exclusivă în Legea nr. 160/2011 privind reglementarea prin autorizare a activității de întreprinzător.</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732D9C" w14:textId="4F2C43EE" w:rsidR="00E729DD" w:rsidRPr="00A23CC8" w:rsidRDefault="002B3BF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 xml:space="preserve">Se acceptă, s-a modificat subpct. 7.4) în următoarea redacție: „alin. </w:t>
            </w:r>
            <w:r w:rsidR="00C04335" w:rsidRPr="00A23CC8">
              <w:rPr>
                <w:rFonts w:ascii="Times New Roman" w:hAnsi="Times New Roman"/>
                <w:lang w:val="ro-RO"/>
              </w:rPr>
              <w:t xml:space="preserve">(5), </w:t>
            </w:r>
            <w:r w:rsidRPr="00A23CC8">
              <w:rPr>
                <w:rFonts w:ascii="Times New Roman" w:hAnsi="Times New Roman"/>
                <w:lang w:val="ro-RO"/>
              </w:rPr>
              <w:t>(7) – (12) se abrogă.”</w:t>
            </w:r>
          </w:p>
        </w:tc>
      </w:tr>
      <w:tr w:rsidR="001C0794" w:rsidRPr="00A23CC8" w14:paraId="25959535"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BAF8781"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07EE313D" w14:textId="0BF37C0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9</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E3AEAD" w14:textId="23B11794"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pct. 10, cu referire la completarea cu art. 20</w:t>
            </w:r>
            <w:r w:rsidRPr="00A23CC8">
              <w:rPr>
                <w:rFonts w:ascii="Times New Roman" w:hAnsi="Times New Roman"/>
                <w:vertAlign w:val="superscript"/>
                <w:lang w:val="ro-RO"/>
              </w:rPr>
              <w:t>5</w:t>
            </w:r>
            <w:r w:rsidRPr="00A23CC8">
              <w:rPr>
                <w:rFonts w:ascii="Times New Roman" w:hAnsi="Times New Roman"/>
                <w:lang w:val="ro-RO"/>
              </w:rPr>
              <w:t xml:space="preserve"> alin. (1) din Lege, care se referă la „condițiile prevăzute de normele internaționale acceptate”, urmează a fi concretizată, astfel încât să fie evitate orice interpretări.</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B1018E" w14:textId="1D005F65" w:rsidR="00E729DD" w:rsidRPr="00A23CC8" w:rsidRDefault="0037108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reformulat.</w:t>
            </w:r>
          </w:p>
        </w:tc>
      </w:tr>
      <w:tr w:rsidR="001C0794" w:rsidRPr="00A23CC8" w14:paraId="46BB9E29"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167C0AE"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Agenția Națională pentru Siguranța Alimentelor</w:t>
            </w:r>
          </w:p>
          <w:p w14:paraId="32B11E1E" w14:textId="24321FDB" w:rsidR="00FD155B" w:rsidRPr="00A23CC8" w:rsidRDefault="00FD155B" w:rsidP="00FC6419">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Nr.12-770 din 16.02.2026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FDD2171" w14:textId="31FCD1A0"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10</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58BCE5" w14:textId="524CAA99" w:rsidR="00FD155B" w:rsidRPr="00A23CC8" w:rsidRDefault="00FD155B"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rPr>
              <w:t>La art.9: 1.1 La alin</w:t>
            </w:r>
            <w:proofErr w:type="gramStart"/>
            <w:r w:rsidRPr="00A23CC8">
              <w:rPr>
                <w:rFonts w:ascii="Times New Roman" w:hAnsi="Times New Roman"/>
              </w:rPr>
              <w:t>.(</w:t>
            </w:r>
            <w:proofErr w:type="gramEnd"/>
            <w:r w:rsidRPr="00A23CC8">
              <w:rPr>
                <w:rFonts w:ascii="Times New Roman" w:hAnsi="Times New Roman"/>
              </w:rPr>
              <w:t>6) se propune completarea cu o literă nouă „d)” cu următorul conținut: „d) să ţină Registrul de intrări și ieșiri ale semințelor (conform modelului din anexa nr. 1), în scop de asigurare a trasabilităţii acestora”.</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539D04" w14:textId="0D7528BB" w:rsidR="00FD155B" w:rsidRPr="00A23CC8" w:rsidRDefault="0025103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w:t>
            </w:r>
          </w:p>
        </w:tc>
      </w:tr>
      <w:tr w:rsidR="001C0794" w:rsidRPr="00A23CC8" w14:paraId="48E39B1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946B066"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7EA3BF5" w14:textId="62504432"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11</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0AE611" w14:textId="537FBC3F" w:rsidR="00FD155B" w:rsidRPr="00A23CC8" w:rsidRDefault="00FD155B"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La alin.(12) se propune completarea cu o literă nouă „d)” cu următorul conținut: „d) document emis de furnizor”;</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28FFA2" w14:textId="71100949" w:rsidR="00FD155B" w:rsidRPr="00A23CC8" w:rsidRDefault="0025103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 proiectul.</w:t>
            </w:r>
          </w:p>
        </w:tc>
      </w:tr>
      <w:tr w:rsidR="001C0794" w:rsidRPr="00A23CC8" w14:paraId="2C8BD02C"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6BA7494"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7A1720D0" w14:textId="3C551153"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12</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52BD9A" w14:textId="22578E97" w:rsidR="00FD155B" w:rsidRPr="00A23CC8" w:rsidRDefault="00FD155B" w:rsidP="00FC6419">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La alin.(13) conținutul se modifică după cum urmează „</w:t>
            </w:r>
            <w:bookmarkStart w:id="0" w:name="_Hlk224039555"/>
            <w:r w:rsidRPr="00A23CC8">
              <w:rPr>
                <w:rFonts w:ascii="Times New Roman" w:hAnsi="Times New Roman"/>
              </w:rPr>
              <w:t>Materialul semincer importat se comercializează în baza documentelor expuse la art.11 alin.(6) lit.e)</w:t>
            </w:r>
            <w:bookmarkEnd w:id="0"/>
            <w:r w:rsidRPr="00A23CC8">
              <w:rPr>
                <w:rFonts w:ascii="Times New Roman" w:hAnsi="Times New Roman"/>
              </w:rPr>
              <w:t>”;</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40A877" w14:textId="308CB201" w:rsidR="00FD155B" w:rsidRPr="00A23CC8" w:rsidRDefault="006C4B97"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w:t>
            </w:r>
          </w:p>
        </w:tc>
      </w:tr>
      <w:tr w:rsidR="001C0794" w:rsidRPr="00A23CC8" w14:paraId="6E82B5D1"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3333653"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0EB7FCD3" w14:textId="26866ADB"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13</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6AE911" w14:textId="68F7DA6A" w:rsidR="00FD155B" w:rsidRPr="00A23CC8" w:rsidRDefault="00FD155B"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bookmarkStart w:id="1" w:name="_Hlk224040168"/>
            <w:r w:rsidRPr="00A23CC8">
              <w:rPr>
                <w:rFonts w:ascii="Times New Roman" w:hAnsi="Times New Roman"/>
              </w:rPr>
              <w:t>La alin</w:t>
            </w:r>
            <w:proofErr w:type="gramStart"/>
            <w:r w:rsidRPr="00A23CC8">
              <w:rPr>
                <w:rFonts w:ascii="Times New Roman" w:hAnsi="Times New Roman"/>
              </w:rPr>
              <w:t>.(</w:t>
            </w:r>
            <w:proofErr w:type="gramEnd"/>
            <w:r w:rsidRPr="00A23CC8">
              <w:rPr>
                <w:rFonts w:ascii="Times New Roman" w:hAnsi="Times New Roman"/>
              </w:rPr>
              <w:t xml:space="preserve">14) după cuvântul „ISTA” se completează cu sintagma „și alte documente de calitate emise de autoritatea competentă a statului exportator”, </w:t>
            </w:r>
            <w:bookmarkEnd w:id="1"/>
            <w:r w:rsidRPr="00A23CC8">
              <w:rPr>
                <w:rFonts w:ascii="Times New Roman" w:hAnsi="Times New Roman"/>
              </w:rPr>
              <w:t>în continuare după text.</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7C16C7" w14:textId="75302FAD" w:rsidR="00FD155B" w:rsidRPr="00A23CC8" w:rsidRDefault="003417C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w:t>
            </w:r>
          </w:p>
        </w:tc>
      </w:tr>
      <w:tr w:rsidR="001C0794" w:rsidRPr="00A23CC8" w14:paraId="714883E7"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0E9E5B76"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C2777EF" w14:textId="0DBE14E6"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14</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5DEE05" w14:textId="77777777" w:rsidR="00FD155B" w:rsidRPr="00A23CC8" w:rsidRDefault="00FD155B"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 xml:space="preserve">La art.11 alin. (6): </w:t>
            </w:r>
          </w:p>
          <w:p w14:paraId="41310343" w14:textId="59688110" w:rsidR="00FD155B" w:rsidRPr="00A23CC8" w:rsidRDefault="00FD155B"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Propunerile înaintate la pct. 5.1.2 lit.e) – nu se acceptă;</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56E980" w14:textId="2D894EFF" w:rsidR="00FD155B" w:rsidRPr="00A23CC8" w:rsidRDefault="003417C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Au fost excluse.</w:t>
            </w:r>
          </w:p>
        </w:tc>
      </w:tr>
      <w:tr w:rsidR="001C0794" w:rsidRPr="00A23CC8" w14:paraId="545F3A95"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3781B7E"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1C367D8" w14:textId="50347E04"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15</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568A05" w14:textId="362E3033"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alin.6 lit.e) se propune modificarea conținutului cu următorul text:</w:t>
            </w:r>
          </w:p>
          <w:p w14:paraId="35F9EC0F" w14:textId="77777777"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„e) documentele care confirmă calitatea și proveniența acestora, după cum urmează:</w:t>
            </w:r>
          </w:p>
          <w:p w14:paraId="4AF9F2C2" w14:textId="59FFD9D8"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 document care confirmă calitatea și proveniența semințelor emis de autoritatea competentă a statului exportator, pentru semințele importate din statele membre ale Uniunii Europene, în scop de comercializare.</w:t>
            </w:r>
          </w:p>
          <w:p w14:paraId="1F01E6E6" w14:textId="54013785"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 certificat de varietate a soiurilor/hibrizilor prevăzut de OECD și document de calitate prevăzut de ISTA, pentru semințele importate cu scop de multiplicare, provenite din statele membre ale Uniunii Europene sau alte state membre ale Asociației Internaționale pentru Testarea Semințelor ISTA (în continuare – ISTA) și ale statelor participante la schemele semincere ale Organizației pentru Cooperare și Dezvoltare Economică OECD (în continuare – OECD), cu excepția prevederilor art. 11 alin.(2) lit. e);</w:t>
            </w:r>
          </w:p>
          <w:p w14:paraId="5073B6B7" w14:textId="6B6814CF"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 xml:space="preserve">- document care confirmă calitatea și proveniența semințelor emis de autoritatea competentă a statului exportator, din state, altele decât cele menționate la prima și a doua liniuță, care nu sunt membre ale ISTA și </w:t>
            </w:r>
            <w:r w:rsidRPr="00A23CC8">
              <w:rPr>
                <w:rFonts w:ascii="Times New Roman" w:hAnsi="Times New Roman"/>
                <w:lang w:val="ro-RO"/>
              </w:rPr>
              <w:lastRenderedPageBreak/>
              <w:t>ale statelor participante la schemele semincere OECD, în scop de comercializare”.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355DE1" w14:textId="340FCCD3" w:rsidR="00FD155B" w:rsidRPr="00A23CC8" w:rsidRDefault="003417C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Se acceptă, a fost completat proiectul.</w:t>
            </w:r>
          </w:p>
        </w:tc>
      </w:tr>
      <w:tr w:rsidR="001C0794" w:rsidRPr="00A23CC8" w14:paraId="79FFBF55"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6B21538"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08E4E508" w14:textId="08D33DB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16</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22ACF0" w14:textId="0DAF0164"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Alin.(6) se completează cu un punct nou „(6</w:t>
            </w:r>
            <w:r w:rsidRPr="00A23CC8">
              <w:rPr>
                <w:rFonts w:ascii="Times New Roman" w:hAnsi="Times New Roman"/>
                <w:vertAlign w:val="superscript"/>
                <w:lang w:val="ro-RO"/>
              </w:rPr>
              <w:t>1</w:t>
            </w:r>
            <w:r w:rsidRPr="00A23CC8">
              <w:rPr>
                <w:rFonts w:ascii="Times New Roman" w:hAnsi="Times New Roman"/>
                <w:lang w:val="ro-RO"/>
              </w:rPr>
              <w:t>)” cu următorul conținut:</w:t>
            </w:r>
          </w:p>
          <w:p w14:paraId="503315A8" w14:textId="1BDD34F8"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„(6</w:t>
            </w:r>
            <w:r w:rsidRPr="00A23CC8">
              <w:rPr>
                <w:rFonts w:ascii="Times New Roman" w:hAnsi="Times New Roman"/>
                <w:vertAlign w:val="superscript"/>
                <w:lang w:val="ro-RO"/>
              </w:rPr>
              <w:t>1</w:t>
            </w:r>
            <w:r w:rsidRPr="00A23CC8">
              <w:rPr>
                <w:rFonts w:ascii="Times New Roman" w:hAnsi="Times New Roman"/>
                <w:lang w:val="ro-RO"/>
              </w:rPr>
              <w:t>) Ca o derogare de la alin.(6), se permite importul materialului semincer pentru loturile mici de semințe (de până la 1 kg pentru fiecare soi) destinate testărilor de laborator”.</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D2BF3F" w14:textId="06486E2B" w:rsidR="00FD155B" w:rsidRPr="00A23CC8" w:rsidRDefault="00775DE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proiectul este completat cu alin. (6</w:t>
            </w:r>
            <w:r w:rsidRPr="00A23CC8">
              <w:rPr>
                <w:rFonts w:ascii="Times New Roman" w:hAnsi="Times New Roman"/>
                <w:vertAlign w:val="superscript"/>
                <w:lang w:val="ro-RO"/>
              </w:rPr>
              <w:t>1</w:t>
            </w:r>
            <w:r w:rsidRPr="00A23CC8">
              <w:rPr>
                <w:rFonts w:ascii="Times New Roman" w:hAnsi="Times New Roman"/>
                <w:lang w:val="ro-RO"/>
              </w:rPr>
              <w:t>)</w:t>
            </w:r>
          </w:p>
        </w:tc>
      </w:tr>
      <w:tr w:rsidR="001C0794" w:rsidRPr="00A23CC8" w14:paraId="716EF923"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A3C1D6A"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bookmarkStart w:id="2" w:name="_Hlk224038464"/>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F415B13" w14:textId="2AF35C4A"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17</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4FD381" w14:textId="288AB558"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lang w:val="ro-RO"/>
              </w:rPr>
              <w:t>La art. 12 alin.(2) lit. d) se completează cu următorul text „În cazul importului semințelor în scopul reproducerii pentru export în lipsa Certificatului de varietate a soiurilor/hibrizilor prevăzut de OECD, exportul acestora se va realiza fără emiterea Certificatului de varietate a soiurilor/hibrizilor prevăzut de OECD”.</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71A90C" w14:textId="2BECC1FD" w:rsidR="00FD155B" w:rsidRPr="00A23CC8" w:rsidRDefault="00325AD1"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proiectul a fost completat.</w:t>
            </w:r>
          </w:p>
        </w:tc>
      </w:tr>
      <w:bookmarkEnd w:id="2"/>
      <w:tr w:rsidR="001C0794" w:rsidRPr="00A23CC8" w14:paraId="1FE5AC50"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099F491"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D4854B0" w14:textId="55284F4F"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18</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BFF4E6" w14:textId="77777777"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art.14:</w:t>
            </w:r>
          </w:p>
          <w:p w14:paraId="3AE5C113" w14:textId="3CAD5017"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 xml:space="preserve">La alin.(5) </w:t>
            </w:r>
            <w:bookmarkStart w:id="3" w:name="_Hlk224038827"/>
            <w:r w:rsidRPr="00A23CC8">
              <w:rPr>
                <w:rFonts w:ascii="Times New Roman" w:hAnsi="Times New Roman"/>
                <w:lang w:val="ro-RO"/>
              </w:rPr>
              <w:t xml:space="preserve">după cuvintele „din anexa nr.3” </w:t>
            </w:r>
            <w:bookmarkEnd w:id="3"/>
            <w:r w:rsidRPr="00A23CC8">
              <w:rPr>
                <w:rFonts w:ascii="Times New Roman" w:hAnsi="Times New Roman"/>
                <w:lang w:val="ro-RO"/>
              </w:rPr>
              <w:t>se completează cu sintagma „</w:t>
            </w:r>
            <w:bookmarkStart w:id="4" w:name="_Hlk224038793"/>
            <w:r w:rsidRPr="00A23CC8">
              <w:rPr>
                <w:rFonts w:ascii="Times New Roman" w:hAnsi="Times New Roman"/>
                <w:lang w:val="ro-RO"/>
              </w:rPr>
              <w:t>în format electronic prin intermediul sistemului informațional, care se va emite automat în Cabinetul personal al agentului economic Mcabinet</w:t>
            </w:r>
            <w:bookmarkEnd w:id="4"/>
            <w:r w:rsidRPr="00A23CC8">
              <w:rPr>
                <w:rFonts w:ascii="Times New Roman" w:hAnsi="Times New Roman"/>
                <w:lang w:val="ro-RO"/>
              </w:rPr>
              <w:t>”;</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2CC747" w14:textId="033CD7DC" w:rsidR="00FD155B" w:rsidRPr="00A23CC8" w:rsidRDefault="00325AD1"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w:t>
            </w:r>
            <w:r w:rsidR="00C04335" w:rsidRPr="00A23CC8">
              <w:rPr>
                <w:rFonts w:ascii="Times New Roman" w:hAnsi="Times New Roman"/>
                <w:lang w:val="ro-RO"/>
              </w:rPr>
              <w:t xml:space="preserve"> </w:t>
            </w:r>
          </w:p>
        </w:tc>
      </w:tr>
      <w:tr w:rsidR="001C0794" w:rsidRPr="00A23CC8" w14:paraId="685B9012"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3D8AE059"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3CD85AF" w14:textId="06776E08"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19</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8E4BC3" w14:textId="2482C734"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Alin.(9) – se exclude;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FD52BA" w14:textId="666115EB" w:rsidR="00FD155B" w:rsidRPr="00A23CC8" w:rsidRDefault="00C0433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w:t>
            </w:r>
          </w:p>
        </w:tc>
      </w:tr>
      <w:tr w:rsidR="001C0794" w:rsidRPr="00A23CC8" w14:paraId="2BC38D62"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475E466"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9C807AD" w14:textId="2EC4E4B3"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20</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DB63F8" w14:textId="1AF0354A"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Alin.(10) – se exclude;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96FF0E" w14:textId="48188638" w:rsidR="00FD155B" w:rsidRPr="00A23CC8" w:rsidRDefault="00C0433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w:t>
            </w:r>
          </w:p>
        </w:tc>
      </w:tr>
      <w:tr w:rsidR="001C0794" w:rsidRPr="00A23CC8" w14:paraId="7D78E9AF"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9FAC082"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3B813DF" w14:textId="52867EEB"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21</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DF00EB" w14:textId="310BA757"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Alin.(12) va avea următorul cuprins: „Cheltuielile pentru înregistrare se vor percepe conform HG nr.90/2019 cu privire la aprobarea Metodologiei de calculare a tarifelor la serviciile prestate de Agenţia Naţională pentru Siguranţa Alimentelor, precum şi a Nomenclatorului serviciilor prestate de Agenţia Naţională pentru Siguranţa Alimentelor şi a tarifelor la acestea”.</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3305F8" w14:textId="26A8ED59" w:rsidR="00FD155B" w:rsidRPr="00A23CC8" w:rsidRDefault="00325AD1"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Nu se acceptă, urmare a ședinței din data de 4 martie, cu participarea reprezentanțilo Agenției a fost agreată excluderea alin. (5), (7) – (12)</w:t>
            </w:r>
          </w:p>
        </w:tc>
      </w:tr>
      <w:tr w:rsidR="001C0794" w:rsidRPr="00A23CC8" w14:paraId="5F95F95B"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05FD4FA2"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1E4A59C" w14:textId="0CBFD9B0"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22</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774BE1" w14:textId="77777777"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art.16:</w:t>
            </w:r>
          </w:p>
          <w:p w14:paraId="1BB22E83" w14:textId="1C3EAFB6"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alin.(4) cuvântul „conducătorului” se exclude;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AF0D17" w14:textId="30D4EA67" w:rsidR="00FD155B" w:rsidRPr="00A23CC8" w:rsidRDefault="00C0433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completată modificare.</w:t>
            </w:r>
          </w:p>
        </w:tc>
      </w:tr>
      <w:tr w:rsidR="001C0794" w:rsidRPr="00A23CC8" w14:paraId="23DFB829"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11F3F0E5"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66D4560" w14:textId="370EE006"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23</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0B58F4" w14:textId="7965FCDF"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Alin.(5) – se exclude.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6063C2" w14:textId="2D6F71CE" w:rsidR="00FD155B" w:rsidRPr="00A23CC8" w:rsidRDefault="006C4B97"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 proiectul.</w:t>
            </w:r>
          </w:p>
        </w:tc>
      </w:tr>
      <w:tr w:rsidR="001C0794" w:rsidRPr="00A23CC8" w14:paraId="3D175964"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A8858E2" w14:textId="77777777"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BC6B230" w14:textId="50B50AAA" w:rsidR="00FD155B" w:rsidRPr="00A23CC8" w:rsidRDefault="00FD155B"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24</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ACC688" w14:textId="77777777" w:rsidR="00FD155B" w:rsidRPr="00A23CC8" w:rsidRDefault="00FD155B" w:rsidP="00FD155B">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Se propune modificarea textului Anexei nr. 1 cu următorul conținut:</w:t>
            </w:r>
          </w:p>
          <w:p w14:paraId="20AEBE58" w14:textId="4B5E08E7" w:rsidR="001C0794" w:rsidRPr="00A23CC8" w:rsidRDefault="001C0794" w:rsidP="001C0794">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noProof/>
                <w:lang w:val="ro-RO" w:eastAsia="ro-RO"/>
              </w:rPr>
              <w:drawing>
                <wp:inline distT="0" distB="0" distL="0" distR="0" wp14:anchorId="033A0165" wp14:editId="524E4C67">
                  <wp:extent cx="2924175" cy="1654890"/>
                  <wp:effectExtent l="0" t="0" r="0" b="254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4615" cy="1660798"/>
                          </a:xfrm>
                          <a:prstGeom prst="rect">
                            <a:avLst/>
                          </a:prstGeom>
                        </pic:spPr>
                      </pic:pic>
                    </a:graphicData>
                  </a:graphic>
                </wp:inline>
              </w:drawing>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C906D0" w14:textId="0B0F3E29" w:rsidR="00FD155B" w:rsidRPr="00A23CC8" w:rsidRDefault="00C0433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completată modificare.</w:t>
            </w:r>
          </w:p>
        </w:tc>
      </w:tr>
      <w:tr w:rsidR="001C0794" w:rsidRPr="00A23CC8" w14:paraId="346179FB"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B7863C2"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Centru de Armonizare a Legislației</w:t>
            </w:r>
          </w:p>
          <w:p w14:paraId="695E1384" w14:textId="0EF50DA9"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 31/02-126-1508 din 11.02.2026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91FA44A" w14:textId="7ECEF989"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25</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EE95F5" w14:textId="46E406C7"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Art. 20</w:t>
            </w:r>
            <w:r w:rsidRPr="00A23CC8">
              <w:rPr>
                <w:rFonts w:ascii="Times New Roman" w:hAnsi="Times New Roman"/>
                <w:vertAlign w:val="superscript"/>
                <w:lang w:val="ro-RO"/>
              </w:rPr>
              <w:t xml:space="preserve">1 </w:t>
            </w:r>
            <w:r w:rsidRPr="00A23CC8">
              <w:rPr>
                <w:rFonts w:ascii="Times New Roman" w:hAnsi="Times New Roman"/>
                <w:lang w:val="ro-RO"/>
              </w:rPr>
              <w:t>din Legea nr. 68/2013 transpune parțial și incomplet art. 1 din Decizia și nu transpune Anexa I din actul UE. Astfel, actul național stabilește echivalența inspecțiilor în câmp inspecțiilor efectuate în oricare stat terț care respectă cele 2 condiții cumulative, cu prezumția de echivalență pentru cele care deja au fost considerate echivalente în cadrul UE. Abordarea UE este diferită de cea națională, ori sunt recunoscute ca echivalente acele inspecții în câmp care sunt realizate doar în anumite țări terțe, listate expres în Anexa I și inspectate de către anumite autorități oficiale, la fel stabilite expres de Anexa I. În context, norma națională este una mai largă decât cea din Decizia UE și necesită modificare conceptuală. De asemenea, cu referire la art. 20</w:t>
            </w:r>
            <w:r w:rsidRPr="00A23CC8">
              <w:rPr>
                <w:rFonts w:ascii="Times New Roman" w:hAnsi="Times New Roman"/>
                <w:vertAlign w:val="superscript"/>
                <w:lang w:val="ro-RO"/>
              </w:rPr>
              <w:t>1</w:t>
            </w:r>
            <w:r w:rsidRPr="00A23CC8">
              <w:rPr>
                <w:rFonts w:ascii="Times New Roman" w:hAnsi="Times New Roman"/>
                <w:lang w:val="ro-RO"/>
              </w:rPr>
              <w:t xml:space="preserve"> , alin. (1), lit. b) din Lege, atragem atenția că, redacția actuală necesită ajustare, ori cerințele pentru inspecțiile în câmp efectuate în alte state, nu sunt stabilite în actele normative naționale, ci deja de art. 20</w:t>
            </w:r>
            <w:r w:rsidRPr="00A23CC8">
              <w:rPr>
                <w:rFonts w:ascii="Times New Roman" w:hAnsi="Times New Roman"/>
                <w:vertAlign w:val="superscript"/>
                <w:lang w:val="ro-RO"/>
              </w:rPr>
              <w:t xml:space="preserve">4 </w:t>
            </w:r>
            <w:r w:rsidRPr="00A23CC8">
              <w:rPr>
                <w:rFonts w:ascii="Times New Roman" w:hAnsi="Times New Roman"/>
                <w:lang w:val="ro-RO"/>
              </w:rPr>
              <w:t xml:space="preserve"> din proiectul național;</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4FBA123" w14:textId="19167CFC" w:rsidR="00E729DD" w:rsidRPr="00A23CC8" w:rsidRDefault="0066626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 xml:space="preserve">Se acceptă parțial, a fost modificat </w:t>
            </w:r>
            <w:r w:rsidR="00492EB9" w:rsidRPr="00492EB9">
              <w:rPr>
                <w:rFonts w:ascii="Times New Roman" w:hAnsi="Times New Roman"/>
                <w:lang w:val="ro-RO"/>
              </w:rPr>
              <w:t>Tabelul de Concordanță</w:t>
            </w:r>
            <w:r w:rsidR="00492EB9">
              <w:rPr>
                <w:rFonts w:ascii="Times New Roman" w:hAnsi="Times New Roman"/>
                <w:lang w:val="ro-RO"/>
              </w:rPr>
              <w:t>.</w:t>
            </w:r>
          </w:p>
        </w:tc>
      </w:tr>
      <w:tr w:rsidR="001C0794" w:rsidRPr="00A23CC8" w14:paraId="5CCA8DC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6D2B4BB"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7C6C25F3" w14:textId="654806DC"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26</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F8C812" w14:textId="523C1807"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Se impune transpunerea obligatorie a art. 2 din Decizia UE, care stabilește echivalența semințelor provenite doar din anumite țări terțe listate în Anexa II și certificate de anumite autorități oficiale de comun cu prevederea privind condițiile ce trebuie îndeplinite, stabilite de Partea B din Anexa II la Decizia UE, care este transpusă de art. 20</w:t>
            </w:r>
            <w:r w:rsidRPr="00A23CC8">
              <w:rPr>
                <w:rFonts w:ascii="Times New Roman" w:hAnsi="Times New Roman"/>
                <w:vertAlign w:val="superscript"/>
                <w:lang w:val="ro-RO"/>
              </w:rPr>
              <w:t>5</w:t>
            </w:r>
            <w:r w:rsidRPr="00A23CC8">
              <w:rPr>
                <w:rFonts w:ascii="Times New Roman" w:hAnsi="Times New Roman"/>
                <w:lang w:val="ro-RO"/>
              </w:rPr>
              <w:t xml:space="preserve"> din proiectul național. În cazul netranspunerii acestuia și a Anexei I, obiectivul fixat de act UE nu este atins de proiectul național, fiind lărgit sp</w:t>
            </w:r>
            <w:r w:rsidR="0052551E" w:rsidRPr="00A23CC8">
              <w:rPr>
                <w:rFonts w:ascii="Times New Roman" w:hAnsi="Times New Roman"/>
                <w:lang w:val="ro-RO"/>
              </w:rPr>
              <w:t>ectrul de state terțe din care</w:t>
            </w:r>
            <w:r w:rsidRPr="00A23CC8">
              <w:rPr>
                <w:rFonts w:ascii="Times New Roman" w:hAnsi="Times New Roman"/>
                <w:lang w:val="ro-RO"/>
              </w:rPr>
              <w:t xml:space="preserve"> se consideră echivalente semințele certificate oficial în comparație cu abordarea limitativă a UE similar abordării privind inspecțiile din art. 20</w:t>
            </w:r>
            <w:r w:rsidRPr="00A23CC8">
              <w:rPr>
                <w:rFonts w:ascii="Times New Roman" w:hAnsi="Times New Roman"/>
                <w:vertAlign w:val="superscript"/>
                <w:lang w:val="ro-RO"/>
              </w:rPr>
              <w:t>1</w:t>
            </w:r>
            <w:r w:rsidRPr="00A23CC8">
              <w:rPr>
                <w:rFonts w:ascii="Times New Roman" w:hAnsi="Times New Roman"/>
                <w:lang w:val="ro-RO"/>
              </w:rPr>
              <w:t xml:space="preserve"> din Lege;</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22050D9" w14:textId="0D7CFF68" w:rsidR="00E729DD" w:rsidRPr="00A23CC8" w:rsidRDefault="0066626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Nu se acceptă, Republica Moldova nu poate transpune pre</w:t>
            </w:r>
            <w:r w:rsidR="00C04335" w:rsidRPr="00A23CC8">
              <w:rPr>
                <w:rFonts w:ascii="Times New Roman" w:hAnsi="Times New Roman"/>
                <w:lang w:val="ro-RO"/>
              </w:rPr>
              <w:t>vederire ce țin de competențele Comisiei UE</w:t>
            </w:r>
          </w:p>
        </w:tc>
      </w:tr>
      <w:tr w:rsidR="001C0794" w:rsidRPr="00A23CC8" w14:paraId="0F1AC38E"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3DFADF26"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C4F9CF4" w14:textId="173C1D23"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27</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4528E9" w14:textId="7E4A5D00"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Proiectul național, în art. 20</w:t>
            </w:r>
            <w:r w:rsidRPr="00A23CC8">
              <w:rPr>
                <w:rFonts w:ascii="Times New Roman" w:hAnsi="Times New Roman"/>
                <w:vertAlign w:val="superscript"/>
                <w:lang w:val="ro-RO"/>
              </w:rPr>
              <w:t>3</w:t>
            </w:r>
            <w:r w:rsidRPr="00A23CC8">
              <w:rPr>
                <w:rFonts w:ascii="Times New Roman" w:hAnsi="Times New Roman"/>
                <w:lang w:val="ro-RO"/>
              </w:rPr>
              <w:t xml:space="preserve"> , a transpus fragmentar și eronat art. 3 (2) din actul UE, stabilind în mod generalist că, în cazul în care este necesară schimbarea etichetei sau a sistemului de închidere a semințelor echivalente, se utilizează etichetele CE, în conformitate cu Legea nr. 235/2011 privind activitățile de acreditare și de evaluare a conformității. Actul UE, pe de altă parte, statuează aplicarea etichetei CE doar pentru 2 cazuri menționate expres la art. 3 (2) lit. (a) și (b) din Decizie. Totodată, trimiterea la Legea nr. 235/2011 privind activitățile de acreditare și de evaluare a conformității este una greșită ori aceasta prevede marcajul CE aplicabil doar produselor industriale (lucruri total distincte). În acest caz, este vorba de eticheta oficială care însoțește un lot de semințe certificat oficial, prevăzută de Directiva de punere în aplicare (UE) 2016/317 a Comisiei din 3 martie 2016 de modificare a Directivelor 66/401/CEE, 66/402/CEE, 2002/54/CE, 2002/55/CE, 2002/56/CE și 2002/57/CE privind eticheta oficială de pe ambalajele de </w:t>
            </w:r>
            <w:r w:rsidRPr="00A23CC8">
              <w:rPr>
                <w:rFonts w:ascii="Times New Roman" w:hAnsi="Times New Roman"/>
                <w:lang w:val="ro-RO"/>
              </w:rPr>
              <w:lastRenderedPageBreak/>
              <w:t>semințe. Astfel, se impune modificarea conceptuală a art. 20</w:t>
            </w:r>
            <w:r w:rsidRPr="00A23CC8">
              <w:rPr>
                <w:rFonts w:ascii="Times New Roman" w:hAnsi="Times New Roman"/>
                <w:vertAlign w:val="superscript"/>
                <w:lang w:val="ro-RO"/>
              </w:rPr>
              <w:t>3</w:t>
            </w:r>
            <w:r w:rsidRPr="00A23CC8">
              <w:rPr>
                <w:rFonts w:ascii="Times New Roman" w:hAnsi="Times New Roman"/>
                <w:lang w:val="ro-RO"/>
              </w:rPr>
              <w:t xml:space="preserve"> potrivit celor expuse mai sus;</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93F5E8A" w14:textId="3659A88E" w:rsidR="00E729DD" w:rsidRPr="00A23CC8" w:rsidRDefault="004C13F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Se acceptă, a fost modificat.</w:t>
            </w:r>
          </w:p>
        </w:tc>
      </w:tr>
      <w:tr w:rsidR="001C0794" w:rsidRPr="00A23CC8" w14:paraId="3A870DF9"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2BBFCF2"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0E3C4F3" w14:textId="78367AD0"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28</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0793D8" w14:textId="6B2D9F21"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Proiectul național nu asigură transpunerea pct. 5 – 7 din Anexa II, lit. B, care stabilesc condițiile de origine, producere, control și certificare a semințelor de bază și a semințelor certificate, inclusiv posibilitatea ca, pentru Canada și SUA, eșantionarea, testarea și emiterea buletinelor de analiză să fie realizate de laboratoare autorizate conform normelor AOSA, cu mențiuni specifice pe documente.</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6BF78B8" w14:textId="09D4209D" w:rsidR="00E729DD" w:rsidRPr="00A23CC8" w:rsidRDefault="004C13F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Nu se acceptă</w:t>
            </w:r>
            <w:r w:rsidR="00705502" w:rsidRPr="00A23CC8">
              <w:rPr>
                <w:rFonts w:ascii="Times New Roman" w:hAnsi="Times New Roman"/>
                <w:lang w:val="ro-RO"/>
              </w:rPr>
              <w:t xml:space="preserve">, astfel cum ați menționat: „Dispozițiile </w:t>
            </w:r>
            <w:r w:rsidR="003417C0" w:rsidRPr="00A23CC8">
              <w:rPr>
                <w:rFonts w:ascii="Times New Roman" w:hAnsi="Times New Roman"/>
                <w:lang w:val="ro-RO"/>
              </w:rPr>
              <w:t>pct</w:t>
            </w:r>
            <w:r w:rsidR="00705502" w:rsidRPr="00A23CC8">
              <w:rPr>
                <w:rFonts w:ascii="Times New Roman" w:hAnsi="Times New Roman"/>
                <w:lang w:val="ro-RO"/>
              </w:rPr>
              <w:t>. 6 și 7 din</w:t>
            </w:r>
            <w:r w:rsidR="003417C0" w:rsidRPr="00A23CC8">
              <w:rPr>
                <w:rFonts w:ascii="Times New Roman" w:hAnsi="Times New Roman"/>
              </w:rPr>
              <w:t xml:space="preserve"> </w:t>
            </w:r>
            <w:r w:rsidR="003417C0" w:rsidRPr="00A23CC8">
              <w:rPr>
                <w:rFonts w:ascii="Times New Roman" w:hAnsi="Times New Roman"/>
                <w:lang w:val="ro-RO"/>
              </w:rPr>
              <w:t>din Anexa II, lit. B</w:t>
            </w:r>
            <w:r w:rsidR="00705502" w:rsidRPr="00A23CC8">
              <w:rPr>
                <w:rFonts w:ascii="Times New Roman" w:hAnsi="Times New Roman"/>
                <w:lang w:val="ro-RO"/>
              </w:rPr>
              <w:t xml:space="preserve"> stabilesc valabilitatea Deciziei UE și adresanții, ce nu se supun transpunerii”. Ceia ce ține de art. 5 acesta stabilește r</w:t>
            </w:r>
            <w:r w:rsidR="00E23A45" w:rsidRPr="00A23CC8">
              <w:rPr>
                <w:rFonts w:ascii="Times New Roman" w:hAnsi="Times New Roman"/>
              </w:rPr>
              <w:t xml:space="preserve">producerea </w:t>
            </w:r>
            <w:r w:rsidR="00E23A45" w:rsidRPr="00A23CC8">
              <w:rPr>
                <w:rFonts w:ascii="Times New Roman" w:hAnsi="Times New Roman"/>
                <w:lang w:val="ro-RO"/>
              </w:rPr>
              <w:t xml:space="preserve">semințelor de bază din soiurile pentru care selecția conservativă se efectuează </w:t>
            </w:r>
            <w:r w:rsidR="00E23A45" w:rsidRPr="00A23CC8">
              <w:rPr>
                <w:rFonts w:ascii="Times New Roman" w:hAnsi="Times New Roman"/>
                <w:b/>
                <w:lang w:val="ro-RO"/>
              </w:rPr>
              <w:t>exclusiv</w:t>
            </w:r>
            <w:r w:rsidR="00E23A45" w:rsidRPr="00A23CC8">
              <w:rPr>
                <w:rFonts w:ascii="Times New Roman" w:hAnsi="Times New Roman"/>
                <w:lang w:val="ro-RO"/>
              </w:rPr>
              <w:t xml:space="preserve"> în Comunitate</w:t>
            </w:r>
          </w:p>
        </w:tc>
      </w:tr>
      <w:tr w:rsidR="001C0794" w:rsidRPr="00A23CC8" w14:paraId="790F9113"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346376A"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7C8C07E" w14:textId="5D12791E"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29</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8D533B" w14:textId="1FA41E1C"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Dispozițiile art. 6 și 7 din Decizia Consiliului 2003/17/CE stabilesc valabilitatea Deciziei UE și adresanții, ce nu se supun transpunerii.</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7BEAD6A" w14:textId="6253781D" w:rsidR="00E729DD" w:rsidRPr="00A23CC8" w:rsidRDefault="00A16642"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S-a luat act.</w:t>
            </w:r>
          </w:p>
        </w:tc>
      </w:tr>
      <w:tr w:rsidR="001C0794" w:rsidRPr="00A23CC8" w14:paraId="0F39F66B"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27C0A66"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BA7C8B7" w14:textId="28BD61F8"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30</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CA4CE4" w14:textId="638771F6"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Conform celor expuse mai sus, proiectul de act normativ transpune doar parțial sau chiar greșit Decizia, fiind constatate omisiuni în procesul de transpunere, precum și transpuneri incomplete și eronate, care urmează a fi remediate în procesul de definitivare a proiectului. În aceste condiții, CAL nu va formula, la această etapă, sugestii de redactare a clauzei de armonizare, urmând să revină cu poziția sa după definitivarea proiectului, integrarea tuturor deficiențelor constatate, corectarea neconcordanțelor și atingerea transpunerii integrale a actului UE.</w:t>
            </w:r>
          </w:p>
          <w:p w14:paraId="7ECBF044" w14:textId="57F4C070"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CAL își va expune poziția corespunzătoare în cadrul procedurii de notificare a proiectului în redacția sa definitivată.</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0CD4E19" w14:textId="2BBD679F" w:rsidR="00E729DD" w:rsidRPr="00A23CC8" w:rsidRDefault="004C13F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S-a luat act.</w:t>
            </w:r>
          </w:p>
        </w:tc>
      </w:tr>
      <w:tr w:rsidR="001C0794" w:rsidRPr="00A23CC8" w14:paraId="5D047EB1"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06E7B01"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971ABE8" w14:textId="04643A6B"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31</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DCB541" w14:textId="76046D8C"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proofErr w:type="gramStart"/>
            <w:r w:rsidRPr="00A23CC8">
              <w:rPr>
                <w:rFonts w:ascii="Times New Roman" w:hAnsi="Times New Roman"/>
              </w:rPr>
              <w:t>La compartimentul 1 al Tabelului se va indica după cum urmează: Decizia Consiliului 2003/17/CE din 16 decembrie 2002 privind echivalența inspecțiilor în câmp la culturile producătoare de semințe, efectuate în țări terțe și echivalența semințelor produse în țări terțe, CELEX: 32003D0017, publicată în Jurnalul Oficial al Uniunii Europene L 8 din 14 ianuarie 2003, așa cum a fost modificată ultima oară prin Decizia (UE) 2025/1228 a Parlamentului European și a Consiliului din 17 iunie 2025.</w:t>
            </w:r>
            <w:proofErr w:type="gramEnd"/>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6224D84" w14:textId="7EE2C288" w:rsidR="00E729DD" w:rsidRPr="00A23CC8" w:rsidRDefault="00056EB2"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modificat.</w:t>
            </w:r>
          </w:p>
        </w:tc>
      </w:tr>
      <w:tr w:rsidR="001C0794" w:rsidRPr="00A23CC8" w14:paraId="43933BB9"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0F7A5507" w14:textId="77777777" w:rsidR="00E729DD" w:rsidRPr="00A23CC8" w:rsidRDefault="00E729D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31C9C39" w14:textId="1421CDC0" w:rsidR="00E729D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32</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A216C4" w14:textId="6798F0B3" w:rsidR="00E729DD" w:rsidRPr="00A23CC8" w:rsidRDefault="00E729D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rPr>
              <w:t>La moment, pentru prevederile UE obligatorii netranspuse, precum art. 2, art. 3 (2), lit. (a) și (b), Anexa I, pct. 5 – 7 din Anexa II, lit. B, calificativul va fi Prevederi UE netranspuse, cu includerea motivației corespunzătoare.</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45031CB" w14:textId="461D49D5" w:rsidR="00E729DD" w:rsidRPr="00A23CC8" w:rsidRDefault="006C4B97"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parțial, Tabelul de Concordanță a fost modificat și completat.</w:t>
            </w:r>
          </w:p>
        </w:tc>
      </w:tr>
      <w:tr w:rsidR="001C0794" w:rsidRPr="00A23CC8" w14:paraId="5D153A9D"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0649AAD"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Grupul de lucru al Comisiei de stat pentru reglementarea activității de întreprinzător</w:t>
            </w:r>
          </w:p>
          <w:p w14:paraId="47BCB858" w14:textId="58BD384D" w:rsidR="002F2BE0" w:rsidRPr="00A23CC8" w:rsidRDefault="002F2BE0"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Nr. 38-78-1492 din 11.02.2026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DF8E10F" w14:textId="6FDEFF09"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33</w:t>
            </w:r>
          </w:p>
        </w:tc>
        <w:tc>
          <w:tcPr>
            <w:tcW w:w="2102" w:type="pct"/>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3FDED52A" w14:textId="434008FD" w:rsidR="009D6983"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Proiectul prevede completarea art. 9 cu alin. (2</w:t>
            </w:r>
            <w:r w:rsidRPr="00A23CC8">
              <w:rPr>
                <w:rFonts w:ascii="Times New Roman" w:hAnsi="Times New Roman"/>
                <w:vertAlign w:val="superscript"/>
              </w:rPr>
              <w:t>2</w:t>
            </w:r>
            <w:r w:rsidRPr="00A23CC8">
              <w:rPr>
                <w:rFonts w:ascii="Times New Roman" w:hAnsi="Times New Roman"/>
              </w:rPr>
              <w:t xml:space="preserve">) </w:t>
            </w:r>
            <w:proofErr w:type="gramStart"/>
            <w:r w:rsidRPr="00A23CC8">
              <w:rPr>
                <w:rFonts w:ascii="Times New Roman" w:hAnsi="Times New Roman"/>
              </w:rPr>
              <w:t>cu</w:t>
            </w:r>
            <w:proofErr w:type="gramEnd"/>
            <w:r w:rsidRPr="00A23CC8">
              <w:rPr>
                <w:rFonts w:ascii="Times New Roman" w:hAnsi="Times New Roman"/>
              </w:rPr>
              <w:t xml:space="preserve"> următorul cuprins: „(2</w:t>
            </w:r>
            <w:r w:rsidRPr="00A23CC8">
              <w:rPr>
                <w:rFonts w:ascii="Times New Roman" w:hAnsi="Times New Roman"/>
                <w:vertAlign w:val="superscript"/>
              </w:rPr>
              <w:t>2</w:t>
            </w:r>
            <w:r w:rsidRPr="00A23CC8">
              <w:rPr>
                <w:rFonts w:ascii="Times New Roman" w:hAnsi="Times New Roman"/>
              </w:rPr>
              <w:t xml:space="preserve">) Prin derogare de la alin (2), sunt admise pentru comercializare semințele ce aparțin unor soiuri pentru care s-a depus o cerere de înscriere în Catalogul soiurilor de plante, în modul stabilit de Guvern.”. Prevederile respective ridică semne de întrebare, deoarece sunt incerte. Menționăm, că alin. (2) </w:t>
            </w:r>
            <w:proofErr w:type="gramStart"/>
            <w:r w:rsidRPr="00A23CC8">
              <w:rPr>
                <w:rFonts w:ascii="Times New Roman" w:hAnsi="Times New Roman"/>
              </w:rPr>
              <w:t>din</w:t>
            </w:r>
            <w:proofErr w:type="gramEnd"/>
            <w:r w:rsidRPr="00A23CC8">
              <w:rPr>
                <w:rFonts w:ascii="Times New Roman" w:hAnsi="Times New Roman"/>
              </w:rPr>
              <w:t xml:space="preserve"> Legea nr. 68/2013 prevede expres că sânt admise pentru comercializare, multiplicare şi utilizare în scop de </w:t>
            </w:r>
            <w:r w:rsidRPr="00A23CC8">
              <w:rPr>
                <w:rFonts w:ascii="Times New Roman" w:hAnsi="Times New Roman"/>
              </w:rPr>
              <w:lastRenderedPageBreak/>
              <w:t>înfiinţare a plantaţiilor de producţie-marfă doar seminţele de soiuri înregistrate în Catalogul soiurilor de plante, mai departe după text. Astfel, prevederile alin. (2</w:t>
            </w:r>
            <w:r w:rsidRPr="00A23CC8">
              <w:rPr>
                <w:rFonts w:ascii="Times New Roman" w:hAnsi="Times New Roman"/>
                <w:vertAlign w:val="superscript"/>
              </w:rPr>
              <w:t>2</w:t>
            </w:r>
            <w:r w:rsidRPr="00A23CC8">
              <w:rPr>
                <w:rFonts w:ascii="Times New Roman" w:hAnsi="Times New Roman"/>
              </w:rPr>
              <w:t xml:space="preserve">) </w:t>
            </w:r>
            <w:proofErr w:type="gramStart"/>
            <w:r w:rsidRPr="00A23CC8">
              <w:rPr>
                <w:rFonts w:ascii="Times New Roman" w:hAnsi="Times New Roman"/>
              </w:rPr>
              <w:t>pot</w:t>
            </w:r>
            <w:proofErr w:type="gramEnd"/>
            <w:r w:rsidRPr="00A23CC8">
              <w:rPr>
                <w:rFonts w:ascii="Times New Roman" w:hAnsi="Times New Roman"/>
              </w:rPr>
              <w:t xml:space="preserve"> crea situații de interpretări diferite și de abuz.</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CD88" w14:textId="3450F031" w:rsidR="00366E5B" w:rsidRPr="00A23CC8" w:rsidRDefault="00E23A45" w:rsidP="00366E5B">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Se acceptă parțial, a fost reformulată redacția</w:t>
            </w:r>
            <w:r w:rsidR="00366E5B" w:rsidRPr="00A23CC8">
              <w:rPr>
                <w:rFonts w:ascii="Times New Roman" w:hAnsi="Times New Roman"/>
                <w:lang w:val="ro-RO"/>
              </w:rPr>
              <w:t xml:space="preserve">. </w:t>
            </w:r>
          </w:p>
          <w:p w14:paraId="62A4887E" w14:textId="43258A83" w:rsidR="009D6983" w:rsidRPr="00A23CC8" w:rsidRDefault="00366E5B" w:rsidP="00366E5B">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 xml:space="preserve">Această prevedere a fost introdusă urmare a planurilor de acțiuni legislative și normative de transpunere a acquis-ului UE pentru anul 2026, adoptarea Hotărârii de Guvern cu privire la modalități de comercializarea semințelor aparținând unor soiuri pentru care s-a depus o cerere de înscriere în catalogul național al </w:t>
            </w:r>
            <w:r w:rsidRPr="00A23CC8">
              <w:rPr>
                <w:rFonts w:ascii="Times New Roman" w:hAnsi="Times New Roman"/>
                <w:lang w:val="ro-RO"/>
              </w:rPr>
              <w:lastRenderedPageBreak/>
              <w:t>soiurilor de plante agricole și de specii de legume, de transpunere a Deciziei 2004/842/CE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Text cu relevanță pentru SEE, acțiunea nr. 79 din Hotărârea de Guvern nr. 306/2025 cu privire la aprobarea Programului național de aderare a Republicii Moldova la Uniunea Europeană pentru anii 2025-2029;</w:t>
            </w:r>
          </w:p>
        </w:tc>
      </w:tr>
      <w:tr w:rsidR="001C0794" w:rsidRPr="00A23CC8" w14:paraId="61AB266F"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46D75A0" w14:textId="401E95EC"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64681FF" w14:textId="58EAF6A0"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34</w:t>
            </w:r>
          </w:p>
        </w:tc>
        <w:tc>
          <w:tcPr>
            <w:tcW w:w="2102" w:type="pct"/>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79F5EBAD" w14:textId="0A32870D" w:rsidR="009D6983"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MD"/>
              </w:rPr>
            </w:pPr>
            <w:r w:rsidRPr="00A23CC8">
              <w:rPr>
                <w:rFonts w:ascii="Times New Roman" w:hAnsi="Times New Roman"/>
                <w:lang w:val="ro-MD"/>
              </w:rPr>
              <w:t>La punctele 5 și 6 din proiect, pentru a evita situații de interpretări abuzive, se recomandă de prevăzut prevederi de trimitere la norme concret din Legea nr. 422/2023 privind măsurile de protecție împotriva organismelor dăunătoare plantelor.</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618" w14:textId="4F2E02E4"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w:t>
            </w:r>
            <w:r w:rsidR="00E23A45" w:rsidRPr="00A23CC8">
              <w:rPr>
                <w:rFonts w:ascii="Times New Roman" w:hAnsi="Times New Roman"/>
                <w:lang w:val="ro-RO"/>
              </w:rPr>
              <w:t>, a fost competat</w:t>
            </w:r>
            <w:r w:rsidR="00AC5428" w:rsidRPr="00A23CC8">
              <w:rPr>
                <w:rFonts w:ascii="Times New Roman" w:hAnsi="Times New Roman"/>
                <w:lang w:val="ro-RO"/>
              </w:rPr>
              <w:t xml:space="preserve"> și modificat.</w:t>
            </w:r>
          </w:p>
        </w:tc>
      </w:tr>
      <w:tr w:rsidR="001C0794" w:rsidRPr="00A23CC8" w14:paraId="089CDF7B"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D0FC7A1" w14:textId="77777777" w:rsidR="00DC757D" w:rsidRPr="00A23CC8" w:rsidRDefault="00DC757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16A2B2D" w14:textId="490449CA" w:rsidR="00DC757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35</w:t>
            </w:r>
          </w:p>
        </w:tc>
        <w:tc>
          <w:tcPr>
            <w:tcW w:w="2102" w:type="pct"/>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71074652" w14:textId="0AE79B46" w:rsidR="00DC757D" w:rsidRPr="00A23CC8" w:rsidRDefault="00DC757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La punctul 7 proiectul prevede modificarea alin. (3) al art. 14, și anume cuvântul „depunerea” se înlocuiește cu cuvântul „recepționarea”. Pentru moment prevederile alin. (3) al art. 14 stabilesc, că subdiviziunea teritorială în a cărei rază de activitate se află agentul economic, în termen de 5 zile lucrătoare de la depunerea cererii, în urma vizitei la fața locului, întocmește un proces-verbal mai departe după text. Substituirea cuvântului „depunerea” cu cuvântul „recepționarea” poate crea situații de tergiversare a procedurii de înregistrare și nu se acceptă.</w:t>
            </w:r>
          </w:p>
        </w:tc>
        <w:tc>
          <w:tcPr>
            <w:tcW w:w="1607"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F21A3FC" w14:textId="734CB7C6" w:rsidR="00DC757D" w:rsidRPr="00A23CC8" w:rsidRDefault="00DC757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rPr>
              <w:t>Se acceptă, s-a modificat subpct. 7.4) în următoarea redacție: „alin. (7) – (12) se abrogă.”</w:t>
            </w:r>
          </w:p>
        </w:tc>
      </w:tr>
      <w:tr w:rsidR="001C0794" w:rsidRPr="00A23CC8" w14:paraId="31600761"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BEDF6CF" w14:textId="77777777" w:rsidR="00DC757D" w:rsidRPr="00A23CC8" w:rsidRDefault="00DC757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3224CC6" w14:textId="448FB947" w:rsidR="00DC757D"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36</w:t>
            </w:r>
          </w:p>
        </w:tc>
        <w:tc>
          <w:tcPr>
            <w:tcW w:w="2102" w:type="pct"/>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65E81F25" w14:textId="0FA2EC62" w:rsidR="00DC757D" w:rsidRPr="00A23CC8" w:rsidRDefault="00DC757D"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lang w:val="ro-RO"/>
              </w:rPr>
            </w:pPr>
            <w:r w:rsidRPr="00A23CC8">
              <w:rPr>
                <w:rFonts w:ascii="Times New Roman" w:hAnsi="Times New Roman"/>
                <w:lang w:val="ro-RO"/>
              </w:rPr>
              <w:t>Totodată se propune modificarea alin. (7) și anume textul „ pentru o perioadă de 5 ani” se înlocuiește cu cuvintele „pe o durată nelimitată”. Astfel certificatul de înregistrare va fi eliberat pe o durată nelimitată. În acest context, se recomandă în perspectivă de a examina oportunitatea de modificare a art. 14 în sensul excluderii certificatului respectiv ca act permisiv și menținerea doar a înregistrării.</w:t>
            </w:r>
          </w:p>
        </w:tc>
        <w:tc>
          <w:tcPr>
            <w:tcW w:w="1607"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14FFB8C5" w14:textId="1526321C" w:rsidR="00DC757D" w:rsidRPr="00A23CC8" w:rsidRDefault="00DC757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r>
      <w:tr w:rsidR="001C0794" w:rsidRPr="00A23CC8" w14:paraId="3C6875ED"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04C21943"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54FCE79" w14:textId="58C3AC0A"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37</w:t>
            </w:r>
          </w:p>
        </w:tc>
        <w:tc>
          <w:tcPr>
            <w:tcW w:w="2102" w:type="pct"/>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01B0B51A" w14:textId="7D95D9F3" w:rsidR="009D6983" w:rsidRPr="00A23CC8" w:rsidRDefault="009D6983" w:rsidP="00E729DD">
            <w:pPr>
              <w:pStyle w:val="NormalWeb"/>
              <w:ind w:firstLine="0"/>
              <w:rPr>
                <w:rFonts w:ascii="Times New Roman" w:hAnsi="Times New Roman"/>
                <w:sz w:val="20"/>
                <w:szCs w:val="20"/>
                <w:lang w:val="ro-MD"/>
              </w:rPr>
            </w:pPr>
            <w:r w:rsidRPr="00A23CC8">
              <w:rPr>
                <w:rFonts w:ascii="Times New Roman" w:hAnsi="Times New Roman"/>
                <w:bCs/>
                <w:iCs/>
                <w:sz w:val="20"/>
                <w:szCs w:val="20"/>
                <w:lang w:val="ro-MD" w:eastAsia="en-US"/>
              </w:rPr>
              <w:t>Prevederile de completare cu art. 20</w:t>
            </w:r>
            <w:r w:rsidRPr="00A23CC8">
              <w:rPr>
                <w:rFonts w:ascii="Times New Roman" w:hAnsi="Times New Roman"/>
                <w:bCs/>
                <w:iCs/>
                <w:sz w:val="20"/>
                <w:szCs w:val="20"/>
                <w:vertAlign w:val="superscript"/>
                <w:lang w:val="ro-MD" w:eastAsia="en-US"/>
              </w:rPr>
              <w:t>2</w:t>
            </w:r>
            <w:r w:rsidRPr="00A23CC8">
              <w:rPr>
                <w:rFonts w:ascii="Times New Roman" w:hAnsi="Times New Roman"/>
                <w:bCs/>
                <w:iCs/>
                <w:sz w:val="20"/>
                <w:szCs w:val="20"/>
                <w:lang w:val="ro-MD" w:eastAsia="en-US"/>
              </w:rPr>
              <w:t xml:space="preserve"> necesită modificări redacționale. </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0624F" w14:textId="23B3D6FD" w:rsidR="009D6983" w:rsidRPr="00A23CC8" w:rsidRDefault="009D6983" w:rsidP="00DC757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rPr>
              <w:t xml:space="preserve">Se acceptă, </w:t>
            </w:r>
            <w:r w:rsidR="00DC757D" w:rsidRPr="00A23CC8">
              <w:rPr>
                <w:rFonts w:ascii="Times New Roman" w:hAnsi="Times New Roman"/>
              </w:rPr>
              <w:t xml:space="preserve">a fost redacționat. </w:t>
            </w:r>
          </w:p>
        </w:tc>
      </w:tr>
      <w:tr w:rsidR="001C0794" w:rsidRPr="00A23CC8" w14:paraId="2104DDF6"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D419F1D"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981F23A" w14:textId="65ABCDE7"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38</w:t>
            </w:r>
          </w:p>
        </w:tc>
        <w:tc>
          <w:tcPr>
            <w:tcW w:w="2102" w:type="pct"/>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39367AFB" w14:textId="69A86E21" w:rsidR="009D6983" w:rsidRPr="00A23CC8" w:rsidRDefault="009D6983" w:rsidP="00E729DD">
            <w:pPr>
              <w:pStyle w:val="NormalWeb"/>
              <w:ind w:firstLine="0"/>
              <w:rPr>
                <w:rFonts w:ascii="Times New Roman" w:hAnsi="Times New Roman"/>
                <w:sz w:val="20"/>
                <w:szCs w:val="20"/>
                <w:lang w:val="ro-MD"/>
              </w:rPr>
            </w:pPr>
            <w:r w:rsidRPr="00A23CC8">
              <w:rPr>
                <w:rFonts w:ascii="Times New Roman" w:hAnsi="Times New Roman"/>
                <w:bCs/>
                <w:iCs/>
                <w:sz w:val="20"/>
                <w:szCs w:val="20"/>
                <w:lang w:val="ro-MD" w:eastAsia="en-US"/>
              </w:rPr>
              <w:t>Prevederile alin. (1) al art. 20</w:t>
            </w:r>
            <w:r w:rsidRPr="00A23CC8">
              <w:rPr>
                <w:rFonts w:ascii="Times New Roman" w:hAnsi="Times New Roman"/>
                <w:bCs/>
                <w:iCs/>
                <w:sz w:val="20"/>
                <w:szCs w:val="20"/>
                <w:vertAlign w:val="superscript"/>
                <w:lang w:val="ro-MD" w:eastAsia="en-US"/>
              </w:rPr>
              <w:t>5</w:t>
            </w:r>
            <w:r w:rsidRPr="00A23CC8">
              <w:rPr>
                <w:rFonts w:ascii="Times New Roman" w:hAnsi="Times New Roman"/>
                <w:bCs/>
                <w:iCs/>
                <w:sz w:val="20"/>
                <w:szCs w:val="20"/>
                <w:lang w:val="ro-MD" w:eastAsia="en-US"/>
              </w:rPr>
              <w:t xml:space="preserve"> se referă la condițiile prevăzute de normele internaționale acceptate și, pentru a evita situații de interpretări discreționare și abuzive, se recomandă concretizarea acestora. </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8B5D6" w14:textId="64D64DCE" w:rsidR="009D6983" w:rsidRPr="00A23CC8" w:rsidRDefault="00DC757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rPr>
              <w:t xml:space="preserve">Se acceptă, </w:t>
            </w:r>
            <w:r w:rsidR="003417C0" w:rsidRPr="00A23CC8">
              <w:rPr>
                <w:rFonts w:ascii="Times New Roman" w:hAnsi="Times New Roman"/>
              </w:rPr>
              <w:t>a fost reformulate.</w:t>
            </w:r>
          </w:p>
        </w:tc>
      </w:tr>
      <w:tr w:rsidR="001C0794" w:rsidRPr="00A23CC8" w14:paraId="771EEDF8"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C331107"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7E211E65" w14:textId="0B0701B2"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39</w:t>
            </w:r>
          </w:p>
        </w:tc>
        <w:tc>
          <w:tcPr>
            <w:tcW w:w="2102" w:type="pct"/>
            <w:tcBorders>
              <w:top w:val="none" w:sz="4" w:space="0" w:color="000000"/>
              <w:left w:val="none" w:sz="4" w:space="0" w:color="000000"/>
              <w:bottom w:val="single" w:sz="8" w:space="0" w:color="000000"/>
              <w:right w:val="single" w:sz="4" w:space="0" w:color="auto"/>
            </w:tcBorders>
            <w:tcMar>
              <w:top w:w="0" w:type="dxa"/>
              <w:left w:w="108" w:type="dxa"/>
              <w:bottom w:w="0" w:type="dxa"/>
              <w:right w:w="108" w:type="dxa"/>
            </w:tcMar>
          </w:tcPr>
          <w:p w14:paraId="5797F569" w14:textId="27BD6394" w:rsidR="009D6983" w:rsidRPr="00A23CC8" w:rsidRDefault="009D6983" w:rsidP="00E729DD">
            <w:pPr>
              <w:pStyle w:val="NormalWeb"/>
              <w:ind w:firstLine="0"/>
              <w:rPr>
                <w:rFonts w:ascii="Times New Roman" w:hAnsi="Times New Roman"/>
                <w:sz w:val="20"/>
                <w:szCs w:val="20"/>
                <w:lang w:val="ro-RO"/>
              </w:rPr>
            </w:pPr>
            <w:r w:rsidRPr="00A23CC8">
              <w:rPr>
                <w:rFonts w:ascii="Times New Roman" w:eastAsia="Times New Roman" w:hAnsi="Times New Roman"/>
                <w:bCs/>
                <w:iCs/>
                <w:sz w:val="20"/>
                <w:szCs w:val="20"/>
                <w:lang w:val="ro-MD"/>
              </w:rPr>
              <w:t>La subpunctul 2.1 este prevăzut, că proiectul este elaborat ca urmare a angajamentelor asumate de Republica Moldova în baza Acordului de Asociere între Republica Moldova și Uniunea Europeană. Se recomandă concretizarea informației respective.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EAC8F" w14:textId="49B1FCEF" w:rsidR="009D6983" w:rsidRPr="00A23CC8" w:rsidRDefault="00DC757D"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completată Nota de fundamentare.</w:t>
            </w:r>
          </w:p>
        </w:tc>
      </w:tr>
      <w:tr w:rsidR="001C0794" w:rsidRPr="00A23CC8" w14:paraId="2AD2C6A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1A51C2B"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6368B51" w14:textId="26D8B6EC"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40</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8B7945" w14:textId="0BE5F908" w:rsidR="009D6983" w:rsidRPr="00A23CC8" w:rsidRDefault="009D6983" w:rsidP="00E729DD">
            <w:pPr>
              <w:pStyle w:val="NormalWeb"/>
              <w:ind w:firstLine="0"/>
              <w:rPr>
                <w:rFonts w:ascii="Times New Roman" w:hAnsi="Times New Roman"/>
                <w:sz w:val="20"/>
                <w:szCs w:val="20"/>
                <w:lang w:val="ro-MD"/>
              </w:rPr>
            </w:pPr>
            <w:r w:rsidRPr="00A23CC8">
              <w:rPr>
                <w:rFonts w:ascii="Times New Roman" w:eastAsia="Times New Roman" w:hAnsi="Times New Roman"/>
                <w:bCs/>
                <w:iCs/>
                <w:sz w:val="20"/>
                <w:szCs w:val="20"/>
                <w:lang w:val="ro-MD"/>
              </w:rPr>
              <w:t>La sub punctului 2.2</w:t>
            </w:r>
            <w:r w:rsidRPr="00A23CC8">
              <w:rPr>
                <w:rFonts w:ascii="Times New Roman" w:hAnsi="Times New Roman"/>
                <w:sz w:val="20"/>
                <w:szCs w:val="20"/>
                <w:lang w:val="en-US"/>
              </w:rPr>
              <w:t xml:space="preserve"> </w:t>
            </w:r>
            <w:r w:rsidRPr="00A23CC8">
              <w:rPr>
                <w:rFonts w:ascii="Times New Roman" w:eastAsia="Times New Roman" w:hAnsi="Times New Roman"/>
                <w:bCs/>
                <w:iCs/>
                <w:sz w:val="20"/>
                <w:szCs w:val="20"/>
                <w:lang w:val="ro-MD"/>
              </w:rPr>
              <w:t xml:space="preserve">este prevăzut, că </w:t>
            </w:r>
            <w:r w:rsidRPr="00A23CC8">
              <w:rPr>
                <w:rFonts w:ascii="Times New Roman" w:eastAsia="Times New Roman" w:hAnsi="Times New Roman"/>
                <w:bCs/>
                <w:i/>
                <w:iCs/>
                <w:sz w:val="20"/>
                <w:szCs w:val="20"/>
                <w:lang w:val="ro-MD"/>
              </w:rPr>
              <w:t>cadrul normativ actual nu reglementează suficient aspectele legate de posibilitatea comercializării semințelor pentru care a fost depusă o cerere de înscriere în Catalogul soiurilor de plante, ceea ce limitează accesul rapid al fermierilor la material semincer diversificat și adaptat condițiilor locale</w:t>
            </w:r>
            <w:r w:rsidRPr="00A23CC8">
              <w:rPr>
                <w:rFonts w:ascii="Times New Roman" w:eastAsia="Times New Roman" w:hAnsi="Times New Roman"/>
                <w:bCs/>
                <w:iCs/>
                <w:sz w:val="20"/>
                <w:szCs w:val="20"/>
                <w:lang w:val="ro-MD"/>
              </w:rPr>
              <w:t xml:space="preserve">. Informația respectivă, de asemenea necesită a fi clarificată în contextul prevederilor alin. (2) al art. 9 din Legea nr. 68/2013, care stabilesc că sânt admise pentru comercializare, multiplicare şi utilizare în scop de înființare a plantațiilor de producție-marfă doar semințele de soiuri înregistrate în Catalogul soiurilor de plante. Recomandare valabilă și pentru informația de la sub punctul 3.1, conform căreia </w:t>
            </w:r>
            <w:r w:rsidRPr="00A23CC8">
              <w:rPr>
                <w:rFonts w:ascii="Times New Roman" w:eastAsia="Times New Roman" w:hAnsi="Times New Roman"/>
                <w:bCs/>
                <w:i/>
                <w:iCs/>
                <w:sz w:val="20"/>
                <w:szCs w:val="20"/>
                <w:lang w:val="ro-MD"/>
              </w:rPr>
              <w:t>un alt element important introdus prin proiect se referă la posibilitatea comercializării provizorii a semințelor care aparțin unor soiuri pentru care a fost depusă o cerere de înscriere în Catalogul soiurilor de plante. Această reglementare, care se va aplica în modul stabilit de Guvern, permite fermierilor acces rapid la material semincer diversificat și inovativ, chiar înainte de finalizarea procedurii de înscriere</w:t>
            </w:r>
            <w:r w:rsidRPr="00A23CC8">
              <w:rPr>
                <w:rFonts w:ascii="Times New Roman" w:eastAsia="Times New Roman" w:hAnsi="Times New Roman"/>
                <w:bCs/>
                <w:iCs/>
                <w:sz w:val="20"/>
                <w:szCs w:val="20"/>
                <w:lang w:val="ro-MD"/>
              </w:rPr>
              <w:t>. La acest sub punct se recomandă de expus clar și concis problema/problemele, care necesită a fi soluționate. De asemenea, la acest sub punct se vor descrie părțile interesate care sunt afectate de probleme.</w:t>
            </w:r>
          </w:p>
        </w:tc>
        <w:tc>
          <w:tcPr>
            <w:tcW w:w="1607" w:type="pct"/>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2B8138C" w14:textId="57852DEE" w:rsidR="009D6983" w:rsidRPr="00A23CC8" w:rsidRDefault="009056C4"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completată Nota de fundamentare.</w:t>
            </w:r>
          </w:p>
        </w:tc>
      </w:tr>
      <w:tr w:rsidR="001C0794" w:rsidRPr="00A23CC8" w14:paraId="4D593B39"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332649B7"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EE6B643" w14:textId="62EE4A7B"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41</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40CC9B" w14:textId="77777777" w:rsidR="009D6983" w:rsidRPr="00A23CC8" w:rsidRDefault="009D6983" w:rsidP="00E729DD">
            <w:pPr>
              <w:pStyle w:val="NormalWeb"/>
              <w:ind w:firstLine="0"/>
              <w:rPr>
                <w:rFonts w:ascii="Times New Roman" w:eastAsia="Times New Roman" w:hAnsi="Times New Roman"/>
                <w:bCs/>
                <w:i/>
                <w:iCs/>
                <w:sz w:val="20"/>
                <w:szCs w:val="20"/>
                <w:lang w:val="ro-MD"/>
              </w:rPr>
            </w:pPr>
            <w:r w:rsidRPr="00A23CC8">
              <w:rPr>
                <w:rFonts w:ascii="Times New Roman" w:eastAsia="Times New Roman" w:hAnsi="Times New Roman"/>
                <w:bCs/>
                <w:i/>
                <w:iCs/>
                <w:sz w:val="20"/>
                <w:szCs w:val="20"/>
                <w:lang w:val="ro-MD"/>
              </w:rPr>
              <w:t xml:space="preserve">Obiectivele urmărite şi soluțiile propuse </w:t>
            </w:r>
          </w:p>
          <w:p w14:paraId="53EB1ECD" w14:textId="25035523" w:rsidR="009D6983" w:rsidRPr="00A23CC8" w:rsidRDefault="009D6983" w:rsidP="00E729DD">
            <w:pPr>
              <w:pStyle w:val="NormalWeb"/>
              <w:ind w:firstLine="0"/>
              <w:rPr>
                <w:rFonts w:ascii="Times New Roman" w:hAnsi="Times New Roman"/>
                <w:bCs/>
                <w:iCs/>
                <w:sz w:val="20"/>
                <w:szCs w:val="20"/>
                <w:lang w:val="ro-MD"/>
              </w:rPr>
            </w:pPr>
            <w:r w:rsidRPr="00A23CC8">
              <w:rPr>
                <w:rFonts w:ascii="Times New Roman" w:eastAsia="Times New Roman" w:hAnsi="Times New Roman"/>
                <w:bCs/>
                <w:iCs/>
                <w:sz w:val="20"/>
                <w:szCs w:val="20"/>
                <w:lang w:val="ro-MD"/>
              </w:rPr>
              <w:t>La acest compartiment este necesar de prezentat informație referitor la obiectiv/obiective, care trebuie să fie legate de problema definită. Totodată, obiectivele şi rezultatele scontate trebuie expuse în mod măsurabil, realist, cuantificat şi fixat în timp.</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097EFA" w14:textId="5B2D966C" w:rsidR="009D6983" w:rsidRPr="00A23CC8" w:rsidRDefault="00AC542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w:t>
            </w:r>
          </w:p>
        </w:tc>
      </w:tr>
      <w:tr w:rsidR="001C0794" w:rsidRPr="00A23CC8" w14:paraId="5A9CCB2C"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1B7540F5"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7C49BD6F" w14:textId="6AAC4D36"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42</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6A2E66" w14:textId="6FEC4316" w:rsidR="009D6983" w:rsidRPr="00A23CC8" w:rsidRDefault="009D6983" w:rsidP="00E729DD">
            <w:pPr>
              <w:pStyle w:val="NormalWeb"/>
              <w:ind w:firstLine="0"/>
              <w:rPr>
                <w:rFonts w:ascii="Times New Roman" w:eastAsia="Times New Roman" w:hAnsi="Times New Roman"/>
                <w:bCs/>
                <w:i/>
                <w:iCs/>
                <w:sz w:val="20"/>
                <w:szCs w:val="20"/>
                <w:lang w:val="ro-MD"/>
              </w:rPr>
            </w:pPr>
            <w:r w:rsidRPr="00A23CC8">
              <w:rPr>
                <w:rFonts w:ascii="Times New Roman" w:eastAsia="Times New Roman" w:hAnsi="Times New Roman"/>
                <w:bCs/>
                <w:i/>
                <w:iCs/>
                <w:sz w:val="20"/>
                <w:szCs w:val="20"/>
                <w:lang w:val="ro-MD"/>
              </w:rPr>
              <w:t>Analiza impactului de reglementare</w:t>
            </w:r>
          </w:p>
          <w:p w14:paraId="33F541A3" w14:textId="55D69AF4" w:rsidR="009D6983" w:rsidRPr="00A23CC8" w:rsidRDefault="009D6983" w:rsidP="00E729DD">
            <w:pPr>
              <w:pStyle w:val="NormalWeb"/>
              <w:ind w:firstLine="0"/>
              <w:rPr>
                <w:rFonts w:ascii="Times New Roman" w:hAnsi="Times New Roman"/>
                <w:bCs/>
                <w:iCs/>
                <w:sz w:val="20"/>
                <w:szCs w:val="20"/>
                <w:lang w:val="ro-MD"/>
              </w:rPr>
            </w:pPr>
            <w:r w:rsidRPr="00A23CC8">
              <w:rPr>
                <w:rFonts w:ascii="Times New Roman" w:eastAsia="Times New Roman" w:hAnsi="Times New Roman"/>
                <w:bCs/>
                <w:iCs/>
                <w:sz w:val="20"/>
                <w:szCs w:val="20"/>
                <w:lang w:val="ro-MD"/>
              </w:rPr>
              <w:t xml:space="preserve">Se recomandă de prezentat la sub punctul 4.3 informație referitor la costurile cuantificate pentru mediul de afaceri sau lipsa a cestora. </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E3DCDC" w14:textId="0F3690BF" w:rsidR="009D6983" w:rsidRPr="00A23CC8" w:rsidRDefault="0041175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completată Nota de fundamentare.</w:t>
            </w:r>
          </w:p>
        </w:tc>
      </w:tr>
      <w:tr w:rsidR="001C0794" w:rsidRPr="00A23CC8" w14:paraId="74A3BDFC"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78DD9EC8"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9215BEF" w14:textId="6F1B0C79"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43</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6B2681" w14:textId="77777777" w:rsidR="009D6983" w:rsidRPr="00A23CC8" w:rsidRDefault="009D6983" w:rsidP="00E729DD">
            <w:pPr>
              <w:pStyle w:val="NormalWeb"/>
              <w:ind w:firstLine="0"/>
              <w:rPr>
                <w:rFonts w:ascii="Times New Roman" w:eastAsia="Times New Roman" w:hAnsi="Times New Roman"/>
                <w:bCs/>
                <w:i/>
                <w:iCs/>
                <w:sz w:val="20"/>
                <w:szCs w:val="20"/>
                <w:lang w:val="ro-MD"/>
              </w:rPr>
            </w:pPr>
            <w:r w:rsidRPr="00A23CC8">
              <w:rPr>
                <w:rFonts w:ascii="Times New Roman" w:eastAsia="Times New Roman" w:hAnsi="Times New Roman"/>
                <w:bCs/>
                <w:i/>
                <w:iCs/>
                <w:sz w:val="20"/>
                <w:szCs w:val="20"/>
                <w:lang w:val="ro-MD"/>
              </w:rPr>
              <w:t>Avizarea și consultarea publică a proiectului actului normativ</w:t>
            </w:r>
          </w:p>
          <w:p w14:paraId="3FD0D4A3" w14:textId="7DFB1C9B" w:rsidR="009D6983" w:rsidRPr="00A23CC8" w:rsidRDefault="009D6983" w:rsidP="00E729DD">
            <w:pPr>
              <w:pStyle w:val="NormalWeb"/>
              <w:ind w:firstLine="0"/>
              <w:rPr>
                <w:rFonts w:ascii="Times New Roman" w:eastAsia="Times New Roman" w:hAnsi="Times New Roman"/>
                <w:sz w:val="20"/>
                <w:szCs w:val="20"/>
                <w:lang w:val="ro-MD"/>
              </w:rPr>
            </w:pPr>
            <w:r w:rsidRPr="00A23CC8">
              <w:rPr>
                <w:rFonts w:ascii="Times New Roman" w:eastAsia="Times New Roman" w:hAnsi="Times New Roman"/>
                <w:sz w:val="20"/>
                <w:szCs w:val="20"/>
                <w:lang w:val="ro-MD"/>
              </w:rPr>
              <w:t>La acest compartiment este prezentată informația doar referitor la publicarea anunțului de inițiere a elaborării proiectului și este necesar de prevăzut linkul, prin care poate fi nemijlocit accesat proiectul și Nota de fundamentare. Totodată, se recomandă organizarea consultărilor publice a proiectului și Notei de fundamentare cu reprezentanții mediului de afaceri, fiind expuse rezultatele acestor consultări.a</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7A51DF" w14:textId="1F02DD0B" w:rsidR="009D6983" w:rsidRPr="00A23CC8" w:rsidRDefault="00411755"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 a fost completată Nota de fundamentare</w:t>
            </w:r>
            <w:r w:rsidR="00AC5428" w:rsidRPr="00A23CC8">
              <w:rPr>
                <w:rFonts w:ascii="Times New Roman" w:hAnsi="Times New Roman"/>
                <w:lang w:val="ro-RO"/>
              </w:rPr>
              <w:t xml:space="preserve"> și publicat anunțul </w:t>
            </w:r>
            <w:r w:rsidRPr="00A23CC8">
              <w:rPr>
                <w:rFonts w:ascii="Times New Roman" w:hAnsi="Times New Roman"/>
                <w:lang w:val="ro-RO"/>
              </w:rPr>
              <w:t>.</w:t>
            </w:r>
          </w:p>
        </w:tc>
      </w:tr>
      <w:tr w:rsidR="001C0794" w:rsidRPr="00A23CC8" w14:paraId="002810E7"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E37E010"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S.C.„DIOLSEM”S.R.L.</w:t>
            </w:r>
          </w:p>
          <w:p w14:paraId="7C0007F6" w14:textId="50AAB5BF"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 02/1-1-46 din 05.02.2026</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83E61E4" w14:textId="7BBA6175"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44</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3E27E3" w14:textId="1C02DDCD" w:rsidR="009D6983"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 xml:space="preserve">Art. 9, alin. (2), se completează cu următorul text „Ca excepție sunt admise pentru comercializare semințele importate în condițiile prevăzute în art. 11, alin. (2), lit. c)”. În acest sens, menționăm că potrivit art. 11, alin. (2), lit. c) </w:t>
            </w:r>
            <w:proofErr w:type="gramStart"/>
            <w:r w:rsidRPr="00A23CC8">
              <w:rPr>
                <w:rFonts w:ascii="Times New Roman" w:hAnsi="Times New Roman"/>
              </w:rPr>
              <w:t>din</w:t>
            </w:r>
            <w:proofErr w:type="gramEnd"/>
            <w:r w:rsidRPr="00A23CC8">
              <w:rPr>
                <w:rFonts w:ascii="Times New Roman" w:hAnsi="Times New Roman"/>
              </w:rPr>
              <w:t xml:space="preserve"> Legea nr. </w:t>
            </w:r>
            <w:proofErr w:type="gramStart"/>
            <w:r w:rsidRPr="00A23CC8">
              <w:rPr>
                <w:rFonts w:ascii="Times New Roman" w:hAnsi="Times New Roman"/>
              </w:rPr>
              <w:t xml:space="preserve">68/2013 despre semințe </w:t>
            </w:r>
            <w:r w:rsidRPr="00A23CC8">
              <w:rPr>
                <w:rFonts w:ascii="Times New Roman" w:hAnsi="Times New Roman"/>
              </w:rPr>
              <w:lastRenderedPageBreak/>
              <w:t>„Este admis importul semințelor soiurilor de plante care nu sunt înregistrate în Catalogul soiurilor, Catalogul comun al soiurilor de plante agricole al Uniunii Europene (The Common Catalogue of Varieties of Agricultural Plant Species), Catalogul comun al soiurilor de specii de legume al Uniunii Europene (The Common Catalogue of Varieties of Vegetable Species), Catalogul comun al soiurilor de viță-de-vie al Uniunii Europene (The Common Catalogue of Varieties of Vine) și/sau în Sistemul informațional al materialului de înmulțire și plantare fructifer FRUMATIS (Fruit Reproductive Material Information System) dacă semințele sunt destinate suplimentării unei varietăți reprezentate cu mai puțin de 10 soiuri în Catalogul soiurilor”.</w:t>
            </w:r>
            <w:proofErr w:type="gramEnd"/>
            <w:r w:rsidRPr="00A23CC8">
              <w:rPr>
                <w:rFonts w:ascii="Times New Roman" w:hAnsi="Times New Roman"/>
              </w:rPr>
              <w:t xml:space="preserve"> Însă la adoptarea aceste prevederi, a fost admis un vid legislative și nu a fost prevăzut dreptul de a comercializa semințele prenotate.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8D3B47" w14:textId="268D511D" w:rsidR="009D6983" w:rsidRPr="00A23CC8" w:rsidRDefault="00985493" w:rsidP="00985493">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lastRenderedPageBreak/>
              <w:t xml:space="preserve">Se acceptă, proiectul a fost completat cu: </w:t>
            </w:r>
            <w:proofErr w:type="gramStart"/>
            <w:r w:rsidRPr="00A23CC8">
              <w:rPr>
                <w:rFonts w:ascii="Times New Roman" w:hAnsi="Times New Roman"/>
              </w:rPr>
              <w:t>„(</w:t>
            </w:r>
            <w:proofErr w:type="gramEnd"/>
            <w:r w:rsidRPr="00A23CC8">
              <w:rPr>
                <w:rFonts w:ascii="Times New Roman" w:hAnsi="Times New Roman"/>
              </w:rPr>
              <w:t>2</w:t>
            </w:r>
            <w:r w:rsidRPr="00A23CC8">
              <w:rPr>
                <w:rFonts w:ascii="Times New Roman" w:hAnsi="Times New Roman"/>
                <w:vertAlign w:val="superscript"/>
              </w:rPr>
              <w:t>3</w:t>
            </w:r>
            <w:r w:rsidRPr="00A23CC8">
              <w:rPr>
                <w:rFonts w:ascii="Times New Roman" w:hAnsi="Times New Roman"/>
              </w:rPr>
              <w:t>) Prin derogare de la alin (2), sunt admise pentru comercializare semințele importate în condițiile prevăzute în art. 11, alin. (2), lit. c)”</w:t>
            </w:r>
          </w:p>
        </w:tc>
      </w:tr>
      <w:tr w:rsidR="001C0794" w:rsidRPr="00A23CC8" w14:paraId="7485A42A"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1E16DA2"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037DD35" w14:textId="3839CE19"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45</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2E0FAD" w14:textId="4845E60D" w:rsidR="009D6983"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Textul propus pentru art. 9, alin. (13), lit. b) să fie modificat și expus în următoarea redacție „semințele importate din statele membre ale Uniunii Europene, precum și cele provenite din alte state membre ale Asociației Internaționale pentru Testarea Semințelor (ISTA) și ale Organizației pentru Cooperare și Dezvoltare Economică (în continuare – OECD) cu scop de multiplicare, se comercializează în baza documentelor de identitate/varietate ale soiurilor/hibrizilor prevăzute de OECD și a documentelor de calitate prevăzute de ISTA, eliberate de autoritatea competentă a statului exportator;”</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1C1605" w14:textId="76F1C43B" w:rsidR="009D6983" w:rsidRPr="00A23CC8" w:rsidRDefault="00985493" w:rsidP="00985493">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Se acceptă. A fost expus în redacție nouă.</w:t>
            </w:r>
          </w:p>
        </w:tc>
      </w:tr>
      <w:tr w:rsidR="001C0794" w:rsidRPr="00A23CC8" w14:paraId="6FC8FD9E"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FDC5FDA"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4560EA1" w14:textId="1CA47405"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46</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B2AA57" w14:textId="54111D4A" w:rsidR="00226429"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 xml:space="preserve">Textul propus pentru art. 9, alin. (13) </w:t>
            </w:r>
            <w:proofErr w:type="gramStart"/>
            <w:r w:rsidRPr="00A23CC8">
              <w:rPr>
                <w:rFonts w:ascii="Times New Roman" w:hAnsi="Times New Roman"/>
              </w:rPr>
              <w:t>să</w:t>
            </w:r>
            <w:proofErr w:type="gramEnd"/>
            <w:r w:rsidRPr="00A23CC8">
              <w:rPr>
                <w:rFonts w:ascii="Times New Roman" w:hAnsi="Times New Roman"/>
              </w:rPr>
              <w:t xml:space="preserve"> fie completat cu o nouă literă „d”, care va avea următorul cuprins </w:t>
            </w:r>
            <w:r w:rsidR="00226429" w:rsidRPr="00A23CC8">
              <w:rPr>
                <w:rFonts w:ascii="Times New Roman" w:hAnsi="Times New Roman"/>
              </w:rPr>
              <w:t>„În situațiile neprevăzute la lit. a), b) și c), semințele se plasează pe piață cu condiția obținerii certificatului de calitate a semințelor sau a buletinului de analiză a semințelor, eliberate de autoritatea competentă din Republica Moldova.”</w:t>
            </w:r>
          </w:p>
          <w:p w14:paraId="147C0790" w14:textId="13E85BA9" w:rsidR="009D6983"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În acest sens Vă informăm că laboratoarele unor țări precum Ucraina, care sunt membri ISTA nu dețin în domeniul de acreditare determinarea germinației la semințe de legume. În susținerea acestui fapt, anexăm scrisoarea emisă de laboratorul respectiv, prin care se confirmă lipsa acreditării pentru categoria menționată.</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3AE751" w14:textId="4387AE26" w:rsidR="009D6983" w:rsidRPr="00A23CC8" w:rsidRDefault="00256DEB"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 xml:space="preserve">Se acceptă, a fost completat </w:t>
            </w:r>
            <w:r w:rsidR="003417C0" w:rsidRPr="00A23CC8">
              <w:rPr>
                <w:rFonts w:ascii="Times New Roman" w:hAnsi="Times New Roman"/>
              </w:rPr>
              <w:t>proiectul</w:t>
            </w:r>
            <w:r w:rsidRPr="00A23CC8">
              <w:rPr>
                <w:rFonts w:ascii="Times New Roman" w:hAnsi="Times New Roman"/>
              </w:rPr>
              <w:t xml:space="preserve">. </w:t>
            </w:r>
          </w:p>
        </w:tc>
      </w:tr>
      <w:tr w:rsidR="001C0794" w:rsidRPr="00A23CC8" w14:paraId="15CE6E4C"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449B880"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3B37BA47" w14:textId="6C039C9C" w:rsidR="009D6983" w:rsidRPr="00A23CC8" w:rsidRDefault="00DC5936"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47</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1090FF" w14:textId="77777777" w:rsidR="009D6983"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 xml:space="preserve">Punctul 11 din proiect să fie modificat și expus în următoarea redacție „Prezenta lege intră în vigoare la expirarea a 6 luni de la data publicării în Monitorul Oficial al Republicii Moldova, cu excepția prevederilor pct. 3.3 care intră în vigoare la data publicării în Monitorul Oficial al Republicii Moldova.”  </w:t>
            </w:r>
          </w:p>
          <w:p w14:paraId="63F1FCF9" w14:textId="7F9781AA" w:rsidR="009D6983" w:rsidRPr="00A23CC8" w:rsidRDefault="009D6983"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Concomitent propunem modificarea numerotării subpunctelor la punctul 3 din proiect.</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82CBB9" w14:textId="766E4CB2" w:rsidR="009D6983" w:rsidRPr="00A23CC8" w:rsidRDefault="0089756B"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Se acceptă, a fost completat.</w:t>
            </w:r>
          </w:p>
        </w:tc>
      </w:tr>
      <w:tr w:rsidR="0023107C" w:rsidRPr="00A23CC8" w14:paraId="60EF8AEF"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E08C798" w14:textId="77777777" w:rsidR="0023107C" w:rsidRPr="00A23CC8" w:rsidRDefault="0023107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lastRenderedPageBreak/>
              <w:t>Asociația Producătorilor și Exportatorilor de Fructe „Moldova Fruct”</w:t>
            </w:r>
          </w:p>
          <w:p w14:paraId="005F41D9" w14:textId="53C72507" w:rsidR="0023107C" w:rsidRPr="00A23CC8" w:rsidRDefault="0023107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 12 din 18 februarie 2025</w:t>
            </w: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16DC5A5" w14:textId="19E45C1B" w:rsidR="0023107C" w:rsidRPr="00A23CC8" w:rsidRDefault="0023107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48</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444467" w14:textId="43C58D29" w:rsidR="0023107C" w:rsidRPr="00A23CC8" w:rsidRDefault="0023107C"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 xml:space="preserve">Excluderea propunerilor autorului de modificare </w:t>
            </w:r>
            <w:proofErr w:type="gramStart"/>
            <w:r w:rsidRPr="00A23CC8">
              <w:rPr>
                <w:rFonts w:ascii="Times New Roman" w:hAnsi="Times New Roman"/>
              </w:rPr>
              <w:t>a</w:t>
            </w:r>
            <w:proofErr w:type="gramEnd"/>
            <w:r w:rsidRPr="00A23CC8">
              <w:rPr>
                <w:rFonts w:ascii="Times New Roman" w:hAnsi="Times New Roman"/>
              </w:rPr>
              <w:t xml:space="preserve"> Articolul 9 (al.2). Excluderea din redacția </w:t>
            </w:r>
            <w:proofErr w:type="gramStart"/>
            <w:r w:rsidRPr="00A23CC8">
              <w:rPr>
                <w:rFonts w:ascii="Times New Roman" w:hAnsi="Times New Roman"/>
              </w:rPr>
              <w:t>a</w:t>
            </w:r>
            <w:proofErr w:type="gramEnd"/>
            <w:r w:rsidRPr="00A23CC8">
              <w:rPr>
                <w:rFonts w:ascii="Times New Roman" w:hAnsi="Times New Roman"/>
              </w:rPr>
              <w:t xml:space="preserve"> Alin. </w:t>
            </w:r>
            <w:proofErr w:type="gramStart"/>
            <w:r w:rsidRPr="00A23CC8">
              <w:rPr>
                <w:rFonts w:ascii="Times New Roman" w:hAnsi="Times New Roman"/>
              </w:rPr>
              <w:t>2 ,</w:t>
            </w:r>
            <w:proofErr w:type="gramEnd"/>
            <w:r w:rsidRPr="00A23CC8">
              <w:rPr>
                <w:rFonts w:ascii="Times New Roman" w:hAnsi="Times New Roman"/>
              </w:rPr>
              <w:t xml:space="preserve"> a Art. </w:t>
            </w:r>
            <w:proofErr w:type="gramStart"/>
            <w:r w:rsidRPr="00A23CC8">
              <w:rPr>
                <w:rFonts w:ascii="Times New Roman" w:hAnsi="Times New Roman"/>
              </w:rPr>
              <w:t>9 Legii 68/2013 a textului: „</w:t>
            </w:r>
            <w:bookmarkStart w:id="5" w:name="_Hlk223170269"/>
            <w:r w:rsidRPr="00A23CC8">
              <w:rPr>
                <w:rFonts w:ascii="Times New Roman" w:hAnsi="Times New Roman"/>
              </w:rPr>
              <w:t>de plante agricole al Uniunii Europene (The Common Catalogue of Varieties of Agricultural Plant Species), Catalogul soiurilor de specii de legume al Uniunii Europene (The Catalogue of Varieties of Vegetable Species), Catalogul comun al soiurilor de viță de vie al Uniunii Europene (The Common Catalogue of Varieties of Vine) și/sau în Sistemul informațional al materialului de înmulțire și plantare fructifer FRUMATIS (Fruit Reproductive Material Information System)</w:t>
            </w:r>
            <w:bookmarkEnd w:id="5"/>
            <w:r w:rsidRPr="00A23CC8">
              <w:rPr>
                <w:rFonts w:ascii="Times New Roman" w:hAnsi="Times New Roman"/>
              </w:rPr>
              <w:t>”, va crea incertitudine la aplicarea prevederilor acestui articol, și poate conduce la re-apariția impedimentelor legislative, care prin acest text au fost eliminate în anul 2018.</w:t>
            </w:r>
            <w:proofErr w:type="gramEnd"/>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00F624" w14:textId="1F528E0A" w:rsidR="0023107C" w:rsidRPr="00A23CC8" w:rsidRDefault="0089756B"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Se acceptă partial, a fost expusă difiniția în redacție nouă cu includerea cataloagelor.</w:t>
            </w:r>
          </w:p>
        </w:tc>
      </w:tr>
      <w:tr w:rsidR="0023107C" w:rsidRPr="00A23CC8" w14:paraId="6B92C965"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05481505" w14:textId="77777777" w:rsidR="0023107C" w:rsidRPr="00A23CC8" w:rsidRDefault="0023107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395B2620" w14:textId="0CC533EA" w:rsidR="0023107C" w:rsidRPr="00A23CC8" w:rsidRDefault="0023107C"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49</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D27423" w14:textId="4C99433E" w:rsidR="0023107C" w:rsidRPr="00A23CC8" w:rsidRDefault="0023107C" w:rsidP="00E729DD">
            <w:pPr>
              <w:pBdr>
                <w:top w:val="none" w:sz="4" w:space="0" w:color="000000"/>
                <w:left w:val="none" w:sz="4" w:space="0" w:color="000000"/>
                <w:bottom w:val="none" w:sz="4" w:space="0" w:color="000000"/>
                <w:right w:val="none" w:sz="4" w:space="0" w:color="000000"/>
              </w:pBdr>
              <w:tabs>
                <w:tab w:val="left" w:pos="1335"/>
              </w:tabs>
              <w:ind w:firstLine="0"/>
              <w:rPr>
                <w:rFonts w:ascii="Times New Roman" w:hAnsi="Times New Roman"/>
              </w:rPr>
            </w:pPr>
            <w:r w:rsidRPr="00A23CC8">
              <w:rPr>
                <w:rFonts w:ascii="Times New Roman" w:hAnsi="Times New Roman"/>
              </w:rPr>
              <w:t xml:space="preserve">Completarea Alin. 2, </w:t>
            </w:r>
            <w:proofErr w:type="gramStart"/>
            <w:r w:rsidRPr="00A23CC8">
              <w:rPr>
                <w:rFonts w:ascii="Times New Roman" w:hAnsi="Times New Roman"/>
              </w:rPr>
              <w:t>a</w:t>
            </w:r>
            <w:proofErr w:type="gramEnd"/>
            <w:r w:rsidRPr="00A23CC8">
              <w:rPr>
                <w:rFonts w:ascii="Times New Roman" w:hAnsi="Times New Roman"/>
              </w:rPr>
              <w:t xml:space="preserve"> Art. 9 în redacția actuală a Legii 68/2013 cu textul</w:t>
            </w:r>
            <w:proofErr w:type="gramStart"/>
            <w:r w:rsidRPr="00A23CC8">
              <w:rPr>
                <w:rFonts w:ascii="Times New Roman" w:hAnsi="Times New Roman"/>
              </w:rPr>
              <w:t>: ”</w:t>
            </w:r>
            <w:bookmarkStart w:id="6" w:name="_Hlk223170395"/>
            <w:proofErr w:type="gramEnd"/>
            <w:r w:rsidRPr="00A23CC8">
              <w:rPr>
                <w:rFonts w:ascii="Times New Roman" w:hAnsi="Times New Roman"/>
              </w:rPr>
              <w:t xml:space="preserve">Registrul (baza de date) a Oficiului Comunitar pentru Soiuri de Plante (OCSP/CPVO) </w:t>
            </w:r>
            <w:bookmarkEnd w:id="6"/>
            <w:r w:rsidRPr="00A23CC8">
              <w:rPr>
                <w:rFonts w:ascii="Times New Roman" w:hAnsi="Times New Roman"/>
              </w:rPr>
              <w:t xml:space="preserve">în lista cataloagelor comunitare. Aceasta este necesar deoarece legislația comunitară și națională (de ex. </w:t>
            </w:r>
            <w:proofErr w:type="gramStart"/>
            <w:r w:rsidRPr="00A23CC8">
              <w:rPr>
                <w:rFonts w:ascii="Times New Roman" w:hAnsi="Times New Roman"/>
              </w:rPr>
              <w:t>HG 94/2024</w:t>
            </w:r>
            <w:proofErr w:type="gramEnd"/>
            <w:r w:rsidRPr="00A23CC8">
              <w:rPr>
                <w:rFonts w:ascii="Times New Roman" w:hAnsi="Times New Roman"/>
              </w:rPr>
              <w:t>, art. 148 și altele) permit plasarea pe piață a semințelor și materialului de înmulțire și de plantare care constituie obiectul unei protecții juridice a soiurilor de plante.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BE4CBD" w14:textId="449D6464" w:rsidR="0023107C" w:rsidRPr="00A23CC8" w:rsidRDefault="0089756B"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Se acceptă, a fost completat.</w:t>
            </w:r>
          </w:p>
        </w:tc>
      </w:tr>
      <w:tr w:rsidR="009D6983" w:rsidRPr="00A23CC8" w14:paraId="49AEDAAA" w14:textId="77777777" w:rsidTr="0061267D">
        <w:tc>
          <w:tcPr>
            <w:tcW w:w="5000" w:type="pct"/>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F89667" w14:textId="7CF14597" w:rsidR="009D6983" w:rsidRPr="00A23CC8" w:rsidRDefault="009D698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A23CC8">
              <w:rPr>
                <w:rFonts w:ascii="Times New Roman" w:eastAsia="Times New Roman" w:hAnsi="Times New Roman"/>
                <w:lang w:val="ro-RO"/>
              </w:rPr>
              <w:t xml:space="preserve">Avizare </w:t>
            </w:r>
            <w:r w:rsidRPr="00A23CC8">
              <w:rPr>
                <w:rFonts w:ascii="Times New Roman" w:hAnsi="Times New Roman"/>
                <w:lang w:val="ro-RO"/>
              </w:rPr>
              <w:t>și consultare publică repetată</w:t>
            </w:r>
          </w:p>
        </w:tc>
      </w:tr>
      <w:tr w:rsidR="00B616A0" w:rsidRPr="00A23CC8" w14:paraId="54F14D54" w14:textId="77777777" w:rsidTr="0061267D">
        <w:tc>
          <w:tcPr>
            <w:tcW w:w="960" w:type="pct"/>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282E1771" w14:textId="77777777" w:rsidR="00B616A0" w:rsidRPr="00A23CC8" w:rsidRDefault="00B616A0" w:rsidP="00B426FA">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lang w:val="ro-RO"/>
              </w:rPr>
            </w:pPr>
            <w:r w:rsidRPr="00A23CC8">
              <w:rPr>
                <w:rFonts w:ascii="Times New Roman" w:eastAsia="Times New Roman" w:hAnsi="Times New Roman"/>
                <w:lang w:val="ro-RO"/>
              </w:rPr>
              <w:t>Centrul de Armonizare a Legislației</w:t>
            </w:r>
          </w:p>
          <w:p w14:paraId="54078A9E" w14:textId="591559A3" w:rsidR="00B616A0" w:rsidRPr="00A23CC8" w:rsidRDefault="00B616A0" w:rsidP="00B426FA">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Nr. 31/02-69-2953 din 16 martie 2026</w:t>
            </w: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5DA797" w14:textId="1D6A61F0" w:rsidR="00B616A0" w:rsidRPr="00A23CC8" w:rsidRDefault="00B616A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50</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F31DAD" w14:textId="2B61FA76" w:rsidR="00B616A0" w:rsidRPr="00A23CC8" w:rsidRDefault="00B616A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roofErr w:type="gramStart"/>
            <w:r w:rsidRPr="00A23CC8">
              <w:rPr>
                <w:rFonts w:ascii="Times New Roman" w:hAnsi="Times New Roman"/>
              </w:rPr>
              <w:t>art</w:t>
            </w:r>
            <w:proofErr w:type="gramEnd"/>
            <w:r w:rsidRPr="00A23CC8">
              <w:rPr>
                <w:rFonts w:ascii="Times New Roman" w:hAnsi="Times New Roman"/>
              </w:rPr>
              <w:t>. 1, care stabilește principiul echivalenței inspecțiilor în câmp pentru semințele importate, astfel, art. 20</w:t>
            </w:r>
            <w:r w:rsidRPr="00A23CC8">
              <w:rPr>
                <w:rFonts w:ascii="Times New Roman" w:hAnsi="Times New Roman"/>
                <w:vertAlign w:val="superscript"/>
              </w:rPr>
              <w:t>1</w:t>
            </w:r>
            <w:r w:rsidRPr="00A23CC8">
              <w:rPr>
                <w:rFonts w:ascii="Times New Roman" w:hAnsi="Times New Roman"/>
              </w:rPr>
              <w:t xml:space="preserve"> din Legea nr. 68/2013 transpune parțial art. 1 din Decizia UE, prevederile art. 20</w:t>
            </w:r>
            <w:r w:rsidRPr="00A23CC8">
              <w:rPr>
                <w:rFonts w:ascii="Times New Roman" w:hAnsi="Times New Roman"/>
                <w:vertAlign w:val="superscript"/>
              </w:rPr>
              <w:t>1</w:t>
            </w:r>
            <w:r w:rsidRPr="00A23CC8">
              <w:rPr>
                <w:rFonts w:ascii="Times New Roman" w:hAnsi="Times New Roman"/>
              </w:rPr>
              <w:t xml:space="preserve"> stabilesc echivalența inspecțiilor în câmp inspecțiilor efectuate în oricare stat terț care respectă cele 2 condiții cumulative, cu prezumția de echivalență pentru cele care deja au fost considerate echivalente în cadrul UE. Abordarea UE este diferită de cea națională, ori sunt recunoscute ca echivalente acele inspecții în câmp care sunt realizate doar în anumite țări terțe, listate expres în Anexa I și inspectate de către anumite autorități oficiale, la fel stabilite expres de Anexa I;</w:t>
            </w:r>
          </w:p>
        </w:tc>
        <w:tc>
          <w:tcPr>
            <w:tcW w:w="1607" w:type="pct"/>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46081A34" w14:textId="59F57773" w:rsidR="00B616A0" w:rsidRDefault="00B616A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Pr>
                <w:rFonts w:ascii="Times New Roman" w:hAnsi="Times New Roman"/>
                <w:lang w:val="ro-RO"/>
              </w:rPr>
              <w:t>N</w:t>
            </w:r>
            <w:r w:rsidR="00CE2E00">
              <w:rPr>
                <w:rFonts w:ascii="Times New Roman" w:hAnsi="Times New Roman"/>
                <w:lang w:val="ro-RO"/>
              </w:rPr>
              <w:t>u se acceptă.</w:t>
            </w:r>
          </w:p>
          <w:p w14:paraId="30C00738" w14:textId="1D39496F" w:rsidR="001A2279" w:rsidRDefault="001A2279" w:rsidP="00CE2E00">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1A2279">
              <w:rPr>
                <w:rFonts w:ascii="Times New Roman" w:hAnsi="Times New Roman"/>
                <w:lang w:val="ro-RO"/>
              </w:rPr>
              <w:t xml:space="preserve">Articolul 20¹ din </w:t>
            </w:r>
            <w:r>
              <w:rPr>
                <w:rFonts w:ascii="Times New Roman" w:hAnsi="Times New Roman"/>
                <w:lang w:val="ro-RO"/>
              </w:rPr>
              <w:t>Legea 68/2013</w:t>
            </w:r>
            <w:r w:rsidRPr="001A2279">
              <w:rPr>
                <w:rFonts w:ascii="Times New Roman" w:hAnsi="Times New Roman"/>
                <w:lang w:val="ro-RO"/>
              </w:rPr>
              <w:t xml:space="preserve"> este parțial armonizat cu</w:t>
            </w:r>
            <w:r>
              <w:rPr>
                <w:rFonts w:ascii="Times New Roman" w:hAnsi="Times New Roman"/>
                <w:lang w:val="ro-RO"/>
              </w:rPr>
              <w:t xml:space="preserve"> articolele 1 și 2 din Decizia 2003/17/CE</w:t>
            </w:r>
            <w:r w:rsidR="00D046AE">
              <w:rPr>
                <w:rFonts w:ascii="Times New Roman" w:hAnsi="Times New Roman"/>
                <w:lang w:val="ro-RO"/>
              </w:rPr>
              <w:t>.</w:t>
            </w:r>
          </w:p>
          <w:p w14:paraId="01AE552E" w14:textId="51E1C789" w:rsidR="00CE2E00" w:rsidRDefault="00CE2E00" w:rsidP="00CE2E00">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CE2E00">
              <w:rPr>
                <w:rFonts w:ascii="Times New Roman" w:hAnsi="Times New Roman"/>
                <w:lang w:val="ro-RO"/>
              </w:rPr>
              <w:t xml:space="preserve">Anexa </w:t>
            </w:r>
            <w:r>
              <w:rPr>
                <w:rFonts w:ascii="Times New Roman" w:hAnsi="Times New Roman"/>
                <w:lang w:val="ro-RO"/>
              </w:rPr>
              <w:t>I</w:t>
            </w:r>
            <w:r w:rsidRPr="00CE2E00">
              <w:rPr>
                <w:rFonts w:ascii="Times New Roman" w:hAnsi="Times New Roman"/>
                <w:lang w:val="ro-RO"/>
              </w:rPr>
              <w:t xml:space="preserve"> nu este un act normativ care trebuie transpus de Republica Moldova în legislația națională, ci o decizie a Uniunii Europene prin care sunt recunoscute anumite state terțe și autoritățile acestora ca fiind echivalente în domeniul certificării semințelor. În acest context, Agenția Națională pentru Siguranța Alimentelor (ANSA) apare ca autoritate competentă pentru Republica Moldova, ceea ce înseamnă că sistemul național de control și certificare a semințelor este considerat compatibil, în anumite limite, cu cerințele europene.</w:t>
            </w:r>
            <w:r>
              <w:t xml:space="preserve"> </w:t>
            </w:r>
            <w:r w:rsidRPr="00CE2E00">
              <w:rPr>
                <w:rFonts w:ascii="Times New Roman" w:hAnsi="Times New Roman"/>
                <w:lang w:val="ro-RO"/>
              </w:rPr>
              <w:t>Includerea Republicii Moldova în anexă are ca efect facilitarea exportului de semințe către piața europeană, în măsura în care acestea respectă directivele menționate.</w:t>
            </w:r>
            <w:r>
              <w:rPr>
                <w:rFonts w:ascii="Times New Roman" w:hAnsi="Times New Roman"/>
                <w:lang w:val="ro-RO"/>
              </w:rPr>
              <w:t xml:space="preserve"> </w:t>
            </w:r>
          </w:p>
          <w:p w14:paraId="00C65D2E" w14:textId="6BCF6765" w:rsidR="001A2279" w:rsidRPr="00A23CC8" w:rsidRDefault="001A2279" w:rsidP="001A2279">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r>
      <w:tr w:rsidR="00B616A0" w:rsidRPr="00A23CC8" w14:paraId="6FCB7B3D" w14:textId="77777777" w:rsidTr="0061267D">
        <w:tc>
          <w:tcPr>
            <w:tcW w:w="960" w:type="pct"/>
            <w:vMerge/>
            <w:tcBorders>
              <w:left w:val="single" w:sz="8" w:space="0" w:color="000000"/>
              <w:right w:val="single" w:sz="8" w:space="0" w:color="000000"/>
            </w:tcBorders>
            <w:tcMar>
              <w:top w:w="0" w:type="dxa"/>
              <w:left w:w="108" w:type="dxa"/>
              <w:bottom w:w="0" w:type="dxa"/>
              <w:right w:w="108" w:type="dxa"/>
            </w:tcMar>
          </w:tcPr>
          <w:p w14:paraId="26DF7B43" w14:textId="77777777" w:rsidR="00B616A0" w:rsidRPr="00A23CC8" w:rsidRDefault="00B616A0" w:rsidP="00B426FA">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888158" w14:textId="321395C3" w:rsidR="00B616A0" w:rsidRPr="00A23CC8" w:rsidRDefault="00B616A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51</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D5AC02" w14:textId="77777777" w:rsidR="00B616A0" w:rsidRPr="00A23CC8" w:rsidRDefault="00B616A0"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roofErr w:type="gramStart"/>
            <w:r w:rsidRPr="00A23CC8">
              <w:rPr>
                <w:rFonts w:ascii="Times New Roman" w:hAnsi="Times New Roman"/>
              </w:rPr>
              <w:t>art</w:t>
            </w:r>
            <w:proofErr w:type="gramEnd"/>
            <w:r w:rsidRPr="00A23CC8">
              <w:rPr>
                <w:rFonts w:ascii="Times New Roman" w:hAnsi="Times New Roman"/>
              </w:rPr>
              <w:t>. 2 din Decizia UE, care stabilește echivalența semințelor provenite doar din anumite țări terțe listate în Anexa II și certificate de anumite autorități oficiale de comun cu prevederea privind condițiile ce trebuie îndeplinite, stabilite de Partea B din Anexa II la Decizia UE, care este transpusă de art. 20</w:t>
            </w:r>
            <w:r w:rsidRPr="00A23CC8">
              <w:rPr>
                <w:rFonts w:ascii="Times New Roman" w:hAnsi="Times New Roman"/>
                <w:vertAlign w:val="superscript"/>
              </w:rPr>
              <w:t>5</w:t>
            </w:r>
            <w:r w:rsidRPr="00A23CC8">
              <w:rPr>
                <w:rFonts w:ascii="Times New Roman" w:hAnsi="Times New Roman"/>
              </w:rPr>
              <w:t xml:space="preserve"> din proiectul național. În cazul netranspunerii acestuia și a Anexei I, obiectivul fixat de act UE nu este atins de proiectul național, fiind lărgit spectrul de state terțe din care se consideră echivalente semințele certificate oficial în comparație cu abordarea limitativă a UE similar abordării privind inspecțiile din art. 20</w:t>
            </w:r>
            <w:r w:rsidRPr="00A23CC8">
              <w:rPr>
                <w:rFonts w:ascii="Times New Roman" w:hAnsi="Times New Roman"/>
                <w:vertAlign w:val="superscript"/>
              </w:rPr>
              <w:t>1</w:t>
            </w:r>
            <w:r w:rsidRPr="00A23CC8">
              <w:rPr>
                <w:rFonts w:ascii="Times New Roman" w:hAnsi="Times New Roman"/>
              </w:rPr>
              <w:t xml:space="preserve"> din Lege.</w:t>
            </w:r>
          </w:p>
          <w:p w14:paraId="1DD6FC2A" w14:textId="1B077E11" w:rsidR="00B616A0" w:rsidRPr="00A23CC8" w:rsidRDefault="00B616A0"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lastRenderedPageBreak/>
              <w:t>În acest context, reiterăm necesitatea transpunerii normelor menționate, fie motivarea nepreluării obiecției în cauză în tabelul de sinteză</w:t>
            </w:r>
          </w:p>
        </w:tc>
        <w:tc>
          <w:tcPr>
            <w:tcW w:w="1607" w:type="pct"/>
            <w:vMerge/>
            <w:tcBorders>
              <w:left w:val="none" w:sz="4" w:space="0" w:color="000000"/>
              <w:bottom w:val="single" w:sz="8" w:space="0" w:color="000000"/>
              <w:right w:val="single" w:sz="8" w:space="0" w:color="000000"/>
            </w:tcBorders>
            <w:tcMar>
              <w:top w:w="0" w:type="dxa"/>
              <w:left w:w="108" w:type="dxa"/>
              <w:bottom w:w="0" w:type="dxa"/>
              <w:right w:w="108" w:type="dxa"/>
            </w:tcMar>
          </w:tcPr>
          <w:p w14:paraId="5B94A003" w14:textId="77777777" w:rsidR="00B616A0" w:rsidRPr="00A23CC8" w:rsidRDefault="00B616A0"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r>
      <w:tr w:rsidR="00A23CC8" w:rsidRPr="00A23CC8" w14:paraId="79D5EFFA" w14:textId="77777777" w:rsidTr="0061267D">
        <w:tc>
          <w:tcPr>
            <w:tcW w:w="960" w:type="pct"/>
            <w:vMerge/>
            <w:tcBorders>
              <w:left w:val="single" w:sz="8" w:space="0" w:color="000000"/>
              <w:right w:val="single" w:sz="8" w:space="0" w:color="000000"/>
            </w:tcBorders>
            <w:tcMar>
              <w:top w:w="0" w:type="dxa"/>
              <w:left w:w="108" w:type="dxa"/>
              <w:bottom w:w="0" w:type="dxa"/>
              <w:right w:w="108" w:type="dxa"/>
            </w:tcMar>
          </w:tcPr>
          <w:p w14:paraId="2E541A70" w14:textId="77777777" w:rsidR="00A23CC8" w:rsidRPr="00A23CC8" w:rsidRDefault="00A23CC8" w:rsidP="00B426FA">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86FA74" w14:textId="346525E5"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52</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C9DBDE" w14:textId="77777777"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proofErr w:type="gramStart"/>
            <w:r w:rsidRPr="00A23CC8">
              <w:rPr>
                <w:rFonts w:ascii="Times New Roman" w:hAnsi="Times New Roman"/>
              </w:rPr>
              <w:t>Totodată, proiectul național se va completa cu clauza de armonizare, în următoarea redacție: „Prezenta Lege transpune parțial Decizia Consiliului 2003/17/CE din 16 decembrie 2002 privind echivalența inspecțiilor în câmp la culturile producătoare de semințe, efectuate în țări terțe și echivalența semințelor produse în țări terțe, CELEX: 32003D0017, publicată în Jurnalul Oficial al Uniunii Europene L 8 din 14 ianuarie 2003, așa cum a fost modificată ultima oară prin Decizia (UE) 2025/1228 a Parlamentului European și a Consiliului din 17 iunie 2025.”</w:t>
            </w:r>
            <w:proofErr w:type="gramEnd"/>
            <w:r w:rsidRPr="00A23CC8">
              <w:rPr>
                <w:rFonts w:ascii="Times New Roman" w:hAnsi="Times New Roman"/>
              </w:rPr>
              <w:t xml:space="preserve"> Clauza de armonizare existentă a Legii nr. 68/2013, care se propune a fi completată prin pct. 1 din proiect, va avea următoarea redacție: ”Prezenta Lege: </w:t>
            </w:r>
          </w:p>
          <w:p w14:paraId="7FEFA251" w14:textId="77777777"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 transpune parțial Decizia Consiliului 2003/17/CE din 16 decembrie 2002 privind echivalența inspecțiilor în câmp la culturile producătoare de semințe, efectuate în țări terțe și echivalența semințelor produse în țări terțe, CELEX: 32003D0017, publicată în Jurnalul Oficial al Uniunii Europene L 8 din 14 ianuarie 2003, așa cum a fost modificată ultima oară prin Decizia (UE) 2025/1228 a Parlamentului European și a Consiliului din 17 iunie 2025;</w:t>
            </w:r>
          </w:p>
          <w:p w14:paraId="344314B9" w14:textId="2732EA26"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 xml:space="preserve"> - </w:t>
            </w:r>
            <w:proofErr w:type="gramStart"/>
            <w:r w:rsidRPr="00A23CC8">
              <w:rPr>
                <w:rFonts w:ascii="Times New Roman" w:hAnsi="Times New Roman"/>
              </w:rPr>
              <w:t>transpune</w:t>
            </w:r>
            <w:proofErr w:type="gramEnd"/>
            <w:r w:rsidRPr="00A23CC8">
              <w:rPr>
                <w:rFonts w:ascii="Times New Roman" w:hAnsi="Times New Roman"/>
              </w:rPr>
              <w:t xml:space="preserve"> art. </w:t>
            </w:r>
            <w:proofErr w:type="gramStart"/>
            <w:r w:rsidRPr="00A23CC8">
              <w:rPr>
                <w:rFonts w:ascii="Times New Roman" w:hAnsi="Times New Roman"/>
              </w:rPr>
              <w:t>4 din Decizia Consiliului 2005/834/CE din 8 noiembrie 2005 privind echivalența controalelor selecțiilor conservative realizate în anumite țări terțe și de modificare a Deciziei 2003/17/CE, publicată în Jurnalul Oficial al Uniunii Europene L 312 din 29 noiembrie 2005, astfel cum a fost modificată ultima dată prin Decizia (UE) 2021/537 a Parlamentului European și a Consiliului din 24 martie 2021.”</w:t>
            </w:r>
            <w:proofErr w:type="gramEnd"/>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7EDC4B" w14:textId="3D00564F"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Se acceptă</w:t>
            </w:r>
            <w:r>
              <w:rPr>
                <w:rFonts w:ascii="Times New Roman" w:hAnsi="Times New Roman"/>
                <w:lang w:val="ro-RO"/>
              </w:rPr>
              <w:t>,</w:t>
            </w:r>
            <w:r w:rsidRPr="00A23CC8">
              <w:rPr>
                <w:rFonts w:ascii="Times New Roman" w:hAnsi="Times New Roman"/>
                <w:lang w:val="ro-RO"/>
              </w:rPr>
              <w:t xml:space="preserve"> a fost modificată clauza de armonizare</w:t>
            </w:r>
            <w:r>
              <w:rPr>
                <w:rFonts w:ascii="Times New Roman" w:hAnsi="Times New Roman"/>
                <w:lang w:val="ro-RO"/>
              </w:rPr>
              <w:t>.</w:t>
            </w:r>
          </w:p>
        </w:tc>
      </w:tr>
      <w:tr w:rsidR="00A23CC8" w:rsidRPr="00A23CC8" w14:paraId="2903E630" w14:textId="77777777" w:rsidTr="0061267D">
        <w:tc>
          <w:tcPr>
            <w:tcW w:w="960" w:type="pct"/>
            <w:vMerge/>
            <w:tcBorders>
              <w:left w:val="single" w:sz="8" w:space="0" w:color="000000"/>
              <w:right w:val="single" w:sz="8" w:space="0" w:color="000000"/>
            </w:tcBorders>
            <w:tcMar>
              <w:top w:w="0" w:type="dxa"/>
              <w:left w:w="108" w:type="dxa"/>
              <w:bottom w:w="0" w:type="dxa"/>
              <w:right w:w="108" w:type="dxa"/>
            </w:tcMar>
          </w:tcPr>
          <w:p w14:paraId="6724A36E" w14:textId="77777777" w:rsidR="00A23CC8" w:rsidRPr="00A23CC8" w:rsidRDefault="00A23CC8" w:rsidP="00B426FA">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9EA561" w14:textId="276B83AE"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53</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3B3BB9" w14:textId="45132E68" w:rsidR="00A23CC8" w:rsidRPr="00A23CC8" w:rsidRDefault="00A23CC8" w:rsidP="00B426FA">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De asemenea, la compartimentul 3 se va indica gradul general de compatibilitate „Parțial compatibil”.</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6F1EF9" w14:textId="3A10FA88"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Pr>
                <w:rFonts w:ascii="Times New Roman" w:hAnsi="Times New Roman"/>
              </w:rPr>
              <w:t>Se acceptă, a fost modificat.</w:t>
            </w:r>
          </w:p>
        </w:tc>
      </w:tr>
      <w:tr w:rsidR="00A23CC8" w:rsidRPr="00A23CC8" w14:paraId="2699CFE1" w14:textId="77777777" w:rsidTr="0061267D">
        <w:tc>
          <w:tcPr>
            <w:tcW w:w="960" w:type="pct"/>
            <w:vMerge/>
            <w:tcBorders>
              <w:left w:val="single" w:sz="8" w:space="0" w:color="000000"/>
              <w:bottom w:val="single" w:sz="8" w:space="0" w:color="000000"/>
              <w:right w:val="single" w:sz="8" w:space="0" w:color="000000"/>
            </w:tcBorders>
            <w:tcMar>
              <w:top w:w="0" w:type="dxa"/>
              <w:left w:w="108" w:type="dxa"/>
              <w:bottom w:w="0" w:type="dxa"/>
              <w:right w:w="108" w:type="dxa"/>
            </w:tcMar>
          </w:tcPr>
          <w:p w14:paraId="413FF9F2" w14:textId="77777777" w:rsidR="00A23CC8" w:rsidRPr="00A23CC8" w:rsidRDefault="00A23CC8" w:rsidP="00B426FA">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6488DD" w14:textId="62A77A9B"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54</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E36453" w14:textId="1FE591B2" w:rsidR="00A23CC8" w:rsidRPr="00A23CC8" w:rsidRDefault="00A23CC8" w:rsidP="00E729DD">
            <w:pPr>
              <w:pBdr>
                <w:top w:val="none" w:sz="4" w:space="0" w:color="000000"/>
                <w:left w:val="none" w:sz="4" w:space="0" w:color="000000"/>
                <w:bottom w:val="none" w:sz="4" w:space="0" w:color="000000"/>
                <w:right w:val="none" w:sz="4" w:space="0" w:color="000000"/>
              </w:pBdr>
              <w:ind w:firstLine="0"/>
              <w:rPr>
                <w:rFonts w:ascii="Times New Roman" w:hAnsi="Times New Roman"/>
              </w:rPr>
            </w:pPr>
            <w:r w:rsidRPr="00A23CC8">
              <w:rPr>
                <w:rFonts w:ascii="Times New Roman" w:hAnsi="Times New Roman"/>
              </w:rPr>
              <w:t>La compartimentul 8 al Tabelului pentru Anexa I și pct. 5 - 7 din Anexa II, lit. B se va indica calificativul „Prevederi UE netranspuse”, ci nu „Prevederi UE neaplicabile”, cu explicația în compartimentul 9, a aplicării directe din data aderării la UE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8C760F" w14:textId="3762A5D4" w:rsidR="00A23CC8" w:rsidRPr="00A23CC8" w:rsidRDefault="00B616A0" w:rsidP="00B616A0">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Pr>
                <w:rFonts w:ascii="Times New Roman" w:hAnsi="Times New Roman"/>
                <w:lang w:val="ro-RO"/>
              </w:rPr>
              <w:t>Nu se acceptă, în conformitate cu Hotărârea Guvernului nr.</w:t>
            </w:r>
            <w:r>
              <w:t xml:space="preserve"> </w:t>
            </w:r>
            <w:r w:rsidRPr="00B616A0">
              <w:rPr>
                <w:rFonts w:ascii="Times New Roman" w:hAnsi="Times New Roman"/>
                <w:lang w:val="ro-RO"/>
              </w:rPr>
              <w:t>1171</w:t>
            </w:r>
            <w:r>
              <w:rPr>
                <w:rFonts w:ascii="Times New Roman" w:hAnsi="Times New Roman"/>
                <w:lang w:val="ro-RO"/>
              </w:rPr>
              <w:t>/2</w:t>
            </w:r>
            <w:r w:rsidRPr="00B616A0">
              <w:rPr>
                <w:rFonts w:ascii="Times New Roman" w:hAnsi="Times New Roman"/>
                <w:lang w:val="ro-RO"/>
              </w:rPr>
              <w:t>018</w:t>
            </w:r>
            <w:r>
              <w:rPr>
                <w:rFonts w:ascii="Times New Roman" w:hAnsi="Times New Roman"/>
                <w:lang w:val="ro-RO"/>
              </w:rPr>
              <w:t xml:space="preserve"> </w:t>
            </w:r>
            <w:r w:rsidRPr="00B616A0">
              <w:rPr>
                <w:rFonts w:ascii="Times New Roman" w:hAnsi="Times New Roman"/>
                <w:lang w:val="ro-RO"/>
              </w:rPr>
              <w:t>pentru aprobarea Regulamentului privind</w:t>
            </w:r>
            <w:r>
              <w:rPr>
                <w:rFonts w:ascii="Times New Roman" w:hAnsi="Times New Roman"/>
                <w:lang w:val="ro-RO"/>
              </w:rPr>
              <w:t xml:space="preserve"> </w:t>
            </w:r>
            <w:r w:rsidRPr="00B616A0">
              <w:rPr>
                <w:rFonts w:ascii="Times New Roman" w:hAnsi="Times New Roman"/>
                <w:lang w:val="ro-RO"/>
              </w:rPr>
              <w:t>armonizarea legislației Republicii Moldova</w:t>
            </w:r>
            <w:r>
              <w:rPr>
                <w:rFonts w:ascii="Times New Roman" w:hAnsi="Times New Roman"/>
                <w:lang w:val="ro-RO"/>
              </w:rPr>
              <w:t xml:space="preserve"> </w:t>
            </w:r>
            <w:r w:rsidRPr="00B616A0">
              <w:rPr>
                <w:rFonts w:ascii="Times New Roman" w:hAnsi="Times New Roman"/>
                <w:lang w:val="ro-RO"/>
              </w:rPr>
              <w:t>cu legislația Uniunii Europene</w:t>
            </w:r>
            <w:r>
              <w:rPr>
                <w:rFonts w:ascii="Times New Roman" w:hAnsi="Times New Roman"/>
                <w:lang w:val="ro-RO"/>
              </w:rPr>
              <w:t>, pct. 42 alin. 4) „</w:t>
            </w:r>
            <w:r w:rsidRPr="00B616A0">
              <w:rPr>
                <w:rFonts w:ascii="Times New Roman" w:hAnsi="Times New Roman"/>
                <w:lang w:val="ro-RO"/>
              </w:rPr>
              <w:t xml:space="preserve">4) prevederi UE neaplicabile – prevederile actului juridic european nu pot fi transpuse motivat de Republica Moldova în general sau până la aderarea la Uniunea Europeană ori se referă la activitatea Comisiei Europene sau a altor agenții europene, ori sunt prevederi generale care nu sunt supuse procedurii de transpunere referitoare la </w:t>
            </w:r>
            <w:r w:rsidRPr="00B616A0">
              <w:rPr>
                <w:rFonts w:ascii="Times New Roman" w:hAnsi="Times New Roman"/>
                <w:lang w:val="ro-RO"/>
              </w:rPr>
              <w:lastRenderedPageBreak/>
              <w:t>intrarea în vigoare, transpunerea și aplicarea actului UE etc.</w:t>
            </w:r>
            <w:r>
              <w:rPr>
                <w:rFonts w:ascii="Times New Roman" w:hAnsi="Times New Roman"/>
                <w:lang w:val="ro-RO"/>
              </w:rPr>
              <w:t xml:space="preserve">” </w:t>
            </w:r>
          </w:p>
        </w:tc>
      </w:tr>
      <w:tr w:rsidR="001C0794" w:rsidRPr="00A23CC8" w14:paraId="0992DB43" w14:textId="77777777" w:rsidTr="0061267D">
        <w:tc>
          <w:tcPr>
            <w:tcW w:w="960"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308262" w14:textId="487E80FB" w:rsidR="009D6983" w:rsidRPr="00A23CC8" w:rsidRDefault="00BB2C5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BB2C58">
              <w:rPr>
                <w:rFonts w:ascii="Times New Roman" w:hAnsi="Times New Roman"/>
                <w:lang w:val="ro-RO"/>
              </w:rPr>
              <w:lastRenderedPageBreak/>
              <w:t>Ministerul Sănătății</w:t>
            </w: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06BA01" w14:textId="495B38CD" w:rsidR="009D6983" w:rsidRPr="00A23CC8" w:rsidRDefault="00BB2C5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Pr>
                <w:rFonts w:ascii="Times New Roman" w:hAnsi="Times New Roman"/>
                <w:lang w:val="ro-RO"/>
              </w:rPr>
              <w:t>55</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1A6806" w14:textId="097E801B" w:rsidR="009D6983" w:rsidRPr="00A23CC8" w:rsidRDefault="00BB2C5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BB2C58">
              <w:rPr>
                <w:rFonts w:ascii="Times New Roman" w:hAnsi="Times New Roman"/>
                <w:lang w:val="ro-RO"/>
              </w:rPr>
              <w:t>comunică lipsa de propuneri și obiecții.</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154F5F" w14:textId="6860B19F" w:rsidR="009D6983" w:rsidRPr="00A23CC8" w:rsidRDefault="00BB2C5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Pr>
                <w:rFonts w:ascii="Times New Roman" w:hAnsi="Times New Roman"/>
                <w:lang w:val="ro-RO"/>
              </w:rPr>
              <w:t>S-a luat act.</w:t>
            </w:r>
          </w:p>
        </w:tc>
      </w:tr>
      <w:tr w:rsidR="00BB2C58" w:rsidRPr="00A23CC8" w14:paraId="10BC813C" w14:textId="77777777" w:rsidTr="0061267D">
        <w:tc>
          <w:tcPr>
            <w:tcW w:w="960"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13C4D1" w14:textId="6711E882" w:rsidR="00BB2C58" w:rsidRPr="00BB2C58" w:rsidRDefault="00BB2C58" w:rsidP="00E729DD">
            <w:pPr>
              <w:pBdr>
                <w:top w:val="none" w:sz="4" w:space="0" w:color="000000"/>
                <w:left w:val="none" w:sz="4" w:space="0" w:color="000000"/>
                <w:bottom w:val="none" w:sz="4" w:space="0" w:color="000000"/>
                <w:right w:val="none" w:sz="4" w:space="0" w:color="000000"/>
              </w:pBdr>
              <w:ind w:firstLine="0"/>
              <w:rPr>
                <w:lang w:val="ro-RO"/>
              </w:rPr>
            </w:pPr>
            <w:r w:rsidRPr="00BB2C58">
              <w:rPr>
                <w:lang w:val="ro-RO"/>
              </w:rPr>
              <w:t>Agenția Națională pentru Siguranța Alimentelor</w:t>
            </w: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722FE3" w14:textId="415347F0" w:rsidR="00BB2C58" w:rsidRDefault="00283BEC" w:rsidP="00E729DD">
            <w:pPr>
              <w:pBdr>
                <w:top w:val="none" w:sz="4" w:space="0" w:color="000000"/>
                <w:left w:val="none" w:sz="4" w:space="0" w:color="000000"/>
                <w:bottom w:val="none" w:sz="4" w:space="0" w:color="000000"/>
                <w:right w:val="none" w:sz="4" w:space="0" w:color="000000"/>
              </w:pBdr>
              <w:ind w:firstLine="0"/>
              <w:rPr>
                <w:lang w:val="ro-RO"/>
              </w:rPr>
            </w:pPr>
            <w:r>
              <w:rPr>
                <w:lang w:val="ro-RO"/>
              </w:rPr>
              <w:t>56</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A3E683" w14:textId="78FC0774" w:rsidR="00BB2C58" w:rsidRPr="00BB2C58" w:rsidRDefault="00BB2C58" w:rsidP="00E729DD">
            <w:pPr>
              <w:pBdr>
                <w:top w:val="none" w:sz="4" w:space="0" w:color="000000"/>
                <w:left w:val="none" w:sz="4" w:space="0" w:color="000000"/>
                <w:bottom w:val="none" w:sz="4" w:space="0" w:color="000000"/>
                <w:right w:val="none" w:sz="4" w:space="0" w:color="000000"/>
              </w:pBdr>
              <w:ind w:firstLine="0"/>
              <w:rPr>
                <w:lang w:val="ro-RO"/>
              </w:rPr>
            </w:pPr>
            <w:r w:rsidRPr="00BB2C58">
              <w:rPr>
                <w:lang w:val="ro-RO"/>
              </w:rPr>
              <w:t>Se ia act.</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CF38A3" w14:textId="6CBE3BDE" w:rsidR="00BB2C58" w:rsidRDefault="00BB2C58" w:rsidP="00E729DD">
            <w:pPr>
              <w:pBdr>
                <w:top w:val="none" w:sz="4" w:space="0" w:color="000000"/>
                <w:left w:val="none" w:sz="4" w:space="0" w:color="000000"/>
                <w:bottom w:val="none" w:sz="4" w:space="0" w:color="000000"/>
                <w:right w:val="none" w:sz="4" w:space="0" w:color="000000"/>
              </w:pBdr>
              <w:ind w:firstLine="0"/>
              <w:rPr>
                <w:lang w:val="ro-RO"/>
              </w:rPr>
            </w:pPr>
            <w:r w:rsidRPr="00BB2C58">
              <w:rPr>
                <w:lang w:val="ro-RO"/>
              </w:rPr>
              <w:t>S-a luat act.</w:t>
            </w:r>
          </w:p>
        </w:tc>
      </w:tr>
      <w:tr w:rsidR="00BB2C58" w:rsidRPr="00A23CC8" w14:paraId="4553B310" w14:textId="77777777" w:rsidTr="0061267D">
        <w:tc>
          <w:tcPr>
            <w:tcW w:w="960"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891339" w14:textId="3844C556" w:rsidR="00BB2C58" w:rsidRDefault="00283BEC" w:rsidP="00E729DD">
            <w:pPr>
              <w:pBdr>
                <w:top w:val="none" w:sz="4" w:space="0" w:color="000000"/>
                <w:left w:val="none" w:sz="4" w:space="0" w:color="000000"/>
                <w:bottom w:val="none" w:sz="4" w:space="0" w:color="000000"/>
                <w:right w:val="none" w:sz="4" w:space="0" w:color="000000"/>
              </w:pBdr>
              <w:ind w:firstLine="0"/>
              <w:rPr>
                <w:lang w:val="ro-RO"/>
              </w:rPr>
            </w:pPr>
            <w:r w:rsidRPr="00283BEC">
              <w:rPr>
                <w:lang w:val="ro-RO"/>
              </w:rPr>
              <w:t>Ministerului Dezvoltării Economice și Digitalizării</w:t>
            </w:r>
          </w:p>
          <w:p w14:paraId="7B517833" w14:textId="360873DD" w:rsidR="007F58AF" w:rsidRPr="00BB2C58" w:rsidRDefault="007F58AF" w:rsidP="00E729DD">
            <w:pPr>
              <w:pBdr>
                <w:top w:val="none" w:sz="4" w:space="0" w:color="000000"/>
                <w:left w:val="none" w:sz="4" w:space="0" w:color="000000"/>
                <w:bottom w:val="none" w:sz="4" w:space="0" w:color="000000"/>
                <w:right w:val="none" w:sz="4" w:space="0" w:color="000000"/>
              </w:pBdr>
              <w:ind w:firstLine="0"/>
              <w:rPr>
                <w:lang w:val="ro-RO"/>
              </w:rPr>
            </w:pPr>
            <w:r w:rsidRPr="007F58AF">
              <w:rPr>
                <w:lang w:val="ro-RO"/>
              </w:rPr>
              <w:t>Nr.03-954 din 18.03.2026</w:t>
            </w: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7D3323" w14:textId="32FB97E8" w:rsidR="00BB2C58" w:rsidRDefault="00283BEC" w:rsidP="00E729DD">
            <w:pPr>
              <w:pBdr>
                <w:top w:val="none" w:sz="4" w:space="0" w:color="000000"/>
                <w:left w:val="none" w:sz="4" w:space="0" w:color="000000"/>
                <w:bottom w:val="none" w:sz="4" w:space="0" w:color="000000"/>
                <w:right w:val="none" w:sz="4" w:space="0" w:color="000000"/>
              </w:pBdr>
              <w:ind w:firstLine="0"/>
              <w:rPr>
                <w:lang w:val="ro-RO"/>
              </w:rPr>
            </w:pPr>
            <w:r>
              <w:rPr>
                <w:lang w:val="ro-RO"/>
              </w:rPr>
              <w:t>57</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544447" w14:textId="78C4E2D7" w:rsidR="00BB2C58" w:rsidRPr="00BB2C58" w:rsidRDefault="00BB2C58" w:rsidP="00BB2C58">
            <w:pPr>
              <w:pBdr>
                <w:top w:val="none" w:sz="4" w:space="0" w:color="000000"/>
                <w:left w:val="none" w:sz="4" w:space="0" w:color="000000"/>
                <w:bottom w:val="none" w:sz="4" w:space="0" w:color="000000"/>
                <w:right w:val="none" w:sz="4" w:space="0" w:color="000000"/>
              </w:pBdr>
              <w:ind w:firstLine="0"/>
              <w:rPr>
                <w:lang w:val="ro-RO"/>
              </w:rPr>
            </w:pPr>
            <w:r>
              <w:rPr>
                <w:lang w:val="ro-RO"/>
              </w:rPr>
              <w:t>A</w:t>
            </w:r>
            <w:r w:rsidRPr="00BB2C58">
              <w:rPr>
                <w:lang w:val="ro-RO"/>
              </w:rPr>
              <w:t>utorul a luat în considerare obiecția expusă și a</w:t>
            </w:r>
            <w:r>
              <w:rPr>
                <w:lang w:val="ro-RO"/>
              </w:rPr>
              <w:t xml:space="preserve"> </w:t>
            </w:r>
            <w:r w:rsidRPr="00BB2C58">
              <w:rPr>
                <w:lang w:val="ro-RO"/>
              </w:rPr>
              <w:t>exclus din proiectul definitivat alin.(7)-(12) ale art.14 din Legea nr.68/2013, care</w:t>
            </w:r>
            <w:r>
              <w:rPr>
                <w:lang w:val="ro-RO"/>
              </w:rPr>
              <w:t xml:space="preserve"> </w:t>
            </w:r>
            <w:r w:rsidRPr="00BB2C58">
              <w:rPr>
                <w:lang w:val="ro-RO"/>
              </w:rPr>
              <w:t>vizau eliberarea certificatului de înregistrare. Însă, atenționăm că în textul Legii, în</w:t>
            </w:r>
            <w:r>
              <w:rPr>
                <w:lang w:val="ro-RO"/>
              </w:rPr>
              <w:t xml:space="preserve"> </w:t>
            </w:r>
            <w:r w:rsidRPr="00BB2C58">
              <w:rPr>
                <w:lang w:val="ro-RO"/>
              </w:rPr>
              <w:t>unele articole, cum ar fi art.14 alin.(5) au rămas trimeteri la certificatul de</w:t>
            </w:r>
            <w:r>
              <w:rPr>
                <w:lang w:val="ro-RO"/>
              </w:rPr>
              <w:t xml:space="preserve"> </w:t>
            </w:r>
            <w:r w:rsidRPr="00BB2C58">
              <w:rPr>
                <w:lang w:val="ro-RO"/>
              </w:rPr>
              <w:t>înregistrare, precum și nu a fost propusă abrogarea Anexei nr.3 la Legeanr.68/2013, care stabilește modelul certificatului de înregistrare.</w:t>
            </w:r>
            <w:r>
              <w:rPr>
                <w:lang w:val="ro-RO"/>
              </w:rPr>
              <w:t xml:space="preserve"> </w:t>
            </w:r>
          </w:p>
          <w:p w14:paraId="011FB43D" w14:textId="5C802800" w:rsidR="00BB2C58" w:rsidRPr="00BB2C58" w:rsidRDefault="00BB2C58" w:rsidP="00BB2C58">
            <w:pPr>
              <w:pBdr>
                <w:top w:val="none" w:sz="4" w:space="0" w:color="000000"/>
                <w:left w:val="none" w:sz="4" w:space="0" w:color="000000"/>
                <w:bottom w:val="none" w:sz="4" w:space="0" w:color="000000"/>
                <w:right w:val="none" w:sz="4" w:space="0" w:color="000000"/>
              </w:pBdr>
              <w:ind w:firstLine="0"/>
              <w:rPr>
                <w:lang w:val="ro-RO"/>
              </w:rPr>
            </w:pPr>
            <w:r w:rsidRPr="00BB2C58">
              <w:rPr>
                <w:lang w:val="ro-RO"/>
              </w:rPr>
              <w:t>Prin urmare, considerăm oportună revizuirea proiectului de lege, în scopul</w:t>
            </w:r>
            <w:r w:rsidR="00311C4D">
              <w:rPr>
                <w:lang w:val="ro-RO"/>
              </w:rPr>
              <w:t xml:space="preserve"> </w:t>
            </w:r>
            <w:r w:rsidRPr="00BB2C58">
              <w:rPr>
                <w:lang w:val="ro-RO"/>
              </w:rPr>
              <w:t>ajustării textului acestuia conform obiecției prenotate.</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5238A4" w14:textId="3B8B7E76" w:rsidR="00BB2C58" w:rsidRDefault="00BB2C58" w:rsidP="00E729DD">
            <w:pPr>
              <w:pBdr>
                <w:top w:val="none" w:sz="4" w:space="0" w:color="000000"/>
                <w:left w:val="none" w:sz="4" w:space="0" w:color="000000"/>
                <w:bottom w:val="none" w:sz="4" w:space="0" w:color="000000"/>
                <w:right w:val="none" w:sz="4" w:space="0" w:color="000000"/>
              </w:pBdr>
              <w:ind w:firstLine="0"/>
              <w:rPr>
                <w:lang w:val="ro-RO"/>
              </w:rPr>
            </w:pPr>
            <w:r>
              <w:rPr>
                <w:lang w:val="ro-RO"/>
              </w:rPr>
              <w:t>S</w:t>
            </w:r>
            <w:r w:rsidR="00311C4D">
              <w:rPr>
                <w:lang w:val="ro-RO"/>
              </w:rPr>
              <w:t>e acceptă, a fost completat proiectul.</w:t>
            </w:r>
          </w:p>
        </w:tc>
      </w:tr>
      <w:tr w:rsidR="00BB2C58" w:rsidRPr="00A23CC8" w14:paraId="68D988FE" w14:textId="77777777" w:rsidTr="0061267D">
        <w:tc>
          <w:tcPr>
            <w:tcW w:w="960"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E0FC72" w14:textId="5E18AB64" w:rsidR="00BB2C58" w:rsidRPr="00BB2C58" w:rsidRDefault="00DC5654" w:rsidP="00E729DD">
            <w:pPr>
              <w:pBdr>
                <w:top w:val="none" w:sz="4" w:space="0" w:color="000000"/>
                <w:left w:val="none" w:sz="4" w:space="0" w:color="000000"/>
                <w:bottom w:val="none" w:sz="4" w:space="0" w:color="000000"/>
                <w:right w:val="none" w:sz="4" w:space="0" w:color="000000"/>
              </w:pBdr>
              <w:ind w:firstLine="0"/>
              <w:rPr>
                <w:lang w:val="ro-RO"/>
              </w:rPr>
            </w:pPr>
            <w:r>
              <w:rPr>
                <w:lang w:val="ro-RO"/>
              </w:rPr>
              <w:t>Ministerul Finanțelor</w:t>
            </w:r>
          </w:p>
        </w:tc>
        <w:tc>
          <w:tcPr>
            <w:tcW w:w="33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4156B0" w14:textId="4A3EDDBC" w:rsidR="00BB2C58" w:rsidRDefault="00DC5654" w:rsidP="00E729DD">
            <w:pPr>
              <w:pBdr>
                <w:top w:val="none" w:sz="4" w:space="0" w:color="000000"/>
                <w:left w:val="none" w:sz="4" w:space="0" w:color="000000"/>
                <w:bottom w:val="none" w:sz="4" w:space="0" w:color="000000"/>
                <w:right w:val="none" w:sz="4" w:space="0" w:color="000000"/>
              </w:pBdr>
              <w:ind w:firstLine="0"/>
              <w:rPr>
                <w:lang w:val="ro-RO"/>
              </w:rPr>
            </w:pPr>
            <w:r>
              <w:rPr>
                <w:lang w:val="ro-RO"/>
              </w:rPr>
              <w:t>58</w:t>
            </w:r>
          </w:p>
        </w:tc>
        <w:tc>
          <w:tcPr>
            <w:tcW w:w="210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A77D65" w14:textId="2C5B6BAF" w:rsidR="00BB2C58" w:rsidRPr="00BB2C58" w:rsidRDefault="00DC5654" w:rsidP="00E729DD">
            <w:pPr>
              <w:pBdr>
                <w:top w:val="none" w:sz="4" w:space="0" w:color="000000"/>
                <w:left w:val="none" w:sz="4" w:space="0" w:color="000000"/>
                <w:bottom w:val="none" w:sz="4" w:space="0" w:color="000000"/>
                <w:right w:val="none" w:sz="4" w:space="0" w:color="000000"/>
              </w:pBdr>
              <w:ind w:firstLine="0"/>
              <w:rPr>
                <w:lang w:val="ro-RO"/>
              </w:rPr>
            </w:pPr>
            <w:r>
              <w:rPr>
                <w:lang w:val="ro-RO"/>
              </w:rPr>
              <w:t>l</w:t>
            </w:r>
            <w:r w:rsidRPr="00DC5654">
              <w:rPr>
                <w:lang w:val="ro-RO"/>
              </w:rPr>
              <w:t>ipsa propunerilor și obiecțiilor pe marginea proiectului indicat</w:t>
            </w:r>
          </w:p>
        </w:tc>
        <w:tc>
          <w:tcPr>
            <w:tcW w:w="1607"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827544" w14:textId="385A04C6" w:rsidR="00BB2C58" w:rsidRDefault="00DC5654" w:rsidP="00E729DD">
            <w:pPr>
              <w:pBdr>
                <w:top w:val="none" w:sz="4" w:space="0" w:color="000000"/>
                <w:left w:val="none" w:sz="4" w:space="0" w:color="000000"/>
                <w:bottom w:val="none" w:sz="4" w:space="0" w:color="000000"/>
                <w:right w:val="none" w:sz="4" w:space="0" w:color="000000"/>
              </w:pBdr>
              <w:ind w:firstLine="0"/>
              <w:rPr>
                <w:lang w:val="ro-RO"/>
              </w:rPr>
            </w:pPr>
            <w:r w:rsidRPr="00DC5654">
              <w:rPr>
                <w:lang w:val="ro-RO"/>
              </w:rPr>
              <w:t>S-a luat act.</w:t>
            </w:r>
          </w:p>
        </w:tc>
      </w:tr>
      <w:tr w:rsidR="009D6983" w:rsidRPr="00A23CC8" w14:paraId="289EF268" w14:textId="77777777" w:rsidTr="0061267D">
        <w:tc>
          <w:tcPr>
            <w:tcW w:w="5000" w:type="pct"/>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F25475" w14:textId="77777777" w:rsidR="009D6983" w:rsidRPr="00A23CC8" w:rsidRDefault="009D6983" w:rsidP="00E729DD">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A23CC8">
              <w:rPr>
                <w:rFonts w:ascii="Times New Roman" w:eastAsia="Times New Roman" w:hAnsi="Times New Roman"/>
                <w:lang w:val="ro-RO"/>
              </w:rPr>
              <w:t>Expertizare</w:t>
            </w:r>
          </w:p>
        </w:tc>
      </w:tr>
      <w:tr w:rsidR="001C0794" w:rsidRPr="00A23CC8" w14:paraId="764F9C0F" w14:textId="77777777" w:rsidTr="0061267D">
        <w:tc>
          <w:tcPr>
            <w:tcW w:w="960" w:type="pct"/>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33D5C05" w14:textId="53FFEA88" w:rsidR="00DC5654" w:rsidRPr="00DC5654" w:rsidRDefault="00DC5654" w:rsidP="00DC5654">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DC5654">
              <w:rPr>
                <w:rFonts w:ascii="Times New Roman" w:hAnsi="Times New Roman"/>
                <w:lang w:val="ro-RO"/>
              </w:rPr>
              <w:t>Centrul Național Anticorupție</w:t>
            </w:r>
          </w:p>
          <w:p w14:paraId="74C65AD1" w14:textId="2EF5FA26" w:rsidR="009D6983" w:rsidRPr="00DC5654" w:rsidRDefault="00A711F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711F8">
              <w:rPr>
                <w:rFonts w:ascii="Times New Roman" w:hAnsi="Times New Roman"/>
                <w:lang w:val="ro-RO"/>
              </w:rPr>
              <w:t>Nr. 06/2/4981 din 19.03.2026</w:t>
            </w:r>
          </w:p>
        </w:tc>
        <w:tc>
          <w:tcPr>
            <w:tcW w:w="331"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896F85C" w14:textId="04508880" w:rsidR="009D6983" w:rsidRPr="00A23CC8" w:rsidRDefault="00397587"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Pr>
                <w:rFonts w:ascii="Times New Roman" w:hAnsi="Times New Roman"/>
                <w:lang w:val="ro-RO"/>
              </w:rPr>
              <w:t>59</w:t>
            </w:r>
          </w:p>
        </w:tc>
        <w:tc>
          <w:tcPr>
            <w:tcW w:w="2102"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2C2EC1D" w14:textId="40FA6583" w:rsidR="009D6983" w:rsidRPr="00A23CC8" w:rsidRDefault="00A711F8"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t>Proiectul a fost elaborat de Ministerul Agriculturii și Industriei Alimentare și are drept scop alinierea la standardele și practicile europene și internaționale, asigurarea transparenței și siguranței pieței semincere, precum și contribuirea la integrarea Republicii Moldova în sistemul european și global de comerț cu semințe. Astfel, prin proiect se propune modificarea Legii nr. 68/2013 despre semințe. Autorul a prezentat Sinteza avizelor parvenite în cadrul procesului de consultare publică a proiectului de către autoritățile responsabile de implementarea prevederilor conţinute în proiect/instituţiilor interesate, fapt ce denotă caracterul definitivat al acestuia și întrunirea condițiilor stabilite de prevederile art.28 din Legea integrității nr.82/2017. În procesul de promovare a proiectului, au fost respectate rigorile de asigurare a transparenţei decizionale statuate de prevederile art.8 lit.a)-d) din Legea nr. 239/2008 privind transparenţa în procesul decizional. Nota informativă a proiectului a fost structurată cu întrunirea exigențelor de tehnică legislativă statuate de prevederile art.30 lit.a)-f) din Legea nr. 100/2017 cu privire la actele normative. Implementarea prevederilor propuse poate contribui la realizarea interesului public vizat de proiect, fapt care nu este detrimentul interesului public general în sensul prevederilor Legii integrităţii nr. 82/2017.</w:t>
            </w:r>
          </w:p>
        </w:tc>
        <w:tc>
          <w:tcPr>
            <w:tcW w:w="1607"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AE8F6C5" w14:textId="203EBA1C" w:rsidR="009D6983" w:rsidRPr="00A23CC8" w:rsidRDefault="00E0375F"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E0375F">
              <w:rPr>
                <w:rFonts w:ascii="Times New Roman" w:hAnsi="Times New Roman"/>
                <w:lang w:val="ro-RO"/>
              </w:rPr>
              <w:t>S-a luat act.</w:t>
            </w:r>
          </w:p>
        </w:tc>
      </w:tr>
      <w:tr w:rsidR="00006BD7" w:rsidRPr="00A23CC8" w14:paraId="4280B11F" w14:textId="77777777" w:rsidTr="0061267D">
        <w:tc>
          <w:tcPr>
            <w:tcW w:w="960"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10D1FC8" w14:textId="5F8910D9" w:rsidR="00006BD7" w:rsidRPr="00DC5654" w:rsidRDefault="00006BD7" w:rsidP="00DC5654">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DC5654">
              <w:rPr>
                <w:rFonts w:ascii="Times New Roman" w:hAnsi="Times New Roman"/>
                <w:lang w:val="ro-RO"/>
              </w:rPr>
              <w:lastRenderedPageBreak/>
              <w:t>Ministerul Justiției</w:t>
            </w:r>
          </w:p>
          <w:p w14:paraId="6722EA00" w14:textId="41FD441D" w:rsidR="00006BD7" w:rsidRPr="00DC5654" w:rsidRDefault="00006BD7"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397587">
              <w:rPr>
                <w:rFonts w:ascii="Times New Roman" w:hAnsi="Times New Roman"/>
                <w:lang w:val="ro-RO"/>
              </w:rPr>
              <w:t>nr. 04/2-3222</w:t>
            </w:r>
            <w:r>
              <w:rPr>
                <w:rFonts w:ascii="Times New Roman" w:hAnsi="Times New Roman"/>
                <w:lang w:val="ro-RO"/>
              </w:rPr>
              <w:t xml:space="preserve"> din </w:t>
            </w:r>
            <w:r w:rsidRPr="00397587">
              <w:rPr>
                <w:rFonts w:ascii="Times New Roman" w:hAnsi="Times New Roman"/>
                <w:lang w:val="ro-RO"/>
              </w:rPr>
              <w:t>24.03.2026</w:t>
            </w: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FA43" w14:textId="20914748" w:rsidR="00006BD7" w:rsidRPr="00A23CC8" w:rsidRDefault="00006BD7"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A23CC8">
              <w:rPr>
                <w:rFonts w:ascii="Times New Roman" w:hAnsi="Times New Roman"/>
                <w:lang w:val="ro-RO"/>
              </w:rPr>
              <w:t xml:space="preserve"> </w:t>
            </w:r>
            <w:r>
              <w:rPr>
                <w:rFonts w:ascii="Times New Roman" w:hAnsi="Times New Roman"/>
                <w:lang w:val="ro-RO"/>
              </w:rPr>
              <w:t>60</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8A446" w14:textId="4DB73A9D" w:rsidR="00006BD7" w:rsidRPr="00A23CC8" w:rsidRDefault="00006BD7"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t xml:space="preserve">În cazul expunerii în redacție nouă a unui element structural se va utiliza sintagma </w:t>
            </w:r>
            <w:proofErr w:type="gramStart"/>
            <w:r>
              <w:t>,,va</w:t>
            </w:r>
            <w:proofErr w:type="gramEnd"/>
            <w:r>
              <w:t xml:space="preserve"> avea următorul cuprins:”, urmată de redarea textului nou. Pornind de la regula expusă, dispoziția de modificare de la pct. 1 va avea următorul cuprins: „1. Clauza de armonizare va avea următorul cuprins:</w:t>
            </w:r>
            <w:proofErr w:type="gramStart"/>
            <w:r>
              <w:t>”.</w:t>
            </w:r>
            <w:proofErr w:type="gramEnd"/>
            <w:r>
              <w:t xml:space="preserve"> </w:t>
            </w:r>
            <w:proofErr w:type="gramStart"/>
            <w:r>
              <w:t>La clauza de armonizare, prima liniuța se va indica și numărul CELEX al Deciziei Consiliului 2005/834/CE din 8 noiembrie 2005 privind echivalența controalelor selecțiilor conservative realizate în anumite țări terțe și de modificare a Deciziei 2003/17/CE, „CELEX:32005D0834”, care va succeda textul „Deciziei 2003/17/CE” (observație valabilă și pentru liniuța a doua, în care se va indica numărul CELEX din actul juridic inițial a Deciziei Consiliului 2003/17/CE).</w:t>
            </w:r>
            <w:proofErr w:type="gramEnd"/>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D34A" w14:textId="309351FD" w:rsidR="00006BD7" w:rsidRPr="00A23CC8" w:rsidRDefault="00604DF4" w:rsidP="00E729DD">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Pr>
                <w:rFonts w:ascii="Times New Roman" w:hAnsi="Times New Roman"/>
                <w:lang w:val="ro-RO"/>
              </w:rPr>
              <w:t>Se acceptă, a fost modificat.</w:t>
            </w:r>
          </w:p>
        </w:tc>
      </w:tr>
      <w:tr w:rsidR="00006BD7" w:rsidRPr="00A23CC8" w14:paraId="5CF85B2B"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014E42C4"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418AC" w14:textId="67A85BC2" w:rsidR="00006BD7" w:rsidRPr="00A23CC8" w:rsidRDefault="00604DF4" w:rsidP="00E729DD">
            <w:pPr>
              <w:pBdr>
                <w:top w:val="none" w:sz="4" w:space="0" w:color="000000"/>
                <w:left w:val="none" w:sz="4" w:space="0" w:color="000000"/>
                <w:bottom w:val="none" w:sz="4" w:space="0" w:color="000000"/>
                <w:right w:val="none" w:sz="4" w:space="0" w:color="000000"/>
              </w:pBdr>
              <w:ind w:firstLine="0"/>
              <w:rPr>
                <w:lang w:val="ro-RO"/>
              </w:rPr>
            </w:pPr>
            <w:r>
              <w:rPr>
                <w:lang w:val="ro-RO"/>
              </w:rPr>
              <w:t>61</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34330" w14:textId="2D6B8C00" w:rsidR="00006BD7" w:rsidRPr="00A23CC8" w:rsidRDefault="00006BD7" w:rsidP="00E729DD">
            <w:pPr>
              <w:pBdr>
                <w:top w:val="none" w:sz="4" w:space="0" w:color="000000"/>
                <w:left w:val="none" w:sz="4" w:space="0" w:color="000000"/>
                <w:bottom w:val="none" w:sz="4" w:space="0" w:color="000000"/>
                <w:right w:val="none" w:sz="4" w:space="0" w:color="000000"/>
              </w:pBdr>
              <w:ind w:firstLine="0"/>
              <w:rPr>
                <w:lang w:val="ro-RO"/>
              </w:rPr>
            </w:pPr>
            <w:r>
              <w:t>De asemenea, în clauza de armonizare liniuța a doua, în referința la ultimul act de modificare a Deciziei Consiliului 2003/17/CE se va exclude denumirea acesteia.</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64CA" w14:textId="446812DC" w:rsidR="00006BD7" w:rsidRPr="00A23CC8" w:rsidRDefault="00604DF4" w:rsidP="00E729DD">
            <w:pPr>
              <w:pBdr>
                <w:top w:val="none" w:sz="4" w:space="0" w:color="000000"/>
                <w:left w:val="none" w:sz="4" w:space="0" w:color="000000"/>
                <w:bottom w:val="none" w:sz="4" w:space="0" w:color="000000"/>
                <w:right w:val="none" w:sz="4" w:space="0" w:color="000000"/>
              </w:pBdr>
              <w:ind w:firstLine="0"/>
              <w:rPr>
                <w:lang w:val="ro-RO"/>
              </w:rPr>
            </w:pPr>
            <w:r>
              <w:rPr>
                <w:lang w:val="ro-RO"/>
              </w:rPr>
              <w:t xml:space="preserve">A fost modificat cu ultima modificare </w:t>
            </w:r>
            <w:r w:rsidRPr="00604DF4">
              <w:rPr>
                <w:lang w:val="ro-RO"/>
              </w:rPr>
              <w:t>Decizia (UE) 2025/1228</w:t>
            </w:r>
            <w:r>
              <w:rPr>
                <w:lang w:val="ro-RO"/>
              </w:rPr>
              <w:t>.</w:t>
            </w:r>
          </w:p>
        </w:tc>
      </w:tr>
      <w:tr w:rsidR="00006BD7" w:rsidRPr="00A23CC8" w14:paraId="30700AE7"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58097CE"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A73C" w14:textId="46ADA7BA" w:rsidR="00006BD7" w:rsidRPr="00A23CC8" w:rsidRDefault="00604DF4" w:rsidP="00E729DD">
            <w:pPr>
              <w:pBdr>
                <w:top w:val="none" w:sz="4" w:space="0" w:color="000000"/>
                <w:left w:val="none" w:sz="4" w:space="0" w:color="000000"/>
                <w:bottom w:val="none" w:sz="4" w:space="0" w:color="000000"/>
                <w:right w:val="none" w:sz="4" w:space="0" w:color="000000"/>
              </w:pBdr>
              <w:ind w:firstLine="0"/>
              <w:rPr>
                <w:lang w:val="ro-RO"/>
              </w:rPr>
            </w:pPr>
            <w:r>
              <w:rPr>
                <w:lang w:val="ro-RO"/>
              </w:rPr>
              <w:t>62</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965F5" w14:textId="3D38D618" w:rsidR="00006BD7" w:rsidRDefault="00006BD7" w:rsidP="00E729DD">
            <w:pPr>
              <w:pBdr>
                <w:top w:val="none" w:sz="4" w:space="0" w:color="000000"/>
                <w:left w:val="none" w:sz="4" w:space="0" w:color="000000"/>
                <w:bottom w:val="none" w:sz="4" w:space="0" w:color="000000"/>
                <w:right w:val="none" w:sz="4" w:space="0" w:color="000000"/>
              </w:pBdr>
              <w:ind w:firstLine="0"/>
            </w:pPr>
            <w:r>
              <w:t>La pct. 3</w:t>
            </w:r>
            <w:r w:rsidR="006E1BC6">
              <w:t>, prin care se modifică art. 9:</w:t>
            </w:r>
          </w:p>
          <w:p w14:paraId="44B863C4" w14:textId="23E963DD" w:rsidR="00006BD7" w:rsidRPr="00A23CC8" w:rsidRDefault="00006BD7" w:rsidP="00E729DD">
            <w:pPr>
              <w:pBdr>
                <w:top w:val="none" w:sz="4" w:space="0" w:color="000000"/>
                <w:left w:val="none" w:sz="4" w:space="0" w:color="000000"/>
                <w:bottom w:val="none" w:sz="4" w:space="0" w:color="000000"/>
                <w:right w:val="none" w:sz="4" w:space="0" w:color="000000"/>
              </w:pBdr>
              <w:ind w:firstLine="0"/>
              <w:rPr>
                <w:lang w:val="ro-RO"/>
              </w:rPr>
            </w:pPr>
            <w:r>
              <w:t>În cuprinsul propus la alin. (9), textul „art. 3, art. 14” se va substitui cu textul „art. 3 și 14</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82E2B" w14:textId="0AE6789C" w:rsidR="00006BD7" w:rsidRPr="00A23CC8" w:rsidRDefault="00604DF4" w:rsidP="00E729DD">
            <w:pPr>
              <w:pBdr>
                <w:top w:val="none" w:sz="4" w:space="0" w:color="000000"/>
                <w:left w:val="none" w:sz="4" w:space="0" w:color="000000"/>
                <w:bottom w:val="none" w:sz="4" w:space="0" w:color="000000"/>
                <w:right w:val="none" w:sz="4" w:space="0" w:color="000000"/>
              </w:pBdr>
              <w:ind w:firstLine="0"/>
              <w:rPr>
                <w:lang w:val="ro-RO"/>
              </w:rPr>
            </w:pPr>
            <w:r>
              <w:rPr>
                <w:rFonts w:ascii="Times New Roman" w:hAnsi="Times New Roman"/>
                <w:lang w:val="ro-RO"/>
              </w:rPr>
              <w:t>Se acceptă, a fost modificat.</w:t>
            </w:r>
          </w:p>
        </w:tc>
      </w:tr>
      <w:tr w:rsidR="00006BD7" w:rsidRPr="00A23CC8" w14:paraId="0616F546"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1349BCD5"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DE337" w14:textId="7B0900F2" w:rsidR="00006BD7" w:rsidRPr="00A23CC8" w:rsidRDefault="00604DF4" w:rsidP="00E729DD">
            <w:pPr>
              <w:pBdr>
                <w:top w:val="none" w:sz="4" w:space="0" w:color="000000"/>
                <w:left w:val="none" w:sz="4" w:space="0" w:color="000000"/>
                <w:bottom w:val="none" w:sz="4" w:space="0" w:color="000000"/>
                <w:right w:val="none" w:sz="4" w:space="0" w:color="000000"/>
              </w:pBdr>
              <w:ind w:firstLine="0"/>
              <w:rPr>
                <w:lang w:val="ro-RO"/>
              </w:rPr>
            </w:pPr>
            <w:r>
              <w:rPr>
                <w:lang w:val="ro-RO"/>
              </w:rPr>
              <w:t>63</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2726B" w14:textId="40D55B18" w:rsidR="00006BD7" w:rsidRPr="00A23CC8" w:rsidRDefault="00006BD7" w:rsidP="00E729DD">
            <w:pPr>
              <w:pBdr>
                <w:top w:val="none" w:sz="4" w:space="0" w:color="000000"/>
                <w:left w:val="none" w:sz="4" w:space="0" w:color="000000"/>
                <w:bottom w:val="none" w:sz="4" w:space="0" w:color="000000"/>
                <w:right w:val="none" w:sz="4" w:space="0" w:color="000000"/>
              </w:pBdr>
              <w:ind w:firstLine="0"/>
              <w:rPr>
                <w:lang w:val="ro-RO"/>
              </w:rPr>
            </w:pPr>
            <w:r>
              <w:t xml:space="preserve">Cu referire la modificarea propusă la alin. </w:t>
            </w:r>
            <w:proofErr w:type="gramStart"/>
            <w:r>
              <w:t>(14), termenul „textul” se va substitui cu termenul „cuvintele”, or, potrivit regulilor de tehnică legislativă, în cazul în care modificarea presupune o substituire utilizăm termenul „textul” dacă structura e formată dintr-un cuvânt/cuvinte și cel puțin un semn grafic, iar termenul „cuvântul”/„cuvinte” - dacă în structura vizată nu sunt prezente și alte semne grafice (cifră, virgulă, paranteze, ghilimele, bară oblică).</w:t>
            </w:r>
            <w:proofErr w:type="gramEnd"/>
            <w:r>
              <w:t xml:space="preserve"> Observația dată este valabilă pentru toate cazurile similare din proiect.</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70F9" w14:textId="2EF4A920" w:rsidR="00006BD7" w:rsidRPr="00A23CC8" w:rsidRDefault="00604DF4" w:rsidP="00E729DD">
            <w:pPr>
              <w:pBdr>
                <w:top w:val="none" w:sz="4" w:space="0" w:color="000000"/>
                <w:left w:val="none" w:sz="4" w:space="0" w:color="000000"/>
                <w:bottom w:val="none" w:sz="4" w:space="0" w:color="000000"/>
                <w:right w:val="none" w:sz="4" w:space="0" w:color="000000"/>
              </w:pBdr>
              <w:ind w:firstLine="0"/>
              <w:rPr>
                <w:lang w:val="ro-RO"/>
              </w:rPr>
            </w:pPr>
            <w:r w:rsidRPr="00604DF4">
              <w:rPr>
                <w:lang w:val="ro-RO"/>
              </w:rPr>
              <w:t>Se acceptă, a fost modificat.</w:t>
            </w:r>
          </w:p>
        </w:tc>
      </w:tr>
      <w:tr w:rsidR="00006BD7" w:rsidRPr="00A23CC8" w14:paraId="32E06E4E"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449F3C2"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124" w14:textId="77DE8A10" w:rsidR="00006BD7" w:rsidRPr="00A23CC8" w:rsidRDefault="00304CA1" w:rsidP="00E729DD">
            <w:pPr>
              <w:pBdr>
                <w:top w:val="none" w:sz="4" w:space="0" w:color="000000"/>
                <w:left w:val="none" w:sz="4" w:space="0" w:color="000000"/>
                <w:bottom w:val="none" w:sz="4" w:space="0" w:color="000000"/>
                <w:right w:val="none" w:sz="4" w:space="0" w:color="000000"/>
              </w:pBdr>
              <w:ind w:firstLine="0"/>
              <w:rPr>
                <w:lang w:val="ro-RO"/>
              </w:rPr>
            </w:pPr>
            <w:r>
              <w:rPr>
                <w:lang w:val="ro-RO"/>
              </w:rPr>
              <w:t>64</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F1FD9" w14:textId="7B4D35EA" w:rsidR="00006BD7" w:rsidRPr="00A23CC8" w:rsidRDefault="00006BD7" w:rsidP="00E729DD">
            <w:pPr>
              <w:pBdr>
                <w:top w:val="none" w:sz="4" w:space="0" w:color="000000"/>
                <w:left w:val="none" w:sz="4" w:space="0" w:color="000000"/>
                <w:bottom w:val="none" w:sz="4" w:space="0" w:color="000000"/>
                <w:right w:val="none" w:sz="4" w:space="0" w:color="000000"/>
              </w:pBdr>
              <w:ind w:firstLine="0"/>
              <w:rPr>
                <w:lang w:val="ro-RO"/>
              </w:rPr>
            </w:pPr>
            <w:r>
              <w:t xml:space="preserve">În conformitate cu art. 54 alin. (1) </w:t>
            </w:r>
            <w:proofErr w:type="gramStart"/>
            <w:r>
              <w:t>lit</w:t>
            </w:r>
            <w:proofErr w:type="gramEnd"/>
            <w:r>
              <w:t xml:space="preserve">. i) </w:t>
            </w:r>
            <w:proofErr w:type="gramStart"/>
            <w:r>
              <w:t>din</w:t>
            </w:r>
            <w:proofErr w:type="gramEnd"/>
            <w:r>
              <w:t xml:space="preserve"> Legea nr. 100/2017 cu privire la actele normative (în continuarea - Legea nr. 100/2017), exprimarea prin abrevieri a unor denumiri sau termeni se poate face numai după explicarea acestora în text, la prima folosire. Pornind de la prevederea legală enunțată, precum și având în vedere că alin. (13) </w:t>
            </w:r>
            <w:proofErr w:type="gramStart"/>
            <w:r>
              <w:t>al</w:t>
            </w:r>
            <w:proofErr w:type="gramEnd"/>
            <w:r>
              <w:t xml:space="preserve"> art. 9 se expune în redacție nouă, în cuprinsul propus la art. 9 alin. (14) </w:t>
            </w:r>
            <w:proofErr w:type="gramStart"/>
            <w:r>
              <w:t>din</w:t>
            </w:r>
            <w:proofErr w:type="gramEnd"/>
            <w:r>
              <w:t xml:space="preserve"> Legea nr. 68/2013, abrevierea „ISTA” se va substitui cu denumirea completă și va fi succedată de textul </w:t>
            </w:r>
            <w:proofErr w:type="gramStart"/>
            <w:r>
              <w:t>„(</w:t>
            </w:r>
            <w:proofErr w:type="gramEnd"/>
            <w:r>
              <w:t xml:space="preserve">în continuare - ISTA)”. În aces caz, la art. 11 alin. (6) </w:t>
            </w:r>
            <w:proofErr w:type="gramStart"/>
            <w:r>
              <w:t>lit.e</w:t>
            </w:r>
            <w:proofErr w:type="gramEnd"/>
            <w:r>
              <w:t>) liniuța a doua textul „(în continuare - ISTA)” se va exclude.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A5A4" w14:textId="37E56EF5" w:rsidR="00006BD7" w:rsidRPr="00A23CC8" w:rsidRDefault="00304CA1" w:rsidP="00E729DD">
            <w:pPr>
              <w:pBdr>
                <w:top w:val="none" w:sz="4" w:space="0" w:color="000000"/>
                <w:left w:val="none" w:sz="4" w:space="0" w:color="000000"/>
                <w:bottom w:val="none" w:sz="4" w:space="0" w:color="000000"/>
                <w:right w:val="none" w:sz="4" w:space="0" w:color="000000"/>
              </w:pBdr>
              <w:ind w:firstLine="0"/>
              <w:rPr>
                <w:lang w:val="ro-RO"/>
              </w:rPr>
            </w:pPr>
            <w:r w:rsidRPr="00304CA1">
              <w:rPr>
                <w:lang w:val="ro-RO"/>
              </w:rPr>
              <w:t>Se acceptă, a fost modificat.</w:t>
            </w:r>
          </w:p>
        </w:tc>
      </w:tr>
      <w:tr w:rsidR="00006BD7" w:rsidRPr="00A23CC8" w14:paraId="2832EC1E"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08D35A3B"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95197" w14:textId="58BAF668" w:rsidR="00006BD7" w:rsidRPr="00A23CC8" w:rsidRDefault="00304CA1" w:rsidP="00E729DD">
            <w:pPr>
              <w:pBdr>
                <w:top w:val="none" w:sz="4" w:space="0" w:color="000000"/>
                <w:left w:val="none" w:sz="4" w:space="0" w:color="000000"/>
                <w:bottom w:val="none" w:sz="4" w:space="0" w:color="000000"/>
                <w:right w:val="none" w:sz="4" w:space="0" w:color="000000"/>
              </w:pBdr>
              <w:ind w:firstLine="0"/>
              <w:rPr>
                <w:lang w:val="ro-RO"/>
              </w:rPr>
            </w:pPr>
            <w:r>
              <w:rPr>
                <w:lang w:val="ro-RO"/>
              </w:rPr>
              <w:t>65</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BE49F" w14:textId="1615ADD8" w:rsidR="00006BD7" w:rsidRPr="00A23CC8" w:rsidRDefault="00006BD7" w:rsidP="00E729DD">
            <w:pPr>
              <w:pBdr>
                <w:top w:val="none" w:sz="4" w:space="0" w:color="000000"/>
                <w:left w:val="none" w:sz="4" w:space="0" w:color="000000"/>
                <w:bottom w:val="none" w:sz="4" w:space="0" w:color="000000"/>
                <w:right w:val="none" w:sz="4" w:space="0" w:color="000000"/>
              </w:pBdr>
              <w:ind w:firstLine="0"/>
              <w:rPr>
                <w:lang w:val="ro-RO"/>
              </w:rPr>
            </w:pPr>
            <w:r>
              <w:t xml:space="preserve">Totodată, nota de fundamentare la proiect se va completa cu condițiile ce au </w:t>
            </w:r>
            <w:proofErr w:type="gramStart"/>
            <w:r>
              <w:t>stat la baza completării art</w:t>
            </w:r>
            <w:proofErr w:type="gramEnd"/>
            <w:r>
              <w:t>. 9 cu alin. (</w:t>
            </w:r>
            <w:proofErr w:type="gramStart"/>
            <w:r>
              <w:t>2</w:t>
            </w:r>
            <w:r w:rsidRPr="00304CA1">
              <w:rPr>
                <w:vertAlign w:val="superscript"/>
              </w:rPr>
              <w:t>2</w:t>
            </w:r>
            <w:r w:rsidR="00304CA1">
              <w:t xml:space="preserve"> )</w:t>
            </w:r>
            <w:proofErr w:type="gramEnd"/>
            <w:r w:rsidR="00304CA1">
              <w:t xml:space="preserve"> lit. a) ș</w:t>
            </w:r>
            <w:proofErr w:type="gramStart"/>
            <w:r w:rsidR="00304CA1">
              <w:t xml:space="preserve">i </w:t>
            </w:r>
            <w:r>
              <w:t xml:space="preserve"> alin</w:t>
            </w:r>
            <w:proofErr w:type="gramEnd"/>
            <w:r>
              <w:t xml:space="preserve">. (12) </w:t>
            </w:r>
            <w:proofErr w:type="gramStart"/>
            <w:r>
              <w:t>cu</w:t>
            </w:r>
            <w:proofErr w:type="gramEnd"/>
            <w:r>
              <w:t xml:space="preserve"> lit. </w:t>
            </w:r>
            <w:r>
              <w:lastRenderedPageBreak/>
              <w:t xml:space="preserve">d). Mai mult, modificarea propusă la art. 9 alin. (13) </w:t>
            </w:r>
            <w:proofErr w:type="gramStart"/>
            <w:r>
              <w:t>diferă</w:t>
            </w:r>
            <w:proofErr w:type="gramEnd"/>
            <w:r>
              <w:t xml:space="preserve"> de modificarea menționată la pct. 6 din nota de fundamentare, din care motiv nota de fundamentare se va ajusta corespunzător.</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8EA4" w14:textId="2E8E0B9A" w:rsidR="00006BD7" w:rsidRPr="00A23CC8" w:rsidRDefault="00304CA1" w:rsidP="00E729DD">
            <w:pPr>
              <w:pBdr>
                <w:top w:val="none" w:sz="4" w:space="0" w:color="000000"/>
                <w:left w:val="none" w:sz="4" w:space="0" w:color="000000"/>
                <w:bottom w:val="none" w:sz="4" w:space="0" w:color="000000"/>
                <w:right w:val="none" w:sz="4" w:space="0" w:color="000000"/>
              </w:pBdr>
              <w:ind w:firstLine="0"/>
              <w:rPr>
                <w:lang w:val="ro-RO"/>
              </w:rPr>
            </w:pPr>
            <w:r>
              <w:rPr>
                <w:lang w:val="ro-RO"/>
              </w:rPr>
              <w:lastRenderedPageBreak/>
              <w:t xml:space="preserve">Se acceptă. </w:t>
            </w:r>
            <w:r w:rsidRPr="00770456">
              <w:rPr>
                <w:highlight w:val="yellow"/>
                <w:lang w:val="ro-RO"/>
              </w:rPr>
              <w:t>Nota de fundamentare a fost completată și ajustată.</w:t>
            </w:r>
          </w:p>
        </w:tc>
      </w:tr>
      <w:tr w:rsidR="00006BD7" w:rsidRPr="00A23CC8" w14:paraId="11E22013"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14976B2A"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6DDA9" w14:textId="39EEC767" w:rsidR="00006BD7" w:rsidRPr="00A23CC8" w:rsidRDefault="00304CA1" w:rsidP="00E729DD">
            <w:pPr>
              <w:pBdr>
                <w:top w:val="none" w:sz="4" w:space="0" w:color="000000"/>
                <w:left w:val="none" w:sz="4" w:space="0" w:color="000000"/>
                <w:bottom w:val="none" w:sz="4" w:space="0" w:color="000000"/>
                <w:right w:val="none" w:sz="4" w:space="0" w:color="000000"/>
              </w:pBdr>
              <w:ind w:firstLine="0"/>
              <w:rPr>
                <w:lang w:val="ro-RO"/>
              </w:rPr>
            </w:pPr>
            <w:r>
              <w:rPr>
                <w:lang w:val="ro-RO"/>
              </w:rPr>
              <w:t>66</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71A" w14:textId="31E7CD05" w:rsidR="00006BD7" w:rsidRPr="00A23CC8" w:rsidRDefault="00006BD7" w:rsidP="00E729DD">
            <w:pPr>
              <w:pBdr>
                <w:top w:val="none" w:sz="4" w:space="0" w:color="000000"/>
                <w:left w:val="none" w:sz="4" w:space="0" w:color="000000"/>
                <w:bottom w:val="none" w:sz="4" w:space="0" w:color="000000"/>
                <w:right w:val="none" w:sz="4" w:space="0" w:color="000000"/>
              </w:pBdr>
              <w:ind w:firstLine="0"/>
              <w:rPr>
                <w:lang w:val="ro-RO"/>
              </w:rPr>
            </w:pPr>
            <w:r>
              <w:t xml:space="preserve">La pct. 4, remarcăm că </w:t>
            </w:r>
            <w:proofErr w:type="gramStart"/>
            <w:r>
              <w:t>textul indicat la art</w:t>
            </w:r>
            <w:proofErr w:type="gramEnd"/>
            <w:r>
              <w:t xml:space="preserve">. 9 alin. (2) </w:t>
            </w:r>
            <w:proofErr w:type="gramStart"/>
            <w:r>
              <w:t>este</w:t>
            </w:r>
            <w:proofErr w:type="gramEnd"/>
            <w:r>
              <w:t xml:space="preserve"> distinct de textul indicat la art. 11 alin. (1) și (2) din Legea nr. </w:t>
            </w:r>
            <w:proofErr w:type="gramStart"/>
            <w:r>
              <w:t>68/2013,</w:t>
            </w:r>
            <w:proofErr w:type="gramEnd"/>
            <w:r>
              <w:t xml:space="preserve"> or, la art. 9 alin. (2) </w:t>
            </w:r>
            <w:proofErr w:type="gramStart"/>
            <w:r>
              <w:t>este</w:t>
            </w:r>
            <w:proofErr w:type="gramEnd"/>
            <w:r>
              <w:t xml:space="preserve"> utilizat textul „Catalogul soiurilor de specii de legume al Uniunii Europene (The Catalogue of Varieties of Vegetable Species)”, iar la art. 11 alin. (1) și (2) este utilizat textul „Catalogul comun al soiurilor de specii de legume al Uniunii Europene (The Common Catalogue of Varieties of Vegetable Species)”. Astfel, modificările propuse la articolele enunțate se vor indica în puncte distincte.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0798" w14:textId="00D5970D" w:rsidR="00006BD7" w:rsidRPr="00A23CC8" w:rsidRDefault="00273A08" w:rsidP="00E729DD">
            <w:pPr>
              <w:pBdr>
                <w:top w:val="none" w:sz="4" w:space="0" w:color="000000"/>
                <w:left w:val="none" w:sz="4" w:space="0" w:color="000000"/>
                <w:bottom w:val="none" w:sz="4" w:space="0" w:color="000000"/>
                <w:right w:val="none" w:sz="4" w:space="0" w:color="000000"/>
              </w:pBdr>
              <w:ind w:firstLine="0"/>
              <w:rPr>
                <w:lang w:val="ro-RO"/>
              </w:rPr>
            </w:pPr>
            <w:r w:rsidRPr="00770456">
              <w:rPr>
                <w:highlight w:val="yellow"/>
                <w:lang w:val="ro-RO"/>
              </w:rPr>
              <w:t>Se acceptă, a fost redactat.</w:t>
            </w:r>
          </w:p>
        </w:tc>
      </w:tr>
      <w:tr w:rsidR="00AD783E" w:rsidRPr="00A23CC8" w14:paraId="113BF3F0"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0561F1DD" w14:textId="77777777" w:rsidR="00AD783E" w:rsidRPr="00DC5654" w:rsidRDefault="00AD783E"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86D00" w14:textId="2FF69012" w:rsidR="00AD783E" w:rsidRPr="00A23CC8" w:rsidRDefault="00AD783E" w:rsidP="00E729DD">
            <w:pPr>
              <w:pBdr>
                <w:top w:val="none" w:sz="4" w:space="0" w:color="000000"/>
                <w:left w:val="none" w:sz="4" w:space="0" w:color="000000"/>
                <w:bottom w:val="none" w:sz="4" w:space="0" w:color="000000"/>
                <w:right w:val="none" w:sz="4" w:space="0" w:color="000000"/>
              </w:pBdr>
              <w:ind w:firstLine="0"/>
              <w:rPr>
                <w:lang w:val="ro-RO"/>
              </w:rPr>
            </w:pPr>
            <w:r>
              <w:rPr>
                <w:lang w:val="ro-RO"/>
              </w:rPr>
              <w:t>67</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A57F1" w14:textId="36485235" w:rsidR="00AD783E" w:rsidRPr="00A23CC8" w:rsidRDefault="00AD783E" w:rsidP="00E729DD">
            <w:pPr>
              <w:pBdr>
                <w:top w:val="none" w:sz="4" w:space="0" w:color="000000"/>
                <w:left w:val="none" w:sz="4" w:space="0" w:color="000000"/>
                <w:bottom w:val="none" w:sz="4" w:space="0" w:color="000000"/>
                <w:right w:val="none" w:sz="4" w:space="0" w:color="000000"/>
              </w:pBdr>
              <w:ind w:firstLine="0"/>
              <w:rPr>
                <w:lang w:val="ro-RO"/>
              </w:rPr>
            </w:pPr>
            <w:r>
              <w:t xml:space="preserve">La pct. 5, </w:t>
            </w:r>
            <w:proofErr w:type="gramStart"/>
            <w:r>
              <w:t>dispoziția propusă la art</w:t>
            </w:r>
            <w:proofErr w:type="gramEnd"/>
            <w:r>
              <w:t xml:space="preserve">. 11 alin. (6) </w:t>
            </w:r>
            <w:proofErr w:type="gramStart"/>
            <w:r>
              <w:t>lit</w:t>
            </w:r>
            <w:proofErr w:type="gramEnd"/>
            <w:r>
              <w:t xml:space="preserve">. e) </w:t>
            </w:r>
            <w:proofErr w:type="gramStart"/>
            <w:r>
              <w:t>partea</w:t>
            </w:r>
            <w:proofErr w:type="gramEnd"/>
            <w:r>
              <w:t xml:space="preserve"> introductivă, în modul în care este formulată, corespunde dispoziției părții introductive de la art. 11 alin. (6) și nu a lit. e). Prin urmare, se va reanaliza acest aspect, eventual prin modificarea părții introductive de la art. 11 alin. (6) </w:t>
            </w:r>
            <w:proofErr w:type="gramStart"/>
            <w:r>
              <w:t>sau</w:t>
            </w:r>
            <w:proofErr w:type="gramEnd"/>
            <w:r>
              <w:t xml:space="preserve"> excluderea acesteia.</w:t>
            </w:r>
          </w:p>
        </w:tc>
        <w:tc>
          <w:tcPr>
            <w:tcW w:w="1607"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A9C8234" w14:textId="2F734950" w:rsidR="00AD783E" w:rsidRPr="00A23CC8" w:rsidRDefault="00AD783E"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redactat</w:t>
            </w:r>
            <w:r w:rsidR="008916B1">
              <w:rPr>
                <w:lang w:val="ro-RO"/>
              </w:rPr>
              <w:t xml:space="preserve">ă </w:t>
            </w:r>
            <w:r w:rsidR="008916B1" w:rsidRPr="008916B1">
              <w:rPr>
                <w:lang w:val="ro-RO"/>
              </w:rPr>
              <w:t>dispoziț</w:t>
            </w:r>
            <w:r w:rsidR="008916B1">
              <w:rPr>
                <w:lang w:val="ro-RO"/>
              </w:rPr>
              <w:t>ia propusă la art. 11 alin. (6)</w:t>
            </w:r>
            <w:r>
              <w:rPr>
                <w:lang w:val="ro-RO"/>
              </w:rPr>
              <w:t xml:space="preserve"> și completat</w:t>
            </w:r>
            <w:r w:rsidR="008916B1">
              <w:rPr>
                <w:lang w:val="ro-RO"/>
              </w:rPr>
              <w:t>ă Nota de Fundamentare.</w:t>
            </w:r>
          </w:p>
        </w:tc>
      </w:tr>
      <w:tr w:rsidR="00AD783E" w:rsidRPr="00A23CC8" w14:paraId="171ED74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308072CD" w14:textId="77777777" w:rsidR="00AD783E" w:rsidRPr="00DC5654" w:rsidRDefault="00AD783E"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0E3F6" w14:textId="0190A88C" w:rsidR="00AD783E" w:rsidRPr="00A23CC8" w:rsidRDefault="008916B1" w:rsidP="00E729DD">
            <w:pPr>
              <w:pBdr>
                <w:top w:val="none" w:sz="4" w:space="0" w:color="000000"/>
                <w:left w:val="none" w:sz="4" w:space="0" w:color="000000"/>
                <w:bottom w:val="none" w:sz="4" w:space="0" w:color="000000"/>
                <w:right w:val="none" w:sz="4" w:space="0" w:color="000000"/>
              </w:pBdr>
              <w:ind w:firstLine="0"/>
              <w:rPr>
                <w:lang w:val="ro-RO"/>
              </w:rPr>
            </w:pPr>
            <w:r>
              <w:rPr>
                <w:lang w:val="ro-RO"/>
              </w:rPr>
              <w:t>68</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624C3" w14:textId="6370956D" w:rsidR="00AD783E" w:rsidRPr="00A23CC8" w:rsidRDefault="00AD783E" w:rsidP="00E729DD">
            <w:pPr>
              <w:pBdr>
                <w:top w:val="none" w:sz="4" w:space="0" w:color="000000"/>
                <w:left w:val="none" w:sz="4" w:space="0" w:color="000000"/>
                <w:bottom w:val="none" w:sz="4" w:space="0" w:color="000000"/>
                <w:right w:val="none" w:sz="4" w:space="0" w:color="000000"/>
              </w:pBdr>
              <w:ind w:firstLine="0"/>
              <w:rPr>
                <w:lang w:val="ro-RO"/>
              </w:rPr>
            </w:pPr>
            <w:r>
              <w:t xml:space="preserve">Pornind de la obiecția expusă supra, </w:t>
            </w:r>
            <w:proofErr w:type="gramStart"/>
            <w:r>
              <w:t>modificarea propusă la art</w:t>
            </w:r>
            <w:proofErr w:type="gramEnd"/>
            <w:r>
              <w:t xml:space="preserve">. 11 alin. (6) </w:t>
            </w:r>
            <w:proofErr w:type="gramStart"/>
            <w:r>
              <w:t>lit</w:t>
            </w:r>
            <w:proofErr w:type="gramEnd"/>
            <w:r>
              <w:t xml:space="preserve">. e) </w:t>
            </w:r>
            <w:proofErr w:type="gramStart"/>
            <w:r>
              <w:t>liniuțile</w:t>
            </w:r>
            <w:proofErr w:type="gramEnd"/>
            <w:r>
              <w:t xml:space="preserve"> unu-trei se vor indica la art. 11 alin. (6) ca litere distincte de lit. e). 3 Totodată, menționăm că modificările propuse la art. 11 alin. (6) </w:t>
            </w:r>
            <w:proofErr w:type="gramStart"/>
            <w:r>
              <w:t>lit</w:t>
            </w:r>
            <w:proofErr w:type="gramEnd"/>
            <w:r>
              <w:t xml:space="preserve">. e) </w:t>
            </w:r>
            <w:proofErr w:type="gramStart"/>
            <w:r>
              <w:t>nu</w:t>
            </w:r>
            <w:proofErr w:type="gramEnd"/>
            <w:r>
              <w:t xml:space="preserve"> coincid cu modificările explicate în nota de fundamentare, din care motiv nota de fundamentare se va ajusta corespunzător.</w:t>
            </w:r>
          </w:p>
        </w:tc>
        <w:tc>
          <w:tcPr>
            <w:tcW w:w="1607"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51ED4938" w14:textId="77777777" w:rsidR="00AD783E" w:rsidRPr="00A23CC8" w:rsidRDefault="00AD783E" w:rsidP="00E729DD">
            <w:pPr>
              <w:pBdr>
                <w:top w:val="none" w:sz="4" w:space="0" w:color="000000"/>
                <w:left w:val="none" w:sz="4" w:space="0" w:color="000000"/>
                <w:bottom w:val="none" w:sz="4" w:space="0" w:color="000000"/>
                <w:right w:val="none" w:sz="4" w:space="0" w:color="000000"/>
              </w:pBdr>
              <w:ind w:firstLine="0"/>
              <w:rPr>
                <w:lang w:val="ro-RO"/>
              </w:rPr>
            </w:pPr>
          </w:p>
        </w:tc>
      </w:tr>
      <w:tr w:rsidR="00006BD7" w:rsidRPr="00A23CC8" w14:paraId="03669A1D"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02D3671"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E713B" w14:textId="1FA9A13D" w:rsidR="00006BD7" w:rsidRPr="00A23CC8" w:rsidRDefault="008916B1" w:rsidP="00E729DD">
            <w:pPr>
              <w:pBdr>
                <w:top w:val="none" w:sz="4" w:space="0" w:color="000000"/>
                <w:left w:val="none" w:sz="4" w:space="0" w:color="000000"/>
                <w:bottom w:val="none" w:sz="4" w:space="0" w:color="000000"/>
                <w:right w:val="none" w:sz="4" w:space="0" w:color="000000"/>
              </w:pBdr>
              <w:ind w:firstLine="0"/>
              <w:rPr>
                <w:lang w:val="ro-RO"/>
              </w:rPr>
            </w:pPr>
            <w:r>
              <w:rPr>
                <w:lang w:val="ro-RO"/>
              </w:rPr>
              <w:t>69</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AB8A6" w14:textId="072A1143" w:rsidR="00006BD7" w:rsidRPr="00A23CC8" w:rsidRDefault="00006BD7" w:rsidP="00E729DD">
            <w:pPr>
              <w:pBdr>
                <w:top w:val="none" w:sz="4" w:space="0" w:color="000000"/>
                <w:left w:val="none" w:sz="4" w:space="0" w:color="000000"/>
                <w:bottom w:val="none" w:sz="4" w:space="0" w:color="000000"/>
                <w:right w:val="none" w:sz="4" w:space="0" w:color="000000"/>
              </w:pBdr>
              <w:ind w:firstLine="0"/>
              <w:rPr>
                <w:lang w:val="ro-RO"/>
              </w:rPr>
            </w:pPr>
            <w:r>
              <w:t xml:space="preserve">Atragem atenția că, modificările nu sunt numerotate consecutiv, sbp. 5.1.4 </w:t>
            </w:r>
            <w:proofErr w:type="gramStart"/>
            <w:r>
              <w:t>fiind</w:t>
            </w:r>
            <w:proofErr w:type="gramEnd"/>
            <w:r>
              <w:t xml:space="preserve"> indicat de două ori neordonat corect.</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BECC" w14:textId="7AADE43A" w:rsidR="00006BD7" w:rsidRPr="00A23CC8" w:rsidRDefault="008916B1"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redactat.</w:t>
            </w:r>
          </w:p>
        </w:tc>
      </w:tr>
      <w:tr w:rsidR="00006BD7" w:rsidRPr="00A23CC8" w14:paraId="40A93755"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30796B8B"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F8AB7" w14:textId="499B754E" w:rsidR="00006BD7" w:rsidRPr="00A23CC8" w:rsidRDefault="008916B1" w:rsidP="00E729DD">
            <w:pPr>
              <w:pBdr>
                <w:top w:val="none" w:sz="4" w:space="0" w:color="000000"/>
                <w:left w:val="none" w:sz="4" w:space="0" w:color="000000"/>
                <w:bottom w:val="none" w:sz="4" w:space="0" w:color="000000"/>
                <w:right w:val="none" w:sz="4" w:space="0" w:color="000000"/>
              </w:pBdr>
              <w:ind w:firstLine="0"/>
              <w:rPr>
                <w:lang w:val="ro-RO"/>
              </w:rPr>
            </w:pPr>
            <w:r>
              <w:rPr>
                <w:lang w:val="ro-RO"/>
              </w:rPr>
              <w:t>70</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95270" w14:textId="3D54ED9C" w:rsidR="00006BD7" w:rsidRDefault="00006BD7" w:rsidP="00E729DD">
            <w:pPr>
              <w:pBdr>
                <w:top w:val="none" w:sz="4" w:space="0" w:color="000000"/>
                <w:left w:val="none" w:sz="4" w:space="0" w:color="000000"/>
                <w:bottom w:val="none" w:sz="4" w:space="0" w:color="000000"/>
                <w:right w:val="none" w:sz="4" w:space="0" w:color="000000"/>
              </w:pBdr>
              <w:ind w:firstLine="0"/>
            </w:pPr>
            <w:r>
              <w:t>La subpct. 5.1.3, completarea art. 11 cu alin. (</w:t>
            </w:r>
            <w:proofErr w:type="gramStart"/>
            <w:r>
              <w:t>6</w:t>
            </w:r>
            <w:r w:rsidRPr="008916B1">
              <w:rPr>
                <w:vertAlign w:val="superscript"/>
              </w:rPr>
              <w:t>1</w:t>
            </w:r>
            <w:r>
              <w:t xml:space="preserve"> )</w:t>
            </w:r>
            <w:proofErr w:type="gramEnd"/>
            <w:r>
              <w:t xml:space="preserve"> se va revedea integral, întrucât alin. (6), de la care se propune derogare, prevede actele în baza cărora se efectuează importul semințelor. Astfel, pentru a reda un caracter clar normei indicate la art. 11 alin. (</w:t>
            </w:r>
            <w:proofErr w:type="gramStart"/>
            <w:r>
              <w:t>6</w:t>
            </w:r>
            <w:r w:rsidRPr="008916B1">
              <w:rPr>
                <w:vertAlign w:val="superscript"/>
              </w:rPr>
              <w:t>1</w:t>
            </w:r>
            <w:r>
              <w:t xml:space="preserve"> )</w:t>
            </w:r>
            <w:proofErr w:type="gramEnd"/>
            <w:r>
              <w:t xml:space="preserve"> din Legea nr. 68/2013, se propune completarea acesteia cu cuvintele „fără prezentarea actelor”, or, în modul în care este formulată, norma nu are finalitate. Totodată, în vederea uniformizării terminologiei, cuvintele „materialului semincer” se vor substitui cu cuvintele „semințele”.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C893A" w14:textId="7A12007C" w:rsidR="00006BD7" w:rsidRPr="00A23CC8" w:rsidRDefault="008916B1"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completat și modificat.</w:t>
            </w:r>
          </w:p>
        </w:tc>
      </w:tr>
      <w:tr w:rsidR="00006BD7" w:rsidRPr="00A23CC8" w14:paraId="1C028CE2"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7225279"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2D336" w14:textId="44C57414" w:rsidR="00006BD7" w:rsidRPr="00A23CC8" w:rsidRDefault="008916B1" w:rsidP="00E729DD">
            <w:pPr>
              <w:pBdr>
                <w:top w:val="none" w:sz="4" w:space="0" w:color="000000"/>
                <w:left w:val="none" w:sz="4" w:space="0" w:color="000000"/>
                <w:bottom w:val="none" w:sz="4" w:space="0" w:color="000000"/>
                <w:right w:val="none" w:sz="4" w:space="0" w:color="000000"/>
              </w:pBdr>
              <w:ind w:firstLine="0"/>
              <w:rPr>
                <w:lang w:val="ro-RO"/>
              </w:rPr>
            </w:pPr>
            <w:r>
              <w:rPr>
                <w:lang w:val="ro-RO"/>
              </w:rPr>
              <w:t>71</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D7DA1" w14:textId="313EC4F1"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La subpct. 5.1.4, prin care se propune modificarea alin. (14) </w:t>
            </w:r>
            <w:proofErr w:type="gramStart"/>
            <w:r>
              <w:t>al</w:t>
            </w:r>
            <w:proofErr w:type="gramEnd"/>
            <w:r>
              <w:t xml:space="preserve"> art. 11 din Legea nr. 68/2013, atenționăm că art. 11 este constituit din șapte alineate. Prin urmare, modificarea propusă se va revizui corespunzător</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807A" w14:textId="4013703C" w:rsidR="00006BD7" w:rsidRPr="00A23CC8" w:rsidRDefault="008916B1" w:rsidP="00E729DD">
            <w:pPr>
              <w:pBdr>
                <w:top w:val="none" w:sz="4" w:space="0" w:color="000000"/>
                <w:left w:val="none" w:sz="4" w:space="0" w:color="000000"/>
                <w:bottom w:val="none" w:sz="4" w:space="0" w:color="000000"/>
                <w:right w:val="none" w:sz="4" w:space="0" w:color="000000"/>
              </w:pBdr>
              <w:ind w:firstLine="0"/>
              <w:rPr>
                <w:lang w:val="ro-RO"/>
              </w:rPr>
            </w:pPr>
            <w:r>
              <w:rPr>
                <w:lang w:val="ro-RO"/>
              </w:rPr>
              <w:t xml:space="preserve">Se acceptă, modificarea a fost exclusă, se referă la </w:t>
            </w:r>
            <w:r w:rsidRPr="008916B1">
              <w:rPr>
                <w:lang w:val="ro-RO"/>
              </w:rPr>
              <w:t xml:space="preserve">alin. (14) </w:t>
            </w:r>
            <w:r>
              <w:rPr>
                <w:lang w:val="ro-RO"/>
              </w:rPr>
              <w:t>art 9.</w:t>
            </w:r>
          </w:p>
        </w:tc>
      </w:tr>
      <w:tr w:rsidR="00006BD7" w:rsidRPr="00A23CC8" w14:paraId="5B5C03AD"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0A4DF789"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E0262" w14:textId="134FFFE7"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Pr>
                <w:lang w:val="ro-RO"/>
              </w:rPr>
              <w:t>72</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E4B9B" w14:textId="7ABB9F6C"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La subpct. 6.1, ce modifică art. 12 alin. (2) </w:t>
            </w:r>
            <w:proofErr w:type="gramStart"/>
            <w:r>
              <w:t>lit</w:t>
            </w:r>
            <w:proofErr w:type="gramEnd"/>
            <w:r>
              <w:t xml:space="preserve">. </w:t>
            </w:r>
            <w:proofErr w:type="gramStart"/>
            <w:r>
              <w:t>a</w:t>
            </w:r>
            <w:proofErr w:type="gramEnd"/>
            <w:r>
              <w:t>), cuvintele „la solicitare” se vor indica la finalul normei propuse, întru asigurarea succesiunii logice cu prevederile lit. b), c) și d) din același alineat.</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69A1" w14:textId="3F7C0170"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redactat.</w:t>
            </w:r>
          </w:p>
        </w:tc>
      </w:tr>
      <w:tr w:rsidR="00006BD7" w:rsidRPr="00A23CC8" w14:paraId="587DC54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C58354B"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5E74" w14:textId="7F190F11"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Pr>
                <w:lang w:val="ro-RO"/>
              </w:rPr>
              <w:t>73</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6AAC" w14:textId="697568FB"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La subpct. 6.2, semnalăm că normele de la art. 12 alin. (2) </w:t>
            </w:r>
            <w:proofErr w:type="gramStart"/>
            <w:r>
              <w:t>lit</w:t>
            </w:r>
            <w:proofErr w:type="gramEnd"/>
            <w:r>
              <w:t xml:space="preserve">. </w:t>
            </w:r>
            <w:proofErr w:type="gramStart"/>
            <w:r>
              <w:t>a</w:t>
            </w:r>
            <w:proofErr w:type="gramEnd"/>
            <w:r>
              <w:t xml:space="preserve">)-c) din Legea nr. 68/2013 enumeră documentele în baza cărora agenții economici efectuează exportul semințelor, iar dispoziția propusă la art. 12 alin. (2) </w:t>
            </w:r>
            <w:proofErr w:type="gramStart"/>
            <w:r>
              <w:t>lit</w:t>
            </w:r>
            <w:proofErr w:type="gramEnd"/>
            <w:r>
              <w:t xml:space="preserve">. d) </w:t>
            </w:r>
            <w:proofErr w:type="gramStart"/>
            <w:r>
              <w:t>indică</w:t>
            </w:r>
            <w:proofErr w:type="gramEnd"/>
            <w:r>
              <w:t xml:space="preserve"> cazul în care este permis exportul semințelor fără emiterea certificatului respectiv. Prin urmare, întru asigurarea principiului coerenței, se va examina oportunitatea indicării normei propuse la art. 12 alin. (2) </w:t>
            </w:r>
            <w:proofErr w:type="gramStart"/>
            <w:r>
              <w:t>lit</w:t>
            </w:r>
            <w:proofErr w:type="gramEnd"/>
            <w:r>
              <w:t>. d) într-un alineat distinct.</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61CDB" w14:textId="64B644D8"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sidRPr="00FB51A7">
              <w:rPr>
                <w:lang w:val="ro-RO"/>
              </w:rPr>
              <w:t>Se acceptă</w:t>
            </w:r>
            <w:r>
              <w:rPr>
                <w:lang w:val="ro-RO"/>
              </w:rPr>
              <w:t>,</w:t>
            </w:r>
            <w:r w:rsidRPr="00FB51A7">
              <w:rPr>
                <w:lang w:val="ro-RO"/>
              </w:rPr>
              <w:t xml:space="preserve"> a fost redactat.</w:t>
            </w:r>
          </w:p>
        </w:tc>
      </w:tr>
      <w:tr w:rsidR="00006BD7" w:rsidRPr="00A23CC8" w14:paraId="263740AE"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EFA70F6"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9C1A" w14:textId="154303F8"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Pr>
                <w:lang w:val="ro-RO"/>
              </w:rPr>
              <w:t>74</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92B3" w14:textId="23539969" w:rsidR="00006BD7" w:rsidRDefault="00006BD7" w:rsidP="00E729DD">
            <w:pPr>
              <w:pBdr>
                <w:top w:val="none" w:sz="4" w:space="0" w:color="000000"/>
                <w:left w:val="none" w:sz="4" w:space="0" w:color="000000"/>
                <w:bottom w:val="none" w:sz="4" w:space="0" w:color="000000"/>
                <w:right w:val="none" w:sz="4" w:space="0" w:color="000000"/>
              </w:pBdr>
              <w:ind w:firstLine="0"/>
            </w:pPr>
            <w:r>
              <w:t>La subpct. 7.1, ce modifică art. 14 alin. (3), cuvintele „se înlocuiește” se vor substitui cu cuvintele „se substituie” (obiecție valabilă și la subpct. 7.3, pct. 8 și 10).</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9D2B" w14:textId="74D9C681"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sidRPr="00FB51A7">
              <w:rPr>
                <w:lang w:val="ro-RO"/>
              </w:rPr>
              <w:t>Se acceptă</w:t>
            </w:r>
            <w:r>
              <w:rPr>
                <w:lang w:val="ro-RO"/>
              </w:rPr>
              <w:t>,</w:t>
            </w:r>
            <w:r w:rsidRPr="00FB51A7">
              <w:rPr>
                <w:lang w:val="ro-RO"/>
              </w:rPr>
              <w:t xml:space="preserve"> a fost redactat.</w:t>
            </w:r>
          </w:p>
        </w:tc>
      </w:tr>
      <w:tr w:rsidR="00006BD7" w:rsidRPr="00A23CC8" w14:paraId="762FC4C8"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155ACEF3"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1FEFE" w14:textId="46FC080D"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Pr>
                <w:lang w:val="ro-RO"/>
              </w:rPr>
              <w:t>75</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03163" w14:textId="55C00BBF" w:rsidR="00006BD7" w:rsidRDefault="00006BD7" w:rsidP="00E729DD">
            <w:pPr>
              <w:pBdr>
                <w:top w:val="none" w:sz="4" w:space="0" w:color="000000"/>
                <w:left w:val="none" w:sz="4" w:space="0" w:color="000000"/>
                <w:bottom w:val="none" w:sz="4" w:space="0" w:color="000000"/>
                <w:right w:val="none" w:sz="4" w:space="0" w:color="000000"/>
              </w:pBdr>
              <w:ind w:firstLine="0"/>
            </w:pPr>
            <w:r>
              <w:t>La subpct. 7.2, întru uniformizarea terminologiei, în cuprinsul propus la art. 14 alin. (4), cuvintele „Propunerea privind refuzul de înregistrare” se vor substitui cu cuvintele „Propunerea privind respingerea cererii de înregistrare”, astfel cum este prevăzut conform modificării la art. 14 alin. (3).</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37803" w14:textId="4DC83917"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sidRPr="00FB51A7">
              <w:rPr>
                <w:lang w:val="ro-RO"/>
              </w:rPr>
              <w:t>Se acceptă</w:t>
            </w:r>
            <w:r>
              <w:rPr>
                <w:lang w:val="ro-RO"/>
              </w:rPr>
              <w:t>,</w:t>
            </w:r>
            <w:r w:rsidRPr="00FB51A7">
              <w:rPr>
                <w:lang w:val="ro-RO"/>
              </w:rPr>
              <w:t xml:space="preserve"> a fost redactat.</w:t>
            </w:r>
          </w:p>
        </w:tc>
      </w:tr>
      <w:tr w:rsidR="00006BD7" w:rsidRPr="00A23CC8" w14:paraId="0DE271DD"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B83DEAF"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29897" w14:textId="4DCDB516"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Pr>
                <w:lang w:val="ro-RO"/>
              </w:rPr>
              <w:t>76</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4E1D3" w14:textId="7DCA2A5F"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La subpct. 7.3, pornind de la faptul că art. 14 alin. (5) </w:t>
            </w:r>
            <w:proofErr w:type="gramStart"/>
            <w:r>
              <w:t>se</w:t>
            </w:r>
            <w:proofErr w:type="gramEnd"/>
            <w:r>
              <w:t xml:space="preserve"> completează la final, textul „după cuvintele „din anexa nr. 3”” se va exclude ca fiind excedent. Se va reține că, în cazul completării unui text la sfârșitul acestuia, nu se specifică ordinea în care se inserează cuvintele.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836FE" w14:textId="30BE76CF" w:rsidR="00006BD7" w:rsidRPr="00A23CC8" w:rsidRDefault="00FB51A7" w:rsidP="00E729DD">
            <w:pPr>
              <w:pBdr>
                <w:top w:val="none" w:sz="4" w:space="0" w:color="000000"/>
                <w:left w:val="none" w:sz="4" w:space="0" w:color="000000"/>
                <w:bottom w:val="none" w:sz="4" w:space="0" w:color="000000"/>
                <w:right w:val="none" w:sz="4" w:space="0" w:color="000000"/>
              </w:pBdr>
              <w:ind w:firstLine="0"/>
              <w:rPr>
                <w:lang w:val="ro-RO"/>
              </w:rPr>
            </w:pPr>
            <w:r>
              <w:rPr>
                <w:lang w:val="ro-RO"/>
              </w:rPr>
              <w:t xml:space="preserve">Se acceptă , a fost redactat urmare a avizului </w:t>
            </w:r>
            <w:r w:rsidRPr="00FB51A7">
              <w:rPr>
                <w:lang w:val="ro-RO"/>
              </w:rPr>
              <w:t>Ministerului Dezvoltării Economice și Digitalizării</w:t>
            </w:r>
          </w:p>
        </w:tc>
      </w:tr>
      <w:tr w:rsidR="00006BD7" w:rsidRPr="00A23CC8" w14:paraId="408AC9A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61BA4A3"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7F535" w14:textId="7CB3D404" w:rsidR="00006BD7" w:rsidRPr="00A23CC8" w:rsidRDefault="003477D5" w:rsidP="00E729DD">
            <w:pPr>
              <w:pBdr>
                <w:top w:val="none" w:sz="4" w:space="0" w:color="000000"/>
                <w:left w:val="none" w:sz="4" w:space="0" w:color="000000"/>
                <w:bottom w:val="none" w:sz="4" w:space="0" w:color="000000"/>
                <w:right w:val="none" w:sz="4" w:space="0" w:color="000000"/>
              </w:pBdr>
              <w:ind w:firstLine="0"/>
              <w:rPr>
                <w:lang w:val="ro-RO"/>
              </w:rPr>
            </w:pPr>
            <w:r>
              <w:rPr>
                <w:lang w:val="ro-RO"/>
              </w:rPr>
              <w:t>77</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ACA1" w14:textId="28AE296C" w:rsidR="00006BD7" w:rsidRDefault="00006BD7" w:rsidP="00E729DD">
            <w:pPr>
              <w:pBdr>
                <w:top w:val="none" w:sz="4" w:space="0" w:color="000000"/>
                <w:left w:val="none" w:sz="4" w:space="0" w:color="000000"/>
                <w:bottom w:val="none" w:sz="4" w:space="0" w:color="000000"/>
                <w:right w:val="none" w:sz="4" w:space="0" w:color="000000"/>
              </w:pBdr>
              <w:ind w:firstLine="0"/>
            </w:pPr>
            <w:r>
              <w:t>Semnalăm că, numerotarea cu subpct. 7.4 se dublează, iar numerotarea cu pct. 11 este indicată de trei ori. Astfel, numerotarea elementelor structuale din proiect se va rectifica corespunzător.</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3CB5" w14:textId="06B631F4" w:rsidR="00006BD7" w:rsidRPr="00A23CC8" w:rsidRDefault="003477D5" w:rsidP="00E729DD">
            <w:pPr>
              <w:pBdr>
                <w:top w:val="none" w:sz="4" w:space="0" w:color="000000"/>
                <w:left w:val="none" w:sz="4" w:space="0" w:color="000000"/>
                <w:bottom w:val="none" w:sz="4" w:space="0" w:color="000000"/>
                <w:right w:val="none" w:sz="4" w:space="0" w:color="000000"/>
              </w:pBdr>
              <w:ind w:firstLine="0"/>
              <w:rPr>
                <w:lang w:val="ro-RO"/>
              </w:rPr>
            </w:pPr>
            <w:r w:rsidRPr="003477D5">
              <w:rPr>
                <w:lang w:val="ro-RO"/>
              </w:rPr>
              <w:t>Se acceptă, a fost redactat.</w:t>
            </w:r>
          </w:p>
        </w:tc>
      </w:tr>
      <w:tr w:rsidR="00006BD7" w:rsidRPr="00A23CC8" w14:paraId="2F1DF162"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31D29FAC"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45C6D" w14:textId="74FF051E" w:rsidR="00006BD7" w:rsidRPr="00A23CC8" w:rsidRDefault="003477D5" w:rsidP="00E729DD">
            <w:pPr>
              <w:pBdr>
                <w:top w:val="none" w:sz="4" w:space="0" w:color="000000"/>
                <w:left w:val="none" w:sz="4" w:space="0" w:color="000000"/>
                <w:bottom w:val="none" w:sz="4" w:space="0" w:color="000000"/>
                <w:right w:val="none" w:sz="4" w:space="0" w:color="000000"/>
              </w:pBdr>
              <w:ind w:firstLine="0"/>
              <w:rPr>
                <w:lang w:val="ro-RO"/>
              </w:rPr>
            </w:pPr>
            <w:r>
              <w:rPr>
                <w:lang w:val="ro-RO"/>
              </w:rPr>
              <w:t>78</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C4B8" w14:textId="6C503D0E" w:rsidR="00006BD7" w:rsidRDefault="00006BD7" w:rsidP="00E729DD">
            <w:pPr>
              <w:pBdr>
                <w:top w:val="none" w:sz="4" w:space="0" w:color="000000"/>
                <w:left w:val="none" w:sz="4" w:space="0" w:color="000000"/>
                <w:bottom w:val="none" w:sz="4" w:space="0" w:color="000000"/>
                <w:right w:val="none" w:sz="4" w:space="0" w:color="000000"/>
              </w:pBdr>
              <w:ind w:firstLine="0"/>
            </w:pPr>
            <w:r>
              <w:t>La subpct. 7.4, primul caz, textul „alin. (</w:t>
            </w:r>
            <w:proofErr w:type="gramStart"/>
            <w:r>
              <w:t>6</w:t>
            </w:r>
            <w:r w:rsidRPr="003477D5">
              <w:rPr>
                <w:vertAlign w:val="superscript"/>
              </w:rPr>
              <w:t>1</w:t>
            </w:r>
            <w:r>
              <w:t xml:space="preserve"> )</w:t>
            </w:r>
            <w:proofErr w:type="gramEnd"/>
            <w:r>
              <w:t xml:space="preserve"> și alin. (</w:t>
            </w:r>
            <w:proofErr w:type="gramStart"/>
            <w:r>
              <w:t>6</w:t>
            </w:r>
            <w:r w:rsidRPr="003477D5">
              <w:rPr>
                <w:vertAlign w:val="superscript"/>
              </w:rPr>
              <w:t>2</w:t>
            </w:r>
            <w:r>
              <w:t xml:space="preserve"> )</w:t>
            </w:r>
            <w:proofErr w:type="gramEnd"/>
            <w:r>
              <w:t>” se va substitui cu textul „alineatele (6</w:t>
            </w:r>
            <w:r w:rsidRPr="003477D5">
              <w:rPr>
                <w:vertAlign w:val="superscript"/>
              </w:rPr>
              <w:t>1</w:t>
            </w:r>
            <w:r>
              <w:t xml:space="preserve"> ) și (6</w:t>
            </w:r>
            <w:r w:rsidRPr="003477D5">
              <w:rPr>
                <w:vertAlign w:val="superscript"/>
              </w:rPr>
              <w:t>2</w:t>
            </w:r>
            <w:r w:rsidR="003477D5">
              <w:t xml:space="preserve"> )”.</w:t>
            </w:r>
            <w:r>
              <w:t xml:space="preserve"> În redacția alin. (</w:t>
            </w:r>
            <w:proofErr w:type="gramStart"/>
            <w:r>
              <w:t>6</w:t>
            </w:r>
            <w:r w:rsidRPr="003477D5">
              <w:rPr>
                <w:vertAlign w:val="superscript"/>
              </w:rPr>
              <w:t>1</w:t>
            </w:r>
            <w:r>
              <w:t xml:space="preserve"> )</w:t>
            </w:r>
            <w:proofErr w:type="gramEnd"/>
            <w:r>
              <w:t xml:space="preserve"> referința la Codul administrativ se va expune conform prevederilor art. 55 alin. (5) </w:t>
            </w:r>
            <w:proofErr w:type="gramStart"/>
            <w:r>
              <w:t>din</w:t>
            </w:r>
            <w:proofErr w:type="gramEnd"/>
            <w:r>
              <w:t xml:space="preserve"> Legea nr. 100/2017, astfel încât la indicarea datei adoptării </w:t>
            </w:r>
            <w:proofErr w:type="gramStart"/>
            <w:r>
              <w:t>a</w:t>
            </w:r>
            <w:proofErr w:type="gramEnd"/>
            <w:r>
              <w:t xml:space="preserve"> actului normativ să se indice numărul de ordine ca element de identificare, la care să se adauge anul în care a fost adoptat acesta, fiind despărțite de o bară „/”.</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9C240" w14:textId="3E8AFC54" w:rsidR="00006BD7" w:rsidRPr="00A23CC8" w:rsidRDefault="003477D5"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completat.</w:t>
            </w:r>
          </w:p>
        </w:tc>
      </w:tr>
      <w:tr w:rsidR="00006BD7" w:rsidRPr="00A23CC8" w14:paraId="41ABDED7"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6E37170"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3BA77" w14:textId="769B9FFA" w:rsidR="00006BD7" w:rsidRPr="00A23CC8" w:rsidRDefault="003477D5" w:rsidP="00E729DD">
            <w:pPr>
              <w:pBdr>
                <w:top w:val="none" w:sz="4" w:space="0" w:color="000000"/>
                <w:left w:val="none" w:sz="4" w:space="0" w:color="000000"/>
                <w:bottom w:val="none" w:sz="4" w:space="0" w:color="000000"/>
                <w:right w:val="none" w:sz="4" w:space="0" w:color="000000"/>
              </w:pBdr>
              <w:ind w:firstLine="0"/>
              <w:rPr>
                <w:lang w:val="ro-RO"/>
              </w:rPr>
            </w:pPr>
            <w:r>
              <w:rPr>
                <w:lang w:val="ro-RO"/>
              </w:rPr>
              <w:t>79</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4CD5" w14:textId="3AE27190" w:rsidR="00006BD7" w:rsidRDefault="00006BD7" w:rsidP="00E729DD">
            <w:pPr>
              <w:pBdr>
                <w:top w:val="none" w:sz="4" w:space="0" w:color="000000"/>
                <w:left w:val="none" w:sz="4" w:space="0" w:color="000000"/>
                <w:bottom w:val="none" w:sz="4" w:space="0" w:color="000000"/>
                <w:right w:val="none" w:sz="4" w:space="0" w:color="000000"/>
              </w:pBdr>
              <w:ind w:firstLine="0"/>
            </w:pPr>
            <w:r>
              <w:t>La pct. 11, primul caz, ce vizează completarea cu art. 20</w:t>
            </w:r>
            <w:r w:rsidRPr="003477D5">
              <w:rPr>
                <w:vertAlign w:val="superscript"/>
              </w:rPr>
              <w:t>2</w:t>
            </w:r>
            <w:r>
              <w:t xml:space="preserve"> -</w:t>
            </w:r>
            <w:proofErr w:type="gramStart"/>
            <w:r>
              <w:t>20</w:t>
            </w:r>
            <w:r w:rsidRPr="003477D5">
              <w:rPr>
                <w:vertAlign w:val="superscript"/>
              </w:rPr>
              <w:t xml:space="preserve">6 </w:t>
            </w:r>
            <w:r>
              <w:t>:</w:t>
            </w:r>
            <w:proofErr w:type="gramEnd"/>
            <w:r>
              <w:t xml:space="preserve"> Întru asigurarea redactării corecte, dispoziția de modificare se va expune în felul următor: „11. Se completează cu articolele 202 -206 cu următorul cuprins:</w:t>
            </w:r>
            <w:proofErr w:type="gramStart"/>
            <w:r>
              <w:t>”.</w:t>
            </w:r>
            <w:proofErr w:type="gramEnd"/>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6CE8" w14:textId="57017EA3" w:rsidR="00006BD7" w:rsidRPr="00A23CC8" w:rsidRDefault="003477D5" w:rsidP="003477D5">
            <w:pPr>
              <w:pBdr>
                <w:top w:val="none" w:sz="4" w:space="0" w:color="000000"/>
                <w:left w:val="none" w:sz="4" w:space="0" w:color="000000"/>
                <w:bottom w:val="none" w:sz="4" w:space="0" w:color="000000"/>
                <w:right w:val="none" w:sz="4" w:space="0" w:color="000000"/>
              </w:pBdr>
              <w:ind w:firstLine="0"/>
              <w:rPr>
                <w:lang w:val="ro-RO"/>
              </w:rPr>
            </w:pPr>
            <w:r w:rsidRPr="003477D5">
              <w:rPr>
                <w:lang w:val="ro-RO"/>
              </w:rPr>
              <w:t xml:space="preserve">Se acceptă, a fost </w:t>
            </w:r>
            <w:r>
              <w:rPr>
                <w:lang w:val="ro-RO"/>
              </w:rPr>
              <w:t>modificat</w:t>
            </w:r>
            <w:r w:rsidRPr="003477D5">
              <w:rPr>
                <w:lang w:val="ro-RO"/>
              </w:rPr>
              <w:t>.</w:t>
            </w:r>
          </w:p>
        </w:tc>
      </w:tr>
      <w:tr w:rsidR="00006BD7" w:rsidRPr="00A23CC8" w14:paraId="06783E81"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EE01EF5"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08EC0" w14:textId="504C87D6" w:rsidR="00006BD7" w:rsidRPr="00A23CC8" w:rsidRDefault="00A81492" w:rsidP="00E729DD">
            <w:pPr>
              <w:pBdr>
                <w:top w:val="none" w:sz="4" w:space="0" w:color="000000"/>
                <w:left w:val="none" w:sz="4" w:space="0" w:color="000000"/>
                <w:bottom w:val="none" w:sz="4" w:space="0" w:color="000000"/>
                <w:right w:val="none" w:sz="4" w:space="0" w:color="000000"/>
              </w:pBdr>
              <w:ind w:firstLine="0"/>
              <w:rPr>
                <w:lang w:val="ro-RO"/>
              </w:rPr>
            </w:pPr>
            <w:r>
              <w:rPr>
                <w:lang w:val="ro-RO"/>
              </w:rPr>
              <w:t>80</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04E3" w14:textId="6D1F4628"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În conformitate cu art. 51 alin. (2) </w:t>
            </w:r>
            <w:proofErr w:type="gramStart"/>
            <w:r>
              <w:t>din</w:t>
            </w:r>
            <w:proofErr w:type="gramEnd"/>
            <w:r>
              <w:t xml:space="preserve"> Legea nr. 100/2017, </w:t>
            </w:r>
            <w:proofErr w:type="gramStart"/>
            <w:r>
              <w:t>„(</w:t>
            </w:r>
            <w:proofErr w:type="gramEnd"/>
            <w:r>
              <w:t>2) Denumirea articolului cuprinde cuvântul „articolul” și numărul de ordine al acestuia, precum şi exprimă succint obiectul de reglementare, fără a avea o semnificaţie proprie în conţinutul articolului.”. Pornind de la prevederea legală enunțată, urmează a fi indicate denumirile art. 20</w:t>
            </w:r>
            <w:r w:rsidRPr="000314F7">
              <w:rPr>
                <w:vertAlign w:val="superscript"/>
              </w:rPr>
              <w:t>2</w:t>
            </w:r>
            <w:r>
              <w:t xml:space="preserve"> și </w:t>
            </w:r>
            <w:proofErr w:type="gramStart"/>
            <w:r>
              <w:t>20</w:t>
            </w:r>
            <w:r w:rsidRPr="000314F7">
              <w:rPr>
                <w:vertAlign w:val="superscript"/>
              </w:rPr>
              <w:t>3</w:t>
            </w:r>
            <w:r>
              <w:t xml:space="preserve"> ,</w:t>
            </w:r>
            <w:proofErr w:type="gramEnd"/>
            <w:r>
              <w:t xml:space="preserve"> propuse spre completare.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54797" w14:textId="31C14D5C" w:rsidR="00006BD7" w:rsidRPr="00A23CC8" w:rsidRDefault="00A81492"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completat.</w:t>
            </w:r>
          </w:p>
        </w:tc>
      </w:tr>
      <w:tr w:rsidR="00006BD7" w:rsidRPr="00A23CC8" w14:paraId="3A971631"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18861BDA"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747AB" w14:textId="5FC18D33" w:rsidR="00006BD7" w:rsidRPr="00A23CC8" w:rsidRDefault="00A81492" w:rsidP="00E729DD">
            <w:pPr>
              <w:pBdr>
                <w:top w:val="none" w:sz="4" w:space="0" w:color="000000"/>
                <w:left w:val="none" w:sz="4" w:space="0" w:color="000000"/>
                <w:bottom w:val="none" w:sz="4" w:space="0" w:color="000000"/>
                <w:right w:val="none" w:sz="4" w:space="0" w:color="000000"/>
              </w:pBdr>
              <w:ind w:firstLine="0"/>
              <w:rPr>
                <w:lang w:val="ro-RO"/>
              </w:rPr>
            </w:pPr>
            <w:r>
              <w:rPr>
                <w:lang w:val="ro-RO"/>
              </w:rPr>
              <w:t>81</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56448" w14:textId="2DC9FFA2"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Întru asigurarea transpunerii fidele </w:t>
            </w:r>
            <w:proofErr w:type="gramStart"/>
            <w:r>
              <w:t>a</w:t>
            </w:r>
            <w:proofErr w:type="gramEnd"/>
            <w:r>
              <w:t xml:space="preserve"> art. 3 alin. (1) </w:t>
            </w:r>
            <w:proofErr w:type="gramStart"/>
            <w:r>
              <w:t>din</w:t>
            </w:r>
            <w:proofErr w:type="gramEnd"/>
            <w:r>
              <w:t xml:space="preserve"> Decizia Consiliului 2003/17/CE, la art. 20</w:t>
            </w:r>
            <w:r w:rsidRPr="00E94F57">
              <w:rPr>
                <w:vertAlign w:val="superscript"/>
              </w:rPr>
              <w:t xml:space="preserve">2 </w:t>
            </w:r>
            <w:r>
              <w:t>cuvintele „semințele echivalente” vor fi succedate de cuvintele „fac obiectul unei schimbări a etichetei și a sistemului de închidere”, iar în final se va completa cu cuvintele „produse în alte state”. Totodată, se vor indica actele normative naționale care transpun Directivele 66/401/CEE, 66/402/CEE, 2002/54/CE, 2002/55/CE și 2002/57/CE.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ED0F" w14:textId="280287BA" w:rsidR="00006BD7" w:rsidRPr="00A23CC8" w:rsidRDefault="00A81492" w:rsidP="00E729DD">
            <w:pPr>
              <w:pBdr>
                <w:top w:val="none" w:sz="4" w:space="0" w:color="000000"/>
                <w:left w:val="none" w:sz="4" w:space="0" w:color="000000"/>
                <w:bottom w:val="none" w:sz="4" w:space="0" w:color="000000"/>
                <w:right w:val="none" w:sz="4" w:space="0" w:color="000000"/>
              </w:pBdr>
              <w:ind w:firstLine="0"/>
              <w:rPr>
                <w:lang w:val="ro-RO"/>
              </w:rPr>
            </w:pPr>
            <w:r>
              <w:rPr>
                <w:lang w:val="ro-RO"/>
              </w:rPr>
              <w:t xml:space="preserve">Se acceptă parțial, </w:t>
            </w:r>
            <w:r w:rsidRPr="00770456">
              <w:rPr>
                <w:highlight w:val="yellow"/>
                <w:lang w:val="ro-RO"/>
              </w:rPr>
              <w:t>actele normative naționale care transpun Directivele 66/401/CEE, 66/402/CEE, 2002/54/CE, 2002/55/CE și 2002/57/CE sunt completate în Tabelul de concordanță la rubrica „Observații”.</w:t>
            </w:r>
            <w:r w:rsidR="00770456">
              <w:rPr>
                <w:lang w:val="ro-RO"/>
              </w:rPr>
              <w:t xml:space="preserve"> De discutat cu Bacalăm</w:t>
            </w:r>
          </w:p>
        </w:tc>
      </w:tr>
      <w:tr w:rsidR="00006BD7" w:rsidRPr="00A23CC8" w14:paraId="0841013C"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2064A17"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54559" w14:textId="1F52C202" w:rsidR="00006BD7" w:rsidRPr="00A23CC8" w:rsidRDefault="00A81492" w:rsidP="00E729DD">
            <w:pPr>
              <w:pBdr>
                <w:top w:val="none" w:sz="4" w:space="0" w:color="000000"/>
                <w:left w:val="none" w:sz="4" w:space="0" w:color="000000"/>
                <w:bottom w:val="none" w:sz="4" w:space="0" w:color="000000"/>
                <w:right w:val="none" w:sz="4" w:space="0" w:color="000000"/>
              </w:pBdr>
              <w:ind w:firstLine="0"/>
              <w:rPr>
                <w:lang w:val="ro-RO"/>
              </w:rPr>
            </w:pPr>
            <w:r>
              <w:rPr>
                <w:lang w:val="ro-RO"/>
              </w:rPr>
              <w:t>82</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23DE0" w14:textId="7CC46327" w:rsidR="00006BD7" w:rsidRDefault="00006BD7" w:rsidP="00E729DD">
            <w:pPr>
              <w:pBdr>
                <w:top w:val="none" w:sz="4" w:space="0" w:color="000000"/>
                <w:left w:val="none" w:sz="4" w:space="0" w:color="000000"/>
                <w:bottom w:val="none" w:sz="4" w:space="0" w:color="000000"/>
                <w:right w:val="none" w:sz="4" w:space="0" w:color="000000"/>
              </w:pBdr>
              <w:ind w:firstLine="0"/>
            </w:pPr>
            <w:r>
              <w:t>În același articol, pornind de la regulile de transpunere prin reformulare, cuvintele „statele terțe” se vor substitui cu cuvintele „alte state” (obiecție valabilă și la art. 20</w:t>
            </w:r>
            <w:r w:rsidRPr="009C2047">
              <w:rPr>
                <w:vertAlign w:val="superscript"/>
              </w:rPr>
              <w:t xml:space="preserve">4 </w:t>
            </w:r>
            <w:r>
              <w:t xml:space="preserve">și </w:t>
            </w:r>
            <w:proofErr w:type="gramStart"/>
            <w:r>
              <w:t>20</w:t>
            </w:r>
            <w:r w:rsidRPr="009C2047">
              <w:rPr>
                <w:vertAlign w:val="superscript"/>
              </w:rPr>
              <w:t>5</w:t>
            </w:r>
            <w:r>
              <w:t xml:space="preserve"> )</w:t>
            </w:r>
            <w:proofErr w:type="gramEnd"/>
            <w:r>
              <w:t>.</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8C58" w14:textId="521654DE"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redactat.</w:t>
            </w:r>
          </w:p>
        </w:tc>
      </w:tr>
      <w:tr w:rsidR="00006BD7" w:rsidRPr="00A23CC8" w14:paraId="42EB32CA"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E1A6165"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61FF" w14:textId="3DC2B080"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Pr>
                <w:lang w:val="ro-RO"/>
              </w:rPr>
              <w:t>83</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72251" w14:textId="661D5D4F" w:rsidR="00006BD7" w:rsidRDefault="00006BD7" w:rsidP="00E729DD">
            <w:pPr>
              <w:pBdr>
                <w:top w:val="none" w:sz="4" w:space="0" w:color="000000"/>
                <w:left w:val="none" w:sz="4" w:space="0" w:color="000000"/>
                <w:bottom w:val="none" w:sz="4" w:space="0" w:color="000000"/>
                <w:right w:val="none" w:sz="4" w:space="0" w:color="000000"/>
              </w:pBdr>
              <w:ind w:firstLine="0"/>
            </w:pPr>
            <w:r>
              <w:t>La art. 20</w:t>
            </w:r>
            <w:r w:rsidRPr="009C2047">
              <w:rPr>
                <w:vertAlign w:val="superscript"/>
              </w:rPr>
              <w:t xml:space="preserve">4 </w:t>
            </w:r>
            <w:r>
              <w:t xml:space="preserve">alin. (1) </w:t>
            </w:r>
            <w:proofErr w:type="gramStart"/>
            <w:r>
              <w:t>cuvântul</w:t>
            </w:r>
            <w:proofErr w:type="gramEnd"/>
            <w:r>
              <w:t xml:space="preserve"> „naționale” se va exclude, având în vedere că în cadrul procedurii de transpunere nu se admite transpunerea ad-litteram (obiecție valabilă și la art. 20</w:t>
            </w:r>
            <w:r w:rsidRPr="009C2047">
              <w:rPr>
                <w:vertAlign w:val="superscript"/>
              </w:rPr>
              <w:t>5</w:t>
            </w:r>
            <w:r>
              <w:t xml:space="preserve"> alin. (1)).</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C5D7C" w14:textId="5E09F71A"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sidRPr="00E94F57">
              <w:rPr>
                <w:lang w:val="ro-RO"/>
              </w:rPr>
              <w:t>Se acceptă, a fost redactat.</w:t>
            </w:r>
          </w:p>
        </w:tc>
      </w:tr>
      <w:tr w:rsidR="00006BD7" w:rsidRPr="00A23CC8" w14:paraId="480C801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7249A084"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FE2EA" w14:textId="3F598DB1"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Pr>
                <w:lang w:val="ro-RO"/>
              </w:rPr>
              <w:t>84</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E155" w14:textId="29FA55CE" w:rsidR="00006BD7" w:rsidRDefault="00006BD7" w:rsidP="00E729DD">
            <w:pPr>
              <w:pBdr>
                <w:top w:val="none" w:sz="4" w:space="0" w:color="000000"/>
                <w:left w:val="none" w:sz="4" w:space="0" w:color="000000"/>
                <w:bottom w:val="none" w:sz="4" w:space="0" w:color="000000"/>
                <w:right w:val="none" w:sz="4" w:space="0" w:color="000000"/>
              </w:pBdr>
              <w:ind w:firstLine="0"/>
            </w:pPr>
            <w:r>
              <w:t>În vederea transpunerii fidele a subpct. 2.2 Partea B din Anexa II la Decizia Consiliului 2003/17/CE, la art. 20</w:t>
            </w:r>
            <w:r w:rsidRPr="00E94F57">
              <w:rPr>
                <w:vertAlign w:val="superscript"/>
              </w:rPr>
              <w:t>5</w:t>
            </w:r>
            <w:r>
              <w:t xml:space="preserve"> alin. (2) </w:t>
            </w:r>
            <w:proofErr w:type="gramStart"/>
            <w:r>
              <w:t>se</w:t>
            </w:r>
            <w:proofErr w:type="gramEnd"/>
            <w:r>
              <w:t xml:space="preserve"> va indica norma/actul normativ, prin care urmează să fie stabilite cerințele respective.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147CD" w14:textId="3ABA8A1C"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sidRPr="00E94F57">
              <w:rPr>
                <w:lang w:val="ro-RO"/>
              </w:rPr>
              <w:t>Se acceptă, a fost redactat.</w:t>
            </w:r>
          </w:p>
        </w:tc>
      </w:tr>
      <w:tr w:rsidR="00006BD7" w:rsidRPr="00A23CC8" w14:paraId="18BEE721"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1AF3407"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BAFA2" w14:textId="410DB8BE"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Pr>
                <w:lang w:val="ro-RO"/>
              </w:rPr>
              <w:t>85</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B172" w14:textId="244EB911" w:rsidR="00006BD7" w:rsidRDefault="00006BD7" w:rsidP="00E729DD">
            <w:pPr>
              <w:pBdr>
                <w:top w:val="none" w:sz="4" w:space="0" w:color="000000"/>
                <w:left w:val="none" w:sz="4" w:space="0" w:color="000000"/>
                <w:bottom w:val="none" w:sz="4" w:space="0" w:color="000000"/>
                <w:right w:val="none" w:sz="4" w:space="0" w:color="000000"/>
              </w:pBdr>
              <w:ind w:firstLine="0"/>
            </w:pPr>
            <w:r>
              <w:t>În cuprinsul propus la art. 20</w:t>
            </w:r>
            <w:r w:rsidRPr="00E94F57">
              <w:rPr>
                <w:vertAlign w:val="superscript"/>
              </w:rPr>
              <w:t>6</w:t>
            </w:r>
            <w:r>
              <w:t xml:space="preserve"> alin. (1) </w:t>
            </w:r>
            <w:proofErr w:type="gramStart"/>
            <w:r>
              <w:t>lit</w:t>
            </w:r>
            <w:proofErr w:type="gramEnd"/>
            <w:r>
              <w:t>. d), cuvintele „de asemenea” se vor exclude ca fiind excedente.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D22DA" w14:textId="2C9090BF"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sidRPr="00E94F57">
              <w:rPr>
                <w:lang w:val="ro-RO"/>
              </w:rPr>
              <w:t>Se acceptă, a fost redactat.</w:t>
            </w:r>
          </w:p>
        </w:tc>
      </w:tr>
      <w:tr w:rsidR="00006BD7" w:rsidRPr="00A23CC8" w14:paraId="10B09793"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C63B01F"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8103" w14:textId="46752432" w:rsidR="00006BD7" w:rsidRPr="00A23CC8" w:rsidRDefault="00E94F57" w:rsidP="00E729DD">
            <w:pPr>
              <w:pBdr>
                <w:top w:val="none" w:sz="4" w:space="0" w:color="000000"/>
                <w:left w:val="none" w:sz="4" w:space="0" w:color="000000"/>
                <w:bottom w:val="none" w:sz="4" w:space="0" w:color="000000"/>
                <w:right w:val="none" w:sz="4" w:space="0" w:color="000000"/>
              </w:pBdr>
              <w:ind w:firstLine="0"/>
              <w:rPr>
                <w:lang w:val="ro-RO"/>
              </w:rPr>
            </w:pPr>
            <w:r>
              <w:rPr>
                <w:lang w:val="ro-RO"/>
              </w:rPr>
              <w:t>86</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A0B35" w14:textId="25767495"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În conformitate cu art. 54 alin. (1) </w:t>
            </w:r>
            <w:proofErr w:type="gramStart"/>
            <w:r>
              <w:t>lit</w:t>
            </w:r>
            <w:proofErr w:type="gramEnd"/>
            <w:r>
              <w:t xml:space="preserve">. j) </w:t>
            </w:r>
            <w:proofErr w:type="gramStart"/>
            <w:r>
              <w:t>din</w:t>
            </w:r>
            <w:proofErr w:type="gramEnd"/>
            <w:r>
              <w:t xml:space="preserve"> Legea nr. 100/2017, verbele se utilizează, de regulă, la timpul prezent. În acest sens, la art. 20</w:t>
            </w:r>
            <w:r w:rsidRPr="00E94F57">
              <w:rPr>
                <w:vertAlign w:val="superscript"/>
              </w:rPr>
              <w:t xml:space="preserve">6 </w:t>
            </w:r>
            <w:r>
              <w:t xml:space="preserve">alin. (8) </w:t>
            </w:r>
            <w:proofErr w:type="gramStart"/>
            <w:r>
              <w:t>cuvintele</w:t>
            </w:r>
            <w:proofErr w:type="gramEnd"/>
            <w:r>
              <w:t xml:space="preserve"> „vor fi însoțite” se vor substitui cu cuvintele „sunt însoțite”. În același alineat, în vederea transpunerii fidele a pct. 4 Partea B din Anexa II la Decizia Consiliului 2003/17/CE, se va revizui referința la alin. (2), deoarece acesta nu stabilește condițiile respective.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CD628" w14:textId="39A6BFCA" w:rsidR="00006BD7" w:rsidRPr="00A23CC8" w:rsidRDefault="005075C7" w:rsidP="00E729DD">
            <w:pPr>
              <w:pBdr>
                <w:top w:val="none" w:sz="4" w:space="0" w:color="000000"/>
                <w:left w:val="none" w:sz="4" w:space="0" w:color="000000"/>
                <w:bottom w:val="none" w:sz="4" w:space="0" w:color="000000"/>
                <w:right w:val="none" w:sz="4" w:space="0" w:color="000000"/>
              </w:pBdr>
              <w:ind w:firstLine="0"/>
              <w:rPr>
                <w:lang w:val="ro-RO"/>
              </w:rPr>
            </w:pPr>
            <w:r w:rsidRPr="005075C7">
              <w:rPr>
                <w:lang w:val="ro-RO"/>
              </w:rPr>
              <w:t>Se acceptă, a fost</w:t>
            </w:r>
            <w:r>
              <w:rPr>
                <w:lang w:val="ro-RO"/>
              </w:rPr>
              <w:t xml:space="preserve"> modificat.</w:t>
            </w:r>
          </w:p>
        </w:tc>
      </w:tr>
      <w:tr w:rsidR="00006BD7" w:rsidRPr="00A23CC8" w14:paraId="4FB1F0AB"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93B1D75"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5E9FE" w14:textId="4D188A3D" w:rsidR="00006BD7" w:rsidRPr="00A23CC8" w:rsidRDefault="005075C7" w:rsidP="00E729DD">
            <w:pPr>
              <w:pBdr>
                <w:top w:val="none" w:sz="4" w:space="0" w:color="000000"/>
                <w:left w:val="none" w:sz="4" w:space="0" w:color="000000"/>
                <w:bottom w:val="none" w:sz="4" w:space="0" w:color="000000"/>
                <w:right w:val="none" w:sz="4" w:space="0" w:color="000000"/>
              </w:pBdr>
              <w:ind w:firstLine="0"/>
              <w:rPr>
                <w:lang w:val="ro-RO"/>
              </w:rPr>
            </w:pPr>
            <w:r>
              <w:rPr>
                <w:lang w:val="ro-RO"/>
              </w:rPr>
              <w:t>87</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EA2F8" w14:textId="27A17BF2" w:rsidR="00006BD7" w:rsidRDefault="00006BD7" w:rsidP="00E729DD">
            <w:pPr>
              <w:pBdr>
                <w:top w:val="none" w:sz="4" w:space="0" w:color="000000"/>
                <w:left w:val="none" w:sz="4" w:space="0" w:color="000000"/>
                <w:bottom w:val="none" w:sz="4" w:space="0" w:color="000000"/>
                <w:right w:val="none" w:sz="4" w:space="0" w:color="000000"/>
              </w:pBdr>
              <w:ind w:firstLine="0"/>
            </w:pPr>
            <w:r>
              <w:t>Pornind de la faptul că prevederile de la pct. 11 (al treilea caz) - pct. 13 constituie dispoziții finale, dispozițiile enunțate se vor numerota cu Art. II și se vor indica în alineate distincte numerotate cu cifre arabe luate între paranteze rotunde conform uzanțelor normative. În acest caz, modificarea Legii nr. 68/2013 se va numerota cu Art. I.</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DAF0" w14:textId="3566181B" w:rsidR="00006BD7" w:rsidRPr="00A23CC8" w:rsidRDefault="005075C7" w:rsidP="005075C7">
            <w:pPr>
              <w:pBdr>
                <w:top w:val="none" w:sz="4" w:space="0" w:color="000000"/>
                <w:left w:val="none" w:sz="4" w:space="0" w:color="000000"/>
                <w:bottom w:val="none" w:sz="4" w:space="0" w:color="000000"/>
                <w:right w:val="none" w:sz="4" w:space="0" w:color="000000"/>
              </w:pBdr>
              <w:ind w:firstLine="0"/>
              <w:rPr>
                <w:lang w:val="ro-RO"/>
              </w:rPr>
            </w:pPr>
            <w:r w:rsidRPr="005075C7">
              <w:rPr>
                <w:lang w:val="ro-RO"/>
              </w:rPr>
              <w:t xml:space="preserve">Se acceptă, a fost </w:t>
            </w:r>
            <w:r>
              <w:rPr>
                <w:lang w:val="ro-RO"/>
              </w:rPr>
              <w:t>completat</w:t>
            </w:r>
            <w:r w:rsidRPr="005075C7">
              <w:rPr>
                <w:lang w:val="ro-RO"/>
              </w:rPr>
              <w:t>.</w:t>
            </w:r>
          </w:p>
        </w:tc>
      </w:tr>
      <w:tr w:rsidR="00006BD7" w:rsidRPr="00A23CC8" w14:paraId="6E0B267D"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6B45DE68"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21E16" w14:textId="28B799E7" w:rsidR="00006BD7" w:rsidRPr="00A23CC8" w:rsidRDefault="005075C7" w:rsidP="00E729DD">
            <w:pPr>
              <w:pBdr>
                <w:top w:val="none" w:sz="4" w:space="0" w:color="000000"/>
                <w:left w:val="none" w:sz="4" w:space="0" w:color="000000"/>
                <w:bottom w:val="none" w:sz="4" w:space="0" w:color="000000"/>
                <w:right w:val="none" w:sz="4" w:space="0" w:color="000000"/>
              </w:pBdr>
              <w:ind w:firstLine="0"/>
              <w:rPr>
                <w:lang w:val="ro-RO"/>
              </w:rPr>
            </w:pPr>
            <w:r>
              <w:rPr>
                <w:lang w:val="ro-RO"/>
              </w:rPr>
              <w:t>88</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917D2" w14:textId="6BFB57C1" w:rsidR="00006BD7" w:rsidRDefault="00006BD7" w:rsidP="00E729DD">
            <w:pPr>
              <w:pBdr>
                <w:top w:val="none" w:sz="4" w:space="0" w:color="000000"/>
                <w:left w:val="none" w:sz="4" w:space="0" w:color="000000"/>
                <w:bottom w:val="none" w:sz="4" w:space="0" w:color="000000"/>
                <w:right w:val="none" w:sz="4" w:space="0" w:color="000000"/>
              </w:pBdr>
              <w:ind w:firstLine="0"/>
            </w:pPr>
            <w:r>
              <w:t xml:space="preserve">La pct. 11 al treilea caz, potrivit căruia unele norme urmează să intre în vigoare la data publicării în Monitorul Oficial al Republicii Moldova, semnalăm că, în conformitate cu prevederile art. 56 alin. (1) </w:t>
            </w:r>
            <w:proofErr w:type="gramStart"/>
            <w:r>
              <w:t>din</w:t>
            </w:r>
            <w:proofErr w:type="gramEnd"/>
            <w:r>
              <w:t xml:space="preserve"> Legea nr. 100/2017, actele normative intră în vigoare peste o lună de la data publicării în Monitorul Oficial al Republicii Moldova sau la data indicată în textul actului normativ, care nu poate fi anterioară datei publicării. În cazul în care se urmăreşte reducerea perioadei de intrare în vigoare a noilor prevederi, proiectul actului normativ în cauză trebuie să respecte regulile instituite de Legea nr. 100/2017, și anume cele stipulate la art. 56 alin. </w:t>
            </w:r>
            <w:proofErr w:type="gramStart"/>
            <w:r>
              <w:t>(3), în temeiul cărora „Intrarea în vigoare 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w:t>
            </w:r>
            <w:proofErr w:type="gramEnd"/>
            <w:r>
              <w:t xml:space="preserve"> În acest sens, este necesară completarea notei de fundamentare cu argumente pertinente.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A76F" w14:textId="2D9BCCE3" w:rsidR="00006BD7" w:rsidRPr="00A23CC8" w:rsidRDefault="005075C7" w:rsidP="00E729DD">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completată Nota de Fundamentare.</w:t>
            </w:r>
          </w:p>
        </w:tc>
      </w:tr>
      <w:tr w:rsidR="00006BD7" w:rsidRPr="00A23CC8" w14:paraId="7974E0D3"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2EB204EF"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41153" w14:textId="4D0FE938" w:rsidR="00006BD7" w:rsidRPr="00A23CC8" w:rsidRDefault="005075C7" w:rsidP="00E729DD">
            <w:pPr>
              <w:pBdr>
                <w:top w:val="none" w:sz="4" w:space="0" w:color="000000"/>
                <w:left w:val="none" w:sz="4" w:space="0" w:color="000000"/>
                <w:bottom w:val="none" w:sz="4" w:space="0" w:color="000000"/>
                <w:right w:val="none" w:sz="4" w:space="0" w:color="000000"/>
              </w:pBdr>
              <w:ind w:firstLine="0"/>
              <w:rPr>
                <w:lang w:val="ro-RO"/>
              </w:rPr>
            </w:pPr>
            <w:r>
              <w:rPr>
                <w:lang w:val="ro-RO"/>
              </w:rPr>
              <w:t>89</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98873" w14:textId="2AA1CF33" w:rsidR="00006BD7" w:rsidRDefault="00006BD7" w:rsidP="00E729DD">
            <w:pPr>
              <w:pBdr>
                <w:top w:val="none" w:sz="4" w:space="0" w:color="000000"/>
                <w:left w:val="none" w:sz="4" w:space="0" w:color="000000"/>
                <w:bottom w:val="none" w:sz="4" w:space="0" w:color="000000"/>
                <w:right w:val="none" w:sz="4" w:space="0" w:color="000000"/>
              </w:pBdr>
              <w:ind w:firstLine="0"/>
            </w:pPr>
            <w:r>
              <w:t>Totodată, textul „art. 3.4, 5.1.2” se va substitui cu referința la elementele structurale din proiect, renumerotate conform rigorilor tehnicii legislative.</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481D0" w14:textId="056E2F9B" w:rsidR="00006BD7" w:rsidRPr="00A23CC8" w:rsidRDefault="00670C16" w:rsidP="00E729DD">
            <w:pPr>
              <w:pBdr>
                <w:top w:val="none" w:sz="4" w:space="0" w:color="000000"/>
                <w:left w:val="none" w:sz="4" w:space="0" w:color="000000"/>
                <w:bottom w:val="none" w:sz="4" w:space="0" w:color="000000"/>
                <w:right w:val="none" w:sz="4" w:space="0" w:color="000000"/>
              </w:pBdr>
              <w:ind w:firstLine="0"/>
              <w:rPr>
                <w:lang w:val="ro-RO"/>
              </w:rPr>
            </w:pPr>
            <w:r w:rsidRPr="00670C16">
              <w:rPr>
                <w:lang w:val="ro-RO"/>
              </w:rPr>
              <w:t>Se acceptă, a fost redactat.</w:t>
            </w:r>
          </w:p>
        </w:tc>
      </w:tr>
      <w:tr w:rsidR="00006BD7" w:rsidRPr="00A23CC8" w14:paraId="3352EFE9"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40C00587" w14:textId="77777777" w:rsidR="00006BD7" w:rsidRPr="00DC5654" w:rsidRDefault="00006BD7" w:rsidP="00DC5654">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0E86F" w14:textId="6F250487" w:rsidR="00006BD7" w:rsidRPr="00A23CC8" w:rsidRDefault="00670C16" w:rsidP="00E729DD">
            <w:pPr>
              <w:pBdr>
                <w:top w:val="none" w:sz="4" w:space="0" w:color="000000"/>
                <w:left w:val="none" w:sz="4" w:space="0" w:color="000000"/>
                <w:bottom w:val="none" w:sz="4" w:space="0" w:color="000000"/>
                <w:right w:val="none" w:sz="4" w:space="0" w:color="000000"/>
              </w:pBdr>
              <w:ind w:firstLine="0"/>
              <w:rPr>
                <w:lang w:val="ro-RO"/>
              </w:rPr>
            </w:pPr>
            <w:r>
              <w:rPr>
                <w:lang w:val="ro-RO"/>
              </w:rPr>
              <w:t>90</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19C61" w14:textId="6E2BC65F" w:rsidR="00006BD7" w:rsidRDefault="00006BD7" w:rsidP="00E729DD">
            <w:pPr>
              <w:pBdr>
                <w:top w:val="none" w:sz="4" w:space="0" w:color="000000"/>
                <w:left w:val="none" w:sz="4" w:space="0" w:color="000000"/>
                <w:bottom w:val="none" w:sz="4" w:space="0" w:color="000000"/>
                <w:right w:val="none" w:sz="4" w:space="0" w:color="000000"/>
              </w:pBdr>
              <w:ind w:firstLine="0"/>
            </w:pPr>
            <w:r>
              <w:t>La pct. 12, textul „în termen de 6 luni” va fi succedat de cuvintele „de la data publicării prezentei legi în Monitorul Oficial al Republicii Moldova”.</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8F59B" w14:textId="66EEFE76" w:rsidR="00006BD7" w:rsidRPr="00A23CC8" w:rsidRDefault="00670C16" w:rsidP="00E729DD">
            <w:pPr>
              <w:pBdr>
                <w:top w:val="none" w:sz="4" w:space="0" w:color="000000"/>
                <w:left w:val="none" w:sz="4" w:space="0" w:color="000000"/>
                <w:bottom w:val="none" w:sz="4" w:space="0" w:color="000000"/>
                <w:right w:val="none" w:sz="4" w:space="0" w:color="000000"/>
              </w:pBdr>
              <w:ind w:firstLine="0"/>
              <w:rPr>
                <w:lang w:val="ro-RO"/>
              </w:rPr>
            </w:pPr>
            <w:r>
              <w:rPr>
                <w:lang w:val="ro-RO"/>
              </w:rPr>
              <w:t xml:space="preserve">Se </w:t>
            </w:r>
            <w:r w:rsidRPr="00770456">
              <w:rPr>
                <w:highlight w:val="yellow"/>
                <w:lang w:val="ro-RO"/>
              </w:rPr>
              <w:t>acceptă, a fost completat.</w:t>
            </w:r>
            <w:bookmarkStart w:id="7" w:name="_GoBack"/>
            <w:bookmarkEnd w:id="7"/>
          </w:p>
        </w:tc>
      </w:tr>
      <w:tr w:rsidR="00670C16" w:rsidRPr="00A23CC8" w14:paraId="2FA84B74" w14:textId="77777777" w:rsidTr="0061267D">
        <w:tc>
          <w:tcPr>
            <w:tcW w:w="960" w:type="pct"/>
            <w:vMerge/>
            <w:tcBorders>
              <w:left w:val="single" w:sz="4" w:space="0" w:color="auto"/>
              <w:right w:val="single" w:sz="4" w:space="0" w:color="auto"/>
            </w:tcBorders>
            <w:tcMar>
              <w:top w:w="0" w:type="dxa"/>
              <w:left w:w="108" w:type="dxa"/>
              <w:bottom w:w="0" w:type="dxa"/>
              <w:right w:w="108" w:type="dxa"/>
            </w:tcMar>
          </w:tcPr>
          <w:p w14:paraId="5C1A8CAF" w14:textId="77777777" w:rsidR="00670C16" w:rsidRPr="00DC5654" w:rsidRDefault="00670C16" w:rsidP="00670C16">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3EC32" w14:textId="48DBC71E" w:rsidR="00670C16" w:rsidRPr="00A23CC8" w:rsidRDefault="00670C16" w:rsidP="00670C16">
            <w:pPr>
              <w:pBdr>
                <w:top w:val="none" w:sz="4" w:space="0" w:color="000000"/>
                <w:left w:val="none" w:sz="4" w:space="0" w:color="000000"/>
                <w:bottom w:val="none" w:sz="4" w:space="0" w:color="000000"/>
                <w:right w:val="none" w:sz="4" w:space="0" w:color="000000"/>
              </w:pBdr>
              <w:ind w:firstLine="0"/>
              <w:rPr>
                <w:lang w:val="ro-RO"/>
              </w:rPr>
            </w:pPr>
            <w:r>
              <w:rPr>
                <w:lang w:val="ro-RO"/>
              </w:rPr>
              <w:t>91</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8ECBE" w14:textId="22FA74C1" w:rsidR="00670C16" w:rsidRDefault="00670C16" w:rsidP="00670C16">
            <w:pPr>
              <w:pBdr>
                <w:top w:val="none" w:sz="4" w:space="0" w:color="000000"/>
                <w:left w:val="none" w:sz="4" w:space="0" w:color="000000"/>
                <w:bottom w:val="none" w:sz="4" w:space="0" w:color="000000"/>
                <w:right w:val="none" w:sz="4" w:space="0" w:color="000000"/>
              </w:pBdr>
              <w:ind w:firstLine="0"/>
            </w:pPr>
            <w:r>
              <w:t>La pct. 13, se va exclude denumirea capitolului VI</w:t>
            </w:r>
            <w:r w:rsidRPr="00670C16">
              <w:rPr>
                <w:vertAlign w:val="superscript"/>
              </w:rPr>
              <w:t>1</w:t>
            </w:r>
            <w:r>
              <w:t xml:space="preserve"> ca fiind excedentă. Totodată, textul „Capitolul </w:t>
            </w:r>
            <w:proofErr w:type="gramStart"/>
            <w:r>
              <w:t>VI</w:t>
            </w:r>
            <w:r w:rsidRPr="00670C16">
              <w:rPr>
                <w:vertAlign w:val="superscript"/>
              </w:rPr>
              <w:t xml:space="preserve">1 </w:t>
            </w:r>
            <w:r>
              <w:t>”</w:t>
            </w:r>
            <w:proofErr w:type="gramEnd"/>
            <w:r>
              <w:t xml:space="preserve"> va fi succedat de textul „din Legea despre semințe nr. 68/2013”.</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FFCD" w14:textId="453D97A2" w:rsidR="00670C16" w:rsidRPr="00A23CC8" w:rsidRDefault="00670C16" w:rsidP="00670C16">
            <w:pPr>
              <w:pBdr>
                <w:top w:val="none" w:sz="4" w:space="0" w:color="000000"/>
                <w:left w:val="none" w:sz="4" w:space="0" w:color="000000"/>
                <w:bottom w:val="none" w:sz="4" w:space="0" w:color="000000"/>
                <w:right w:val="none" w:sz="4" w:space="0" w:color="000000"/>
              </w:pBdr>
              <w:ind w:firstLine="0"/>
              <w:rPr>
                <w:lang w:val="ro-RO"/>
              </w:rPr>
            </w:pPr>
            <w:r>
              <w:rPr>
                <w:lang w:val="ro-RO"/>
              </w:rPr>
              <w:t>Se acceptă, a fost completat.</w:t>
            </w:r>
          </w:p>
        </w:tc>
      </w:tr>
      <w:tr w:rsidR="00670C16" w:rsidRPr="00A23CC8" w14:paraId="35660C1F" w14:textId="77777777" w:rsidTr="0061267D">
        <w:tc>
          <w:tcPr>
            <w:tcW w:w="96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B978DFA" w14:textId="77777777" w:rsidR="00670C16" w:rsidRPr="00DC5654" w:rsidRDefault="00670C16" w:rsidP="00670C16">
            <w:pPr>
              <w:pBdr>
                <w:top w:val="none" w:sz="4" w:space="0" w:color="000000"/>
                <w:left w:val="none" w:sz="4" w:space="0" w:color="000000"/>
                <w:bottom w:val="none" w:sz="4" w:space="0" w:color="000000"/>
                <w:right w:val="none" w:sz="4" w:space="0" w:color="000000"/>
              </w:pBdr>
              <w:ind w:firstLine="0"/>
              <w:rPr>
                <w:lang w:val="ro-RO"/>
              </w:rPr>
            </w:pPr>
          </w:p>
        </w:tc>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E6F22" w14:textId="79A4E22F" w:rsidR="00670C16" w:rsidRPr="00A23CC8" w:rsidRDefault="00670C16" w:rsidP="00670C16">
            <w:pPr>
              <w:pBdr>
                <w:top w:val="none" w:sz="4" w:space="0" w:color="000000"/>
                <w:left w:val="none" w:sz="4" w:space="0" w:color="000000"/>
                <w:bottom w:val="none" w:sz="4" w:space="0" w:color="000000"/>
                <w:right w:val="none" w:sz="4" w:space="0" w:color="000000"/>
              </w:pBdr>
              <w:ind w:firstLine="0"/>
              <w:rPr>
                <w:lang w:val="ro-RO"/>
              </w:rPr>
            </w:pPr>
            <w:r>
              <w:rPr>
                <w:lang w:val="ro-RO"/>
              </w:rPr>
              <w:t>92</w:t>
            </w:r>
          </w:p>
        </w:tc>
        <w:tc>
          <w:tcPr>
            <w:tcW w:w="2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57D9" w14:textId="705EAEB6" w:rsidR="00670C16" w:rsidRDefault="00670C16" w:rsidP="00670C16">
            <w:pPr>
              <w:pBdr>
                <w:top w:val="none" w:sz="4" w:space="0" w:color="000000"/>
                <w:left w:val="none" w:sz="4" w:space="0" w:color="000000"/>
                <w:bottom w:val="none" w:sz="4" w:space="0" w:color="000000"/>
                <w:right w:val="none" w:sz="4" w:space="0" w:color="000000"/>
              </w:pBdr>
              <w:ind w:firstLine="0"/>
            </w:pPr>
            <w:r>
              <w:t>Cu titlu de remarcă generală, în proiect se vor uniformiza trimiterile la articole și alineate. Astfel, trimiterile se vor indica desfășurat în cazul referinței la articole și alineate în textul proiectului legii și cu abreviere în cuprinsul articolelor, alineatelor din Legea nr. 68/2013.</w:t>
            </w:r>
          </w:p>
        </w:tc>
        <w:tc>
          <w:tcPr>
            <w:tcW w:w="1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FA45" w14:textId="6C07AC88" w:rsidR="00670C16" w:rsidRPr="00A23CC8" w:rsidRDefault="0061267D" w:rsidP="00670C16">
            <w:pPr>
              <w:pBdr>
                <w:top w:val="none" w:sz="4" w:space="0" w:color="000000"/>
                <w:left w:val="none" w:sz="4" w:space="0" w:color="000000"/>
                <w:bottom w:val="none" w:sz="4" w:space="0" w:color="000000"/>
                <w:right w:val="none" w:sz="4" w:space="0" w:color="000000"/>
              </w:pBdr>
              <w:ind w:firstLine="0"/>
              <w:rPr>
                <w:lang w:val="ro-RO"/>
              </w:rPr>
            </w:pPr>
            <w:r w:rsidRPr="0061267D">
              <w:rPr>
                <w:lang w:val="ro-RO"/>
              </w:rPr>
              <w:t>Se acceptă, a fost redactat.</w:t>
            </w:r>
          </w:p>
        </w:tc>
      </w:tr>
    </w:tbl>
    <w:p w14:paraId="24D8FE0E" w14:textId="62DC9B6F" w:rsidR="00582470" w:rsidRPr="00A23CC8" w:rsidRDefault="00582470" w:rsidP="00E729DD">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lang w:val="ro-RO"/>
        </w:rPr>
      </w:pPr>
    </w:p>
    <w:p w14:paraId="578CC5AC" w14:textId="07582CA3" w:rsidR="000831B3" w:rsidRPr="00A23CC8" w:rsidRDefault="000831B3" w:rsidP="00AD7A1C">
      <w:pPr>
        <w:ind w:firstLine="0"/>
        <w:jc w:val="left"/>
        <w:rPr>
          <w:lang w:val="ro-RO"/>
        </w:rPr>
      </w:pPr>
    </w:p>
    <w:sectPr w:rsidR="000831B3" w:rsidRPr="00A23CC8" w:rsidSect="006F39B5">
      <w:headerReference w:type="default" r:id="rId12"/>
      <w:headerReference w:type="first" r:id="rId13"/>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3069" w14:textId="77777777" w:rsidR="00C52E6D" w:rsidRDefault="00C52E6D">
      <w:r>
        <w:separator/>
      </w:r>
    </w:p>
  </w:endnote>
  <w:endnote w:type="continuationSeparator" w:id="0">
    <w:p w14:paraId="4D60EF03" w14:textId="77777777" w:rsidR="00C52E6D" w:rsidRDefault="00C5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A0BE3" w14:textId="77777777" w:rsidR="00C52E6D" w:rsidRDefault="00C52E6D">
      <w:r>
        <w:separator/>
      </w:r>
    </w:p>
  </w:footnote>
  <w:footnote w:type="continuationSeparator" w:id="0">
    <w:p w14:paraId="4B3DAAEF" w14:textId="77777777" w:rsidR="00C52E6D" w:rsidRDefault="00C5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A81492" w:rsidRPr="00F37ED4" w:rsidRDefault="00A81492"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770456" w:rsidRPr="00770456">
      <w:rPr>
        <w:noProof/>
        <w:sz w:val="28"/>
        <w:szCs w:val="28"/>
        <w:lang w:val="ro-RO"/>
      </w:rPr>
      <w:t>17</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A81492" w:rsidRPr="00032B46" w:rsidRDefault="00A81492">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nsid w:val="449A7C7C"/>
    <w:multiLevelType w:val="hybridMultilevel"/>
    <w:tmpl w:val="83886074"/>
    <w:lvl w:ilvl="0" w:tplc="55A88608">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3"/>
  </w:num>
  <w:num w:numId="2">
    <w:abstractNumId w:val="35"/>
  </w:num>
  <w:num w:numId="3">
    <w:abstractNumId w:val="14"/>
  </w:num>
  <w:num w:numId="4">
    <w:abstractNumId w:val="28"/>
  </w:num>
  <w:num w:numId="5">
    <w:abstractNumId w:val="16"/>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7"/>
  </w:num>
  <w:num w:numId="15">
    <w:abstractNumId w:val="18"/>
  </w:num>
  <w:num w:numId="16">
    <w:abstractNumId w:val="32"/>
  </w:num>
  <w:num w:numId="17">
    <w:abstractNumId w:val="29"/>
  </w:num>
  <w:num w:numId="18">
    <w:abstractNumId w:val="23"/>
  </w:num>
  <w:num w:numId="19">
    <w:abstractNumId w:val="19"/>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6BD7"/>
    <w:rsid w:val="00013460"/>
    <w:rsid w:val="00013804"/>
    <w:rsid w:val="00013AC9"/>
    <w:rsid w:val="0001747F"/>
    <w:rsid w:val="00017CED"/>
    <w:rsid w:val="0002435C"/>
    <w:rsid w:val="000314F7"/>
    <w:rsid w:val="00032B46"/>
    <w:rsid w:val="0004289C"/>
    <w:rsid w:val="000431B5"/>
    <w:rsid w:val="00043AC7"/>
    <w:rsid w:val="00044D19"/>
    <w:rsid w:val="00052045"/>
    <w:rsid w:val="00054810"/>
    <w:rsid w:val="00056EB2"/>
    <w:rsid w:val="000713DA"/>
    <w:rsid w:val="00071EAA"/>
    <w:rsid w:val="0007236F"/>
    <w:rsid w:val="00075A5F"/>
    <w:rsid w:val="00081267"/>
    <w:rsid w:val="000831B3"/>
    <w:rsid w:val="00085029"/>
    <w:rsid w:val="000A0F06"/>
    <w:rsid w:val="000A6BA5"/>
    <w:rsid w:val="000B0EAF"/>
    <w:rsid w:val="000B2A82"/>
    <w:rsid w:val="000B3D87"/>
    <w:rsid w:val="000B50EE"/>
    <w:rsid w:val="000C041B"/>
    <w:rsid w:val="000C2AB4"/>
    <w:rsid w:val="000D5C74"/>
    <w:rsid w:val="000E0048"/>
    <w:rsid w:val="000E1D40"/>
    <w:rsid w:val="000E2800"/>
    <w:rsid w:val="000F497A"/>
    <w:rsid w:val="000F7362"/>
    <w:rsid w:val="00102AD8"/>
    <w:rsid w:val="00102B13"/>
    <w:rsid w:val="00113956"/>
    <w:rsid w:val="00113E76"/>
    <w:rsid w:val="00115B35"/>
    <w:rsid w:val="00116035"/>
    <w:rsid w:val="001211EA"/>
    <w:rsid w:val="00143389"/>
    <w:rsid w:val="00143CC4"/>
    <w:rsid w:val="0015146D"/>
    <w:rsid w:val="00157D40"/>
    <w:rsid w:val="00160162"/>
    <w:rsid w:val="00162BE7"/>
    <w:rsid w:val="001640F1"/>
    <w:rsid w:val="00164782"/>
    <w:rsid w:val="0017006C"/>
    <w:rsid w:val="00174E20"/>
    <w:rsid w:val="00184334"/>
    <w:rsid w:val="00185AC8"/>
    <w:rsid w:val="00191428"/>
    <w:rsid w:val="001A2279"/>
    <w:rsid w:val="001A25C3"/>
    <w:rsid w:val="001A37C7"/>
    <w:rsid w:val="001B3BE4"/>
    <w:rsid w:val="001B5818"/>
    <w:rsid w:val="001B66A4"/>
    <w:rsid w:val="001B6E6E"/>
    <w:rsid w:val="001C0794"/>
    <w:rsid w:val="001C3F21"/>
    <w:rsid w:val="001C4EEE"/>
    <w:rsid w:val="001C6B6F"/>
    <w:rsid w:val="001D1775"/>
    <w:rsid w:val="001D2FA2"/>
    <w:rsid w:val="001E3773"/>
    <w:rsid w:val="001E4497"/>
    <w:rsid w:val="001E4FCE"/>
    <w:rsid w:val="001F0570"/>
    <w:rsid w:val="001F2097"/>
    <w:rsid w:val="001F6EF0"/>
    <w:rsid w:val="002000EB"/>
    <w:rsid w:val="00200223"/>
    <w:rsid w:val="00200516"/>
    <w:rsid w:val="00202E1E"/>
    <w:rsid w:val="00205100"/>
    <w:rsid w:val="0020794F"/>
    <w:rsid w:val="002164C9"/>
    <w:rsid w:val="002170A5"/>
    <w:rsid w:val="00226429"/>
    <w:rsid w:val="00230761"/>
    <w:rsid w:val="0023107C"/>
    <w:rsid w:val="0023427D"/>
    <w:rsid w:val="00236E65"/>
    <w:rsid w:val="002372B8"/>
    <w:rsid w:val="00240AC0"/>
    <w:rsid w:val="00244D22"/>
    <w:rsid w:val="002453BD"/>
    <w:rsid w:val="002473BB"/>
    <w:rsid w:val="00251030"/>
    <w:rsid w:val="00252EEC"/>
    <w:rsid w:val="00256DEB"/>
    <w:rsid w:val="00257353"/>
    <w:rsid w:val="002721D2"/>
    <w:rsid w:val="00273A08"/>
    <w:rsid w:val="0027425A"/>
    <w:rsid w:val="0028093A"/>
    <w:rsid w:val="00281C80"/>
    <w:rsid w:val="00283B19"/>
    <w:rsid w:val="00283BEC"/>
    <w:rsid w:val="0028688E"/>
    <w:rsid w:val="00294DB1"/>
    <w:rsid w:val="002950E0"/>
    <w:rsid w:val="002954C4"/>
    <w:rsid w:val="002B07BD"/>
    <w:rsid w:val="002B3BFF"/>
    <w:rsid w:val="002B5444"/>
    <w:rsid w:val="002B547F"/>
    <w:rsid w:val="002C21E9"/>
    <w:rsid w:val="002D38C5"/>
    <w:rsid w:val="002D43CB"/>
    <w:rsid w:val="002E4217"/>
    <w:rsid w:val="002E505B"/>
    <w:rsid w:val="002F2BE0"/>
    <w:rsid w:val="002F30F7"/>
    <w:rsid w:val="002F3DAA"/>
    <w:rsid w:val="002F5309"/>
    <w:rsid w:val="002F5F1E"/>
    <w:rsid w:val="002F7FB5"/>
    <w:rsid w:val="00301D7D"/>
    <w:rsid w:val="0030288E"/>
    <w:rsid w:val="00304CA1"/>
    <w:rsid w:val="00311C4D"/>
    <w:rsid w:val="0031555D"/>
    <w:rsid w:val="00315655"/>
    <w:rsid w:val="00315B32"/>
    <w:rsid w:val="00315BDC"/>
    <w:rsid w:val="00323277"/>
    <w:rsid w:val="00324559"/>
    <w:rsid w:val="00325AD1"/>
    <w:rsid w:val="00327C88"/>
    <w:rsid w:val="00334C0F"/>
    <w:rsid w:val="003358FF"/>
    <w:rsid w:val="003417C0"/>
    <w:rsid w:val="003477D5"/>
    <w:rsid w:val="00347B79"/>
    <w:rsid w:val="003509A8"/>
    <w:rsid w:val="00354545"/>
    <w:rsid w:val="0036135C"/>
    <w:rsid w:val="00362D0C"/>
    <w:rsid w:val="0036518F"/>
    <w:rsid w:val="00366E5B"/>
    <w:rsid w:val="0036768D"/>
    <w:rsid w:val="00371086"/>
    <w:rsid w:val="00374362"/>
    <w:rsid w:val="00377B12"/>
    <w:rsid w:val="00380147"/>
    <w:rsid w:val="00381C7D"/>
    <w:rsid w:val="00385C9B"/>
    <w:rsid w:val="003872BA"/>
    <w:rsid w:val="00387D77"/>
    <w:rsid w:val="003922EF"/>
    <w:rsid w:val="00394A57"/>
    <w:rsid w:val="003964FC"/>
    <w:rsid w:val="00397415"/>
    <w:rsid w:val="00397587"/>
    <w:rsid w:val="003A2CB2"/>
    <w:rsid w:val="003A3A0B"/>
    <w:rsid w:val="003A4D1C"/>
    <w:rsid w:val="003B257A"/>
    <w:rsid w:val="003B7521"/>
    <w:rsid w:val="003C0C4D"/>
    <w:rsid w:val="003C11CC"/>
    <w:rsid w:val="003C3DB4"/>
    <w:rsid w:val="003C3EB9"/>
    <w:rsid w:val="003D5E8B"/>
    <w:rsid w:val="003E365C"/>
    <w:rsid w:val="003E3748"/>
    <w:rsid w:val="003E4DA7"/>
    <w:rsid w:val="003F0CD8"/>
    <w:rsid w:val="00404E01"/>
    <w:rsid w:val="00405019"/>
    <w:rsid w:val="00406BA9"/>
    <w:rsid w:val="00410C9A"/>
    <w:rsid w:val="00411755"/>
    <w:rsid w:val="004143BA"/>
    <w:rsid w:val="00421AB5"/>
    <w:rsid w:val="00423F2E"/>
    <w:rsid w:val="00424212"/>
    <w:rsid w:val="00424CF9"/>
    <w:rsid w:val="00431DCB"/>
    <w:rsid w:val="0043208D"/>
    <w:rsid w:val="004333B4"/>
    <w:rsid w:val="00434203"/>
    <w:rsid w:val="00452C3E"/>
    <w:rsid w:val="00452C6C"/>
    <w:rsid w:val="0045451B"/>
    <w:rsid w:val="004546F7"/>
    <w:rsid w:val="00464294"/>
    <w:rsid w:val="00471B46"/>
    <w:rsid w:val="004735CE"/>
    <w:rsid w:val="00474658"/>
    <w:rsid w:val="0047797E"/>
    <w:rsid w:val="00492EB9"/>
    <w:rsid w:val="00497F06"/>
    <w:rsid w:val="004A3757"/>
    <w:rsid w:val="004A4CF0"/>
    <w:rsid w:val="004B1283"/>
    <w:rsid w:val="004C13FD"/>
    <w:rsid w:val="004C6034"/>
    <w:rsid w:val="004D3941"/>
    <w:rsid w:val="004E2421"/>
    <w:rsid w:val="004E6489"/>
    <w:rsid w:val="004E6662"/>
    <w:rsid w:val="004F45E4"/>
    <w:rsid w:val="004F568A"/>
    <w:rsid w:val="005020EC"/>
    <w:rsid w:val="005075C7"/>
    <w:rsid w:val="00516555"/>
    <w:rsid w:val="0052551E"/>
    <w:rsid w:val="005256CF"/>
    <w:rsid w:val="00530548"/>
    <w:rsid w:val="00542C43"/>
    <w:rsid w:val="00551299"/>
    <w:rsid w:val="00555DF5"/>
    <w:rsid w:val="00565AE6"/>
    <w:rsid w:val="00572006"/>
    <w:rsid w:val="00573E74"/>
    <w:rsid w:val="0057790F"/>
    <w:rsid w:val="00582470"/>
    <w:rsid w:val="00594DE5"/>
    <w:rsid w:val="005A12D7"/>
    <w:rsid w:val="005A29D6"/>
    <w:rsid w:val="005A7B17"/>
    <w:rsid w:val="005B0C92"/>
    <w:rsid w:val="005B1841"/>
    <w:rsid w:val="005B5192"/>
    <w:rsid w:val="005B7E20"/>
    <w:rsid w:val="005C1D42"/>
    <w:rsid w:val="005C412B"/>
    <w:rsid w:val="005C4503"/>
    <w:rsid w:val="005C4835"/>
    <w:rsid w:val="005C55F0"/>
    <w:rsid w:val="005C5A53"/>
    <w:rsid w:val="005C7769"/>
    <w:rsid w:val="005D5F1D"/>
    <w:rsid w:val="005E18B0"/>
    <w:rsid w:val="005E37E8"/>
    <w:rsid w:val="005F0F53"/>
    <w:rsid w:val="005F584A"/>
    <w:rsid w:val="00604DF4"/>
    <w:rsid w:val="0060625D"/>
    <w:rsid w:val="00611BAA"/>
    <w:rsid w:val="0061267D"/>
    <w:rsid w:val="00612D18"/>
    <w:rsid w:val="00615BB7"/>
    <w:rsid w:val="00616A16"/>
    <w:rsid w:val="00621954"/>
    <w:rsid w:val="00623361"/>
    <w:rsid w:val="00624BA9"/>
    <w:rsid w:val="0062575C"/>
    <w:rsid w:val="006339EB"/>
    <w:rsid w:val="006559E3"/>
    <w:rsid w:val="00657577"/>
    <w:rsid w:val="006660B2"/>
    <w:rsid w:val="00666265"/>
    <w:rsid w:val="0067042E"/>
    <w:rsid w:val="0067056E"/>
    <w:rsid w:val="00670C16"/>
    <w:rsid w:val="006739CA"/>
    <w:rsid w:val="00673E31"/>
    <w:rsid w:val="0068258E"/>
    <w:rsid w:val="006855AC"/>
    <w:rsid w:val="00691790"/>
    <w:rsid w:val="006933C3"/>
    <w:rsid w:val="006956E6"/>
    <w:rsid w:val="00697045"/>
    <w:rsid w:val="006A27BD"/>
    <w:rsid w:val="006A337B"/>
    <w:rsid w:val="006A4E08"/>
    <w:rsid w:val="006A57D6"/>
    <w:rsid w:val="006A58BC"/>
    <w:rsid w:val="006C40C7"/>
    <w:rsid w:val="006C482A"/>
    <w:rsid w:val="006C4B97"/>
    <w:rsid w:val="006D1023"/>
    <w:rsid w:val="006D3EB7"/>
    <w:rsid w:val="006D54DD"/>
    <w:rsid w:val="006D7B49"/>
    <w:rsid w:val="006D7E62"/>
    <w:rsid w:val="006E0A2E"/>
    <w:rsid w:val="006E1269"/>
    <w:rsid w:val="006E1BC6"/>
    <w:rsid w:val="006E7D38"/>
    <w:rsid w:val="006F0870"/>
    <w:rsid w:val="006F3747"/>
    <w:rsid w:val="006F39B5"/>
    <w:rsid w:val="006F43CA"/>
    <w:rsid w:val="006F7EF4"/>
    <w:rsid w:val="007026DD"/>
    <w:rsid w:val="00702770"/>
    <w:rsid w:val="00703FCE"/>
    <w:rsid w:val="00705502"/>
    <w:rsid w:val="00707B68"/>
    <w:rsid w:val="007126C4"/>
    <w:rsid w:val="007258CF"/>
    <w:rsid w:val="00733FF1"/>
    <w:rsid w:val="00737731"/>
    <w:rsid w:val="00740210"/>
    <w:rsid w:val="007411D5"/>
    <w:rsid w:val="00753C50"/>
    <w:rsid w:val="00756648"/>
    <w:rsid w:val="00770456"/>
    <w:rsid w:val="007724CE"/>
    <w:rsid w:val="00775DE0"/>
    <w:rsid w:val="00780C21"/>
    <w:rsid w:val="00786350"/>
    <w:rsid w:val="00786C5F"/>
    <w:rsid w:val="0079167D"/>
    <w:rsid w:val="007A0931"/>
    <w:rsid w:val="007A2808"/>
    <w:rsid w:val="007A4309"/>
    <w:rsid w:val="007B627D"/>
    <w:rsid w:val="007B6E7F"/>
    <w:rsid w:val="007C53A1"/>
    <w:rsid w:val="007C58BD"/>
    <w:rsid w:val="007C5D4B"/>
    <w:rsid w:val="007D00B1"/>
    <w:rsid w:val="007D0E36"/>
    <w:rsid w:val="007D5190"/>
    <w:rsid w:val="007D7AAD"/>
    <w:rsid w:val="007D7DC0"/>
    <w:rsid w:val="007E0141"/>
    <w:rsid w:val="007E3F69"/>
    <w:rsid w:val="007E7735"/>
    <w:rsid w:val="007F1254"/>
    <w:rsid w:val="007F1374"/>
    <w:rsid w:val="007F58AF"/>
    <w:rsid w:val="00800EE1"/>
    <w:rsid w:val="00811CAE"/>
    <w:rsid w:val="0082212C"/>
    <w:rsid w:val="00825DC9"/>
    <w:rsid w:val="00831DF3"/>
    <w:rsid w:val="008326E7"/>
    <w:rsid w:val="0084241F"/>
    <w:rsid w:val="0084434E"/>
    <w:rsid w:val="008451BD"/>
    <w:rsid w:val="008506B1"/>
    <w:rsid w:val="008507BE"/>
    <w:rsid w:val="008510CC"/>
    <w:rsid w:val="00860C47"/>
    <w:rsid w:val="00863417"/>
    <w:rsid w:val="0086343C"/>
    <w:rsid w:val="00863D76"/>
    <w:rsid w:val="0086509B"/>
    <w:rsid w:val="00871130"/>
    <w:rsid w:val="0087296A"/>
    <w:rsid w:val="00876262"/>
    <w:rsid w:val="00891049"/>
    <w:rsid w:val="008916B1"/>
    <w:rsid w:val="00897403"/>
    <w:rsid w:val="0089756B"/>
    <w:rsid w:val="008A40C0"/>
    <w:rsid w:val="008A5923"/>
    <w:rsid w:val="008B1120"/>
    <w:rsid w:val="008B1AA1"/>
    <w:rsid w:val="008B1BFF"/>
    <w:rsid w:val="008B2B81"/>
    <w:rsid w:val="008B4BE6"/>
    <w:rsid w:val="008C2DD5"/>
    <w:rsid w:val="008E0D37"/>
    <w:rsid w:val="008F12A1"/>
    <w:rsid w:val="008F3624"/>
    <w:rsid w:val="008F73D1"/>
    <w:rsid w:val="008F790F"/>
    <w:rsid w:val="009002CA"/>
    <w:rsid w:val="00903AF9"/>
    <w:rsid w:val="009056C4"/>
    <w:rsid w:val="0090579F"/>
    <w:rsid w:val="009143C9"/>
    <w:rsid w:val="00915A40"/>
    <w:rsid w:val="009201C9"/>
    <w:rsid w:val="00922DA1"/>
    <w:rsid w:val="00930424"/>
    <w:rsid w:val="009341D1"/>
    <w:rsid w:val="00936B06"/>
    <w:rsid w:val="00942BCB"/>
    <w:rsid w:val="00942F03"/>
    <w:rsid w:val="00947FF9"/>
    <w:rsid w:val="00953155"/>
    <w:rsid w:val="00961B81"/>
    <w:rsid w:val="00962ED5"/>
    <w:rsid w:val="00971561"/>
    <w:rsid w:val="009761DA"/>
    <w:rsid w:val="009763DD"/>
    <w:rsid w:val="00983C20"/>
    <w:rsid w:val="00985493"/>
    <w:rsid w:val="009858FE"/>
    <w:rsid w:val="009860EA"/>
    <w:rsid w:val="00986FF6"/>
    <w:rsid w:val="00990719"/>
    <w:rsid w:val="0099315C"/>
    <w:rsid w:val="009A5261"/>
    <w:rsid w:val="009B1A9B"/>
    <w:rsid w:val="009C02E5"/>
    <w:rsid w:val="009C0E0E"/>
    <w:rsid w:val="009C2047"/>
    <w:rsid w:val="009C26E3"/>
    <w:rsid w:val="009C6ABF"/>
    <w:rsid w:val="009C6DD1"/>
    <w:rsid w:val="009C7CD6"/>
    <w:rsid w:val="009D1336"/>
    <w:rsid w:val="009D1CC4"/>
    <w:rsid w:val="009D2789"/>
    <w:rsid w:val="009D4C0F"/>
    <w:rsid w:val="009D6983"/>
    <w:rsid w:val="009D7C44"/>
    <w:rsid w:val="009E7B86"/>
    <w:rsid w:val="009F366D"/>
    <w:rsid w:val="009F45EC"/>
    <w:rsid w:val="00A01180"/>
    <w:rsid w:val="00A06362"/>
    <w:rsid w:val="00A13D8B"/>
    <w:rsid w:val="00A16642"/>
    <w:rsid w:val="00A2390C"/>
    <w:rsid w:val="00A23CC8"/>
    <w:rsid w:val="00A244A2"/>
    <w:rsid w:val="00A24A81"/>
    <w:rsid w:val="00A34443"/>
    <w:rsid w:val="00A345F7"/>
    <w:rsid w:val="00A404F7"/>
    <w:rsid w:val="00A42581"/>
    <w:rsid w:val="00A51447"/>
    <w:rsid w:val="00A53F34"/>
    <w:rsid w:val="00A540EB"/>
    <w:rsid w:val="00A551E6"/>
    <w:rsid w:val="00A5539A"/>
    <w:rsid w:val="00A60B97"/>
    <w:rsid w:val="00A647EF"/>
    <w:rsid w:val="00A64BA5"/>
    <w:rsid w:val="00A711F8"/>
    <w:rsid w:val="00A71E51"/>
    <w:rsid w:val="00A7379E"/>
    <w:rsid w:val="00A764E4"/>
    <w:rsid w:val="00A77F56"/>
    <w:rsid w:val="00A81492"/>
    <w:rsid w:val="00A954D1"/>
    <w:rsid w:val="00A95A2D"/>
    <w:rsid w:val="00AA34B1"/>
    <w:rsid w:val="00AA719D"/>
    <w:rsid w:val="00AB06B2"/>
    <w:rsid w:val="00AB1C3D"/>
    <w:rsid w:val="00AB29A8"/>
    <w:rsid w:val="00AB7D22"/>
    <w:rsid w:val="00AC22A5"/>
    <w:rsid w:val="00AC2670"/>
    <w:rsid w:val="00AC5428"/>
    <w:rsid w:val="00AD783E"/>
    <w:rsid w:val="00AD7A1C"/>
    <w:rsid w:val="00AE1C50"/>
    <w:rsid w:val="00AE1F78"/>
    <w:rsid w:val="00AE55CF"/>
    <w:rsid w:val="00AF23AF"/>
    <w:rsid w:val="00AF4A09"/>
    <w:rsid w:val="00AF4E3A"/>
    <w:rsid w:val="00AF6A53"/>
    <w:rsid w:val="00AF7728"/>
    <w:rsid w:val="00B00257"/>
    <w:rsid w:val="00B035BC"/>
    <w:rsid w:val="00B039D7"/>
    <w:rsid w:val="00B07F61"/>
    <w:rsid w:val="00B11EFC"/>
    <w:rsid w:val="00B15210"/>
    <w:rsid w:val="00B1623B"/>
    <w:rsid w:val="00B20A6B"/>
    <w:rsid w:val="00B24403"/>
    <w:rsid w:val="00B25206"/>
    <w:rsid w:val="00B32239"/>
    <w:rsid w:val="00B32FF3"/>
    <w:rsid w:val="00B36104"/>
    <w:rsid w:val="00B413CB"/>
    <w:rsid w:val="00B426FA"/>
    <w:rsid w:val="00B42DDB"/>
    <w:rsid w:val="00B472D0"/>
    <w:rsid w:val="00B57841"/>
    <w:rsid w:val="00B610B7"/>
    <w:rsid w:val="00B6145A"/>
    <w:rsid w:val="00B61570"/>
    <w:rsid w:val="00B616A0"/>
    <w:rsid w:val="00B6241A"/>
    <w:rsid w:val="00B6585E"/>
    <w:rsid w:val="00B72578"/>
    <w:rsid w:val="00B744FB"/>
    <w:rsid w:val="00B768BA"/>
    <w:rsid w:val="00B84A8E"/>
    <w:rsid w:val="00B85252"/>
    <w:rsid w:val="00B92D67"/>
    <w:rsid w:val="00B94353"/>
    <w:rsid w:val="00B952D8"/>
    <w:rsid w:val="00B9615A"/>
    <w:rsid w:val="00B971D3"/>
    <w:rsid w:val="00BA1CBE"/>
    <w:rsid w:val="00BA3831"/>
    <w:rsid w:val="00BA500B"/>
    <w:rsid w:val="00BA5B5B"/>
    <w:rsid w:val="00BB008B"/>
    <w:rsid w:val="00BB0093"/>
    <w:rsid w:val="00BB2181"/>
    <w:rsid w:val="00BB2C58"/>
    <w:rsid w:val="00BB3C82"/>
    <w:rsid w:val="00BB57F6"/>
    <w:rsid w:val="00BC25FC"/>
    <w:rsid w:val="00BC2684"/>
    <w:rsid w:val="00BC35AA"/>
    <w:rsid w:val="00BC5BB3"/>
    <w:rsid w:val="00BD2F0F"/>
    <w:rsid w:val="00BD484B"/>
    <w:rsid w:val="00BD53BD"/>
    <w:rsid w:val="00BD5DEF"/>
    <w:rsid w:val="00BE0130"/>
    <w:rsid w:val="00BE2106"/>
    <w:rsid w:val="00BE4802"/>
    <w:rsid w:val="00BF170E"/>
    <w:rsid w:val="00BF252C"/>
    <w:rsid w:val="00BF3BC7"/>
    <w:rsid w:val="00BF509C"/>
    <w:rsid w:val="00BF7CF6"/>
    <w:rsid w:val="00C04335"/>
    <w:rsid w:val="00C069DB"/>
    <w:rsid w:val="00C10D57"/>
    <w:rsid w:val="00C119D6"/>
    <w:rsid w:val="00C141D0"/>
    <w:rsid w:val="00C16F6E"/>
    <w:rsid w:val="00C17A64"/>
    <w:rsid w:val="00C20EC1"/>
    <w:rsid w:val="00C20F98"/>
    <w:rsid w:val="00C21F77"/>
    <w:rsid w:val="00C243B1"/>
    <w:rsid w:val="00C249C9"/>
    <w:rsid w:val="00C27BEF"/>
    <w:rsid w:val="00C320C6"/>
    <w:rsid w:val="00C32A74"/>
    <w:rsid w:val="00C33571"/>
    <w:rsid w:val="00C33BEA"/>
    <w:rsid w:val="00C424F1"/>
    <w:rsid w:val="00C4424F"/>
    <w:rsid w:val="00C445CC"/>
    <w:rsid w:val="00C4599F"/>
    <w:rsid w:val="00C45F82"/>
    <w:rsid w:val="00C4628E"/>
    <w:rsid w:val="00C475F7"/>
    <w:rsid w:val="00C52E6D"/>
    <w:rsid w:val="00C53E01"/>
    <w:rsid w:val="00C81CDA"/>
    <w:rsid w:val="00C83148"/>
    <w:rsid w:val="00C846A9"/>
    <w:rsid w:val="00C87B56"/>
    <w:rsid w:val="00C97610"/>
    <w:rsid w:val="00CA221B"/>
    <w:rsid w:val="00CA2822"/>
    <w:rsid w:val="00CB128D"/>
    <w:rsid w:val="00CB6841"/>
    <w:rsid w:val="00CC7AC8"/>
    <w:rsid w:val="00CD0459"/>
    <w:rsid w:val="00CD1F68"/>
    <w:rsid w:val="00CD3E6A"/>
    <w:rsid w:val="00CE1C4A"/>
    <w:rsid w:val="00CE224F"/>
    <w:rsid w:val="00CE2E00"/>
    <w:rsid w:val="00CE5475"/>
    <w:rsid w:val="00CF1BF6"/>
    <w:rsid w:val="00CF238E"/>
    <w:rsid w:val="00CF6CCE"/>
    <w:rsid w:val="00D00C36"/>
    <w:rsid w:val="00D0145D"/>
    <w:rsid w:val="00D02424"/>
    <w:rsid w:val="00D046AE"/>
    <w:rsid w:val="00D07A16"/>
    <w:rsid w:val="00D12DE0"/>
    <w:rsid w:val="00D14E81"/>
    <w:rsid w:val="00D1647F"/>
    <w:rsid w:val="00D16C96"/>
    <w:rsid w:val="00D20F95"/>
    <w:rsid w:val="00D2627B"/>
    <w:rsid w:val="00D3779C"/>
    <w:rsid w:val="00D37DCA"/>
    <w:rsid w:val="00D54373"/>
    <w:rsid w:val="00D61A69"/>
    <w:rsid w:val="00D62225"/>
    <w:rsid w:val="00D6238A"/>
    <w:rsid w:val="00D65D20"/>
    <w:rsid w:val="00D70E6A"/>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4742"/>
    <w:rsid w:val="00DC529B"/>
    <w:rsid w:val="00DC5654"/>
    <w:rsid w:val="00DC5936"/>
    <w:rsid w:val="00DC5BF4"/>
    <w:rsid w:val="00DC5D87"/>
    <w:rsid w:val="00DC757D"/>
    <w:rsid w:val="00DD563C"/>
    <w:rsid w:val="00DE06EE"/>
    <w:rsid w:val="00DE6B89"/>
    <w:rsid w:val="00DF0141"/>
    <w:rsid w:val="00DF0807"/>
    <w:rsid w:val="00DF513B"/>
    <w:rsid w:val="00DF71E8"/>
    <w:rsid w:val="00E01ACE"/>
    <w:rsid w:val="00E0352C"/>
    <w:rsid w:val="00E0375F"/>
    <w:rsid w:val="00E07BB2"/>
    <w:rsid w:val="00E11E1A"/>
    <w:rsid w:val="00E12C95"/>
    <w:rsid w:val="00E14566"/>
    <w:rsid w:val="00E14911"/>
    <w:rsid w:val="00E22660"/>
    <w:rsid w:val="00E232E0"/>
    <w:rsid w:val="00E23A45"/>
    <w:rsid w:val="00E23A5B"/>
    <w:rsid w:val="00E24DAD"/>
    <w:rsid w:val="00E3030C"/>
    <w:rsid w:val="00E32EAF"/>
    <w:rsid w:val="00E34BF8"/>
    <w:rsid w:val="00E3554B"/>
    <w:rsid w:val="00E44F7F"/>
    <w:rsid w:val="00E50CC8"/>
    <w:rsid w:val="00E51FE8"/>
    <w:rsid w:val="00E5244F"/>
    <w:rsid w:val="00E52659"/>
    <w:rsid w:val="00E55E57"/>
    <w:rsid w:val="00E56249"/>
    <w:rsid w:val="00E67ACE"/>
    <w:rsid w:val="00E67BA7"/>
    <w:rsid w:val="00E729DD"/>
    <w:rsid w:val="00E757FD"/>
    <w:rsid w:val="00E84140"/>
    <w:rsid w:val="00E93D69"/>
    <w:rsid w:val="00E94F57"/>
    <w:rsid w:val="00E94FA8"/>
    <w:rsid w:val="00EB33F2"/>
    <w:rsid w:val="00EB4FD7"/>
    <w:rsid w:val="00EC564B"/>
    <w:rsid w:val="00EC6F58"/>
    <w:rsid w:val="00ED4634"/>
    <w:rsid w:val="00ED7CB3"/>
    <w:rsid w:val="00EE1123"/>
    <w:rsid w:val="00EE1706"/>
    <w:rsid w:val="00EE3A4F"/>
    <w:rsid w:val="00EF0C91"/>
    <w:rsid w:val="00EF2660"/>
    <w:rsid w:val="00EF26A2"/>
    <w:rsid w:val="00F06892"/>
    <w:rsid w:val="00F15BA0"/>
    <w:rsid w:val="00F1668A"/>
    <w:rsid w:val="00F269DE"/>
    <w:rsid w:val="00F26A4B"/>
    <w:rsid w:val="00F31636"/>
    <w:rsid w:val="00F34895"/>
    <w:rsid w:val="00F376E3"/>
    <w:rsid w:val="00F37ED4"/>
    <w:rsid w:val="00F40A46"/>
    <w:rsid w:val="00F41D12"/>
    <w:rsid w:val="00F45235"/>
    <w:rsid w:val="00F50B3C"/>
    <w:rsid w:val="00F53605"/>
    <w:rsid w:val="00F53A9E"/>
    <w:rsid w:val="00F5592A"/>
    <w:rsid w:val="00F57E9D"/>
    <w:rsid w:val="00F66E1A"/>
    <w:rsid w:val="00F71EBB"/>
    <w:rsid w:val="00F728DA"/>
    <w:rsid w:val="00F8554D"/>
    <w:rsid w:val="00F87E5B"/>
    <w:rsid w:val="00FB4E60"/>
    <w:rsid w:val="00FB51A7"/>
    <w:rsid w:val="00FC4ACC"/>
    <w:rsid w:val="00FC6419"/>
    <w:rsid w:val="00FD0892"/>
    <w:rsid w:val="00FD155B"/>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60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1151751-F358-4450-AC20-FD7795BF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7445</Words>
  <Characters>43183</Characters>
  <Application>Microsoft Office Word</Application>
  <DocSecurity>0</DocSecurity>
  <Lines>359</Lines>
  <Paragraphs>101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Sanda MELENCIUC</cp:lastModifiedBy>
  <cp:revision>3</cp:revision>
  <cp:lastPrinted>2025-08-01T10:51:00Z</cp:lastPrinted>
  <dcterms:created xsi:type="dcterms:W3CDTF">2026-03-25T11:41:00Z</dcterms:created>
  <dcterms:modified xsi:type="dcterms:W3CDTF">2026-03-27T06:36:00Z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