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DDF" w:rsidRPr="00E43766" w:rsidRDefault="00E05DDF" w:rsidP="00E05DDF">
      <w:pPr>
        <w:spacing w:after="0" w:line="240" w:lineRule="auto"/>
        <w:jc w:val="center"/>
        <w:rPr>
          <w:rFonts w:ascii="Times New Roman" w:hAnsi="Times New Roman" w:cs="Times New Roman"/>
          <w:b/>
          <w:color w:val="000000" w:themeColor="text1"/>
          <w:sz w:val="24"/>
          <w:szCs w:val="24"/>
          <w:lang w:val="pt-BR"/>
        </w:rPr>
      </w:pPr>
      <w:r w:rsidRPr="00E43766">
        <w:rPr>
          <w:rFonts w:ascii="Times New Roman" w:hAnsi="Times New Roman" w:cs="Times New Roman"/>
          <w:b/>
          <w:color w:val="000000" w:themeColor="text1"/>
          <w:sz w:val="24"/>
          <w:szCs w:val="24"/>
          <w:lang w:val="pt-BR"/>
        </w:rPr>
        <w:t>SINTEZA OBIECȚIILOR ȘI PROPUNERILOR</w:t>
      </w:r>
    </w:p>
    <w:p w:rsidR="00E05DDF" w:rsidRDefault="00E05DDF" w:rsidP="00E05DDF">
      <w:pPr>
        <w:spacing w:after="0"/>
        <w:ind w:right="536"/>
        <w:jc w:val="center"/>
        <w:rPr>
          <w:rFonts w:ascii="Times New Roman" w:hAnsi="Times New Roman" w:cs="Times New Roman"/>
          <w:bCs/>
          <w:color w:val="000000" w:themeColor="text1"/>
          <w:sz w:val="24"/>
          <w:szCs w:val="24"/>
          <w:lang w:val="ro-RO"/>
        </w:rPr>
      </w:pPr>
    </w:p>
    <w:p w:rsidR="00E05DDF" w:rsidRPr="00CE4F5A" w:rsidRDefault="00E05DDF" w:rsidP="00E05DDF">
      <w:pPr>
        <w:spacing w:after="0"/>
        <w:ind w:right="536"/>
        <w:jc w:val="center"/>
        <w:rPr>
          <w:rFonts w:ascii="Times New Roman" w:hAnsi="Times New Roman"/>
          <w:bCs/>
          <w:color w:val="000000" w:themeColor="text1"/>
          <w:sz w:val="24"/>
          <w:szCs w:val="24"/>
          <w:lang w:val="ro-RO"/>
        </w:rPr>
      </w:pPr>
      <w:r w:rsidRPr="00CE4F5A">
        <w:rPr>
          <w:rFonts w:ascii="Times New Roman" w:hAnsi="Times New Roman"/>
          <w:bCs/>
          <w:color w:val="000000" w:themeColor="text1"/>
          <w:sz w:val="24"/>
          <w:szCs w:val="24"/>
          <w:lang w:val="ro-RO"/>
        </w:rPr>
        <w:t xml:space="preserve">la proiectul Hotărârii Guvernului cu privire la </w:t>
      </w:r>
      <w:r w:rsidRPr="002278C2">
        <w:rPr>
          <w:rFonts w:ascii="Times New Roman" w:hAnsi="Times New Roman"/>
          <w:bCs/>
          <w:color w:val="000000" w:themeColor="text1"/>
          <w:sz w:val="24"/>
          <w:szCs w:val="24"/>
          <w:lang w:val="ro-RO"/>
        </w:rPr>
        <w:t>acordul de schimbare a destinației unui teren din proprietatea raionului Căușeni</w:t>
      </w:r>
    </w:p>
    <w:p w:rsidR="00E05DDF" w:rsidRPr="00CE4F5A" w:rsidRDefault="00E05DDF" w:rsidP="00E05DDF">
      <w:pPr>
        <w:spacing w:after="0"/>
        <w:jc w:val="both"/>
        <w:rPr>
          <w:rFonts w:ascii="Times New Roman" w:hAnsi="Times New Roman" w:cs="Times New Roman"/>
          <w:sz w:val="24"/>
          <w:szCs w:val="24"/>
          <w:lang w:val="ro-RO"/>
        </w:rPr>
      </w:pPr>
    </w:p>
    <w:tbl>
      <w:tblPr>
        <w:tblStyle w:val="a3"/>
        <w:tblW w:w="15311" w:type="dxa"/>
        <w:tblInd w:w="-289" w:type="dxa"/>
        <w:tblLayout w:type="fixed"/>
        <w:tblLook w:val="04A0" w:firstRow="1" w:lastRow="0" w:firstColumn="1" w:lastColumn="0" w:noHBand="0" w:noVBand="1"/>
      </w:tblPr>
      <w:tblGrid>
        <w:gridCol w:w="2836"/>
        <w:gridCol w:w="709"/>
        <w:gridCol w:w="6378"/>
        <w:gridCol w:w="5388"/>
      </w:tblGrid>
      <w:tr w:rsidR="00E05DDF" w:rsidRPr="00202B33" w:rsidTr="00861AFD">
        <w:tc>
          <w:tcPr>
            <w:tcW w:w="2836" w:type="dxa"/>
          </w:tcPr>
          <w:p w:rsidR="00E05DDF" w:rsidRPr="00CE4F5A" w:rsidRDefault="00E05DDF" w:rsidP="00861AFD">
            <w:pPr>
              <w:jc w:val="center"/>
              <w:rPr>
                <w:rFonts w:ascii="Times New Roman" w:hAnsi="Times New Roman" w:cs="Times New Roman"/>
                <w:b/>
                <w:color w:val="000000" w:themeColor="text1"/>
                <w:sz w:val="24"/>
                <w:szCs w:val="24"/>
              </w:rPr>
            </w:pPr>
            <w:r w:rsidRPr="00CE4F5A">
              <w:rPr>
                <w:rFonts w:ascii="Times New Roman" w:hAnsi="Times New Roman" w:cs="Times New Roman"/>
                <w:b/>
                <w:color w:val="000000" w:themeColor="text1"/>
                <w:sz w:val="24"/>
                <w:szCs w:val="24"/>
              </w:rPr>
              <w:t>Participantul la avizare/expertizare</w:t>
            </w:r>
          </w:p>
        </w:tc>
        <w:tc>
          <w:tcPr>
            <w:tcW w:w="709" w:type="dxa"/>
          </w:tcPr>
          <w:p w:rsidR="00E05DDF" w:rsidRPr="00CE4F5A" w:rsidRDefault="00E05DDF" w:rsidP="00861AFD">
            <w:pPr>
              <w:jc w:val="center"/>
              <w:rPr>
                <w:rFonts w:ascii="Times New Roman" w:hAnsi="Times New Roman" w:cs="Times New Roman"/>
                <w:b/>
                <w:color w:val="000000" w:themeColor="text1"/>
                <w:sz w:val="24"/>
                <w:szCs w:val="24"/>
              </w:rPr>
            </w:pPr>
          </w:p>
        </w:tc>
        <w:tc>
          <w:tcPr>
            <w:tcW w:w="6378" w:type="dxa"/>
          </w:tcPr>
          <w:p w:rsidR="00E05DDF" w:rsidRPr="00CE4F5A" w:rsidRDefault="00E05DDF" w:rsidP="00861AFD">
            <w:pPr>
              <w:jc w:val="center"/>
              <w:rPr>
                <w:rFonts w:ascii="Times New Roman" w:hAnsi="Times New Roman" w:cs="Times New Roman"/>
                <w:b/>
                <w:color w:val="000000" w:themeColor="text1"/>
                <w:sz w:val="24"/>
                <w:szCs w:val="24"/>
              </w:rPr>
            </w:pPr>
            <w:r w:rsidRPr="00CE4F5A">
              <w:rPr>
                <w:rFonts w:ascii="Times New Roman" w:hAnsi="Times New Roman" w:cs="Times New Roman"/>
                <w:b/>
                <w:color w:val="000000" w:themeColor="text1"/>
                <w:sz w:val="24"/>
                <w:szCs w:val="24"/>
              </w:rPr>
              <w:t>Conținutul obiecției/propunerilor (recomandărilor)</w:t>
            </w:r>
          </w:p>
        </w:tc>
        <w:tc>
          <w:tcPr>
            <w:tcW w:w="5386" w:type="dxa"/>
          </w:tcPr>
          <w:p w:rsidR="00E05DDF" w:rsidRPr="00CE4F5A" w:rsidRDefault="00E05DDF" w:rsidP="00861AFD">
            <w:pPr>
              <w:jc w:val="center"/>
              <w:rPr>
                <w:rFonts w:ascii="Times New Roman" w:hAnsi="Times New Roman" w:cs="Times New Roman"/>
                <w:b/>
                <w:color w:val="000000" w:themeColor="text1"/>
                <w:sz w:val="24"/>
                <w:szCs w:val="24"/>
              </w:rPr>
            </w:pPr>
            <w:r w:rsidRPr="00CE4F5A">
              <w:rPr>
                <w:rFonts w:ascii="Times New Roman" w:hAnsi="Times New Roman" w:cs="Times New Roman"/>
                <w:b/>
                <w:color w:val="000000" w:themeColor="text1"/>
                <w:sz w:val="24"/>
                <w:szCs w:val="24"/>
              </w:rPr>
              <w:t>Argumentarea Ministerului Educației și Cercetării</w:t>
            </w:r>
          </w:p>
        </w:tc>
      </w:tr>
      <w:tr w:rsidR="00E05DDF" w:rsidRPr="00CE4F5A" w:rsidTr="00861AFD">
        <w:tc>
          <w:tcPr>
            <w:tcW w:w="15311" w:type="dxa"/>
            <w:gridSpan w:val="4"/>
          </w:tcPr>
          <w:p w:rsidR="00E05DDF" w:rsidRDefault="00E05DDF" w:rsidP="00861AFD">
            <w:pPr>
              <w:ind w:firstLine="459"/>
              <w:jc w:val="center"/>
              <w:rPr>
                <w:rFonts w:ascii="Times New Roman" w:hAnsi="Times New Roman" w:cs="Times New Roman"/>
                <w:b/>
                <w:color w:val="000000" w:themeColor="text1"/>
                <w:sz w:val="24"/>
                <w:szCs w:val="24"/>
              </w:rPr>
            </w:pPr>
          </w:p>
          <w:p w:rsidR="00E05DDF" w:rsidRDefault="00E05DDF" w:rsidP="00861AFD">
            <w:pPr>
              <w:ind w:firstLine="459"/>
              <w:jc w:val="center"/>
              <w:rPr>
                <w:rFonts w:ascii="Times New Roman" w:hAnsi="Times New Roman" w:cs="Times New Roman"/>
                <w:b/>
                <w:color w:val="000000" w:themeColor="text1"/>
                <w:sz w:val="24"/>
                <w:szCs w:val="24"/>
              </w:rPr>
            </w:pPr>
            <w:r w:rsidRPr="00CE4F5A">
              <w:rPr>
                <w:rFonts w:ascii="Times New Roman" w:hAnsi="Times New Roman" w:cs="Times New Roman"/>
                <w:b/>
                <w:color w:val="000000" w:themeColor="text1"/>
                <w:sz w:val="24"/>
                <w:szCs w:val="24"/>
              </w:rPr>
              <w:t>AVIZARE</w:t>
            </w:r>
          </w:p>
          <w:p w:rsidR="00E05DDF" w:rsidRPr="00CE4F5A" w:rsidRDefault="00E05DDF" w:rsidP="00861AFD">
            <w:pPr>
              <w:ind w:firstLine="459"/>
              <w:jc w:val="center"/>
              <w:rPr>
                <w:rFonts w:ascii="Times New Roman" w:hAnsi="Times New Roman" w:cs="Times New Roman"/>
                <w:b/>
                <w:color w:val="000000" w:themeColor="text1"/>
                <w:sz w:val="24"/>
                <w:szCs w:val="24"/>
              </w:rPr>
            </w:pPr>
          </w:p>
        </w:tc>
      </w:tr>
      <w:tr w:rsidR="00E05DDF" w:rsidRPr="00CE4F5A" w:rsidTr="00861AFD">
        <w:tc>
          <w:tcPr>
            <w:tcW w:w="2836" w:type="dxa"/>
          </w:tcPr>
          <w:p w:rsidR="00E05DDF" w:rsidRPr="00CE4F5A" w:rsidRDefault="00E05DDF" w:rsidP="00861AFD">
            <w:pPr>
              <w:jc w:val="both"/>
              <w:rPr>
                <w:rFonts w:ascii="Times New Roman" w:hAnsi="Times New Roman" w:cs="Times New Roman"/>
                <w:b/>
                <w:color w:val="000000" w:themeColor="text1"/>
                <w:sz w:val="24"/>
                <w:szCs w:val="24"/>
              </w:rPr>
            </w:pPr>
            <w:r w:rsidRPr="00CE4F5A">
              <w:rPr>
                <w:rFonts w:ascii="Times New Roman" w:hAnsi="Times New Roman" w:cs="Times New Roman"/>
                <w:b/>
                <w:color w:val="000000" w:themeColor="text1"/>
                <w:sz w:val="24"/>
                <w:szCs w:val="24"/>
              </w:rPr>
              <w:t>Ministerul Infrastructurii și Dezvoltării Regionale al Republicii Moldova</w:t>
            </w:r>
          </w:p>
          <w:p w:rsidR="00E05DDF" w:rsidRPr="002278C2" w:rsidRDefault="00E05DDF" w:rsidP="00861AFD">
            <w:pPr>
              <w:jc w:val="both"/>
              <w:rPr>
                <w:rFonts w:ascii="Times New Roman" w:hAnsi="Times New Roman" w:cs="Times New Roman"/>
                <w:bCs/>
                <w:color w:val="000000" w:themeColor="text1"/>
              </w:rPr>
            </w:pPr>
            <w:r w:rsidRPr="00CE4F5A">
              <w:rPr>
                <w:rFonts w:ascii="Times New Roman" w:hAnsi="Times New Roman" w:cs="Times New Roman"/>
                <w:bCs/>
                <w:color w:val="000000" w:themeColor="text1"/>
              </w:rPr>
              <w:t>(nr.</w:t>
            </w:r>
            <w:r>
              <w:rPr>
                <w:rFonts w:ascii="Times New Roman" w:hAnsi="Times New Roman" w:cs="Times New Roman"/>
                <w:bCs/>
                <w:color w:val="000000" w:themeColor="text1"/>
              </w:rPr>
              <w:t xml:space="preserve"> 12-524 din 05.02.2026</w:t>
            </w:r>
            <w:r w:rsidRPr="00CE4F5A">
              <w:rPr>
                <w:rFonts w:ascii="Times New Roman" w:hAnsi="Times New Roman" w:cs="Times New Roman"/>
                <w:bCs/>
                <w:color w:val="000000" w:themeColor="text1"/>
              </w:rPr>
              <w:t>)</w:t>
            </w:r>
          </w:p>
        </w:tc>
        <w:tc>
          <w:tcPr>
            <w:tcW w:w="709" w:type="dxa"/>
          </w:tcPr>
          <w:p w:rsidR="00E05DDF" w:rsidRPr="00CE4F5A" w:rsidRDefault="00E05DDF" w:rsidP="00861AFD">
            <w:pPr>
              <w:jc w:val="center"/>
              <w:rPr>
                <w:rFonts w:ascii="Times New Roman" w:hAnsi="Times New Roman" w:cs="Times New Roman"/>
                <w:b/>
                <w:color w:val="000000" w:themeColor="text1"/>
                <w:sz w:val="24"/>
                <w:szCs w:val="24"/>
              </w:rPr>
            </w:pPr>
            <w:r w:rsidRPr="00CE4F5A">
              <w:rPr>
                <w:rFonts w:ascii="Times New Roman" w:hAnsi="Times New Roman" w:cs="Times New Roman"/>
                <w:b/>
                <w:color w:val="000000" w:themeColor="text1"/>
                <w:sz w:val="24"/>
                <w:szCs w:val="24"/>
              </w:rPr>
              <w:t>1.</w:t>
            </w:r>
          </w:p>
        </w:tc>
        <w:tc>
          <w:tcPr>
            <w:tcW w:w="6378" w:type="dxa"/>
          </w:tcPr>
          <w:p w:rsidR="00E05DDF" w:rsidRPr="00CE4F5A" w:rsidRDefault="00E05DDF" w:rsidP="00861AFD">
            <w:pPr>
              <w:ind w:firstLine="45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Ca urmare a examinării proiectului de hotărâre a Guvernului cu privire la acordul de schimbare a destinației unui teren din proprietatea raionului Căușeni (nr. unic 60/MEC/2026), în limita competențelor funcționale, comunicăm, lipsa obiecțiilor și propunerilor.</w:t>
            </w:r>
          </w:p>
        </w:tc>
        <w:tc>
          <w:tcPr>
            <w:tcW w:w="5386" w:type="dxa"/>
          </w:tcPr>
          <w:p w:rsidR="00E05DDF" w:rsidRPr="00CE4F5A" w:rsidRDefault="00E05DDF" w:rsidP="00861AFD">
            <w:pPr>
              <w:ind w:firstLine="459"/>
              <w:jc w:val="both"/>
              <w:rPr>
                <w:rFonts w:ascii="Times New Roman" w:hAnsi="Times New Roman" w:cs="Times New Roman"/>
                <w:b/>
                <w:bCs/>
                <w:color w:val="000000" w:themeColor="text1"/>
                <w:sz w:val="24"/>
                <w:szCs w:val="24"/>
              </w:rPr>
            </w:pPr>
            <w:r w:rsidRPr="00CE4F5A">
              <w:rPr>
                <w:rFonts w:ascii="Times New Roman" w:hAnsi="Times New Roman" w:cs="Times New Roman"/>
                <w:b/>
                <w:bCs/>
                <w:color w:val="000000" w:themeColor="text1"/>
                <w:sz w:val="24"/>
                <w:szCs w:val="24"/>
              </w:rPr>
              <w:t>Se acceptă.</w:t>
            </w:r>
          </w:p>
        </w:tc>
      </w:tr>
      <w:tr w:rsidR="00E05DDF" w:rsidRPr="00202B33" w:rsidTr="00861AFD">
        <w:tc>
          <w:tcPr>
            <w:tcW w:w="2836" w:type="dxa"/>
          </w:tcPr>
          <w:p w:rsidR="00E05DDF" w:rsidRDefault="00E05DDF" w:rsidP="00861AFD">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Agenția Proprietății Publice</w:t>
            </w:r>
          </w:p>
          <w:p w:rsidR="00E05DDF" w:rsidRPr="002278C2" w:rsidRDefault="00E05DDF" w:rsidP="00861AFD">
            <w:pPr>
              <w:jc w:val="both"/>
              <w:rPr>
                <w:rFonts w:ascii="Times New Roman" w:hAnsi="Times New Roman" w:cs="Times New Roman"/>
                <w:bCs/>
                <w:color w:val="000000" w:themeColor="text1"/>
                <w:sz w:val="24"/>
                <w:szCs w:val="24"/>
              </w:rPr>
            </w:pPr>
            <w:r w:rsidRPr="002278C2">
              <w:rPr>
                <w:rFonts w:ascii="Times New Roman" w:hAnsi="Times New Roman" w:cs="Times New Roman"/>
                <w:bCs/>
                <w:color w:val="000000" w:themeColor="text1"/>
              </w:rPr>
              <w:t xml:space="preserve">(nr. </w:t>
            </w:r>
            <w:r>
              <w:rPr>
                <w:rFonts w:ascii="Times New Roman" w:hAnsi="Times New Roman" w:cs="Times New Roman"/>
                <w:bCs/>
                <w:color w:val="000000" w:themeColor="text1"/>
              </w:rPr>
              <w:t>05-04-779 din 05.02.2026</w:t>
            </w:r>
            <w:r w:rsidRPr="002278C2">
              <w:rPr>
                <w:rFonts w:ascii="Times New Roman" w:hAnsi="Times New Roman" w:cs="Times New Roman"/>
                <w:bCs/>
                <w:color w:val="000000" w:themeColor="text1"/>
              </w:rPr>
              <w:t>)</w:t>
            </w:r>
          </w:p>
        </w:tc>
        <w:tc>
          <w:tcPr>
            <w:tcW w:w="709" w:type="dxa"/>
          </w:tcPr>
          <w:p w:rsidR="00E05DDF" w:rsidRPr="00CE4F5A" w:rsidRDefault="00E05DDF" w:rsidP="00861AFD">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w:t>
            </w:r>
          </w:p>
        </w:tc>
        <w:tc>
          <w:tcPr>
            <w:tcW w:w="6378" w:type="dxa"/>
          </w:tcPr>
          <w:p w:rsidR="00E05DDF" w:rsidRDefault="00E05DDF" w:rsidP="00861AFD">
            <w:pPr>
              <w:ind w:firstLine="45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Urmare a demersului Cancelariei de Stat nr. DGPȘG-1037-18-69-579 din 2 februarie 2026, Agenția Proprietății Publice a examinat proiectul de hotărâre cu privire la acordul de schimbare a destinației unui teren din proprietatea raionului Căușeni (nr. unic 60/MEC/2026), autorul – Ministerul Educației și Cercetării și, în limita competențelor funcționale, comunică lipsa obiecțiilor.</w:t>
            </w:r>
          </w:p>
          <w:p w:rsidR="00E05DDF" w:rsidRPr="00CE4F5A" w:rsidRDefault="00E05DDF" w:rsidP="00861AFD">
            <w:pPr>
              <w:ind w:firstLine="45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Totodată, considerăm oportun expunerea pct. 1 din proiect cu următorul conținut: „</w:t>
            </w:r>
            <w:r w:rsidRPr="00A57796">
              <w:rPr>
                <w:rFonts w:ascii="Times New Roman" w:hAnsi="Times New Roman" w:cs="Times New Roman"/>
                <w:i/>
                <w:iCs/>
                <w:color w:val="000000" w:themeColor="text1"/>
                <w:sz w:val="24"/>
                <w:szCs w:val="24"/>
              </w:rPr>
              <w:t>Se acceptă schimbarea destinației unei porțiuni de teren cu suprafața de 0,4429 ha din terenul cu numărul cadastral 2701205.054 (aferent Liceului Teoretic „Ion Creangă” din or. Căușeni, str. Unirii, 17) ca urmare a constatării lipsei necesității de utilizare a acestuia în domeniul educației</w:t>
            </w:r>
            <w:r>
              <w:rPr>
                <w:rFonts w:ascii="Times New Roman" w:hAnsi="Times New Roman" w:cs="Times New Roman"/>
                <w:color w:val="000000" w:themeColor="text1"/>
                <w:sz w:val="24"/>
                <w:szCs w:val="24"/>
              </w:rPr>
              <w:t>.”.</w:t>
            </w:r>
          </w:p>
        </w:tc>
        <w:tc>
          <w:tcPr>
            <w:tcW w:w="5386" w:type="dxa"/>
          </w:tcPr>
          <w:p w:rsidR="00E05DDF" w:rsidRDefault="00E05DDF" w:rsidP="00861AFD">
            <w:pPr>
              <w:ind w:firstLine="459"/>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Se acceptă.</w:t>
            </w:r>
          </w:p>
          <w:p w:rsidR="00E05DDF" w:rsidRPr="004A2804" w:rsidRDefault="00E05DDF" w:rsidP="00861AFD">
            <w:pPr>
              <w:ind w:firstLine="459"/>
              <w:jc w:val="both"/>
              <w:rPr>
                <w:rFonts w:ascii="Times New Roman" w:hAnsi="Times New Roman" w:cs="Times New Roman"/>
                <w:bCs/>
                <w:color w:val="000000" w:themeColor="text1"/>
                <w:sz w:val="24"/>
                <w:szCs w:val="24"/>
                <w:lang w:val="pt-BR"/>
              </w:rPr>
            </w:pPr>
            <w:r w:rsidRPr="0082685F">
              <w:rPr>
                <w:rFonts w:ascii="Times New Roman" w:hAnsi="Times New Roman" w:cs="Times New Roman"/>
                <w:bCs/>
                <w:color w:val="000000" w:themeColor="text1"/>
                <w:sz w:val="24"/>
                <w:szCs w:val="24"/>
              </w:rPr>
              <w:t xml:space="preserve">Punctul 1 </w:t>
            </w:r>
            <w:r>
              <w:rPr>
                <w:rFonts w:ascii="Times New Roman" w:hAnsi="Times New Roman" w:cs="Times New Roman"/>
                <w:bCs/>
                <w:color w:val="000000" w:themeColor="text1"/>
                <w:sz w:val="24"/>
                <w:szCs w:val="24"/>
              </w:rPr>
              <w:t>s-a expus</w:t>
            </w:r>
            <w:r w:rsidRPr="0082685F">
              <w:rPr>
                <w:rFonts w:ascii="Times New Roman" w:hAnsi="Times New Roman" w:cs="Times New Roman"/>
                <w:bCs/>
                <w:color w:val="000000" w:themeColor="text1"/>
                <w:sz w:val="24"/>
                <w:szCs w:val="24"/>
              </w:rPr>
              <w:t xml:space="preserve"> cu următorul cuprins</w:t>
            </w:r>
            <w:r w:rsidRPr="004A2804">
              <w:rPr>
                <w:rFonts w:ascii="Times New Roman" w:hAnsi="Times New Roman" w:cs="Times New Roman"/>
                <w:bCs/>
                <w:color w:val="000000" w:themeColor="text1"/>
                <w:sz w:val="24"/>
                <w:szCs w:val="24"/>
                <w:lang w:val="pt-BR"/>
              </w:rPr>
              <w:t>:</w:t>
            </w:r>
          </w:p>
          <w:p w:rsidR="00E05DDF" w:rsidRPr="004A2804" w:rsidRDefault="00E05DDF" w:rsidP="00861AFD">
            <w:pPr>
              <w:ind w:firstLine="459"/>
              <w:jc w:val="both"/>
              <w:rPr>
                <w:rFonts w:ascii="Times New Roman" w:hAnsi="Times New Roman" w:cs="Times New Roman"/>
                <w:b/>
                <w:bCs/>
                <w:color w:val="000000" w:themeColor="text1"/>
                <w:sz w:val="24"/>
                <w:szCs w:val="24"/>
                <w:lang w:val="pt-BR"/>
              </w:rPr>
            </w:pPr>
            <w:r w:rsidRPr="004A2804">
              <w:rPr>
                <w:rFonts w:ascii="Times New Roman" w:hAnsi="Times New Roman" w:cs="Times New Roman"/>
                <w:bCs/>
                <w:color w:val="000000" w:themeColor="text1"/>
                <w:sz w:val="24"/>
                <w:szCs w:val="24"/>
                <w:lang w:val="pt-BR"/>
              </w:rPr>
              <w:t>„</w:t>
            </w:r>
            <w:r w:rsidRPr="004A2804">
              <w:rPr>
                <w:rFonts w:ascii="Times New Roman" w:hAnsi="Times New Roman" w:cs="Times New Roman"/>
                <w:b/>
                <w:bCs/>
                <w:color w:val="000000" w:themeColor="text1"/>
                <w:sz w:val="24"/>
                <w:szCs w:val="24"/>
                <w:lang w:val="pt-BR"/>
              </w:rPr>
              <w:t>1.</w:t>
            </w:r>
            <w:r w:rsidRPr="0082685F">
              <w:rPr>
                <w:rFonts w:ascii="Times New Roman" w:hAnsi="Times New Roman" w:cs="Times New Roman"/>
                <w:i/>
                <w:iCs/>
                <w:color w:val="000000" w:themeColor="text1"/>
                <w:sz w:val="24"/>
                <w:szCs w:val="24"/>
              </w:rPr>
              <w:t xml:space="preserve"> Se</w:t>
            </w:r>
            <w:r w:rsidRPr="00A57796">
              <w:rPr>
                <w:rFonts w:ascii="Times New Roman" w:hAnsi="Times New Roman" w:cs="Times New Roman"/>
                <w:i/>
                <w:iCs/>
                <w:color w:val="000000" w:themeColor="text1"/>
                <w:sz w:val="24"/>
                <w:szCs w:val="24"/>
              </w:rPr>
              <w:t xml:space="preserve"> acceptă schimbarea destinației unei porțiuni de teren cu suprafața de 0,4429 ha din terenul cu numărul cadastral 2701205.054 (aferent Liceului Teoretic „Ion Creangă” din or. Căușeni, str. Unirii, 17) ca urmare a constatării lipsei necesității de utilizare a acestuia în domeniul educației</w:t>
            </w:r>
            <w:r>
              <w:rPr>
                <w:rFonts w:ascii="Times New Roman" w:hAnsi="Times New Roman" w:cs="Times New Roman"/>
                <w:i/>
                <w:iCs/>
                <w:color w:val="000000" w:themeColor="text1"/>
                <w:sz w:val="24"/>
                <w:szCs w:val="24"/>
              </w:rPr>
              <w:t>.</w:t>
            </w:r>
            <w:r w:rsidRPr="004A2804">
              <w:rPr>
                <w:rFonts w:ascii="Times New Roman" w:hAnsi="Times New Roman" w:cs="Times New Roman"/>
                <w:b/>
                <w:bCs/>
                <w:color w:val="000000" w:themeColor="text1"/>
                <w:sz w:val="24"/>
                <w:szCs w:val="24"/>
                <w:lang w:val="pt-BR"/>
              </w:rPr>
              <w:t>”.</w:t>
            </w:r>
          </w:p>
        </w:tc>
      </w:tr>
      <w:tr w:rsidR="00E05DDF" w:rsidRPr="00202B33" w:rsidTr="00861AFD">
        <w:tc>
          <w:tcPr>
            <w:tcW w:w="2836" w:type="dxa"/>
          </w:tcPr>
          <w:p w:rsidR="00E05DDF" w:rsidRDefault="00E05DDF" w:rsidP="00861AFD">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Agenția Geodezie, Cartografie și Cadastru</w:t>
            </w:r>
          </w:p>
          <w:p w:rsidR="00E05DDF" w:rsidRPr="002278C2" w:rsidRDefault="00E05DDF" w:rsidP="00861AFD">
            <w:pPr>
              <w:jc w:val="both"/>
              <w:rPr>
                <w:rFonts w:ascii="Times New Roman" w:hAnsi="Times New Roman" w:cs="Times New Roman"/>
                <w:bCs/>
                <w:color w:val="000000" w:themeColor="text1"/>
                <w:sz w:val="24"/>
                <w:szCs w:val="24"/>
              </w:rPr>
            </w:pPr>
            <w:r w:rsidRPr="002278C2">
              <w:rPr>
                <w:rFonts w:ascii="Times New Roman" w:hAnsi="Times New Roman" w:cs="Times New Roman"/>
                <w:bCs/>
                <w:color w:val="000000" w:themeColor="text1"/>
              </w:rPr>
              <w:t xml:space="preserve">(nr. </w:t>
            </w:r>
            <w:r>
              <w:rPr>
                <w:rFonts w:ascii="Times New Roman" w:hAnsi="Times New Roman" w:cs="Times New Roman"/>
                <w:bCs/>
                <w:color w:val="000000" w:themeColor="text1"/>
              </w:rPr>
              <w:t>36/01-06/177 din 11.02.2026</w:t>
            </w:r>
            <w:r w:rsidRPr="002278C2">
              <w:rPr>
                <w:rFonts w:ascii="Times New Roman" w:hAnsi="Times New Roman" w:cs="Times New Roman"/>
                <w:bCs/>
                <w:color w:val="000000" w:themeColor="text1"/>
              </w:rPr>
              <w:t>)</w:t>
            </w:r>
          </w:p>
        </w:tc>
        <w:tc>
          <w:tcPr>
            <w:tcW w:w="709" w:type="dxa"/>
          </w:tcPr>
          <w:p w:rsidR="00E05DDF" w:rsidRPr="00CE4F5A" w:rsidRDefault="00E05DDF" w:rsidP="00861AFD">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w:t>
            </w:r>
          </w:p>
        </w:tc>
        <w:tc>
          <w:tcPr>
            <w:tcW w:w="6378" w:type="dxa"/>
          </w:tcPr>
          <w:p w:rsidR="00E05DDF" w:rsidRPr="00806DF4" w:rsidRDefault="00E05DDF" w:rsidP="00861AFD">
            <w:pPr>
              <w:ind w:firstLine="456"/>
              <w:jc w:val="both"/>
              <w:rPr>
                <w:rFonts w:ascii="Times New Roman" w:hAnsi="Times New Roman" w:cs="Times New Roman"/>
                <w:color w:val="000000" w:themeColor="text1"/>
                <w:sz w:val="24"/>
                <w:szCs w:val="24"/>
                <w:lang w:val="pt-BR"/>
              </w:rPr>
            </w:pPr>
            <w:r w:rsidRPr="00806DF4">
              <w:rPr>
                <w:rFonts w:ascii="Times New Roman" w:hAnsi="Times New Roman" w:cs="Times New Roman"/>
                <w:color w:val="000000" w:themeColor="text1"/>
                <w:sz w:val="24"/>
                <w:szCs w:val="24"/>
                <w:lang w:val="pt-BR"/>
              </w:rPr>
              <w:t>Agenția Geodezie, Cartografie și Cadastru a examinat proiectul de hotărâre cu privire la acordul de schimbare a destinației unui teren din proprietatea raionului Căușeni (număr unic 60/MEC/2026), și în limita competențelor funcționale atribuite comunică.</w:t>
            </w:r>
          </w:p>
          <w:p w:rsidR="00E05DDF" w:rsidRPr="00806DF4" w:rsidRDefault="00E05DDF" w:rsidP="00861AFD">
            <w:pPr>
              <w:ind w:firstLine="456"/>
              <w:jc w:val="both"/>
              <w:rPr>
                <w:rFonts w:ascii="Times New Roman" w:hAnsi="Times New Roman" w:cs="Times New Roman"/>
                <w:color w:val="000000" w:themeColor="text1"/>
                <w:sz w:val="24"/>
                <w:szCs w:val="24"/>
                <w:lang w:val="pt-BR"/>
              </w:rPr>
            </w:pPr>
            <w:r w:rsidRPr="00806DF4">
              <w:rPr>
                <w:rFonts w:ascii="Times New Roman" w:hAnsi="Times New Roman" w:cs="Times New Roman"/>
                <w:color w:val="000000" w:themeColor="text1"/>
                <w:sz w:val="24"/>
                <w:szCs w:val="24"/>
                <w:lang w:val="pt-BR"/>
              </w:rPr>
              <w:t xml:space="preserve">Conform prevederilor proiectului menționat, se propune a fi schimbată destinația unei porțiuni de teren cu suprafața de 0,4429 ha dintr-un număr cadastral propus 2701205371, aferent </w:t>
            </w:r>
            <w:r w:rsidRPr="00806DF4">
              <w:rPr>
                <w:rFonts w:ascii="Times New Roman" w:hAnsi="Times New Roman" w:cs="Times New Roman"/>
                <w:color w:val="000000" w:themeColor="text1"/>
                <w:sz w:val="24"/>
                <w:szCs w:val="24"/>
                <w:lang w:val="pt-BR"/>
              </w:rPr>
              <w:lastRenderedPageBreak/>
              <w:t>Liceului Teoretic Ion Creangă amplasat în or. Căușeni, str. Unirii 17.</w:t>
            </w:r>
          </w:p>
          <w:p w:rsidR="00E05DDF" w:rsidRPr="00806DF4" w:rsidRDefault="00E05DDF" w:rsidP="00861AFD">
            <w:pPr>
              <w:ind w:firstLine="456"/>
              <w:jc w:val="both"/>
              <w:rPr>
                <w:rFonts w:ascii="Times New Roman" w:hAnsi="Times New Roman" w:cs="Times New Roman"/>
                <w:color w:val="000000" w:themeColor="text1"/>
                <w:sz w:val="24"/>
                <w:szCs w:val="24"/>
                <w:lang w:val="pt-BR"/>
              </w:rPr>
            </w:pPr>
            <w:r w:rsidRPr="00806DF4">
              <w:rPr>
                <w:rFonts w:ascii="Times New Roman" w:hAnsi="Times New Roman" w:cs="Times New Roman"/>
                <w:color w:val="000000" w:themeColor="text1"/>
                <w:sz w:val="24"/>
                <w:szCs w:val="24"/>
                <w:lang w:val="pt-BR"/>
              </w:rPr>
              <w:t>Astfel, constatăm că conform datelor din cadastrul bunurilor imobile, bunul imobil cu numărul cadastral 2701205371, amplasat în intravilanul or. Căușeni, nu este înregistrat în registrul bunurilor imobile, și în acest caz, urmează inițial să se efectueze tot complexul de lucrări cadastrale în scopul înregistrării terenului în registrul bunurilor imobile.</w:t>
            </w:r>
          </w:p>
          <w:p w:rsidR="00E05DDF" w:rsidRPr="00CE1485" w:rsidRDefault="00E05DDF" w:rsidP="00861AFD">
            <w:pPr>
              <w:ind w:firstLine="456"/>
              <w:jc w:val="both"/>
              <w:rPr>
                <w:rFonts w:ascii="Times New Roman" w:hAnsi="Times New Roman" w:cs="Times New Roman"/>
                <w:color w:val="000000" w:themeColor="text1"/>
                <w:sz w:val="24"/>
                <w:szCs w:val="24"/>
              </w:rPr>
            </w:pPr>
            <w:r w:rsidRPr="00CE1485">
              <w:rPr>
                <w:rFonts w:ascii="Times New Roman" w:hAnsi="Times New Roman" w:cs="Times New Roman"/>
                <w:color w:val="000000" w:themeColor="text1"/>
                <w:sz w:val="24"/>
                <w:szCs w:val="24"/>
              </w:rPr>
              <w:t>Prin urmare, ținem să menționăm că Codul funciar nr. 22/2024, nu prevede</w:t>
            </w:r>
            <w:r>
              <w:rPr>
                <w:rFonts w:ascii="Times New Roman" w:hAnsi="Times New Roman" w:cs="Times New Roman"/>
                <w:color w:val="000000" w:themeColor="text1"/>
                <w:sz w:val="24"/>
                <w:szCs w:val="24"/>
              </w:rPr>
              <w:t xml:space="preserve"> </w:t>
            </w:r>
            <w:r w:rsidRPr="00CE1485">
              <w:rPr>
                <w:rFonts w:ascii="Times New Roman" w:hAnsi="Times New Roman" w:cs="Times New Roman"/>
                <w:color w:val="000000" w:themeColor="text1"/>
                <w:sz w:val="24"/>
                <w:szCs w:val="24"/>
              </w:rPr>
              <w:t>procedura de schimbare a destinației pentru o porțiune de teren, or, în acest caz,</w:t>
            </w:r>
            <w:r>
              <w:rPr>
                <w:rFonts w:ascii="Times New Roman" w:hAnsi="Times New Roman" w:cs="Times New Roman"/>
                <w:color w:val="000000" w:themeColor="text1"/>
                <w:sz w:val="24"/>
                <w:szCs w:val="24"/>
              </w:rPr>
              <w:t xml:space="preserve"> </w:t>
            </w:r>
            <w:r w:rsidRPr="00CE1485">
              <w:rPr>
                <w:rFonts w:ascii="Times New Roman" w:hAnsi="Times New Roman" w:cs="Times New Roman"/>
                <w:color w:val="000000" w:themeColor="text1"/>
                <w:sz w:val="24"/>
                <w:szCs w:val="24"/>
              </w:rPr>
              <w:t>este necesară formarea terenului menționat, ca obiect de drept independent, în</w:t>
            </w:r>
            <w:r>
              <w:rPr>
                <w:rFonts w:ascii="Times New Roman" w:hAnsi="Times New Roman" w:cs="Times New Roman"/>
                <w:color w:val="000000" w:themeColor="text1"/>
                <w:sz w:val="24"/>
                <w:szCs w:val="24"/>
              </w:rPr>
              <w:t xml:space="preserve"> </w:t>
            </w:r>
            <w:r w:rsidRPr="00CE1485">
              <w:rPr>
                <w:rFonts w:ascii="Times New Roman" w:hAnsi="Times New Roman" w:cs="Times New Roman"/>
                <w:color w:val="000000" w:themeColor="text1"/>
                <w:sz w:val="24"/>
                <w:szCs w:val="24"/>
              </w:rPr>
              <w:t>conformitate cu Legea nr. 354/2004 cu privire la formarea bunurilor imobile.</w:t>
            </w:r>
          </w:p>
          <w:p w:rsidR="00E05DDF" w:rsidRPr="00CE4F5A" w:rsidRDefault="00E05DDF" w:rsidP="00861AFD">
            <w:pPr>
              <w:ind w:firstLine="456"/>
              <w:jc w:val="both"/>
              <w:rPr>
                <w:rFonts w:ascii="Times New Roman" w:hAnsi="Times New Roman" w:cs="Times New Roman"/>
                <w:color w:val="000000" w:themeColor="text1"/>
                <w:sz w:val="24"/>
                <w:szCs w:val="24"/>
              </w:rPr>
            </w:pPr>
            <w:r w:rsidRPr="00CE1485">
              <w:rPr>
                <w:rFonts w:ascii="Times New Roman" w:hAnsi="Times New Roman" w:cs="Times New Roman"/>
                <w:color w:val="000000" w:themeColor="text1"/>
                <w:sz w:val="24"/>
                <w:szCs w:val="24"/>
              </w:rPr>
              <w:t>De asemenea, comunicăm că actul administrativ care aprobă schimbarea</w:t>
            </w:r>
            <w:r>
              <w:rPr>
                <w:rFonts w:ascii="Times New Roman" w:hAnsi="Times New Roman" w:cs="Times New Roman"/>
                <w:color w:val="000000" w:themeColor="text1"/>
                <w:sz w:val="24"/>
                <w:szCs w:val="24"/>
              </w:rPr>
              <w:t xml:space="preserve"> </w:t>
            </w:r>
            <w:r w:rsidRPr="00CE1485">
              <w:rPr>
                <w:rFonts w:ascii="Times New Roman" w:hAnsi="Times New Roman" w:cs="Times New Roman"/>
                <w:color w:val="000000" w:themeColor="text1"/>
                <w:sz w:val="24"/>
                <w:szCs w:val="24"/>
              </w:rPr>
              <w:t>destinației, trebuie obligatoriu să conțină destinația și modul de folosință inițială al</w:t>
            </w:r>
            <w:r>
              <w:rPr>
                <w:rFonts w:ascii="Times New Roman" w:hAnsi="Times New Roman" w:cs="Times New Roman"/>
                <w:color w:val="000000" w:themeColor="text1"/>
                <w:sz w:val="24"/>
                <w:szCs w:val="24"/>
              </w:rPr>
              <w:t xml:space="preserve"> </w:t>
            </w:r>
            <w:r w:rsidRPr="00CE1485">
              <w:rPr>
                <w:rFonts w:ascii="Times New Roman" w:hAnsi="Times New Roman" w:cs="Times New Roman"/>
                <w:color w:val="000000" w:themeColor="text1"/>
                <w:sz w:val="24"/>
                <w:szCs w:val="24"/>
              </w:rPr>
              <w:t>bunului imobil, și totodată să indice expres în ce destinație și mod de folosință se</w:t>
            </w:r>
            <w:r>
              <w:rPr>
                <w:rFonts w:ascii="Times New Roman" w:hAnsi="Times New Roman" w:cs="Times New Roman"/>
                <w:color w:val="000000" w:themeColor="text1"/>
                <w:sz w:val="24"/>
                <w:szCs w:val="24"/>
              </w:rPr>
              <w:t xml:space="preserve"> </w:t>
            </w:r>
            <w:r w:rsidRPr="00CE1485">
              <w:rPr>
                <w:rFonts w:ascii="Times New Roman" w:hAnsi="Times New Roman" w:cs="Times New Roman"/>
                <w:color w:val="000000" w:themeColor="text1"/>
                <w:sz w:val="24"/>
                <w:szCs w:val="24"/>
              </w:rPr>
              <w:t>schimbă acesta.</w:t>
            </w:r>
          </w:p>
        </w:tc>
        <w:tc>
          <w:tcPr>
            <w:tcW w:w="5386" w:type="dxa"/>
          </w:tcPr>
          <w:p w:rsidR="00E05DDF" w:rsidRPr="00450750" w:rsidRDefault="00E05DDF" w:rsidP="00861AFD">
            <w:pPr>
              <w:ind w:firstLine="459"/>
              <w:jc w:val="both"/>
              <w:rPr>
                <w:rFonts w:ascii="Times New Roman" w:hAnsi="Times New Roman" w:cs="Times New Roman"/>
                <w:b/>
                <w:color w:val="000000" w:themeColor="text1"/>
                <w:sz w:val="24"/>
                <w:szCs w:val="24"/>
                <w:lang w:val="ro-MD"/>
              </w:rPr>
            </w:pPr>
            <w:r w:rsidRPr="00450750">
              <w:rPr>
                <w:rFonts w:ascii="Times New Roman" w:hAnsi="Times New Roman" w:cs="Times New Roman"/>
                <w:b/>
                <w:color w:val="000000" w:themeColor="text1"/>
                <w:sz w:val="24"/>
                <w:szCs w:val="24"/>
                <w:lang w:val="ro-MD"/>
              </w:rPr>
              <w:lastRenderedPageBreak/>
              <w:t>Nu se acceptă.</w:t>
            </w:r>
          </w:p>
          <w:p w:rsidR="00E05DDF" w:rsidRPr="00223FCC" w:rsidRDefault="00E05DDF" w:rsidP="00861AFD">
            <w:pPr>
              <w:shd w:val="clear" w:color="auto" w:fill="FFFFFF"/>
              <w:ind w:firstLine="459"/>
              <w:jc w:val="both"/>
              <w:rPr>
                <w:rFonts w:ascii="Times New Roman" w:eastAsia="Times New Roman" w:hAnsi="Times New Roman" w:cs="Times New Roman"/>
                <w:color w:val="000000" w:themeColor="text1"/>
                <w:sz w:val="24"/>
                <w:szCs w:val="24"/>
                <w:lang w:val="ro-MD" w:eastAsia="ru-RU"/>
              </w:rPr>
            </w:pPr>
            <w:r w:rsidRPr="00450750">
              <w:rPr>
                <w:rFonts w:ascii="Times New Roman" w:eastAsia="Times New Roman" w:hAnsi="Times New Roman" w:cs="Times New Roman"/>
                <w:color w:val="000000" w:themeColor="text1"/>
                <w:sz w:val="24"/>
                <w:szCs w:val="24"/>
                <w:lang w:val="ro-MD" w:eastAsia="ru-RU"/>
              </w:rPr>
              <w:t xml:space="preserve">Acordul Guvernului pentru schimbarea destinației educaționale a </w:t>
            </w:r>
            <w:r>
              <w:rPr>
                <w:rFonts w:ascii="Times New Roman" w:eastAsia="Times New Roman" w:hAnsi="Times New Roman" w:cs="Times New Roman"/>
                <w:color w:val="000000" w:themeColor="text1"/>
                <w:sz w:val="24"/>
                <w:szCs w:val="24"/>
                <w:lang w:val="ro-MD" w:eastAsia="ru-RU"/>
              </w:rPr>
              <w:t>unui bun imobil expertizat</w:t>
            </w:r>
            <w:r w:rsidRPr="00450750">
              <w:rPr>
                <w:rFonts w:ascii="Times New Roman" w:eastAsia="Times New Roman" w:hAnsi="Times New Roman" w:cs="Times New Roman"/>
                <w:color w:val="000000" w:themeColor="text1"/>
                <w:sz w:val="24"/>
                <w:szCs w:val="24"/>
                <w:lang w:val="ro-MD" w:eastAsia="ru-RU"/>
              </w:rPr>
              <w:t xml:space="preserve"> nu implică </w:t>
            </w:r>
            <w:r w:rsidRPr="00223FCC">
              <w:rPr>
                <w:rFonts w:ascii="Times New Roman" w:eastAsia="Times New Roman" w:hAnsi="Times New Roman" w:cs="Times New Roman"/>
                <w:color w:val="000000" w:themeColor="text1"/>
                <w:sz w:val="24"/>
                <w:szCs w:val="24"/>
                <w:lang w:val="ro-MD" w:eastAsia="ru-RU"/>
              </w:rPr>
              <w:t>din oficiu și schimbarea categoriei de destinație a acestuia.</w:t>
            </w:r>
          </w:p>
          <w:p w:rsidR="00E05DDF" w:rsidRDefault="00E05DDF" w:rsidP="00861AFD">
            <w:pPr>
              <w:shd w:val="clear" w:color="auto" w:fill="FFFFFF"/>
              <w:ind w:firstLine="459"/>
              <w:jc w:val="both"/>
              <w:rPr>
                <w:rFonts w:ascii="Times New Roman" w:eastAsia="Times New Roman" w:hAnsi="Times New Roman" w:cs="Times New Roman"/>
                <w:color w:val="000000" w:themeColor="text1"/>
                <w:sz w:val="24"/>
                <w:szCs w:val="24"/>
                <w:lang w:val="ro-MD" w:eastAsia="ru-RU"/>
              </w:rPr>
            </w:pPr>
            <w:r w:rsidRPr="00450750">
              <w:rPr>
                <w:rFonts w:ascii="Times New Roman" w:eastAsia="Times New Roman" w:hAnsi="Times New Roman" w:cs="Times New Roman"/>
                <w:color w:val="000000" w:themeColor="text1"/>
                <w:sz w:val="24"/>
                <w:szCs w:val="24"/>
                <w:lang w:val="ro-MD" w:eastAsia="ru-RU"/>
              </w:rPr>
              <w:t xml:space="preserve">Altfel spus, schimbarea destinației educaționale a </w:t>
            </w:r>
            <w:r>
              <w:rPr>
                <w:rFonts w:ascii="Times New Roman" w:eastAsia="Times New Roman" w:hAnsi="Times New Roman" w:cs="Times New Roman"/>
                <w:color w:val="000000" w:themeColor="text1"/>
                <w:sz w:val="24"/>
                <w:szCs w:val="24"/>
                <w:lang w:val="ro-MD" w:eastAsia="ru-RU"/>
              </w:rPr>
              <w:t>unui bun imobil</w:t>
            </w:r>
            <w:r w:rsidRPr="00450750">
              <w:rPr>
                <w:rFonts w:ascii="Times New Roman" w:eastAsia="Times New Roman" w:hAnsi="Times New Roman" w:cs="Times New Roman"/>
                <w:color w:val="000000" w:themeColor="text1"/>
                <w:sz w:val="24"/>
                <w:szCs w:val="24"/>
                <w:lang w:val="ro-MD" w:eastAsia="ru-RU"/>
              </w:rPr>
              <w:t>, în sensul cum prevede art.146 alin.(4) din Codul educației nr.152/2014 și schimbarea categoriei de destinație a</w:t>
            </w:r>
            <w:r>
              <w:rPr>
                <w:rFonts w:ascii="Times New Roman" w:eastAsia="Times New Roman" w:hAnsi="Times New Roman" w:cs="Times New Roman"/>
                <w:color w:val="000000" w:themeColor="text1"/>
                <w:sz w:val="24"/>
                <w:szCs w:val="24"/>
                <w:lang w:val="ro-MD" w:eastAsia="ru-RU"/>
              </w:rPr>
              <w:t xml:space="preserve"> unui bun imobil</w:t>
            </w:r>
            <w:r w:rsidRPr="00450750">
              <w:rPr>
                <w:rFonts w:ascii="Times New Roman" w:eastAsia="Times New Roman" w:hAnsi="Times New Roman" w:cs="Times New Roman"/>
                <w:color w:val="000000" w:themeColor="text1"/>
                <w:sz w:val="24"/>
                <w:szCs w:val="24"/>
                <w:lang w:val="ro-MD" w:eastAsia="ru-RU"/>
              </w:rPr>
              <w:t xml:space="preserve">, în sensul </w:t>
            </w:r>
            <w:r w:rsidRPr="00450750">
              <w:rPr>
                <w:rFonts w:ascii="Times New Roman" w:eastAsia="Times New Roman" w:hAnsi="Times New Roman" w:cs="Times New Roman"/>
                <w:color w:val="000000" w:themeColor="text1"/>
                <w:sz w:val="24"/>
                <w:szCs w:val="24"/>
                <w:lang w:val="ro-MD" w:eastAsia="ru-RU"/>
              </w:rPr>
              <w:lastRenderedPageBreak/>
              <w:t>Hotărârii Guvernului nr.354/2016, sunt 2 proceduri juridice diferite.</w:t>
            </w:r>
          </w:p>
          <w:p w:rsidR="00E05DDF" w:rsidRPr="00450750" w:rsidRDefault="00E05DDF" w:rsidP="00861AFD">
            <w:pPr>
              <w:shd w:val="clear" w:color="auto" w:fill="FFFFFF"/>
              <w:ind w:firstLine="459"/>
              <w:jc w:val="both"/>
              <w:rPr>
                <w:rFonts w:ascii="Times New Roman" w:eastAsia="Times New Roman" w:hAnsi="Times New Roman" w:cs="Times New Roman"/>
                <w:color w:val="000000" w:themeColor="text1"/>
                <w:sz w:val="24"/>
                <w:szCs w:val="24"/>
                <w:lang w:val="ro-MD" w:eastAsia="ru-RU"/>
              </w:rPr>
            </w:pPr>
            <w:r w:rsidRPr="00450750">
              <w:rPr>
                <w:rFonts w:ascii="Times New Roman" w:eastAsia="Times New Roman" w:hAnsi="Times New Roman" w:cs="Times New Roman"/>
                <w:color w:val="000000" w:themeColor="text1"/>
                <w:sz w:val="24"/>
                <w:szCs w:val="24"/>
                <w:lang w:val="ro-MD" w:eastAsia="ru-RU"/>
              </w:rPr>
              <w:t>Prin actualul proiect de Hotărâre de Guvern nu se modifică „catego</w:t>
            </w:r>
            <w:r>
              <w:rPr>
                <w:rFonts w:ascii="Times New Roman" w:eastAsia="Times New Roman" w:hAnsi="Times New Roman" w:cs="Times New Roman"/>
                <w:color w:val="000000" w:themeColor="text1"/>
                <w:sz w:val="24"/>
                <w:szCs w:val="24"/>
                <w:lang w:val="ro-MD" w:eastAsia="ru-RU"/>
              </w:rPr>
              <w:t>ria de destinație„ a porțiunii de teren expertizate</w:t>
            </w:r>
            <w:r w:rsidRPr="00450750">
              <w:rPr>
                <w:rFonts w:ascii="Times New Roman" w:eastAsia="Times New Roman" w:hAnsi="Times New Roman" w:cs="Times New Roman"/>
                <w:color w:val="000000" w:themeColor="text1"/>
                <w:sz w:val="24"/>
                <w:szCs w:val="24"/>
                <w:lang w:val="ro-MD" w:eastAsia="ru-RU"/>
              </w:rPr>
              <w:t xml:space="preserve"> și nici „modul de folosință”.</w:t>
            </w:r>
          </w:p>
          <w:p w:rsidR="00E05DDF" w:rsidRPr="00450750" w:rsidRDefault="00E05DDF" w:rsidP="00861AFD">
            <w:pPr>
              <w:shd w:val="clear" w:color="auto" w:fill="FFFFFF"/>
              <w:ind w:left="34" w:firstLine="459"/>
              <w:jc w:val="both"/>
              <w:rPr>
                <w:rFonts w:ascii="Times New Roman" w:eastAsia="Times New Roman" w:hAnsi="Times New Roman" w:cs="Times New Roman"/>
                <w:color w:val="000000" w:themeColor="text1"/>
                <w:sz w:val="24"/>
                <w:szCs w:val="24"/>
                <w:lang w:val="ro-MD" w:eastAsia="ru-RU"/>
              </w:rPr>
            </w:pPr>
            <w:r w:rsidRPr="00450750">
              <w:rPr>
                <w:rFonts w:ascii="Times New Roman" w:eastAsia="Times New Roman" w:hAnsi="Times New Roman" w:cs="Times New Roman"/>
                <w:color w:val="000000" w:themeColor="text1"/>
                <w:sz w:val="24"/>
                <w:szCs w:val="24"/>
                <w:lang w:val="ro-MD" w:eastAsia="ru-RU"/>
              </w:rPr>
              <w:t xml:space="preserve">Respectiv </w:t>
            </w:r>
            <w:r>
              <w:rPr>
                <w:rFonts w:ascii="Times New Roman" w:eastAsia="Times New Roman" w:hAnsi="Times New Roman" w:cs="Times New Roman"/>
                <w:color w:val="000000" w:themeColor="text1"/>
                <w:sz w:val="24"/>
                <w:szCs w:val="24"/>
                <w:lang w:val="ro-MD" w:eastAsia="ru-RU"/>
              </w:rPr>
              <w:t>porțiunea de teren expertizată (și în privința căreia Guvernul își exprimă acordul de a-i fi schimbată destinația) va</w:t>
            </w:r>
            <w:r w:rsidRPr="00450750">
              <w:rPr>
                <w:rFonts w:ascii="Times New Roman" w:eastAsia="Times New Roman" w:hAnsi="Times New Roman" w:cs="Times New Roman"/>
                <w:color w:val="000000" w:themeColor="text1"/>
                <w:sz w:val="24"/>
                <w:szCs w:val="24"/>
                <w:lang w:val="ro-MD" w:eastAsia="ru-RU"/>
              </w:rPr>
              <w:t xml:space="preserve"> păstra în continuare categoria de destinație „</w:t>
            </w:r>
            <w:r>
              <w:rPr>
                <w:rFonts w:ascii="Times New Roman" w:eastAsia="Times New Roman" w:hAnsi="Times New Roman" w:cs="Times New Roman"/>
                <w:color w:val="000000" w:themeColor="text1"/>
                <w:sz w:val="24"/>
                <w:szCs w:val="24"/>
                <w:lang w:val="ro-MD" w:eastAsia="ru-RU"/>
              </w:rPr>
              <w:t>teren destinat construcțiilor și amenajărilor</w:t>
            </w:r>
            <w:r w:rsidRPr="00450750">
              <w:rPr>
                <w:rFonts w:ascii="Times New Roman" w:eastAsia="Times New Roman" w:hAnsi="Times New Roman" w:cs="Times New Roman"/>
                <w:color w:val="000000" w:themeColor="text1"/>
                <w:sz w:val="24"/>
                <w:szCs w:val="24"/>
                <w:lang w:val="ro-MD" w:eastAsia="ru-RU"/>
              </w:rPr>
              <w:t>” și respectiv modul de folosință „</w:t>
            </w:r>
            <w:r>
              <w:rPr>
                <w:rFonts w:ascii="Times New Roman" w:eastAsia="Times New Roman" w:hAnsi="Times New Roman" w:cs="Times New Roman"/>
                <w:color w:val="000000" w:themeColor="text1"/>
                <w:sz w:val="24"/>
                <w:szCs w:val="24"/>
                <w:lang w:val="ro-MD" w:eastAsia="ru-RU"/>
              </w:rPr>
              <w:t>terenuri pentru amplasarea construcțiilor publice</w:t>
            </w:r>
            <w:r w:rsidRPr="00450750">
              <w:rPr>
                <w:rFonts w:ascii="Times New Roman" w:eastAsia="Times New Roman" w:hAnsi="Times New Roman" w:cs="Times New Roman"/>
                <w:color w:val="000000" w:themeColor="text1"/>
                <w:sz w:val="24"/>
                <w:szCs w:val="24"/>
                <w:lang w:val="ro-MD" w:eastAsia="ru-RU"/>
              </w:rPr>
              <w:t>”.</w:t>
            </w:r>
          </w:p>
        </w:tc>
      </w:tr>
      <w:tr w:rsidR="00E05DDF" w:rsidRPr="00F06075" w:rsidTr="00861AFD">
        <w:trPr>
          <w:trHeight w:val="636"/>
        </w:trPr>
        <w:tc>
          <w:tcPr>
            <w:tcW w:w="15311" w:type="dxa"/>
            <w:gridSpan w:val="4"/>
            <w:vAlign w:val="center"/>
          </w:tcPr>
          <w:p w:rsidR="00E05DDF" w:rsidRPr="0081710E" w:rsidRDefault="00E05DDF" w:rsidP="00861AFD">
            <w:pPr>
              <w:shd w:val="clear" w:color="auto" w:fill="FFFFFF"/>
              <w:ind w:firstLine="459"/>
              <w:jc w:val="center"/>
              <w:rPr>
                <w:rFonts w:ascii="Times New Roman" w:hAnsi="Times New Roman" w:cs="Times New Roman"/>
                <w:b/>
                <w:color w:val="000000" w:themeColor="text1"/>
                <w:sz w:val="24"/>
                <w:szCs w:val="24"/>
              </w:rPr>
            </w:pPr>
            <w:r w:rsidRPr="00F06075">
              <w:rPr>
                <w:rFonts w:ascii="Times New Roman" w:hAnsi="Times New Roman" w:cs="Times New Roman"/>
                <w:b/>
                <w:color w:val="000000" w:themeColor="text1"/>
                <w:sz w:val="24"/>
                <w:szCs w:val="24"/>
              </w:rPr>
              <w:lastRenderedPageBreak/>
              <w:t>EXPERTIZARE</w:t>
            </w:r>
          </w:p>
        </w:tc>
      </w:tr>
      <w:tr w:rsidR="00E05DDF" w:rsidRPr="00EE1EB3" w:rsidTr="00861AFD">
        <w:tc>
          <w:tcPr>
            <w:tcW w:w="2836" w:type="dxa"/>
          </w:tcPr>
          <w:p w:rsidR="00E05DDF" w:rsidRDefault="00E05DDF" w:rsidP="00861AFD">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Centrul Național Anticorupție </w:t>
            </w:r>
          </w:p>
          <w:p w:rsidR="00E05DDF" w:rsidRDefault="00E05DDF" w:rsidP="00861AFD">
            <w:pPr>
              <w:jc w:val="both"/>
              <w:rPr>
                <w:rFonts w:ascii="Times New Roman" w:hAnsi="Times New Roman" w:cs="Times New Roman"/>
                <w:b/>
                <w:color w:val="000000" w:themeColor="text1"/>
                <w:sz w:val="24"/>
                <w:szCs w:val="24"/>
              </w:rPr>
            </w:pPr>
            <w:r w:rsidRPr="00D77CB6">
              <w:rPr>
                <w:rFonts w:ascii="Times New Roman" w:hAnsi="Times New Roman" w:cs="Times New Roman"/>
                <w:bCs/>
                <w:color w:val="000000" w:themeColor="text1"/>
                <w:sz w:val="20"/>
                <w:szCs w:val="20"/>
              </w:rPr>
              <w:t>(</w:t>
            </w:r>
            <w:r>
              <w:rPr>
                <w:rFonts w:ascii="Times New Roman" w:hAnsi="Times New Roman" w:cs="Times New Roman"/>
                <w:bCs/>
                <w:color w:val="000000" w:themeColor="text1"/>
                <w:sz w:val="20"/>
                <w:szCs w:val="20"/>
              </w:rPr>
              <w:t>nr. 06/2/3388 din 25.02.2026</w:t>
            </w:r>
            <w:r w:rsidRPr="00D77CB6">
              <w:rPr>
                <w:rFonts w:ascii="Times New Roman" w:hAnsi="Times New Roman" w:cs="Times New Roman"/>
                <w:bCs/>
                <w:color w:val="000000" w:themeColor="text1"/>
                <w:sz w:val="20"/>
                <w:szCs w:val="20"/>
              </w:rPr>
              <w:t>)</w:t>
            </w:r>
          </w:p>
        </w:tc>
        <w:tc>
          <w:tcPr>
            <w:tcW w:w="709" w:type="dxa"/>
          </w:tcPr>
          <w:p w:rsidR="00E05DDF" w:rsidRDefault="00E05DDF" w:rsidP="00861AFD">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w:t>
            </w:r>
          </w:p>
        </w:tc>
        <w:tc>
          <w:tcPr>
            <w:tcW w:w="6378" w:type="dxa"/>
          </w:tcPr>
          <w:p w:rsidR="00E05DDF" w:rsidRPr="00806DF4" w:rsidRDefault="00E05DDF" w:rsidP="00861AFD">
            <w:pPr>
              <w:ind w:firstLine="456"/>
              <w:jc w:val="both"/>
              <w:rPr>
                <w:rFonts w:ascii="Times New Roman" w:hAnsi="Times New Roman" w:cs="Times New Roman"/>
                <w:color w:val="000000" w:themeColor="text1"/>
                <w:sz w:val="24"/>
                <w:szCs w:val="24"/>
                <w:lang w:val="ro-MD"/>
              </w:rPr>
            </w:pPr>
            <w:r w:rsidRPr="00806DF4">
              <w:rPr>
                <w:rFonts w:ascii="Times New Roman" w:hAnsi="Times New Roman" w:cs="Times New Roman"/>
                <w:color w:val="000000" w:themeColor="text1"/>
                <w:sz w:val="24"/>
                <w:szCs w:val="24"/>
                <w:lang w:val="ro-MD"/>
              </w:rPr>
              <w:t>În nota de fundamentare se menționează că: „Potrivit proiectului, se exprimă acordul Guvernului de a</w:t>
            </w:r>
            <w:r>
              <w:rPr>
                <w:rFonts w:ascii="Times New Roman" w:hAnsi="Times New Roman" w:cs="Times New Roman"/>
                <w:color w:val="000000" w:themeColor="text1"/>
                <w:sz w:val="24"/>
                <w:szCs w:val="24"/>
                <w:lang w:val="ro-MD"/>
              </w:rPr>
              <w:t xml:space="preserve"> </w:t>
            </w:r>
            <w:r w:rsidRPr="00806DF4">
              <w:rPr>
                <w:rFonts w:ascii="Times New Roman" w:hAnsi="Times New Roman" w:cs="Times New Roman"/>
                <w:color w:val="000000" w:themeColor="text1"/>
                <w:sz w:val="24"/>
                <w:szCs w:val="24"/>
                <w:lang w:val="ro-MD"/>
              </w:rPr>
              <w:t>fi schimbată destinația unei porțiuni de teren cu suprafața de 0,4429 ha din terenul cu numărul</w:t>
            </w:r>
            <w:r>
              <w:rPr>
                <w:rFonts w:ascii="Times New Roman" w:hAnsi="Times New Roman" w:cs="Times New Roman"/>
                <w:color w:val="000000" w:themeColor="text1"/>
                <w:sz w:val="24"/>
                <w:szCs w:val="24"/>
                <w:lang w:val="ro-MD"/>
              </w:rPr>
              <w:t xml:space="preserve"> </w:t>
            </w:r>
            <w:r w:rsidRPr="00806DF4">
              <w:rPr>
                <w:rFonts w:ascii="Times New Roman" w:hAnsi="Times New Roman" w:cs="Times New Roman"/>
                <w:color w:val="000000" w:themeColor="text1"/>
                <w:sz w:val="24"/>
                <w:szCs w:val="24"/>
                <w:lang w:val="ro-MD"/>
              </w:rPr>
              <w:t>cadastral 2701205.054 (aferent Liceului Teoretic „Ion Creangă” din or. Căușeni, str. Unirii, 17) ca</w:t>
            </w:r>
            <w:r>
              <w:rPr>
                <w:rFonts w:ascii="Times New Roman" w:hAnsi="Times New Roman" w:cs="Times New Roman"/>
                <w:color w:val="000000" w:themeColor="text1"/>
                <w:sz w:val="24"/>
                <w:szCs w:val="24"/>
                <w:lang w:val="ro-MD"/>
              </w:rPr>
              <w:t xml:space="preserve"> </w:t>
            </w:r>
            <w:r w:rsidRPr="00806DF4">
              <w:rPr>
                <w:rFonts w:ascii="Times New Roman" w:hAnsi="Times New Roman" w:cs="Times New Roman"/>
                <w:color w:val="000000" w:themeColor="text1"/>
                <w:sz w:val="24"/>
                <w:szCs w:val="24"/>
                <w:lang w:val="ro-MD"/>
              </w:rPr>
              <w:t>urmare a constatării lipsei necesității de utilizare a acestuia în domeniul educației”. Totodată, în notă</w:t>
            </w:r>
            <w:r>
              <w:rPr>
                <w:rFonts w:ascii="Times New Roman" w:hAnsi="Times New Roman" w:cs="Times New Roman"/>
                <w:color w:val="000000" w:themeColor="text1"/>
                <w:sz w:val="24"/>
                <w:szCs w:val="24"/>
                <w:lang w:val="ro-MD"/>
              </w:rPr>
              <w:t xml:space="preserve"> </w:t>
            </w:r>
            <w:r w:rsidRPr="00806DF4">
              <w:rPr>
                <w:rFonts w:ascii="Times New Roman" w:hAnsi="Times New Roman" w:cs="Times New Roman"/>
                <w:color w:val="000000" w:themeColor="text1"/>
                <w:sz w:val="24"/>
                <w:szCs w:val="24"/>
                <w:lang w:val="ro-MD"/>
              </w:rPr>
              <w:t>se menționează „Conform informațiilor din Raportul de expertiză, Consiliul raional Căușeni planifică</w:t>
            </w:r>
            <w:r>
              <w:rPr>
                <w:rFonts w:ascii="Times New Roman" w:hAnsi="Times New Roman" w:cs="Times New Roman"/>
                <w:color w:val="000000" w:themeColor="text1"/>
                <w:sz w:val="24"/>
                <w:szCs w:val="24"/>
                <w:lang w:val="ro-MD"/>
              </w:rPr>
              <w:t xml:space="preserve"> </w:t>
            </w:r>
            <w:r w:rsidRPr="00806DF4">
              <w:rPr>
                <w:rFonts w:ascii="Times New Roman" w:hAnsi="Times New Roman" w:cs="Times New Roman"/>
                <w:color w:val="000000" w:themeColor="text1"/>
                <w:sz w:val="24"/>
                <w:szCs w:val="24"/>
                <w:lang w:val="ro-MD"/>
              </w:rPr>
              <w:t>inițierea procedurilor de construcție a unui nou Centru al Medicilor de Familie, cu 5 nivele, care va</w:t>
            </w:r>
            <w:r>
              <w:rPr>
                <w:rFonts w:ascii="Times New Roman" w:hAnsi="Times New Roman" w:cs="Times New Roman"/>
                <w:color w:val="000000" w:themeColor="text1"/>
                <w:sz w:val="24"/>
                <w:szCs w:val="24"/>
                <w:lang w:val="ro-MD"/>
              </w:rPr>
              <w:t xml:space="preserve"> </w:t>
            </w:r>
            <w:r w:rsidRPr="00806DF4">
              <w:rPr>
                <w:rFonts w:ascii="Times New Roman" w:hAnsi="Times New Roman" w:cs="Times New Roman"/>
                <w:color w:val="000000" w:themeColor="text1"/>
                <w:sz w:val="24"/>
                <w:szCs w:val="24"/>
                <w:lang w:val="ro-MD"/>
              </w:rPr>
              <w:t>întruni toate condițiile și cerințele europene și va oferi confort, siguranță și servicii de înaltă calitate</w:t>
            </w:r>
            <w:r>
              <w:rPr>
                <w:rFonts w:ascii="Times New Roman" w:hAnsi="Times New Roman" w:cs="Times New Roman"/>
                <w:color w:val="000000" w:themeColor="text1"/>
                <w:sz w:val="24"/>
                <w:szCs w:val="24"/>
                <w:lang w:val="ro-MD"/>
              </w:rPr>
              <w:t xml:space="preserve"> </w:t>
            </w:r>
            <w:r w:rsidRPr="00806DF4">
              <w:rPr>
                <w:rFonts w:ascii="Times New Roman" w:hAnsi="Times New Roman" w:cs="Times New Roman"/>
                <w:color w:val="000000" w:themeColor="text1"/>
                <w:sz w:val="24"/>
                <w:szCs w:val="24"/>
                <w:lang w:val="ro-MD"/>
              </w:rPr>
              <w:t>pentru populația raionului Căușeni, contribuind astfel la dezvoltarea infrastructurii urbane a</w:t>
            </w:r>
            <w:r>
              <w:rPr>
                <w:rFonts w:ascii="Times New Roman" w:hAnsi="Times New Roman" w:cs="Times New Roman"/>
                <w:color w:val="000000" w:themeColor="text1"/>
                <w:sz w:val="24"/>
                <w:szCs w:val="24"/>
                <w:lang w:val="ro-MD"/>
              </w:rPr>
              <w:t xml:space="preserve"> </w:t>
            </w:r>
            <w:r w:rsidRPr="00806DF4">
              <w:rPr>
                <w:rFonts w:ascii="Times New Roman" w:hAnsi="Times New Roman" w:cs="Times New Roman"/>
                <w:color w:val="000000" w:themeColor="text1"/>
                <w:sz w:val="24"/>
                <w:szCs w:val="24"/>
                <w:lang w:val="ro-MD"/>
              </w:rPr>
              <w:t>orașului”.</w:t>
            </w:r>
          </w:p>
          <w:p w:rsidR="00E05DDF" w:rsidRPr="00806DF4" w:rsidRDefault="00E05DDF" w:rsidP="00861AFD">
            <w:pPr>
              <w:ind w:firstLine="456"/>
              <w:jc w:val="both"/>
              <w:rPr>
                <w:rFonts w:ascii="Times New Roman" w:hAnsi="Times New Roman" w:cs="Times New Roman"/>
                <w:color w:val="000000" w:themeColor="text1"/>
                <w:sz w:val="24"/>
                <w:szCs w:val="24"/>
                <w:lang w:val="ro-MD"/>
              </w:rPr>
            </w:pPr>
            <w:r w:rsidRPr="00806DF4">
              <w:rPr>
                <w:rFonts w:ascii="Times New Roman" w:hAnsi="Times New Roman" w:cs="Times New Roman"/>
                <w:color w:val="000000" w:themeColor="text1"/>
                <w:sz w:val="24"/>
                <w:szCs w:val="24"/>
                <w:lang w:val="ro-MD"/>
              </w:rPr>
              <w:t>Deși proiectul nu conține factori și riscuri de corupție, aplicarea în practică a condiționalității</w:t>
            </w:r>
            <w:r>
              <w:rPr>
                <w:rFonts w:ascii="Times New Roman" w:hAnsi="Times New Roman" w:cs="Times New Roman"/>
                <w:color w:val="000000" w:themeColor="text1"/>
                <w:sz w:val="24"/>
                <w:szCs w:val="24"/>
                <w:lang w:val="ro-MD"/>
              </w:rPr>
              <w:t xml:space="preserve"> </w:t>
            </w:r>
            <w:r w:rsidRPr="00806DF4">
              <w:rPr>
                <w:rFonts w:ascii="Times New Roman" w:hAnsi="Times New Roman" w:cs="Times New Roman"/>
                <w:color w:val="000000" w:themeColor="text1"/>
                <w:sz w:val="24"/>
                <w:szCs w:val="24"/>
                <w:lang w:val="ro-MD"/>
              </w:rPr>
              <w:t xml:space="preserve">menționate în nota de </w:t>
            </w:r>
            <w:r w:rsidRPr="00806DF4">
              <w:rPr>
                <w:rFonts w:ascii="Times New Roman" w:hAnsi="Times New Roman" w:cs="Times New Roman"/>
                <w:color w:val="000000" w:themeColor="text1"/>
                <w:sz w:val="24"/>
                <w:szCs w:val="24"/>
                <w:lang w:val="ro-MD"/>
              </w:rPr>
              <w:lastRenderedPageBreak/>
              <w:t>fundamentare privind respectarea condiției de proiectare și construcție a</w:t>
            </w:r>
            <w:r>
              <w:rPr>
                <w:rFonts w:ascii="Times New Roman" w:hAnsi="Times New Roman" w:cs="Times New Roman"/>
                <w:color w:val="000000" w:themeColor="text1"/>
                <w:sz w:val="24"/>
                <w:szCs w:val="24"/>
                <w:lang w:val="ro-MD"/>
              </w:rPr>
              <w:t xml:space="preserve"> </w:t>
            </w:r>
            <w:r w:rsidRPr="00806DF4">
              <w:rPr>
                <w:rFonts w:ascii="Times New Roman" w:hAnsi="Times New Roman" w:cs="Times New Roman"/>
                <w:color w:val="000000" w:themeColor="text1"/>
                <w:sz w:val="24"/>
                <w:szCs w:val="24"/>
                <w:lang w:val="ro-MD"/>
              </w:rPr>
              <w:t>Centrului Medicilor de Familie este supusă riscului de implementare. Or, cele menționate mai sus în</w:t>
            </w:r>
            <w:r>
              <w:rPr>
                <w:rFonts w:ascii="Times New Roman" w:hAnsi="Times New Roman" w:cs="Times New Roman"/>
                <w:color w:val="000000" w:themeColor="text1"/>
                <w:sz w:val="24"/>
                <w:szCs w:val="24"/>
                <w:lang w:val="ro-MD"/>
              </w:rPr>
              <w:t xml:space="preserve"> </w:t>
            </w:r>
            <w:r w:rsidRPr="00806DF4">
              <w:rPr>
                <w:rFonts w:ascii="Times New Roman" w:hAnsi="Times New Roman" w:cs="Times New Roman"/>
                <w:color w:val="000000" w:themeColor="text1"/>
                <w:sz w:val="24"/>
                <w:szCs w:val="24"/>
                <w:lang w:val="ro-MD"/>
              </w:rPr>
              <w:t>nota de fundamentare, pe de o parte, stabilesc careva condiționalități la utilizarea bunului imobil de</w:t>
            </w:r>
            <w:r>
              <w:rPr>
                <w:rFonts w:ascii="Times New Roman" w:hAnsi="Times New Roman" w:cs="Times New Roman"/>
                <w:color w:val="000000" w:themeColor="text1"/>
                <w:sz w:val="24"/>
                <w:szCs w:val="24"/>
                <w:lang w:val="ro-MD"/>
              </w:rPr>
              <w:t xml:space="preserve"> </w:t>
            </w:r>
            <w:r w:rsidRPr="00806DF4">
              <w:rPr>
                <w:rFonts w:ascii="Times New Roman" w:hAnsi="Times New Roman" w:cs="Times New Roman"/>
                <w:color w:val="000000" w:themeColor="text1"/>
                <w:sz w:val="24"/>
                <w:szCs w:val="24"/>
                <w:lang w:val="ro-MD"/>
              </w:rPr>
              <w:t>către autoritatea publică locală, iar pe de altă parte, nu este clar cum va avea loc verificarea realizării</w:t>
            </w:r>
            <w:r>
              <w:rPr>
                <w:rFonts w:ascii="Times New Roman" w:hAnsi="Times New Roman" w:cs="Times New Roman"/>
                <w:color w:val="000000" w:themeColor="text1"/>
                <w:sz w:val="24"/>
                <w:szCs w:val="24"/>
                <w:lang w:val="ro-MD"/>
              </w:rPr>
              <w:t xml:space="preserve"> </w:t>
            </w:r>
            <w:r w:rsidRPr="00806DF4">
              <w:rPr>
                <w:rFonts w:ascii="Times New Roman" w:hAnsi="Times New Roman" w:cs="Times New Roman"/>
                <w:color w:val="000000" w:themeColor="text1"/>
                <w:sz w:val="24"/>
                <w:szCs w:val="24"/>
                <w:lang w:val="ro-MD"/>
              </w:rPr>
              <w:t>acestor condiționalități stabilite expres în nota de fundamentare. Totodată, nu este clar stabilit în</w:t>
            </w:r>
            <w:r>
              <w:rPr>
                <w:rFonts w:ascii="Times New Roman" w:hAnsi="Times New Roman" w:cs="Times New Roman"/>
                <w:color w:val="000000" w:themeColor="text1"/>
                <w:sz w:val="24"/>
                <w:szCs w:val="24"/>
                <w:lang w:val="ro-MD"/>
              </w:rPr>
              <w:t xml:space="preserve"> </w:t>
            </w:r>
            <w:r w:rsidRPr="00806DF4">
              <w:rPr>
                <w:rFonts w:ascii="Times New Roman" w:hAnsi="Times New Roman" w:cs="Times New Roman"/>
                <w:color w:val="000000" w:themeColor="text1"/>
                <w:sz w:val="24"/>
                <w:szCs w:val="24"/>
                <w:lang w:val="ro-MD"/>
              </w:rPr>
              <w:t>nota de fundamentare natura forței juridice a acestor condiționalități menționate într-o notă de</w:t>
            </w:r>
            <w:r>
              <w:rPr>
                <w:rFonts w:ascii="Times New Roman" w:hAnsi="Times New Roman" w:cs="Times New Roman"/>
                <w:color w:val="000000" w:themeColor="text1"/>
                <w:sz w:val="24"/>
                <w:szCs w:val="24"/>
                <w:lang w:val="ro-MD"/>
              </w:rPr>
              <w:t xml:space="preserve"> </w:t>
            </w:r>
            <w:r w:rsidRPr="00806DF4">
              <w:rPr>
                <w:rFonts w:ascii="Times New Roman" w:hAnsi="Times New Roman" w:cs="Times New Roman"/>
                <w:color w:val="000000" w:themeColor="text1"/>
                <w:sz w:val="24"/>
                <w:szCs w:val="24"/>
                <w:lang w:val="ro-MD"/>
              </w:rPr>
              <w:t>fundamentare la un proiect de act normativ al Guvernului în raport cu atribuțiile funcționale și</w:t>
            </w:r>
            <w:r>
              <w:rPr>
                <w:rFonts w:ascii="Times New Roman" w:hAnsi="Times New Roman" w:cs="Times New Roman"/>
                <w:color w:val="000000" w:themeColor="text1"/>
                <w:sz w:val="24"/>
                <w:szCs w:val="24"/>
                <w:lang w:val="ro-MD"/>
              </w:rPr>
              <w:t xml:space="preserve"> </w:t>
            </w:r>
            <w:r w:rsidRPr="00806DF4">
              <w:rPr>
                <w:rFonts w:ascii="Times New Roman" w:hAnsi="Times New Roman" w:cs="Times New Roman"/>
                <w:color w:val="000000" w:themeColor="text1"/>
                <w:sz w:val="24"/>
                <w:szCs w:val="24"/>
                <w:lang w:val="ro-MD"/>
              </w:rPr>
              <w:t>principiile care guvernează administrația publică locală.</w:t>
            </w:r>
          </w:p>
          <w:p w:rsidR="00E05DDF" w:rsidRPr="00806DF4" w:rsidRDefault="00E05DDF" w:rsidP="00861AFD">
            <w:pPr>
              <w:ind w:firstLine="456"/>
              <w:jc w:val="both"/>
              <w:rPr>
                <w:rFonts w:ascii="Times New Roman" w:hAnsi="Times New Roman" w:cs="Times New Roman"/>
                <w:color w:val="000000" w:themeColor="text1"/>
                <w:sz w:val="24"/>
                <w:szCs w:val="24"/>
                <w:lang w:val="ro-MD"/>
              </w:rPr>
            </w:pPr>
            <w:r w:rsidRPr="00806DF4">
              <w:rPr>
                <w:rFonts w:ascii="Times New Roman" w:hAnsi="Times New Roman" w:cs="Times New Roman"/>
                <w:color w:val="000000" w:themeColor="text1"/>
                <w:sz w:val="24"/>
                <w:szCs w:val="24"/>
                <w:lang w:val="ro-MD"/>
              </w:rPr>
              <w:t>În altă ordine de idei, atragem atenția la faptul că, deși, conform notei de fundamentare, Consiliul</w:t>
            </w:r>
            <w:r>
              <w:rPr>
                <w:rFonts w:ascii="Times New Roman" w:hAnsi="Times New Roman" w:cs="Times New Roman"/>
                <w:color w:val="000000" w:themeColor="text1"/>
                <w:sz w:val="24"/>
                <w:szCs w:val="24"/>
                <w:lang w:val="ro-MD"/>
              </w:rPr>
              <w:t xml:space="preserve"> </w:t>
            </w:r>
            <w:r w:rsidRPr="00806DF4">
              <w:rPr>
                <w:rFonts w:ascii="Times New Roman" w:hAnsi="Times New Roman" w:cs="Times New Roman"/>
                <w:color w:val="000000" w:themeColor="text1"/>
                <w:sz w:val="24"/>
                <w:szCs w:val="24"/>
                <w:lang w:val="ro-MD"/>
              </w:rPr>
              <w:t>raional Căușeni intenționează construcția unui nou centru al medicilor de familie, din informațiile</w:t>
            </w:r>
            <w:r>
              <w:rPr>
                <w:rFonts w:ascii="Times New Roman" w:hAnsi="Times New Roman" w:cs="Times New Roman"/>
                <w:color w:val="000000" w:themeColor="text1"/>
                <w:sz w:val="24"/>
                <w:szCs w:val="24"/>
                <w:lang w:val="ro-MD"/>
              </w:rPr>
              <w:t xml:space="preserve"> </w:t>
            </w:r>
            <w:r w:rsidRPr="00806DF4">
              <w:rPr>
                <w:rFonts w:ascii="Times New Roman" w:hAnsi="Times New Roman" w:cs="Times New Roman"/>
                <w:color w:val="000000" w:themeColor="text1"/>
                <w:sz w:val="24"/>
                <w:szCs w:val="24"/>
                <w:lang w:val="ro-MD"/>
              </w:rPr>
              <w:t>disponibile în surse publice, în proximitatea terenului respectiv sunt amplasate mai multe terenuri și</w:t>
            </w:r>
            <w:r>
              <w:rPr>
                <w:rFonts w:ascii="Times New Roman" w:hAnsi="Times New Roman" w:cs="Times New Roman"/>
                <w:color w:val="000000" w:themeColor="text1"/>
                <w:sz w:val="24"/>
                <w:szCs w:val="24"/>
                <w:lang w:val="ro-MD"/>
              </w:rPr>
              <w:t xml:space="preserve"> </w:t>
            </w:r>
            <w:r w:rsidRPr="00806DF4">
              <w:rPr>
                <w:rFonts w:ascii="Times New Roman" w:hAnsi="Times New Roman" w:cs="Times New Roman"/>
                <w:color w:val="000000" w:themeColor="text1"/>
                <w:sz w:val="24"/>
                <w:szCs w:val="24"/>
                <w:lang w:val="ro-MD"/>
              </w:rPr>
              <w:t>construcții aflate în gestiunea unor instituții medicale, precum IMSP Centrul de Sănătate Căușeni, IP</w:t>
            </w:r>
            <w:r>
              <w:rPr>
                <w:rFonts w:ascii="Times New Roman" w:hAnsi="Times New Roman" w:cs="Times New Roman"/>
                <w:color w:val="000000" w:themeColor="text1"/>
                <w:sz w:val="24"/>
                <w:szCs w:val="24"/>
                <w:lang w:val="ro-MD"/>
              </w:rPr>
              <w:t xml:space="preserve"> </w:t>
            </w:r>
            <w:r w:rsidRPr="00806DF4">
              <w:rPr>
                <w:rFonts w:ascii="Times New Roman" w:hAnsi="Times New Roman" w:cs="Times New Roman"/>
                <w:color w:val="000000" w:themeColor="text1"/>
                <w:sz w:val="24"/>
                <w:szCs w:val="24"/>
                <w:lang w:val="ro-MD"/>
              </w:rPr>
              <w:t>Centrul Maternal PRO Familia din Căușeni, IMSP Spitalul Raional Căușeni. În aceste circumstanțe, se</w:t>
            </w:r>
            <w:r>
              <w:rPr>
                <w:rFonts w:ascii="Times New Roman" w:hAnsi="Times New Roman" w:cs="Times New Roman"/>
                <w:color w:val="000000" w:themeColor="text1"/>
                <w:sz w:val="24"/>
                <w:szCs w:val="24"/>
                <w:lang w:val="ro-MD"/>
              </w:rPr>
              <w:t xml:space="preserve"> </w:t>
            </w:r>
            <w:r w:rsidRPr="00806DF4">
              <w:rPr>
                <w:rFonts w:ascii="Times New Roman" w:hAnsi="Times New Roman" w:cs="Times New Roman"/>
                <w:color w:val="000000" w:themeColor="text1"/>
                <w:sz w:val="24"/>
                <w:szCs w:val="24"/>
                <w:lang w:val="ro-MD"/>
              </w:rPr>
              <w:t>apreciază drept oportună și necesară efectuarea unui studiu de fezabilitate privind utilizarea eficientă</w:t>
            </w:r>
            <w:r>
              <w:rPr>
                <w:rFonts w:ascii="Times New Roman" w:hAnsi="Times New Roman" w:cs="Times New Roman"/>
                <w:color w:val="000000" w:themeColor="text1"/>
                <w:sz w:val="24"/>
                <w:szCs w:val="24"/>
                <w:lang w:val="ro-MD"/>
              </w:rPr>
              <w:t xml:space="preserve"> </w:t>
            </w:r>
            <w:r w:rsidRPr="00806DF4">
              <w:rPr>
                <w:rFonts w:ascii="Times New Roman" w:hAnsi="Times New Roman" w:cs="Times New Roman"/>
                <w:color w:val="000000" w:themeColor="text1"/>
                <w:sz w:val="24"/>
                <w:szCs w:val="24"/>
                <w:lang w:val="ro-MD"/>
              </w:rPr>
              <w:t>a patrimoniului public, inclusiv din perspectiva eventualei reduceri a suprafeței de teren aferente</w:t>
            </w:r>
            <w:r>
              <w:rPr>
                <w:rFonts w:ascii="Times New Roman" w:hAnsi="Times New Roman" w:cs="Times New Roman"/>
                <w:color w:val="000000" w:themeColor="text1"/>
                <w:sz w:val="24"/>
                <w:szCs w:val="24"/>
                <w:lang w:val="ro-MD"/>
              </w:rPr>
              <w:t xml:space="preserve"> </w:t>
            </w:r>
            <w:r w:rsidRPr="00806DF4">
              <w:rPr>
                <w:rFonts w:ascii="Times New Roman" w:hAnsi="Times New Roman" w:cs="Times New Roman"/>
                <w:color w:val="000000" w:themeColor="text1"/>
                <w:sz w:val="24"/>
                <w:szCs w:val="24"/>
                <w:lang w:val="ro-MD"/>
              </w:rPr>
              <w:t>instituției de învățământ, în vederea fundamentării temeinice a deciziei de schimbare a destinației</w:t>
            </w:r>
            <w:r>
              <w:rPr>
                <w:rFonts w:ascii="Times New Roman" w:hAnsi="Times New Roman" w:cs="Times New Roman"/>
                <w:color w:val="000000" w:themeColor="text1"/>
                <w:sz w:val="24"/>
                <w:szCs w:val="24"/>
                <w:lang w:val="ro-MD"/>
              </w:rPr>
              <w:t xml:space="preserve"> </w:t>
            </w:r>
            <w:r w:rsidRPr="00806DF4">
              <w:rPr>
                <w:rFonts w:ascii="Times New Roman" w:hAnsi="Times New Roman" w:cs="Times New Roman"/>
                <w:color w:val="000000" w:themeColor="text1"/>
                <w:sz w:val="24"/>
                <w:szCs w:val="24"/>
                <w:lang w:val="ro-MD"/>
              </w:rPr>
              <w:t>terenului.</w:t>
            </w:r>
          </w:p>
          <w:p w:rsidR="00E05DDF" w:rsidRDefault="00E05DDF" w:rsidP="00861AFD">
            <w:pPr>
              <w:ind w:firstLine="456"/>
              <w:jc w:val="both"/>
              <w:rPr>
                <w:rFonts w:ascii="Times New Roman" w:hAnsi="Times New Roman" w:cs="Times New Roman"/>
                <w:color w:val="000000" w:themeColor="text1"/>
                <w:sz w:val="24"/>
                <w:szCs w:val="24"/>
                <w:lang w:val="ro-MD"/>
              </w:rPr>
            </w:pPr>
            <w:r w:rsidRPr="00806DF4">
              <w:rPr>
                <w:rFonts w:ascii="Times New Roman" w:hAnsi="Times New Roman" w:cs="Times New Roman"/>
                <w:color w:val="000000" w:themeColor="text1"/>
                <w:sz w:val="24"/>
                <w:szCs w:val="24"/>
                <w:lang w:val="ro-MD"/>
              </w:rPr>
              <w:t>În final, transparența utilizării eficiente a bunurilor proprietate publică se impune în vederea asigurării</w:t>
            </w:r>
            <w:r>
              <w:rPr>
                <w:rFonts w:ascii="Times New Roman" w:hAnsi="Times New Roman" w:cs="Times New Roman"/>
                <w:color w:val="000000" w:themeColor="text1"/>
                <w:sz w:val="24"/>
                <w:szCs w:val="24"/>
                <w:lang w:val="ro-MD"/>
              </w:rPr>
              <w:t xml:space="preserve"> </w:t>
            </w:r>
            <w:r w:rsidRPr="00806DF4">
              <w:rPr>
                <w:rFonts w:ascii="Times New Roman" w:hAnsi="Times New Roman" w:cs="Times New Roman"/>
                <w:color w:val="000000" w:themeColor="text1"/>
                <w:sz w:val="24"/>
                <w:szCs w:val="24"/>
                <w:lang w:val="ro-MD"/>
              </w:rPr>
              <w:t>respectării interesului public general.</w:t>
            </w:r>
          </w:p>
        </w:tc>
        <w:tc>
          <w:tcPr>
            <w:tcW w:w="5386" w:type="dxa"/>
          </w:tcPr>
          <w:p w:rsidR="00E05DDF" w:rsidRDefault="00E05DDF" w:rsidP="00861AFD">
            <w:pPr>
              <w:shd w:val="clear" w:color="auto" w:fill="FFFFFF"/>
              <w:ind w:firstLine="459"/>
              <w:jc w:val="both"/>
              <w:rPr>
                <w:rFonts w:ascii="Times New Roman" w:eastAsia="Times New Roman" w:hAnsi="Times New Roman" w:cs="Times New Roman"/>
                <w:b/>
                <w:color w:val="000000" w:themeColor="text1"/>
                <w:sz w:val="24"/>
                <w:szCs w:val="24"/>
                <w:lang w:val="ro-MD" w:eastAsia="ru-RU"/>
              </w:rPr>
            </w:pPr>
            <w:r w:rsidRPr="00F06075">
              <w:rPr>
                <w:rFonts w:ascii="Times New Roman" w:eastAsia="Times New Roman" w:hAnsi="Times New Roman" w:cs="Times New Roman"/>
                <w:b/>
                <w:color w:val="000000" w:themeColor="text1"/>
                <w:sz w:val="24"/>
                <w:szCs w:val="24"/>
                <w:lang w:val="ro-MD" w:eastAsia="ru-RU"/>
              </w:rPr>
              <w:lastRenderedPageBreak/>
              <w:t>Se ia act.</w:t>
            </w:r>
          </w:p>
          <w:p w:rsidR="00E05DDF" w:rsidRPr="0045150F" w:rsidRDefault="00E05DDF" w:rsidP="00861AFD">
            <w:pPr>
              <w:shd w:val="clear" w:color="auto" w:fill="FFFFFF"/>
              <w:ind w:firstLine="459"/>
              <w:jc w:val="both"/>
              <w:rPr>
                <w:rFonts w:ascii="Times New Roman" w:hAnsi="Times New Roman" w:cs="Times New Roman"/>
                <w:color w:val="4472C4" w:themeColor="accent5"/>
                <w:sz w:val="24"/>
                <w:szCs w:val="24"/>
                <w:lang w:val="ro-MD"/>
              </w:rPr>
            </w:pPr>
          </w:p>
        </w:tc>
      </w:tr>
      <w:tr w:rsidR="00E05DDF" w:rsidRPr="00202B33" w:rsidTr="00861AFD">
        <w:tc>
          <w:tcPr>
            <w:tcW w:w="2836" w:type="dxa"/>
            <w:vMerge w:val="restart"/>
          </w:tcPr>
          <w:p w:rsidR="00E05DDF" w:rsidRDefault="00E05DDF" w:rsidP="00861AFD">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Ministerul Justiției</w:t>
            </w:r>
          </w:p>
          <w:p w:rsidR="00E05DDF" w:rsidRPr="00ED055B" w:rsidRDefault="00E05DDF" w:rsidP="00861AFD">
            <w:pPr>
              <w:jc w:val="both"/>
              <w:rPr>
                <w:rFonts w:ascii="Times New Roman" w:hAnsi="Times New Roman" w:cs="Times New Roman"/>
                <w:bCs/>
                <w:color w:val="000000" w:themeColor="text1"/>
                <w:sz w:val="24"/>
                <w:szCs w:val="24"/>
              </w:rPr>
            </w:pPr>
            <w:r w:rsidRPr="00ED055B">
              <w:rPr>
                <w:rFonts w:ascii="Times New Roman" w:hAnsi="Times New Roman" w:cs="Times New Roman"/>
                <w:bCs/>
                <w:color w:val="000000" w:themeColor="text1"/>
                <w:sz w:val="20"/>
                <w:szCs w:val="20"/>
              </w:rPr>
              <w:t>(nr. 04/2-2315 din 04.03.2026)</w:t>
            </w:r>
          </w:p>
        </w:tc>
        <w:tc>
          <w:tcPr>
            <w:tcW w:w="709" w:type="dxa"/>
          </w:tcPr>
          <w:p w:rsidR="00E05DDF" w:rsidRDefault="00E05DDF" w:rsidP="00861AFD">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5.1.</w:t>
            </w:r>
          </w:p>
        </w:tc>
        <w:tc>
          <w:tcPr>
            <w:tcW w:w="6378" w:type="dxa"/>
          </w:tcPr>
          <w:p w:rsidR="00E05DDF" w:rsidRPr="00A913B3" w:rsidRDefault="00E05DDF" w:rsidP="00861AFD">
            <w:pPr>
              <w:ind w:firstLine="456"/>
              <w:jc w:val="both"/>
              <w:rPr>
                <w:rFonts w:ascii="Times New Roman" w:hAnsi="Times New Roman" w:cs="Times New Roman"/>
                <w:color w:val="000000" w:themeColor="text1"/>
                <w:sz w:val="24"/>
                <w:szCs w:val="24"/>
                <w:lang w:val="ro-MD"/>
              </w:rPr>
            </w:pPr>
            <w:r w:rsidRPr="00A913B3">
              <w:rPr>
                <w:rFonts w:ascii="Times New Roman" w:hAnsi="Times New Roman" w:cs="Times New Roman"/>
                <w:color w:val="000000" w:themeColor="text1"/>
                <w:sz w:val="24"/>
                <w:szCs w:val="24"/>
                <w:lang w:val="ro-MD"/>
              </w:rPr>
              <w:t>Cu referire la proiectul hotărârii Guvernului cu privire la acordul de schimbare a destinației unui teren din proprietatea raionului Căuşeni (număr unic 60/MEC/2026), comunicăm următoarele.</w:t>
            </w:r>
          </w:p>
          <w:p w:rsidR="00E05DDF" w:rsidRPr="00A913B3" w:rsidRDefault="00E05DDF" w:rsidP="00861AFD">
            <w:pPr>
              <w:ind w:firstLine="456"/>
              <w:jc w:val="both"/>
              <w:rPr>
                <w:rFonts w:ascii="Times New Roman" w:hAnsi="Times New Roman" w:cs="Times New Roman"/>
                <w:color w:val="000000" w:themeColor="text1"/>
                <w:sz w:val="24"/>
                <w:szCs w:val="24"/>
                <w:lang w:val="ro-MD"/>
              </w:rPr>
            </w:pPr>
            <w:r w:rsidRPr="00A913B3">
              <w:rPr>
                <w:rFonts w:ascii="Times New Roman" w:hAnsi="Times New Roman" w:cs="Times New Roman"/>
                <w:color w:val="000000" w:themeColor="text1"/>
                <w:sz w:val="24"/>
                <w:szCs w:val="24"/>
                <w:lang w:val="ro-MD"/>
              </w:rPr>
              <w:t xml:space="preserve">Potrivit notei de fundamentare, proiectul este elaborat în scopul exprimării acordului Guvernului la schimbarea destinației unei porțiuni de teren cu suprafața de 0,4429 ha din terenul cu număr cadastral 2701205054 (aferent Liceului Teoretic ,,Ion </w:t>
            </w:r>
            <w:r w:rsidRPr="00A913B3">
              <w:rPr>
                <w:rFonts w:ascii="Times New Roman" w:hAnsi="Times New Roman" w:cs="Times New Roman"/>
                <w:color w:val="000000" w:themeColor="text1"/>
                <w:sz w:val="24"/>
                <w:szCs w:val="24"/>
                <w:lang w:val="ro-MD"/>
              </w:rPr>
              <w:lastRenderedPageBreak/>
              <w:t>Creangă” din or. Căuşeni, str. Unirii, 17), ca urmare a constatării lipsei necesității de utilizare a acestuia în domeniul educației.</w:t>
            </w:r>
          </w:p>
          <w:p w:rsidR="00E05DDF" w:rsidRPr="00A913B3" w:rsidRDefault="00E05DDF" w:rsidP="00861AFD">
            <w:pPr>
              <w:ind w:firstLine="456"/>
              <w:jc w:val="both"/>
              <w:rPr>
                <w:rFonts w:ascii="Times New Roman" w:hAnsi="Times New Roman" w:cs="Times New Roman"/>
                <w:color w:val="000000" w:themeColor="text1"/>
                <w:sz w:val="24"/>
                <w:szCs w:val="24"/>
                <w:lang w:val="ro-MD"/>
              </w:rPr>
            </w:pPr>
            <w:r w:rsidRPr="00A913B3">
              <w:rPr>
                <w:rFonts w:ascii="Times New Roman" w:hAnsi="Times New Roman" w:cs="Times New Roman"/>
                <w:color w:val="000000" w:themeColor="text1"/>
                <w:sz w:val="24"/>
                <w:szCs w:val="24"/>
                <w:lang w:val="ro-MD"/>
              </w:rPr>
              <w:t>În context, raționamentele expuse de inițiator în notă reflectă motivul elaborării proiectului actului normativ.</w:t>
            </w:r>
          </w:p>
          <w:p w:rsidR="00E05DDF" w:rsidRPr="00A913B3" w:rsidRDefault="00E05DDF" w:rsidP="00861AFD">
            <w:pPr>
              <w:ind w:firstLine="456"/>
              <w:jc w:val="both"/>
              <w:rPr>
                <w:rFonts w:ascii="Times New Roman" w:hAnsi="Times New Roman" w:cs="Times New Roman"/>
                <w:color w:val="000000" w:themeColor="text1"/>
                <w:sz w:val="24"/>
                <w:szCs w:val="24"/>
                <w:lang w:val="ro-MD"/>
              </w:rPr>
            </w:pPr>
            <w:r w:rsidRPr="00A913B3">
              <w:rPr>
                <w:rFonts w:ascii="Times New Roman" w:hAnsi="Times New Roman" w:cs="Times New Roman"/>
                <w:color w:val="000000" w:themeColor="text1"/>
                <w:sz w:val="24"/>
                <w:szCs w:val="24"/>
                <w:lang w:val="ro-MD"/>
              </w:rPr>
              <w:t>Totodată, din punct de vedere conceptual comunicăm că, terenul înregistrat cu un singur număr cadastral constituie un bun imobil distinct, individualizat în mod unitar în Registrul bunurilor imobile, formează un obiect juridic unic al dreptului de proprietate și al raporturilor juridice aferente. Numărul cadastral nu reprezintă doar un element tehnic de identificare, ci consacră individualizarea juridică a imobilului din perspectiva regimului său juridic, a destinației și a modului de folosință.</w:t>
            </w:r>
          </w:p>
          <w:p w:rsidR="00E05DDF" w:rsidRPr="00A913B3" w:rsidRDefault="00E05DDF" w:rsidP="00861AFD">
            <w:pPr>
              <w:ind w:firstLine="456"/>
              <w:jc w:val="both"/>
              <w:rPr>
                <w:rFonts w:ascii="Times New Roman" w:hAnsi="Times New Roman" w:cs="Times New Roman"/>
                <w:color w:val="000000" w:themeColor="text1"/>
                <w:sz w:val="24"/>
                <w:szCs w:val="24"/>
                <w:lang w:val="ro-MD"/>
              </w:rPr>
            </w:pPr>
            <w:r w:rsidRPr="00A913B3">
              <w:rPr>
                <w:rFonts w:ascii="Times New Roman" w:hAnsi="Times New Roman" w:cs="Times New Roman"/>
                <w:color w:val="000000" w:themeColor="text1"/>
                <w:sz w:val="24"/>
                <w:szCs w:val="24"/>
                <w:lang w:val="ro-MD"/>
              </w:rPr>
              <w:t>Destinația terenului este stabilită pentru întregul bun imobil și produce efecte asupra întregii suprafețe înscrise în registru. Aceasta nu poate fi fragmentată sau diferențiată în mod formal doar prin voință administrativă, atât timp cât porțiunile respective nu sunt desprinse și individualizate cadastral ca bunuri imobile distincte. Altfel spus, până la realizarea procedurii de formare și atribuirea unui număr cadastral separat, orice porțiune din teren rămâne parte integrantă a aceluiași bun imobil și este supusă aceleiași destinații.</w:t>
            </w:r>
          </w:p>
          <w:p w:rsidR="00E05DDF" w:rsidRPr="00A913B3" w:rsidRDefault="00E05DDF" w:rsidP="00861AFD">
            <w:pPr>
              <w:ind w:firstLine="456"/>
              <w:jc w:val="both"/>
              <w:rPr>
                <w:rFonts w:ascii="Times New Roman" w:hAnsi="Times New Roman" w:cs="Times New Roman"/>
                <w:color w:val="000000" w:themeColor="text1"/>
                <w:sz w:val="24"/>
                <w:szCs w:val="24"/>
                <w:lang w:val="ro-MD"/>
              </w:rPr>
            </w:pPr>
            <w:r w:rsidRPr="00A913B3">
              <w:rPr>
                <w:rFonts w:ascii="Times New Roman" w:hAnsi="Times New Roman" w:cs="Times New Roman"/>
                <w:color w:val="000000" w:themeColor="text1"/>
                <w:sz w:val="24"/>
                <w:szCs w:val="24"/>
                <w:lang w:val="ro-MD"/>
              </w:rPr>
              <w:t>În același context, potrivit art. 146 alin. (4) din Codul educației, „transferul (trecerea) bunurilor imobile destinate educației din domeniul public al unității administrativ-teritoriale în domeniul privat al unității administrativ-teritoriale sau schimbarea destinației acestora se realizează prin decizii ale consiliului satului (comunei), orașului, raionului, municipiului, Adunării Populare a Găgăuziei, cu acordul prealabil al Guvernului”. Norma legală face referire expresă la „bunuri imobile”, în sensul unor obiecte juridice determinate și individualizate.</w:t>
            </w:r>
          </w:p>
          <w:p w:rsidR="00E05DDF" w:rsidRPr="00A913B3" w:rsidRDefault="00E05DDF" w:rsidP="00861AFD">
            <w:pPr>
              <w:ind w:firstLine="456"/>
              <w:jc w:val="both"/>
              <w:rPr>
                <w:rFonts w:ascii="Times New Roman" w:hAnsi="Times New Roman" w:cs="Times New Roman"/>
                <w:color w:val="000000" w:themeColor="text1"/>
                <w:sz w:val="24"/>
                <w:szCs w:val="24"/>
                <w:lang w:val="ro-MD"/>
              </w:rPr>
            </w:pPr>
            <w:r w:rsidRPr="00A913B3">
              <w:rPr>
                <w:rFonts w:ascii="Times New Roman" w:hAnsi="Times New Roman" w:cs="Times New Roman"/>
                <w:color w:val="000000" w:themeColor="text1"/>
                <w:sz w:val="24"/>
                <w:szCs w:val="24"/>
                <w:lang w:val="ro-MD"/>
              </w:rPr>
              <w:t>Prin urmare, acordul Guvernului poate fi acordat exclusiv în privința unui bun imobil concret, existent și identificat. O „porțiune de teren” nu constituie „bun imobil” în sensul legii și nu poate forma obiect al unei decizii valide privind schimbarea destinației.</w:t>
            </w:r>
          </w:p>
          <w:p w:rsidR="00E05DDF" w:rsidRPr="00A913B3" w:rsidRDefault="00E05DDF" w:rsidP="00861AFD">
            <w:pPr>
              <w:ind w:firstLine="456"/>
              <w:jc w:val="both"/>
              <w:rPr>
                <w:rFonts w:ascii="Times New Roman" w:hAnsi="Times New Roman" w:cs="Times New Roman"/>
                <w:color w:val="000000" w:themeColor="text1"/>
                <w:sz w:val="24"/>
                <w:szCs w:val="24"/>
                <w:lang w:val="ro-MD"/>
              </w:rPr>
            </w:pPr>
            <w:r w:rsidRPr="00A913B3">
              <w:rPr>
                <w:rFonts w:ascii="Times New Roman" w:hAnsi="Times New Roman" w:cs="Times New Roman"/>
                <w:color w:val="000000" w:themeColor="text1"/>
                <w:sz w:val="24"/>
                <w:szCs w:val="24"/>
                <w:lang w:val="ro-MD"/>
              </w:rPr>
              <w:lastRenderedPageBreak/>
              <w:t>Astfel, până la formarea și înregistrarea terenului prin atribuirea unui număr cadastral distinct, nu poate fi vorba despre existența unui bun imobil asupra căruia Guvernul să își exercite competența prevăzută de art. 146 alin. (4) din Codul educației.</w:t>
            </w:r>
          </w:p>
          <w:p w:rsidR="00E05DDF" w:rsidRPr="00A913B3" w:rsidRDefault="00E05DDF" w:rsidP="00861AFD">
            <w:pPr>
              <w:ind w:firstLine="456"/>
              <w:jc w:val="both"/>
              <w:rPr>
                <w:rFonts w:ascii="Times New Roman" w:hAnsi="Times New Roman" w:cs="Times New Roman"/>
                <w:color w:val="000000" w:themeColor="text1"/>
                <w:sz w:val="24"/>
                <w:szCs w:val="24"/>
                <w:lang w:val="ro-MD"/>
              </w:rPr>
            </w:pPr>
          </w:p>
        </w:tc>
        <w:tc>
          <w:tcPr>
            <w:tcW w:w="5386" w:type="dxa"/>
          </w:tcPr>
          <w:p w:rsidR="00E05DDF" w:rsidRPr="00A913B3" w:rsidRDefault="00E05DDF" w:rsidP="00861AFD">
            <w:pPr>
              <w:shd w:val="clear" w:color="auto" w:fill="FFFFFF"/>
              <w:ind w:firstLine="459"/>
              <w:jc w:val="both"/>
              <w:rPr>
                <w:rFonts w:ascii="Times New Roman" w:eastAsia="Times New Roman" w:hAnsi="Times New Roman" w:cs="Times New Roman"/>
                <w:b/>
                <w:color w:val="000000" w:themeColor="text1"/>
                <w:sz w:val="24"/>
                <w:szCs w:val="24"/>
                <w:lang w:val="ro-MD" w:eastAsia="ru-RU"/>
              </w:rPr>
            </w:pPr>
            <w:r w:rsidRPr="00A913B3">
              <w:rPr>
                <w:rFonts w:ascii="Times New Roman" w:eastAsia="Times New Roman" w:hAnsi="Times New Roman" w:cs="Times New Roman"/>
                <w:b/>
                <w:color w:val="000000" w:themeColor="text1"/>
                <w:sz w:val="24"/>
                <w:szCs w:val="24"/>
                <w:lang w:val="ro-MD" w:eastAsia="ru-RU"/>
              </w:rPr>
              <w:lastRenderedPageBreak/>
              <w:t>Se ia act.</w:t>
            </w:r>
          </w:p>
          <w:p w:rsidR="00E05DDF" w:rsidRPr="00A913B3" w:rsidRDefault="00E05DDF" w:rsidP="00861AFD">
            <w:pPr>
              <w:shd w:val="clear" w:color="auto" w:fill="FFFFFF"/>
              <w:ind w:firstLine="459"/>
              <w:jc w:val="both"/>
              <w:rPr>
                <w:rFonts w:ascii="Times New Roman" w:eastAsia="Times New Roman" w:hAnsi="Times New Roman" w:cs="Times New Roman"/>
                <w:color w:val="000000" w:themeColor="text1"/>
                <w:sz w:val="24"/>
                <w:szCs w:val="24"/>
                <w:lang w:val="ro-MD" w:eastAsia="ru-RU"/>
              </w:rPr>
            </w:pPr>
            <w:r w:rsidRPr="00A913B3">
              <w:rPr>
                <w:rFonts w:ascii="Times New Roman" w:eastAsia="Times New Roman" w:hAnsi="Times New Roman" w:cs="Times New Roman"/>
                <w:color w:val="000000" w:themeColor="text1"/>
                <w:sz w:val="24"/>
                <w:szCs w:val="24"/>
                <w:lang w:val="ro-MD" w:eastAsia="ru-RU"/>
              </w:rPr>
              <w:t>Conform punctul 6</w:t>
            </w:r>
            <w:r w:rsidRPr="00A913B3">
              <w:rPr>
                <w:rFonts w:ascii="Times New Roman" w:eastAsia="Times New Roman" w:hAnsi="Times New Roman" w:cs="Times New Roman"/>
                <w:color w:val="000000" w:themeColor="text1"/>
                <w:sz w:val="24"/>
                <w:szCs w:val="24"/>
                <w:vertAlign w:val="superscript"/>
                <w:lang w:val="ro-MD" w:eastAsia="ru-RU"/>
              </w:rPr>
              <w:t>3</w:t>
            </w:r>
            <w:r w:rsidRPr="00A913B3">
              <w:rPr>
                <w:rFonts w:ascii="Times New Roman" w:eastAsia="Times New Roman" w:hAnsi="Times New Roman" w:cs="Times New Roman"/>
                <w:color w:val="000000" w:themeColor="text1"/>
                <w:sz w:val="24"/>
                <w:szCs w:val="24"/>
                <w:lang w:val="ro-MD" w:eastAsia="ru-RU"/>
              </w:rPr>
              <w:t xml:space="preserve"> din </w:t>
            </w:r>
            <w:r w:rsidRPr="00A913B3">
              <w:rPr>
                <w:rFonts w:ascii="Times New Roman" w:eastAsia="Times New Roman" w:hAnsi="Times New Roman" w:cs="Times New Roman"/>
                <w:i/>
                <w:color w:val="000000" w:themeColor="text1"/>
                <w:sz w:val="24"/>
                <w:szCs w:val="24"/>
                <w:lang w:val="ro-MD" w:eastAsia="ru-RU"/>
              </w:rPr>
              <w:t>Metodologia de realizare a raportului de expertiză privind încetarea necesității menținerii ăn domeniul public a unor bunuri imobile destinate domeniului educației</w:t>
            </w:r>
            <w:r w:rsidRPr="00A913B3">
              <w:rPr>
                <w:rFonts w:ascii="Times New Roman" w:eastAsia="Times New Roman" w:hAnsi="Times New Roman" w:cs="Times New Roman"/>
                <w:color w:val="000000" w:themeColor="text1"/>
                <w:sz w:val="24"/>
                <w:szCs w:val="24"/>
                <w:lang w:val="ro-MD" w:eastAsia="ru-RU"/>
              </w:rPr>
              <w:t>, aprobată prin Hotărâre a Guvernului nr.314/2018, rezultă că procedura de expertizare poate fi efectuată și în privința unei porțiuni de teren, din cadrul unui teren integru.</w:t>
            </w:r>
          </w:p>
          <w:p w:rsidR="00E05DDF" w:rsidRPr="00A913B3" w:rsidRDefault="00E05DDF" w:rsidP="00861AFD">
            <w:pPr>
              <w:shd w:val="clear" w:color="auto" w:fill="FFFFFF"/>
              <w:ind w:firstLine="459"/>
              <w:jc w:val="both"/>
              <w:rPr>
                <w:rFonts w:ascii="Times New Roman" w:hAnsi="Times New Roman" w:cs="Times New Roman"/>
                <w:color w:val="000000" w:themeColor="text1"/>
                <w:sz w:val="24"/>
                <w:szCs w:val="24"/>
                <w:lang w:val="ro-MD"/>
              </w:rPr>
            </w:pPr>
            <w:r w:rsidRPr="00A913B3">
              <w:rPr>
                <w:rFonts w:ascii="Times New Roman" w:eastAsia="Times New Roman" w:hAnsi="Times New Roman" w:cs="Times New Roman"/>
                <w:color w:val="000000" w:themeColor="text1"/>
                <w:sz w:val="24"/>
                <w:szCs w:val="24"/>
                <w:lang w:val="ro-MD" w:eastAsia="ru-RU"/>
              </w:rPr>
              <w:lastRenderedPageBreak/>
              <w:t xml:space="preserve">Faptul că un teren </w:t>
            </w:r>
            <w:r w:rsidRPr="00A913B3">
              <w:rPr>
                <w:rFonts w:ascii="Times New Roman" w:hAnsi="Times New Roman" w:cs="Times New Roman"/>
                <w:color w:val="000000" w:themeColor="text1"/>
                <w:sz w:val="24"/>
                <w:szCs w:val="24"/>
                <w:lang w:val="ro-MD"/>
              </w:rPr>
              <w:t>înregistrat cu un singur număr cadastral constituie un bun imobil distinct, individualizat în mod unitar în Registrul bunurilor imobile și formează un obiect juridic unic al dreptului de proprietate și al raporturilor juridice aferente, nu exclude posibilitatea încheierii actelor juridice în raport cu o parte din acest teren (ex. (i) transmiterea în locațiune a unei suprafețe amenajate din cadrul terenului proprietate publică conform Anexei nr.9 din Legea bugetului de stat anuală, fără a forma prin separare această porțiune de teren, (ii) încheierea contractului de superficie conform Regulamentului aprobat prin Hotărârea Guvernului nr.91/2019 doar pentru o porțiune de teren din cadrul unui teren integru, determinată în baza unui plan geometric, fără a efectua procedura de formare prin separare a acestui teren, etc.).</w:t>
            </w:r>
          </w:p>
          <w:p w:rsidR="00E05DDF" w:rsidRPr="00A913B3" w:rsidRDefault="00E05DDF" w:rsidP="00861AFD">
            <w:pPr>
              <w:shd w:val="clear" w:color="auto" w:fill="FFFFFF"/>
              <w:ind w:firstLine="459"/>
              <w:jc w:val="both"/>
              <w:rPr>
                <w:rFonts w:ascii="Times New Roman" w:eastAsia="Times New Roman" w:hAnsi="Times New Roman" w:cs="Times New Roman"/>
                <w:color w:val="000000" w:themeColor="text1"/>
                <w:sz w:val="24"/>
                <w:szCs w:val="24"/>
                <w:lang w:val="ro-MD" w:eastAsia="ru-RU"/>
              </w:rPr>
            </w:pPr>
            <w:r w:rsidRPr="00A913B3">
              <w:rPr>
                <w:rFonts w:ascii="Times New Roman" w:hAnsi="Times New Roman" w:cs="Times New Roman"/>
                <w:color w:val="000000" w:themeColor="text1"/>
                <w:sz w:val="24"/>
                <w:szCs w:val="24"/>
                <w:lang w:val="ro-MD"/>
              </w:rPr>
              <w:t>La situația din speță, sunt aplicabile aceleași raționamente, în privința unei porțiuni de teren proprietate publică a raionului Căușeni s-a efectuat un act juridic de drept public, cu un obiect juridic determinat (expertizarea, conform metodologiei aprobate prin Hotărârea Guvernului nr.314/2018, a unei porțiuni de teren identificate în spațiu în baza materialelor cadastrale elaborate de specialiști autorizați).</w:t>
            </w:r>
          </w:p>
          <w:p w:rsidR="00E05DDF" w:rsidRPr="00A913B3" w:rsidRDefault="00E05DDF" w:rsidP="00861AFD">
            <w:pPr>
              <w:shd w:val="clear" w:color="auto" w:fill="FFFFFF"/>
              <w:ind w:firstLine="459"/>
              <w:jc w:val="both"/>
              <w:rPr>
                <w:rFonts w:ascii="Times New Roman" w:eastAsia="Times New Roman" w:hAnsi="Times New Roman" w:cs="Times New Roman"/>
                <w:color w:val="000000" w:themeColor="text1"/>
                <w:sz w:val="24"/>
                <w:szCs w:val="24"/>
                <w:lang w:val="ro-MD" w:eastAsia="ru-RU"/>
              </w:rPr>
            </w:pPr>
            <w:r w:rsidRPr="00A913B3">
              <w:rPr>
                <w:rFonts w:ascii="Times New Roman" w:eastAsia="Times New Roman" w:hAnsi="Times New Roman" w:cs="Times New Roman"/>
                <w:color w:val="000000" w:themeColor="text1"/>
                <w:sz w:val="24"/>
                <w:szCs w:val="24"/>
                <w:lang w:val="ro-MD" w:eastAsia="ru-RU"/>
              </w:rPr>
              <w:t>Ministerul Educației și Cercetării consideră justă efectuarea, în prealabil, a procedurii de expertizare a unei porțiuni de teren conform Metodologiei aprobate prin HG nr.314/2018 și apoi efectuarea procedurilor de formare a terenului conform Legii nr.354/2004 cu privire la formarea bunurilor imobile.</w:t>
            </w:r>
          </w:p>
          <w:p w:rsidR="00E05DDF" w:rsidRPr="00A913B3" w:rsidRDefault="00E05DDF" w:rsidP="00861AFD">
            <w:pPr>
              <w:shd w:val="clear" w:color="auto" w:fill="FFFFFF"/>
              <w:ind w:firstLine="459"/>
              <w:jc w:val="both"/>
              <w:rPr>
                <w:rFonts w:ascii="Times New Roman" w:eastAsia="Times New Roman" w:hAnsi="Times New Roman" w:cs="Times New Roman"/>
                <w:color w:val="000000" w:themeColor="text1"/>
                <w:sz w:val="24"/>
                <w:szCs w:val="24"/>
                <w:lang w:val="ro-MD" w:eastAsia="ru-RU"/>
              </w:rPr>
            </w:pPr>
            <w:r w:rsidRPr="00A913B3">
              <w:rPr>
                <w:rFonts w:ascii="Times New Roman" w:eastAsia="Times New Roman" w:hAnsi="Times New Roman" w:cs="Times New Roman"/>
                <w:color w:val="000000" w:themeColor="text1"/>
                <w:sz w:val="24"/>
                <w:szCs w:val="24"/>
                <w:lang w:val="ro-MD" w:eastAsia="ru-RU"/>
              </w:rPr>
              <w:t xml:space="preserve">De altfel, în cazul în care asupra unei porțiuni de teren destinat educației s-ar efectua inițial lucrările de formare ulterior procedura de expertizare, atunci există riscul ca, Comisia de Avizare din cadrul Ministerului Educației și Cercetării să avizeze negativ </w:t>
            </w:r>
            <w:r w:rsidRPr="00A913B3">
              <w:rPr>
                <w:rFonts w:ascii="Times New Roman" w:eastAsia="Times New Roman" w:hAnsi="Times New Roman" w:cs="Times New Roman"/>
                <w:color w:val="000000" w:themeColor="text1"/>
                <w:sz w:val="24"/>
                <w:szCs w:val="24"/>
                <w:lang w:val="ro-MD" w:eastAsia="ru-RU"/>
              </w:rPr>
              <w:lastRenderedPageBreak/>
              <w:t xml:space="preserve">inițiativa de separare a unei porțiuni de teren din porțiunea terenului unei instituții de învățământ. În acest caz, procedura de formare ar rămâne inutilă (întrucât nu și-ar atinge scopul urmărit) și respectiv cheltuielile suportate în legătura cu această procedură ar fi calificate ca fiind nejustificate. </w:t>
            </w:r>
          </w:p>
        </w:tc>
      </w:tr>
      <w:tr w:rsidR="00E05DDF" w:rsidRPr="005C4020" w:rsidTr="00861AFD">
        <w:tc>
          <w:tcPr>
            <w:tcW w:w="2836" w:type="dxa"/>
            <w:vMerge/>
          </w:tcPr>
          <w:p w:rsidR="00E05DDF" w:rsidRDefault="00E05DDF" w:rsidP="00861AFD">
            <w:pPr>
              <w:jc w:val="both"/>
              <w:rPr>
                <w:rFonts w:ascii="Times New Roman" w:hAnsi="Times New Roman" w:cs="Times New Roman"/>
                <w:b/>
                <w:color w:val="000000" w:themeColor="text1"/>
                <w:sz w:val="24"/>
                <w:szCs w:val="24"/>
              </w:rPr>
            </w:pPr>
          </w:p>
        </w:tc>
        <w:tc>
          <w:tcPr>
            <w:tcW w:w="709" w:type="dxa"/>
          </w:tcPr>
          <w:p w:rsidR="00E05DDF" w:rsidRDefault="00E05DDF" w:rsidP="00861AFD">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5.2.</w:t>
            </w:r>
          </w:p>
        </w:tc>
        <w:tc>
          <w:tcPr>
            <w:tcW w:w="6378" w:type="dxa"/>
          </w:tcPr>
          <w:p w:rsidR="00E05DDF" w:rsidRPr="00A913B3" w:rsidRDefault="00E05DDF" w:rsidP="00861AFD">
            <w:pPr>
              <w:ind w:firstLine="456"/>
              <w:jc w:val="both"/>
              <w:rPr>
                <w:rFonts w:ascii="Times New Roman" w:hAnsi="Times New Roman" w:cs="Times New Roman"/>
                <w:color w:val="000000" w:themeColor="text1"/>
                <w:sz w:val="24"/>
                <w:szCs w:val="24"/>
                <w:lang w:val="ro-MD"/>
              </w:rPr>
            </w:pPr>
            <w:r w:rsidRPr="00A913B3">
              <w:rPr>
                <w:rFonts w:ascii="Times New Roman" w:hAnsi="Times New Roman" w:cs="Times New Roman"/>
                <w:color w:val="000000" w:themeColor="text1"/>
                <w:sz w:val="24"/>
                <w:szCs w:val="24"/>
                <w:lang w:val="ro-MD"/>
              </w:rPr>
              <w:t>Totodată, din punct de vedere redacțional, la pct. 1 comunicăm următoarele:</w:t>
            </w:r>
          </w:p>
          <w:p w:rsidR="00E05DDF" w:rsidRPr="00A913B3" w:rsidRDefault="00E05DDF" w:rsidP="00861AFD">
            <w:pPr>
              <w:ind w:firstLine="456"/>
              <w:jc w:val="both"/>
              <w:rPr>
                <w:rFonts w:ascii="Times New Roman" w:hAnsi="Times New Roman" w:cs="Times New Roman"/>
                <w:color w:val="000000" w:themeColor="text1"/>
                <w:sz w:val="24"/>
                <w:szCs w:val="24"/>
                <w:lang w:val="ro-MD"/>
              </w:rPr>
            </w:pPr>
            <w:r w:rsidRPr="00A913B3">
              <w:rPr>
                <w:rFonts w:ascii="Times New Roman" w:hAnsi="Times New Roman" w:cs="Times New Roman"/>
                <w:color w:val="000000" w:themeColor="text1"/>
                <w:sz w:val="24"/>
                <w:szCs w:val="24"/>
                <w:lang w:val="ro-MD"/>
              </w:rPr>
              <w:t>- textul „nr.” se va substitui cu cuvântul „numărul”;</w:t>
            </w:r>
          </w:p>
          <w:p w:rsidR="00E05DDF" w:rsidRPr="00A913B3" w:rsidRDefault="00E05DDF" w:rsidP="00861AFD">
            <w:pPr>
              <w:ind w:firstLine="456"/>
              <w:jc w:val="both"/>
              <w:rPr>
                <w:rFonts w:ascii="Times New Roman" w:hAnsi="Times New Roman" w:cs="Times New Roman"/>
                <w:color w:val="000000" w:themeColor="text1"/>
                <w:sz w:val="24"/>
                <w:szCs w:val="24"/>
                <w:lang w:val="ro-MD"/>
              </w:rPr>
            </w:pPr>
            <w:r w:rsidRPr="00A913B3">
              <w:rPr>
                <w:rFonts w:ascii="Times New Roman" w:hAnsi="Times New Roman" w:cs="Times New Roman"/>
                <w:color w:val="000000" w:themeColor="text1"/>
                <w:sz w:val="24"/>
                <w:szCs w:val="24"/>
                <w:lang w:val="ro-MD"/>
              </w:rPr>
              <w:t>- se va preciza că terenul în privința căruia Guvernul își exprimă acordul privind schimbarea destinației este proprietate a raionului Căușeni.</w:t>
            </w:r>
          </w:p>
        </w:tc>
        <w:tc>
          <w:tcPr>
            <w:tcW w:w="5386" w:type="dxa"/>
          </w:tcPr>
          <w:p w:rsidR="00E05DDF" w:rsidRPr="00A913B3" w:rsidRDefault="00E05DDF" w:rsidP="00861AFD">
            <w:pPr>
              <w:shd w:val="clear" w:color="auto" w:fill="FFFFFF"/>
              <w:ind w:firstLine="459"/>
              <w:jc w:val="both"/>
              <w:rPr>
                <w:rFonts w:ascii="Times New Roman" w:eastAsia="Times New Roman" w:hAnsi="Times New Roman" w:cs="Times New Roman"/>
                <w:b/>
                <w:color w:val="000000" w:themeColor="text1"/>
                <w:sz w:val="24"/>
                <w:szCs w:val="24"/>
                <w:lang w:val="ro-MD" w:eastAsia="ru-RU"/>
              </w:rPr>
            </w:pPr>
            <w:r w:rsidRPr="00A913B3">
              <w:rPr>
                <w:rFonts w:ascii="Times New Roman" w:eastAsia="Times New Roman" w:hAnsi="Times New Roman" w:cs="Times New Roman"/>
                <w:b/>
                <w:color w:val="000000" w:themeColor="text1"/>
                <w:sz w:val="24"/>
                <w:szCs w:val="24"/>
                <w:lang w:val="ro-MD" w:eastAsia="ru-RU"/>
              </w:rPr>
              <w:t>Se acceptă.</w:t>
            </w:r>
          </w:p>
        </w:tc>
      </w:tr>
      <w:tr w:rsidR="00E05DDF" w:rsidRPr="005C4020" w:rsidTr="00861AFD">
        <w:trPr>
          <w:trHeight w:val="674"/>
        </w:trPr>
        <w:tc>
          <w:tcPr>
            <w:tcW w:w="15311" w:type="dxa"/>
            <w:gridSpan w:val="4"/>
            <w:vAlign w:val="center"/>
          </w:tcPr>
          <w:p w:rsidR="00E05DDF" w:rsidRPr="00A913B3" w:rsidRDefault="00E05DDF" w:rsidP="00861AFD">
            <w:pPr>
              <w:shd w:val="clear" w:color="auto" w:fill="FFFFFF"/>
              <w:ind w:firstLine="459"/>
              <w:jc w:val="center"/>
              <w:rPr>
                <w:rFonts w:ascii="Times New Roman" w:eastAsia="Times New Roman" w:hAnsi="Times New Roman" w:cs="Times New Roman"/>
                <w:b/>
                <w:color w:val="000000" w:themeColor="text1"/>
                <w:sz w:val="24"/>
                <w:szCs w:val="24"/>
                <w:lang w:val="ro-MD" w:eastAsia="ru-RU"/>
              </w:rPr>
            </w:pPr>
            <w:r>
              <w:rPr>
                <w:rFonts w:ascii="Times New Roman" w:eastAsia="Times New Roman" w:hAnsi="Times New Roman" w:cs="Times New Roman"/>
                <w:b/>
                <w:color w:val="000000" w:themeColor="text1"/>
                <w:sz w:val="24"/>
                <w:szCs w:val="24"/>
                <w:lang w:val="ro-MD" w:eastAsia="ru-RU"/>
              </w:rPr>
              <w:t>ȘEDINȚA INTERINSTITUȚIONALĂ DIN 19 MARTI 2026</w:t>
            </w:r>
          </w:p>
        </w:tc>
      </w:tr>
      <w:tr w:rsidR="00E05DDF" w:rsidRPr="00202B33" w:rsidTr="00861AFD">
        <w:trPr>
          <w:trHeight w:val="840"/>
        </w:trPr>
        <w:tc>
          <w:tcPr>
            <w:tcW w:w="2836" w:type="dxa"/>
          </w:tcPr>
          <w:p w:rsidR="00E05DDF" w:rsidRDefault="00E05DDF" w:rsidP="00861AFD">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Centrul Național Anticorupție</w:t>
            </w:r>
          </w:p>
        </w:tc>
        <w:tc>
          <w:tcPr>
            <w:tcW w:w="709" w:type="dxa"/>
          </w:tcPr>
          <w:p w:rsidR="00E05DDF" w:rsidRDefault="00E05DDF" w:rsidP="00861AFD">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6.1.</w:t>
            </w:r>
          </w:p>
        </w:tc>
        <w:tc>
          <w:tcPr>
            <w:tcW w:w="6378" w:type="dxa"/>
          </w:tcPr>
          <w:p w:rsidR="00E05DDF" w:rsidRPr="00AC70C4" w:rsidRDefault="00E05DDF" w:rsidP="00861AFD">
            <w:pPr>
              <w:ind w:firstLine="456"/>
              <w:jc w:val="both"/>
              <w:rPr>
                <w:rFonts w:ascii="Times New Roman" w:hAnsi="Times New Roman" w:cs="Times New Roman"/>
                <w:color w:val="000000" w:themeColor="text1"/>
                <w:sz w:val="24"/>
                <w:szCs w:val="24"/>
                <w:lang w:val="ro-MD"/>
              </w:rPr>
            </w:pPr>
            <w:r w:rsidRPr="00AC70C4">
              <w:rPr>
                <w:rFonts w:ascii="Times New Roman" w:hAnsi="Times New Roman" w:cs="Times New Roman"/>
                <w:color w:val="000000" w:themeColor="text1"/>
                <w:sz w:val="24"/>
                <w:szCs w:val="24"/>
                <w:lang w:val="ro-MD"/>
              </w:rPr>
              <w:t>Nu s-a prezentat.</w:t>
            </w:r>
          </w:p>
          <w:p w:rsidR="00E05DDF" w:rsidRPr="00AC70C4" w:rsidRDefault="00E05DDF" w:rsidP="00861AFD">
            <w:pPr>
              <w:ind w:firstLine="456"/>
              <w:jc w:val="both"/>
              <w:rPr>
                <w:rFonts w:ascii="Times New Roman" w:hAnsi="Times New Roman" w:cs="Times New Roman"/>
                <w:color w:val="000000" w:themeColor="text1"/>
                <w:sz w:val="24"/>
                <w:szCs w:val="24"/>
                <w:lang w:val="en-US"/>
              </w:rPr>
            </w:pPr>
            <w:r w:rsidRPr="00AC70C4">
              <w:rPr>
                <w:rFonts w:ascii="Times New Roman" w:hAnsi="Times New Roman" w:cs="Times New Roman"/>
                <w:color w:val="000000" w:themeColor="text1"/>
                <w:sz w:val="24"/>
                <w:szCs w:val="24"/>
                <w:lang w:val="ro-MD"/>
              </w:rPr>
              <w:t>S-a comunica prin e-mail următoarea poziție</w:t>
            </w:r>
            <w:r w:rsidRPr="00AC70C4">
              <w:rPr>
                <w:rFonts w:ascii="Times New Roman" w:hAnsi="Times New Roman" w:cs="Times New Roman"/>
                <w:color w:val="000000" w:themeColor="text1"/>
                <w:sz w:val="24"/>
                <w:szCs w:val="24"/>
                <w:lang w:val="en-US"/>
              </w:rPr>
              <w:t>:</w:t>
            </w:r>
          </w:p>
          <w:p w:rsidR="00E05DDF" w:rsidRPr="00AC70C4" w:rsidRDefault="00E05DDF" w:rsidP="00861AFD">
            <w:pPr>
              <w:pStyle w:val="a6"/>
              <w:shd w:val="clear" w:color="auto" w:fill="FFFFFF"/>
              <w:spacing w:before="0" w:beforeAutospacing="0" w:after="0" w:afterAutospacing="0"/>
              <w:jc w:val="both"/>
              <w:rPr>
                <w:color w:val="000000"/>
              </w:rPr>
            </w:pPr>
            <w:r w:rsidRPr="00AC70C4">
              <w:rPr>
                <w:color w:val="000000" w:themeColor="text1"/>
                <w:lang w:val="ro-MD"/>
              </w:rPr>
              <w:t>„</w:t>
            </w:r>
            <w:r w:rsidRPr="00AC70C4">
              <w:rPr>
                <w:color w:val="000000"/>
              </w:rPr>
              <w:t>Potrivit raportului de expertiză </w:t>
            </w:r>
            <w:r w:rsidRPr="00AC70C4">
              <w:rPr>
                <w:rStyle w:val="il"/>
                <w:color w:val="000000"/>
              </w:rPr>
              <w:t>anticorupţie</w:t>
            </w:r>
            <w:r w:rsidRPr="00AC70C4">
              <w:rPr>
                <w:color w:val="000000"/>
              </w:rPr>
              <w:t xml:space="preserve">, deși proiectul nu conține factori și riscuri de corupție, aplicarea în practică a condiționalității menționate în nota de fundamentare privind respectarea condiției de proiectare și construcție a Centrului Medicilor de Familie este supusă riscului de implementare. Or, cele menționate mai sus în nota de fundamentare, pe de o parte, stabilesc careva condiționalități la utilizarea bunului imobil de către autoritatea publică locală, iar pe de altă parte, nu este clar cum va avea loc verificarea realizării acestor condiționalități stabilite expres în nota de fundamentare. Totodată, nu este clar stabilit în nota de fundamentare natura forței juridice a acestor condiționalități menționate într-o notă de fundamentare la un proiect de act normativ al Guvernului în raport cu atribuțiile funcționale și principiile care guvernează administrația publică locală. În altă ordine de idei, atragem atenția la faptul că, deși, conform notei de fundamentare, Consiliul raional Căușeni intenționează construcția unui nou centru al medicilor de familie, din informațiile disponibile în surse publice, în proximitatea terenului respectiv sunt amplasate mai multe terenuri și construcții aflate în gestiunea unor instituții medicale, precum </w:t>
            </w:r>
            <w:r w:rsidRPr="00AC70C4">
              <w:rPr>
                <w:color w:val="000000"/>
              </w:rPr>
              <w:lastRenderedPageBreak/>
              <w:t>IMSP Centrul de Sănătate Căușeni, IP Centrul Maternal PRO Familia din Căușeni, IMSP Spitalul Raional Căușeni.</w:t>
            </w:r>
          </w:p>
          <w:p w:rsidR="00E05DDF" w:rsidRPr="00AC70C4" w:rsidRDefault="00E05DDF" w:rsidP="00861AFD">
            <w:pPr>
              <w:pStyle w:val="a6"/>
              <w:shd w:val="clear" w:color="auto" w:fill="FFFFFF"/>
              <w:spacing w:before="0" w:beforeAutospacing="0" w:after="0" w:afterAutospacing="0"/>
              <w:jc w:val="both"/>
              <w:rPr>
                <w:color w:val="000000"/>
              </w:rPr>
            </w:pPr>
            <w:r w:rsidRPr="00AC70C4">
              <w:rPr>
                <w:color w:val="000000"/>
              </w:rPr>
              <w:t>În aceste circumstanțe, se apreciază drept oportună și necesară efectuarea unui studiu de fezabilitate privind utilizarea eficientă a patrimoniului public, inclusiv din perspectiva eventualei reduceri a suprafeței de teren aferente instituției de învățământ, în vederea fundamentării temeinice a deciziei de schimbare a destinației terenului. În final, transparența utilizării eficiente a bunurilor proprietate publică se impune în vederea asigurării respectării interesului public general.</w:t>
            </w:r>
          </w:p>
          <w:p w:rsidR="00E05DDF" w:rsidRPr="00AC70C4" w:rsidRDefault="00E05DDF" w:rsidP="00861AFD">
            <w:pPr>
              <w:pStyle w:val="a6"/>
              <w:shd w:val="clear" w:color="auto" w:fill="FFFFFF"/>
              <w:spacing w:before="0" w:beforeAutospacing="0" w:after="160" w:afterAutospacing="0"/>
              <w:jc w:val="both"/>
              <w:rPr>
                <w:color w:val="000000"/>
              </w:rPr>
            </w:pPr>
            <w:r w:rsidRPr="00AC70C4">
              <w:rPr>
                <w:color w:val="000000"/>
              </w:rPr>
              <w:t>Prin urmare, constatările menționate vizează aspecte ce țin de fundamentarea şi configurarea soluției normative, care nu se circumscriu pe deplin competențelor funcționale ale Centrului, în cadrul procedurii de expertiză </w:t>
            </w:r>
            <w:r w:rsidRPr="00AC70C4">
              <w:rPr>
                <w:rStyle w:val="il"/>
                <w:color w:val="000000"/>
              </w:rPr>
              <w:t>anticorupţie</w:t>
            </w:r>
            <w:r w:rsidRPr="00AC70C4">
              <w:t>.”.</w:t>
            </w:r>
          </w:p>
        </w:tc>
        <w:tc>
          <w:tcPr>
            <w:tcW w:w="5386" w:type="dxa"/>
          </w:tcPr>
          <w:p w:rsidR="00E05DDF" w:rsidRPr="00AC70C4" w:rsidRDefault="00E05DDF" w:rsidP="00861AFD">
            <w:pPr>
              <w:shd w:val="clear" w:color="auto" w:fill="FFFFFF"/>
              <w:ind w:firstLine="459"/>
              <w:jc w:val="both"/>
              <w:rPr>
                <w:rFonts w:ascii="Times New Roman" w:eastAsia="Times New Roman" w:hAnsi="Times New Roman" w:cs="Times New Roman"/>
                <w:b/>
                <w:color w:val="000000" w:themeColor="text1"/>
                <w:sz w:val="24"/>
                <w:szCs w:val="24"/>
                <w:lang w:val="ro-MD" w:eastAsia="ru-RU"/>
              </w:rPr>
            </w:pPr>
            <w:r w:rsidRPr="00AC70C4">
              <w:rPr>
                <w:rFonts w:ascii="Times New Roman" w:eastAsia="Times New Roman" w:hAnsi="Times New Roman" w:cs="Times New Roman"/>
                <w:b/>
                <w:color w:val="000000" w:themeColor="text1"/>
                <w:sz w:val="24"/>
                <w:szCs w:val="24"/>
                <w:lang w:val="ro-MD" w:eastAsia="ru-RU"/>
              </w:rPr>
              <w:lastRenderedPageBreak/>
              <w:t>Sa ia act.</w:t>
            </w:r>
          </w:p>
          <w:p w:rsidR="00D66C6A" w:rsidRPr="00AC70C4" w:rsidRDefault="00202B33" w:rsidP="00D66C6A">
            <w:pPr>
              <w:shd w:val="clear" w:color="auto" w:fill="FFFFFF"/>
              <w:ind w:firstLine="459"/>
              <w:jc w:val="both"/>
              <w:rPr>
                <w:rFonts w:ascii="Times New Roman" w:eastAsia="Times New Roman" w:hAnsi="Times New Roman" w:cs="Times New Roman"/>
                <w:color w:val="000000" w:themeColor="text1"/>
                <w:sz w:val="24"/>
                <w:szCs w:val="24"/>
                <w:shd w:val="clear" w:color="auto" w:fill="FFFFFF" w:themeFill="background1"/>
                <w:lang w:val="ro-MD" w:eastAsia="ru-RU"/>
              </w:rPr>
            </w:pPr>
            <w:r w:rsidRPr="00AC70C4">
              <w:rPr>
                <w:rFonts w:ascii="Times New Roman" w:eastAsia="Times New Roman" w:hAnsi="Times New Roman" w:cs="Times New Roman"/>
                <w:color w:val="000000" w:themeColor="text1"/>
                <w:sz w:val="24"/>
                <w:szCs w:val="24"/>
                <w:shd w:val="clear" w:color="auto" w:fill="FFFFFF" w:themeFill="background1"/>
                <w:lang w:val="ro-MD" w:eastAsia="ru-RU"/>
              </w:rPr>
              <w:t>Menționăm că proiectul Hotărârii de Guvern nu conține condiționalități, iar informația din Nota de Fundamentare privind utilizarea în viitor de către Consiliul Raional a terenului supus expertizării</w:t>
            </w:r>
            <w:r w:rsidR="004E068B" w:rsidRPr="00AC70C4">
              <w:rPr>
                <w:rFonts w:ascii="Times New Roman" w:eastAsia="Times New Roman" w:hAnsi="Times New Roman" w:cs="Times New Roman"/>
                <w:color w:val="000000" w:themeColor="text1"/>
                <w:sz w:val="24"/>
                <w:szCs w:val="24"/>
                <w:shd w:val="clear" w:color="auto" w:fill="FFFFFF" w:themeFill="background1"/>
                <w:lang w:val="ro-MD" w:eastAsia="ru-RU"/>
              </w:rPr>
              <w:t xml:space="preserve"> în vederea proiectării și construcției unui Centru al Medicilor de Familie</w:t>
            </w:r>
            <w:r w:rsidR="00EA1697" w:rsidRPr="00AC70C4">
              <w:rPr>
                <w:rFonts w:ascii="Times New Roman" w:eastAsia="Times New Roman" w:hAnsi="Times New Roman" w:cs="Times New Roman"/>
                <w:color w:val="000000" w:themeColor="text1"/>
                <w:sz w:val="24"/>
                <w:szCs w:val="24"/>
                <w:shd w:val="clear" w:color="auto" w:fill="FFFFFF" w:themeFill="background1"/>
                <w:lang w:val="ro-MD" w:eastAsia="ru-RU"/>
              </w:rPr>
              <w:t xml:space="preserve"> a</w:t>
            </w:r>
            <w:r w:rsidR="00621B3B" w:rsidRPr="00AC70C4">
              <w:rPr>
                <w:rFonts w:ascii="Times New Roman" w:eastAsia="Times New Roman" w:hAnsi="Times New Roman" w:cs="Times New Roman"/>
                <w:color w:val="000000" w:themeColor="text1"/>
                <w:sz w:val="24"/>
                <w:szCs w:val="24"/>
                <w:shd w:val="clear" w:color="auto" w:fill="FFFFFF" w:themeFill="background1"/>
                <w:lang w:val="ro-MD" w:eastAsia="ru-RU"/>
              </w:rPr>
              <w:t xml:space="preserve"> fost</w:t>
            </w:r>
            <w:r w:rsidR="00EA1697" w:rsidRPr="00AC70C4">
              <w:rPr>
                <w:rFonts w:ascii="Times New Roman" w:eastAsia="Times New Roman" w:hAnsi="Times New Roman" w:cs="Times New Roman"/>
                <w:color w:val="000000" w:themeColor="text1"/>
                <w:sz w:val="24"/>
                <w:szCs w:val="24"/>
                <w:shd w:val="clear" w:color="auto" w:fill="FFFFFF" w:themeFill="background1"/>
                <w:lang w:val="ro-MD" w:eastAsia="ru-RU"/>
              </w:rPr>
              <w:t xml:space="preserve"> inclusă pentru a asigura </w:t>
            </w:r>
            <w:r w:rsidR="00621B3B" w:rsidRPr="00AC70C4">
              <w:rPr>
                <w:rFonts w:ascii="Times New Roman" w:eastAsia="Times New Roman" w:hAnsi="Times New Roman" w:cs="Times New Roman"/>
                <w:color w:val="000000" w:themeColor="text1"/>
                <w:sz w:val="24"/>
                <w:szCs w:val="24"/>
                <w:shd w:val="clear" w:color="auto" w:fill="FFFFFF" w:themeFill="background1"/>
                <w:lang w:val="ro-MD" w:eastAsia="ru-RU"/>
              </w:rPr>
              <w:t>transparența procesului decizional</w:t>
            </w:r>
            <w:r w:rsidR="00D66C6A" w:rsidRPr="00AC70C4">
              <w:rPr>
                <w:rFonts w:ascii="Times New Roman" w:eastAsia="Times New Roman" w:hAnsi="Times New Roman" w:cs="Times New Roman"/>
                <w:color w:val="000000" w:themeColor="text1"/>
                <w:sz w:val="24"/>
                <w:szCs w:val="24"/>
                <w:shd w:val="clear" w:color="auto" w:fill="FFFFFF" w:themeFill="background1"/>
                <w:lang w:val="ro-MD" w:eastAsia="ru-RU"/>
              </w:rPr>
              <w:t>.</w:t>
            </w:r>
          </w:p>
          <w:p w:rsidR="00E05DDF" w:rsidRPr="0080288E" w:rsidRDefault="00B1498D" w:rsidP="00D66C6A">
            <w:pPr>
              <w:shd w:val="clear" w:color="auto" w:fill="FFFFFF"/>
              <w:ind w:firstLine="459"/>
              <w:jc w:val="both"/>
              <w:rPr>
                <w:rFonts w:ascii="Times New Roman" w:eastAsia="Times New Roman" w:hAnsi="Times New Roman" w:cs="Times New Roman"/>
                <w:color w:val="000000" w:themeColor="text1"/>
                <w:sz w:val="24"/>
                <w:szCs w:val="24"/>
                <w:shd w:val="clear" w:color="auto" w:fill="FFFFFF" w:themeFill="background1"/>
                <w:lang w:val="ro-MD" w:eastAsia="ru-RU"/>
              </w:rPr>
            </w:pPr>
            <w:r w:rsidRPr="00AC70C4">
              <w:rPr>
                <w:rFonts w:ascii="Times New Roman" w:eastAsia="Times New Roman" w:hAnsi="Times New Roman" w:cs="Times New Roman"/>
                <w:color w:val="000000" w:themeColor="text1"/>
                <w:sz w:val="24"/>
                <w:szCs w:val="24"/>
                <w:shd w:val="clear" w:color="auto" w:fill="FFFFFF" w:themeFill="background1"/>
                <w:lang w:val="ro-MD" w:eastAsia="ru-RU"/>
              </w:rPr>
              <w:t>Precizăm că cele 4 condiții enumerate la ultim</w:t>
            </w:r>
            <w:r w:rsidR="00AD65EA">
              <w:rPr>
                <w:rFonts w:ascii="Times New Roman" w:eastAsia="Times New Roman" w:hAnsi="Times New Roman" w:cs="Times New Roman"/>
                <w:color w:val="000000" w:themeColor="text1"/>
                <w:sz w:val="24"/>
                <w:szCs w:val="24"/>
                <w:shd w:val="clear" w:color="auto" w:fill="FFFFFF" w:themeFill="background1"/>
                <w:lang w:val="ro-MD" w:eastAsia="ru-RU"/>
              </w:rPr>
              <w:t>ul alineat de la punctul 2 din nota de f</w:t>
            </w:r>
            <w:r w:rsidRPr="00AC70C4">
              <w:rPr>
                <w:rFonts w:ascii="Times New Roman" w:eastAsia="Times New Roman" w:hAnsi="Times New Roman" w:cs="Times New Roman"/>
                <w:color w:val="000000" w:themeColor="text1"/>
                <w:sz w:val="24"/>
                <w:szCs w:val="24"/>
                <w:shd w:val="clear" w:color="auto" w:fill="FFFFFF" w:themeFill="background1"/>
                <w:lang w:val="ro-MD" w:eastAsia="ru-RU"/>
              </w:rPr>
              <w:t>undamentare, au fost stabilite de către Comisia de avizare a rapoartelor de expertiză în procesul-verbal din 16 decembrie 2025</w:t>
            </w:r>
            <w:r w:rsidR="003E4911" w:rsidRPr="00AC70C4">
              <w:rPr>
                <w:rFonts w:ascii="Times New Roman" w:eastAsia="Times New Roman" w:hAnsi="Times New Roman" w:cs="Times New Roman"/>
                <w:color w:val="000000" w:themeColor="text1"/>
                <w:sz w:val="24"/>
                <w:szCs w:val="24"/>
                <w:shd w:val="clear" w:color="auto" w:fill="FFFFFF" w:themeFill="background1"/>
                <w:lang w:val="ro-MD" w:eastAsia="ru-RU"/>
              </w:rPr>
              <w:t xml:space="preserve">, care activează în temeiul pct.12 din Metodologia </w:t>
            </w:r>
            <w:r w:rsidR="003E4911" w:rsidRPr="00AC70C4">
              <w:rPr>
                <w:rFonts w:ascii="Times New Roman" w:hAnsi="Times New Roman"/>
                <w:i/>
                <w:color w:val="000000" w:themeColor="text1"/>
                <w:sz w:val="24"/>
                <w:szCs w:val="24"/>
                <w:lang w:val="ro-MD"/>
              </w:rPr>
              <w:t xml:space="preserve">de realizare a raportului de expertiză privind încetarea necesității menținerii în domeniul public a unor bunuri imobile destinate domeniului educației, </w:t>
            </w:r>
            <w:r w:rsidR="003E4911" w:rsidRPr="0080288E">
              <w:rPr>
                <w:rFonts w:ascii="Times New Roman" w:hAnsi="Times New Roman"/>
                <w:color w:val="000000" w:themeColor="text1"/>
                <w:sz w:val="24"/>
                <w:szCs w:val="24"/>
                <w:lang w:val="ro-MD"/>
              </w:rPr>
              <w:t xml:space="preserve">aprobată prin </w:t>
            </w:r>
            <w:r w:rsidR="00861AFD" w:rsidRPr="0080288E">
              <w:rPr>
                <w:rFonts w:ascii="Times New Roman" w:hAnsi="Times New Roman"/>
                <w:color w:val="000000" w:themeColor="text1"/>
                <w:sz w:val="24"/>
                <w:szCs w:val="24"/>
                <w:lang w:val="ro-MD"/>
              </w:rPr>
              <w:t>Hotărârea Guvernului nr.314/2018</w:t>
            </w:r>
            <w:r w:rsidR="00861AFD" w:rsidRPr="0080288E">
              <w:rPr>
                <w:rFonts w:ascii="Times New Roman" w:eastAsia="Times New Roman" w:hAnsi="Times New Roman" w:cs="Times New Roman"/>
                <w:color w:val="000000" w:themeColor="text1"/>
                <w:sz w:val="24"/>
                <w:szCs w:val="24"/>
                <w:shd w:val="clear" w:color="auto" w:fill="FFFFFF" w:themeFill="background1"/>
                <w:lang w:val="ro-MD" w:eastAsia="ru-RU"/>
              </w:rPr>
              <w:t>.</w:t>
            </w:r>
          </w:p>
          <w:p w:rsidR="00D4644F" w:rsidRPr="00AC70C4" w:rsidRDefault="00AD65EA" w:rsidP="00D66C6A">
            <w:pPr>
              <w:shd w:val="clear" w:color="auto" w:fill="FFFFFF"/>
              <w:ind w:firstLine="459"/>
              <w:jc w:val="both"/>
              <w:rPr>
                <w:rFonts w:ascii="Times New Roman" w:eastAsia="Times New Roman" w:hAnsi="Times New Roman" w:cs="Times New Roman"/>
                <w:color w:val="000000" w:themeColor="text1"/>
                <w:sz w:val="24"/>
                <w:szCs w:val="24"/>
                <w:shd w:val="clear" w:color="auto" w:fill="FFFFFF" w:themeFill="background1"/>
                <w:lang w:val="ro-MD" w:eastAsia="ru-RU"/>
              </w:rPr>
            </w:pPr>
            <w:r>
              <w:rPr>
                <w:rFonts w:ascii="Times New Roman" w:eastAsia="Times New Roman" w:hAnsi="Times New Roman" w:cs="Times New Roman"/>
                <w:color w:val="000000" w:themeColor="text1"/>
                <w:sz w:val="24"/>
                <w:szCs w:val="24"/>
                <w:shd w:val="clear" w:color="auto" w:fill="FFFFFF" w:themeFill="background1"/>
                <w:lang w:val="ro-MD" w:eastAsia="ru-RU"/>
              </w:rPr>
              <w:t>Astfle în, n</w:t>
            </w:r>
            <w:r w:rsidR="00D4644F" w:rsidRPr="00AC70C4">
              <w:rPr>
                <w:rFonts w:ascii="Times New Roman" w:eastAsia="Times New Roman" w:hAnsi="Times New Roman" w:cs="Times New Roman"/>
                <w:color w:val="000000" w:themeColor="text1"/>
                <w:sz w:val="24"/>
                <w:szCs w:val="24"/>
                <w:shd w:val="clear" w:color="auto" w:fill="FFFFFF" w:themeFill="background1"/>
                <w:lang w:val="ro-MD" w:eastAsia="ru-RU"/>
              </w:rPr>
              <w:t>ota de fundamentare</w:t>
            </w:r>
            <w:r w:rsidR="00AC70C4" w:rsidRPr="00AC70C4">
              <w:rPr>
                <w:rFonts w:ascii="Times New Roman" w:eastAsia="Times New Roman" w:hAnsi="Times New Roman" w:cs="Times New Roman"/>
                <w:color w:val="000000" w:themeColor="text1"/>
                <w:sz w:val="24"/>
                <w:szCs w:val="24"/>
                <w:shd w:val="clear" w:color="auto" w:fill="FFFFFF" w:themeFill="background1"/>
                <w:lang w:val="ro-MD" w:eastAsia="ru-RU"/>
              </w:rPr>
              <w:t xml:space="preserve"> </w:t>
            </w:r>
            <w:r>
              <w:rPr>
                <w:rFonts w:ascii="Times New Roman" w:eastAsia="Times New Roman" w:hAnsi="Times New Roman" w:cs="Times New Roman"/>
                <w:color w:val="000000" w:themeColor="text1"/>
                <w:sz w:val="24"/>
                <w:szCs w:val="24"/>
                <w:shd w:val="clear" w:color="auto" w:fill="FFFFFF" w:themeFill="background1"/>
                <w:lang w:val="ro-MD" w:eastAsia="ru-RU"/>
              </w:rPr>
              <w:t xml:space="preserve">doar </w:t>
            </w:r>
            <w:r w:rsidR="00D4644F" w:rsidRPr="00AC70C4">
              <w:rPr>
                <w:rFonts w:ascii="Times New Roman" w:eastAsia="Times New Roman" w:hAnsi="Times New Roman" w:cs="Times New Roman"/>
                <w:color w:val="000000" w:themeColor="text1"/>
                <w:sz w:val="24"/>
                <w:szCs w:val="24"/>
                <w:shd w:val="clear" w:color="auto" w:fill="FFFFFF" w:themeFill="background1"/>
                <w:lang w:val="ro-MD" w:eastAsia="ru-RU"/>
              </w:rPr>
              <w:t>se face trimitere la Hotărârea Comisiei de avizare din 16 decembrie 2025</w:t>
            </w:r>
            <w:r w:rsidR="00AC70C4" w:rsidRPr="00AC70C4">
              <w:rPr>
                <w:rFonts w:ascii="Times New Roman" w:eastAsia="Times New Roman" w:hAnsi="Times New Roman" w:cs="Times New Roman"/>
                <w:color w:val="000000" w:themeColor="text1"/>
                <w:sz w:val="24"/>
                <w:szCs w:val="24"/>
                <w:shd w:val="clear" w:color="auto" w:fill="FFFFFF" w:themeFill="background1"/>
                <w:lang w:val="ro-MD" w:eastAsia="ru-RU"/>
              </w:rPr>
              <w:t xml:space="preserve"> și se enumeră condițiile reținute de această Comisie.</w:t>
            </w:r>
          </w:p>
          <w:p w:rsidR="00861AFD" w:rsidRPr="00AC70C4" w:rsidRDefault="0080288E" w:rsidP="002062D1">
            <w:pPr>
              <w:shd w:val="clear" w:color="auto" w:fill="FFFFFF"/>
              <w:ind w:firstLine="459"/>
              <w:jc w:val="both"/>
              <w:rPr>
                <w:rFonts w:ascii="Times New Roman" w:eastAsia="Times New Roman" w:hAnsi="Times New Roman" w:cs="Times New Roman"/>
                <w:color w:val="000000" w:themeColor="text1"/>
                <w:sz w:val="24"/>
                <w:szCs w:val="24"/>
                <w:shd w:val="clear" w:color="auto" w:fill="FFFFFF" w:themeFill="background1"/>
                <w:lang w:val="ro-MD" w:eastAsia="ru-RU"/>
              </w:rPr>
            </w:pPr>
            <w:r>
              <w:rPr>
                <w:rFonts w:ascii="Times New Roman" w:eastAsia="Times New Roman" w:hAnsi="Times New Roman" w:cs="Times New Roman"/>
                <w:color w:val="000000" w:themeColor="text1"/>
                <w:sz w:val="24"/>
                <w:szCs w:val="24"/>
                <w:shd w:val="clear" w:color="auto" w:fill="FFFFFF" w:themeFill="background1"/>
                <w:lang w:val="ro-MD" w:eastAsia="ru-RU"/>
              </w:rPr>
              <w:lastRenderedPageBreak/>
              <w:t xml:space="preserve">În parte ce ține de oportunitatea efetuării unui studiu de fezabilitate, menționăm că această </w:t>
            </w:r>
            <w:r w:rsidR="00A750EB">
              <w:rPr>
                <w:rFonts w:ascii="Times New Roman" w:eastAsia="Times New Roman" w:hAnsi="Times New Roman" w:cs="Times New Roman"/>
                <w:color w:val="000000" w:themeColor="text1"/>
                <w:sz w:val="24"/>
                <w:szCs w:val="24"/>
                <w:shd w:val="clear" w:color="auto" w:fill="FFFFFF" w:themeFill="background1"/>
                <w:lang w:val="ro-MD" w:eastAsia="ru-RU"/>
              </w:rPr>
              <w:t xml:space="preserve">procedură nu este prevăzută în Metodologia de </w:t>
            </w:r>
            <w:r w:rsidR="00A750EB" w:rsidRPr="00AC70C4">
              <w:rPr>
                <w:rFonts w:ascii="Times New Roman" w:hAnsi="Times New Roman"/>
                <w:i/>
                <w:color w:val="000000" w:themeColor="text1"/>
                <w:sz w:val="24"/>
                <w:szCs w:val="24"/>
                <w:lang w:val="ro-MD"/>
              </w:rPr>
              <w:t xml:space="preserve">realizare a raportului de expertiză privind încetarea necesității menținerii în domeniul public a unor bunuri imobile destinate domeniului educației, </w:t>
            </w:r>
            <w:r w:rsidR="00A750EB" w:rsidRPr="0080288E">
              <w:rPr>
                <w:rFonts w:ascii="Times New Roman" w:hAnsi="Times New Roman"/>
                <w:color w:val="000000" w:themeColor="text1"/>
                <w:sz w:val="24"/>
                <w:szCs w:val="24"/>
                <w:lang w:val="ro-MD"/>
              </w:rPr>
              <w:t>aprobată prin Hotărârea Guvernului nr.314/2018</w:t>
            </w:r>
            <w:r w:rsidR="00A750EB" w:rsidRPr="0080288E">
              <w:rPr>
                <w:rFonts w:ascii="Times New Roman" w:eastAsia="Times New Roman" w:hAnsi="Times New Roman" w:cs="Times New Roman"/>
                <w:color w:val="000000" w:themeColor="text1"/>
                <w:sz w:val="24"/>
                <w:szCs w:val="24"/>
                <w:shd w:val="clear" w:color="auto" w:fill="FFFFFF" w:themeFill="background1"/>
                <w:lang w:val="ro-MD" w:eastAsia="ru-RU"/>
              </w:rPr>
              <w:t>.</w:t>
            </w:r>
          </w:p>
        </w:tc>
      </w:tr>
      <w:tr w:rsidR="00E05DDF" w:rsidRPr="00202B33" w:rsidTr="00861AFD">
        <w:trPr>
          <w:trHeight w:val="848"/>
        </w:trPr>
        <w:tc>
          <w:tcPr>
            <w:tcW w:w="2836" w:type="dxa"/>
          </w:tcPr>
          <w:p w:rsidR="00E05DDF" w:rsidRDefault="00E05DDF" w:rsidP="00861AFD">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Ministerul Justiției</w:t>
            </w:r>
          </w:p>
        </w:tc>
        <w:tc>
          <w:tcPr>
            <w:tcW w:w="709" w:type="dxa"/>
          </w:tcPr>
          <w:p w:rsidR="00E05DDF" w:rsidRDefault="00E05DDF" w:rsidP="00861AFD">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6.2.</w:t>
            </w:r>
          </w:p>
        </w:tc>
        <w:tc>
          <w:tcPr>
            <w:tcW w:w="6378" w:type="dxa"/>
          </w:tcPr>
          <w:p w:rsidR="00E05DDF" w:rsidRDefault="00E05DDF" w:rsidP="00861AFD">
            <w:pPr>
              <w:ind w:firstLine="456"/>
              <w:jc w:val="both"/>
              <w:rPr>
                <w:rFonts w:ascii="Times New Roman" w:hAnsi="Times New Roman" w:cs="Times New Roman"/>
                <w:color w:val="000000" w:themeColor="text1"/>
                <w:sz w:val="24"/>
                <w:szCs w:val="24"/>
                <w:lang w:val="ro-MD"/>
              </w:rPr>
            </w:pPr>
            <w:r>
              <w:rPr>
                <w:rFonts w:ascii="Times New Roman" w:hAnsi="Times New Roman" w:cs="Times New Roman"/>
                <w:color w:val="000000" w:themeColor="text1"/>
                <w:sz w:val="24"/>
                <w:szCs w:val="24"/>
                <w:lang w:val="ro-MD"/>
              </w:rPr>
              <w:t>Nu s-a prezentat.</w:t>
            </w:r>
          </w:p>
          <w:p w:rsidR="00E05DDF" w:rsidRPr="00A913B3" w:rsidRDefault="00E05DDF" w:rsidP="00861AFD">
            <w:pPr>
              <w:ind w:firstLine="456"/>
              <w:jc w:val="both"/>
              <w:rPr>
                <w:rFonts w:ascii="Times New Roman" w:hAnsi="Times New Roman" w:cs="Times New Roman"/>
                <w:color w:val="000000" w:themeColor="text1"/>
                <w:sz w:val="24"/>
                <w:szCs w:val="24"/>
                <w:lang w:val="ro-MD"/>
              </w:rPr>
            </w:pPr>
            <w:r>
              <w:rPr>
                <w:rFonts w:ascii="Times New Roman" w:hAnsi="Times New Roman" w:cs="Times New Roman"/>
                <w:color w:val="000000" w:themeColor="text1"/>
                <w:sz w:val="24"/>
                <w:szCs w:val="24"/>
                <w:lang w:val="ro-MD"/>
              </w:rPr>
              <w:t>S-a discutat telefonic cu executorul Raportului de expertiză.</w:t>
            </w:r>
          </w:p>
        </w:tc>
        <w:tc>
          <w:tcPr>
            <w:tcW w:w="5386" w:type="dxa"/>
          </w:tcPr>
          <w:p w:rsidR="00E05DDF" w:rsidRDefault="00E05DDF" w:rsidP="00861AFD">
            <w:pPr>
              <w:shd w:val="clear" w:color="auto" w:fill="FFFFFF"/>
              <w:ind w:firstLine="459"/>
              <w:jc w:val="both"/>
              <w:rPr>
                <w:rFonts w:ascii="Times New Roman" w:eastAsia="Times New Roman" w:hAnsi="Times New Roman" w:cs="Times New Roman"/>
                <w:b/>
                <w:color w:val="000000" w:themeColor="text1"/>
                <w:sz w:val="24"/>
                <w:szCs w:val="24"/>
                <w:lang w:val="ro-MD" w:eastAsia="ru-RU"/>
              </w:rPr>
            </w:pPr>
            <w:r>
              <w:rPr>
                <w:rFonts w:ascii="Times New Roman" w:eastAsia="Times New Roman" w:hAnsi="Times New Roman" w:cs="Times New Roman"/>
                <w:b/>
                <w:color w:val="000000" w:themeColor="text1"/>
                <w:sz w:val="24"/>
                <w:szCs w:val="24"/>
                <w:lang w:val="ro-MD" w:eastAsia="ru-RU"/>
              </w:rPr>
              <w:t>Se acceptă.</w:t>
            </w:r>
          </w:p>
          <w:p w:rsidR="00E05DDF" w:rsidRPr="00AA6280" w:rsidRDefault="00E05DDF" w:rsidP="00861AFD">
            <w:pPr>
              <w:shd w:val="clear" w:color="auto" w:fill="FFFFFF"/>
              <w:ind w:firstLine="459"/>
              <w:jc w:val="both"/>
              <w:rPr>
                <w:rFonts w:ascii="Times New Roman" w:eastAsia="Times New Roman" w:hAnsi="Times New Roman" w:cs="Times New Roman"/>
                <w:color w:val="000000" w:themeColor="text1"/>
                <w:sz w:val="24"/>
                <w:szCs w:val="24"/>
                <w:lang w:val="en-US" w:eastAsia="ru-RU"/>
              </w:rPr>
            </w:pPr>
            <w:r w:rsidRPr="00AA6280">
              <w:rPr>
                <w:rFonts w:ascii="Times New Roman" w:eastAsia="Times New Roman" w:hAnsi="Times New Roman" w:cs="Times New Roman"/>
                <w:color w:val="000000" w:themeColor="text1"/>
                <w:sz w:val="24"/>
                <w:szCs w:val="24"/>
                <w:lang w:val="ro-MD" w:eastAsia="ru-RU"/>
              </w:rPr>
              <w:t>S-a convenit telefonic asupra următorului cuprins a puncului 1 din proiectul Hotărârii de Guvern</w:t>
            </w:r>
            <w:r w:rsidRPr="00AA6280">
              <w:rPr>
                <w:rFonts w:ascii="Times New Roman" w:eastAsia="Times New Roman" w:hAnsi="Times New Roman" w:cs="Times New Roman"/>
                <w:color w:val="000000" w:themeColor="text1"/>
                <w:sz w:val="24"/>
                <w:szCs w:val="24"/>
                <w:lang w:val="en-US" w:eastAsia="ru-RU"/>
              </w:rPr>
              <w:t>:</w:t>
            </w:r>
          </w:p>
          <w:p w:rsidR="00E05DDF" w:rsidRPr="00D34FEC" w:rsidRDefault="00E05DDF" w:rsidP="00861AFD">
            <w:pPr>
              <w:shd w:val="clear" w:color="auto" w:fill="FFFFFF"/>
              <w:ind w:firstLine="459"/>
              <w:jc w:val="both"/>
              <w:rPr>
                <w:rFonts w:ascii="Times New Roman" w:eastAsia="Times New Roman" w:hAnsi="Times New Roman" w:cs="Times New Roman"/>
                <w:b/>
                <w:color w:val="000000" w:themeColor="text1"/>
                <w:sz w:val="24"/>
                <w:szCs w:val="24"/>
                <w:lang w:val="ro-MD" w:eastAsia="ru-RU"/>
              </w:rPr>
            </w:pPr>
            <w:r w:rsidRPr="00D34FEC">
              <w:rPr>
                <w:rFonts w:ascii="Times New Roman" w:eastAsia="Times New Roman" w:hAnsi="Times New Roman" w:cs="Times New Roman"/>
                <w:b/>
                <w:color w:val="000000" w:themeColor="text1"/>
                <w:sz w:val="24"/>
                <w:szCs w:val="24"/>
                <w:lang w:val="ro-MD" w:eastAsia="ru-RU"/>
              </w:rPr>
              <w:t>„1.</w:t>
            </w:r>
            <w:r w:rsidRPr="00D34FEC">
              <w:rPr>
                <w:rFonts w:ascii="Times New Roman" w:hAnsi="Times New Roman"/>
                <w:color w:val="000000"/>
                <w:sz w:val="24"/>
                <w:szCs w:val="24"/>
              </w:rPr>
              <w:t xml:space="preserve"> Se acceptă schimbarea destinației </w:t>
            </w:r>
            <w:r w:rsidRPr="00D34FEC">
              <w:rPr>
                <w:rFonts w:ascii="Times New Roman" w:hAnsi="Times New Roman"/>
                <w:sz w:val="24"/>
                <w:szCs w:val="24"/>
              </w:rPr>
              <w:t>unei porțiuni de teren cu suprafața de 0,4429 ha</w:t>
            </w:r>
            <w:r w:rsidRPr="00D34FEC">
              <w:rPr>
                <w:rFonts w:ascii="Times New Roman" w:hAnsi="Times New Roman"/>
                <w:color w:val="000000" w:themeColor="text1"/>
                <w:sz w:val="24"/>
                <w:szCs w:val="24"/>
              </w:rPr>
              <w:t>, formată din terenul cu numărul cadastral 2701205054 (aferent Liceului Teoretic „Ion Creangă” din or. Căușeni, str. Unirii, 17), proprietate a raionului Căușeni, ca urmare a constatării lipsei necesității de utilizare a acesteia în domeniul educației</w:t>
            </w:r>
            <w:r>
              <w:rPr>
                <w:rFonts w:ascii="Times New Roman" w:hAnsi="Times New Roman"/>
                <w:color w:val="000000" w:themeColor="text1"/>
                <w:sz w:val="24"/>
                <w:szCs w:val="24"/>
              </w:rPr>
              <w:t>.</w:t>
            </w:r>
            <w:r w:rsidRPr="00D34FEC">
              <w:rPr>
                <w:rFonts w:ascii="Times New Roman" w:eastAsia="Times New Roman" w:hAnsi="Times New Roman" w:cs="Times New Roman"/>
                <w:color w:val="000000" w:themeColor="text1"/>
                <w:sz w:val="24"/>
                <w:szCs w:val="24"/>
                <w:lang w:val="ro-MD" w:eastAsia="ru-RU"/>
              </w:rPr>
              <w:t>”</w:t>
            </w:r>
            <w:r>
              <w:rPr>
                <w:rFonts w:ascii="Times New Roman" w:eastAsia="Times New Roman" w:hAnsi="Times New Roman" w:cs="Times New Roman"/>
                <w:color w:val="000000" w:themeColor="text1"/>
                <w:sz w:val="24"/>
                <w:szCs w:val="24"/>
                <w:lang w:val="ro-MD" w:eastAsia="ru-RU"/>
              </w:rPr>
              <w:t>.</w:t>
            </w:r>
          </w:p>
        </w:tc>
      </w:tr>
    </w:tbl>
    <w:p w:rsidR="00E05DDF" w:rsidRDefault="00E05DDF" w:rsidP="00E05DDF">
      <w:pPr>
        <w:spacing w:after="0"/>
        <w:jc w:val="both"/>
        <w:rPr>
          <w:rFonts w:ascii="Times New Roman" w:hAnsi="Times New Roman" w:cs="Times New Roman"/>
          <w:sz w:val="28"/>
          <w:lang w:val="ro-RO"/>
        </w:rPr>
      </w:pPr>
    </w:p>
    <w:p w:rsidR="00E05DDF" w:rsidRDefault="00E05DDF" w:rsidP="00E05DDF">
      <w:pPr>
        <w:spacing w:after="0"/>
        <w:jc w:val="both"/>
        <w:rPr>
          <w:rFonts w:ascii="Times New Roman" w:hAnsi="Times New Roman" w:cs="Times New Roman"/>
          <w:sz w:val="28"/>
          <w:lang w:val="ro-RO"/>
        </w:rPr>
      </w:pPr>
    </w:p>
    <w:p w:rsidR="00903DC4" w:rsidRDefault="00903DC4" w:rsidP="00E05DDF">
      <w:pPr>
        <w:spacing w:after="0"/>
        <w:jc w:val="both"/>
        <w:rPr>
          <w:rFonts w:ascii="Times New Roman" w:hAnsi="Times New Roman" w:cs="Times New Roman"/>
          <w:sz w:val="28"/>
          <w:lang w:val="ro-RO"/>
        </w:rPr>
      </w:pPr>
    </w:p>
    <w:p w:rsidR="00E05DDF" w:rsidRPr="00AF23DD" w:rsidRDefault="00E05DDF" w:rsidP="00E05DDF">
      <w:pPr>
        <w:spacing w:after="0"/>
        <w:jc w:val="center"/>
        <w:rPr>
          <w:rFonts w:ascii="Times New Roman" w:hAnsi="Times New Roman" w:cs="Times New Roman"/>
          <w:b/>
          <w:bCs/>
          <w:sz w:val="28"/>
          <w:lang w:val="ro-RO"/>
        </w:rPr>
      </w:pPr>
      <w:r>
        <w:rPr>
          <w:rFonts w:ascii="Times New Roman" w:hAnsi="Times New Roman" w:cs="Times New Roman"/>
          <w:b/>
          <w:bCs/>
          <w:sz w:val="28"/>
          <w:lang w:val="ro-RO"/>
        </w:rPr>
        <w:t>Ministru</w:t>
      </w:r>
      <w:r w:rsidRPr="00AF23DD">
        <w:rPr>
          <w:rFonts w:ascii="Times New Roman" w:hAnsi="Times New Roman" w:cs="Times New Roman"/>
          <w:b/>
          <w:bCs/>
          <w:sz w:val="28"/>
          <w:lang w:val="ro-RO"/>
        </w:rPr>
        <w:t xml:space="preserve">                                          </w:t>
      </w:r>
      <w:r>
        <w:rPr>
          <w:rFonts w:ascii="Times New Roman" w:hAnsi="Times New Roman" w:cs="Times New Roman"/>
          <w:b/>
          <w:bCs/>
          <w:sz w:val="28"/>
          <w:lang w:val="ro-RO"/>
        </w:rPr>
        <w:t>Dan PERCIUN</w:t>
      </w:r>
    </w:p>
    <w:p w:rsidR="00E05DDF" w:rsidRDefault="00E05DDF" w:rsidP="00E05DDF">
      <w:pPr>
        <w:spacing w:after="0"/>
        <w:rPr>
          <w:rFonts w:ascii="Times New Roman" w:hAnsi="Times New Roman" w:cs="Times New Roman"/>
          <w:sz w:val="16"/>
          <w:szCs w:val="29"/>
          <w:lang w:val="pt-BR"/>
        </w:rPr>
      </w:pPr>
    </w:p>
    <w:p w:rsidR="00E05DDF" w:rsidRDefault="00E05DDF" w:rsidP="00E05DDF">
      <w:pPr>
        <w:spacing w:after="0"/>
        <w:rPr>
          <w:rFonts w:ascii="Times New Roman" w:hAnsi="Times New Roman" w:cs="Times New Roman"/>
          <w:sz w:val="16"/>
          <w:szCs w:val="29"/>
          <w:lang w:val="pt-BR"/>
        </w:rPr>
      </w:pPr>
      <w:bookmarkStart w:id="0" w:name="_GoBack"/>
      <w:bookmarkEnd w:id="0"/>
    </w:p>
    <w:p w:rsidR="00E05DDF" w:rsidRDefault="00E05DDF" w:rsidP="00E05DDF">
      <w:pPr>
        <w:spacing w:after="0"/>
        <w:rPr>
          <w:rFonts w:ascii="Times New Roman" w:hAnsi="Times New Roman" w:cs="Times New Roman"/>
          <w:sz w:val="16"/>
          <w:szCs w:val="29"/>
          <w:lang w:val="pt-BR"/>
        </w:rPr>
      </w:pPr>
    </w:p>
    <w:p w:rsidR="00E05DDF" w:rsidRDefault="00E05DDF" w:rsidP="00E05DDF">
      <w:pPr>
        <w:spacing w:after="0"/>
        <w:rPr>
          <w:rFonts w:ascii="Times New Roman" w:hAnsi="Times New Roman" w:cs="Times New Roman"/>
          <w:sz w:val="16"/>
          <w:szCs w:val="29"/>
          <w:lang w:val="pt-BR"/>
        </w:rPr>
      </w:pPr>
    </w:p>
    <w:p w:rsidR="00E05DDF" w:rsidRDefault="00E05DDF" w:rsidP="00E05DDF">
      <w:pPr>
        <w:spacing w:after="0"/>
        <w:rPr>
          <w:rFonts w:ascii="Times New Roman" w:hAnsi="Times New Roman" w:cs="Times New Roman"/>
          <w:sz w:val="16"/>
          <w:szCs w:val="29"/>
          <w:lang w:val="pt-BR"/>
        </w:rPr>
      </w:pPr>
    </w:p>
    <w:p w:rsidR="00E05DDF" w:rsidRDefault="00E05DDF" w:rsidP="00E05DDF">
      <w:pPr>
        <w:spacing w:after="0"/>
        <w:rPr>
          <w:rFonts w:ascii="Times New Roman" w:hAnsi="Times New Roman" w:cs="Times New Roman"/>
          <w:sz w:val="16"/>
          <w:szCs w:val="29"/>
          <w:lang w:val="pt-BR"/>
        </w:rPr>
      </w:pPr>
    </w:p>
    <w:p w:rsidR="00E05DDF" w:rsidRDefault="00E05DDF" w:rsidP="00E05DDF">
      <w:pPr>
        <w:spacing w:after="0"/>
        <w:rPr>
          <w:rFonts w:ascii="Times New Roman" w:hAnsi="Times New Roman" w:cs="Times New Roman"/>
          <w:sz w:val="16"/>
          <w:szCs w:val="29"/>
          <w:lang w:val="pt-BR"/>
        </w:rPr>
      </w:pPr>
    </w:p>
    <w:p w:rsidR="00E05DDF" w:rsidRDefault="00E05DDF" w:rsidP="00E05DDF">
      <w:pPr>
        <w:spacing w:after="0" w:line="240" w:lineRule="auto"/>
        <w:rPr>
          <w:rFonts w:ascii="Times New Roman" w:hAnsi="Times New Roman" w:cs="Times New Roman"/>
          <w:sz w:val="16"/>
          <w:szCs w:val="29"/>
          <w:lang w:val="pt-BR"/>
        </w:rPr>
      </w:pPr>
    </w:p>
    <w:p w:rsidR="00E05DDF" w:rsidRPr="00AF23DD" w:rsidRDefault="00E05DDF" w:rsidP="00E05DDF">
      <w:pPr>
        <w:spacing w:after="0" w:line="240" w:lineRule="auto"/>
        <w:rPr>
          <w:rFonts w:ascii="Times New Roman" w:hAnsi="Times New Roman" w:cs="Times New Roman"/>
          <w:sz w:val="16"/>
          <w:szCs w:val="29"/>
          <w:lang w:val="pt-BR"/>
        </w:rPr>
      </w:pPr>
      <w:r w:rsidRPr="00AF23DD">
        <w:rPr>
          <w:rFonts w:ascii="Times New Roman" w:hAnsi="Times New Roman" w:cs="Times New Roman"/>
          <w:sz w:val="16"/>
          <w:szCs w:val="29"/>
          <w:lang w:val="pt-BR"/>
        </w:rPr>
        <w:t xml:space="preserve">Ex. </w:t>
      </w:r>
      <w:r>
        <w:rPr>
          <w:rFonts w:ascii="Times New Roman" w:hAnsi="Times New Roman" w:cs="Times New Roman"/>
          <w:sz w:val="16"/>
          <w:szCs w:val="29"/>
          <w:lang w:val="pt-BR"/>
        </w:rPr>
        <w:t>Vasile Secrieru, consultant juridic</w:t>
      </w:r>
    </w:p>
    <w:p w:rsidR="00BD45FF" w:rsidRPr="00903DC4" w:rsidRDefault="00E05DDF" w:rsidP="00903DC4">
      <w:pPr>
        <w:spacing w:after="0" w:line="240" w:lineRule="auto"/>
        <w:rPr>
          <w:rFonts w:ascii="Times New Roman" w:hAnsi="Times New Roman" w:cs="Times New Roman"/>
          <w:sz w:val="16"/>
          <w:lang w:val="pt-BR"/>
        </w:rPr>
      </w:pPr>
      <w:r>
        <w:rPr>
          <w:rFonts w:ascii="Times New Roman" w:hAnsi="Times New Roman" w:cs="Times New Roman"/>
          <w:sz w:val="16"/>
          <w:lang w:val="pt-BR"/>
        </w:rPr>
        <w:t>Tel. 068269785</w:t>
      </w:r>
    </w:p>
    <w:sectPr w:rsidR="00BD45FF" w:rsidRPr="00903DC4" w:rsidSect="00903DC4">
      <w:footerReference w:type="default" r:id="rId6"/>
      <w:pgSz w:w="16838" w:h="11906" w:orient="landscape" w:code="9"/>
      <w:pgMar w:top="709" w:right="851" w:bottom="426" w:left="1134" w:header="709" w:footer="3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CFF" w:rsidRDefault="00995CFF">
      <w:pPr>
        <w:spacing w:after="0" w:line="240" w:lineRule="auto"/>
      </w:pPr>
      <w:r>
        <w:separator/>
      </w:r>
    </w:p>
  </w:endnote>
  <w:endnote w:type="continuationSeparator" w:id="0">
    <w:p w:rsidR="00995CFF" w:rsidRDefault="00995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629478"/>
      <w:docPartObj>
        <w:docPartGallery w:val="Page Numbers (Bottom of Page)"/>
        <w:docPartUnique/>
      </w:docPartObj>
    </w:sdtPr>
    <w:sdtContent>
      <w:sdt>
        <w:sdtPr>
          <w:id w:val="-622914239"/>
          <w:docPartObj>
            <w:docPartGallery w:val="Page Numbers (Top of Page)"/>
            <w:docPartUnique/>
          </w:docPartObj>
        </w:sdtPr>
        <w:sdtContent>
          <w:p w:rsidR="00861AFD" w:rsidRDefault="00861AFD">
            <w:pPr>
              <w:pStyle w:val="a4"/>
              <w:jc w:val="right"/>
            </w:pPr>
            <w:r>
              <w:rPr>
                <w:lang w:val="ro-MD"/>
              </w:rPr>
              <w:t xml:space="preserve">Pagina </w:t>
            </w:r>
            <w:r>
              <w:rPr>
                <w:b/>
                <w:bCs/>
                <w:sz w:val="24"/>
                <w:szCs w:val="24"/>
              </w:rPr>
              <w:fldChar w:fldCharType="begin"/>
            </w:r>
            <w:r>
              <w:rPr>
                <w:b/>
                <w:bCs/>
              </w:rPr>
              <w:instrText>PAGE</w:instrText>
            </w:r>
            <w:r>
              <w:rPr>
                <w:b/>
                <w:bCs/>
                <w:sz w:val="24"/>
                <w:szCs w:val="24"/>
              </w:rPr>
              <w:fldChar w:fldCharType="separate"/>
            </w:r>
            <w:r w:rsidR="00903DC4">
              <w:rPr>
                <w:b/>
                <w:bCs/>
                <w:noProof/>
              </w:rPr>
              <w:t>6</w:t>
            </w:r>
            <w:r>
              <w:rPr>
                <w:b/>
                <w:bCs/>
                <w:sz w:val="24"/>
                <w:szCs w:val="24"/>
              </w:rPr>
              <w:fldChar w:fldCharType="end"/>
            </w:r>
            <w:r>
              <w:t xml:space="preserve"> </w:t>
            </w:r>
            <w:r>
              <w:rPr>
                <w:lang w:val="ro-MD"/>
              </w:rPr>
              <w:t>din</w:t>
            </w:r>
            <w:r>
              <w:t xml:space="preserve"> </w:t>
            </w:r>
            <w:r>
              <w:rPr>
                <w:b/>
                <w:bCs/>
                <w:sz w:val="24"/>
                <w:szCs w:val="24"/>
              </w:rPr>
              <w:fldChar w:fldCharType="begin"/>
            </w:r>
            <w:r>
              <w:rPr>
                <w:b/>
                <w:bCs/>
              </w:rPr>
              <w:instrText>NUMPAGES</w:instrText>
            </w:r>
            <w:r>
              <w:rPr>
                <w:b/>
                <w:bCs/>
                <w:sz w:val="24"/>
                <w:szCs w:val="24"/>
              </w:rPr>
              <w:fldChar w:fldCharType="separate"/>
            </w:r>
            <w:r w:rsidR="00903DC4">
              <w:rPr>
                <w:b/>
                <w:bCs/>
                <w:noProof/>
              </w:rPr>
              <w:t>6</w:t>
            </w:r>
            <w:r>
              <w:rPr>
                <w:b/>
                <w:bCs/>
                <w:sz w:val="24"/>
                <w:szCs w:val="24"/>
              </w:rPr>
              <w:fldChar w:fldCharType="end"/>
            </w:r>
          </w:p>
        </w:sdtContent>
      </w:sdt>
    </w:sdtContent>
  </w:sdt>
  <w:p w:rsidR="00861AFD" w:rsidRDefault="00861AF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CFF" w:rsidRDefault="00995CFF">
      <w:pPr>
        <w:spacing w:after="0" w:line="240" w:lineRule="auto"/>
      </w:pPr>
      <w:r>
        <w:separator/>
      </w:r>
    </w:p>
  </w:footnote>
  <w:footnote w:type="continuationSeparator" w:id="0">
    <w:p w:rsidR="00995CFF" w:rsidRDefault="00995C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C3B"/>
    <w:rsid w:val="00202B33"/>
    <w:rsid w:val="002062D1"/>
    <w:rsid w:val="003E4911"/>
    <w:rsid w:val="004E068B"/>
    <w:rsid w:val="00621B3B"/>
    <w:rsid w:val="0080288E"/>
    <w:rsid w:val="00835C3B"/>
    <w:rsid w:val="00861AFD"/>
    <w:rsid w:val="00903DC4"/>
    <w:rsid w:val="00995CFF"/>
    <w:rsid w:val="00A750EB"/>
    <w:rsid w:val="00AC70C4"/>
    <w:rsid w:val="00AD65EA"/>
    <w:rsid w:val="00B1498D"/>
    <w:rsid w:val="00BD45FF"/>
    <w:rsid w:val="00D4644F"/>
    <w:rsid w:val="00D66C6A"/>
    <w:rsid w:val="00E05DDF"/>
    <w:rsid w:val="00EA16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14262"/>
  <w15:chartTrackingRefBased/>
  <w15:docId w15:val="{7B690B5A-B22B-4809-AC43-5C82CE4F8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5D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5DDF"/>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E05DDF"/>
    <w:pPr>
      <w:tabs>
        <w:tab w:val="center" w:pos="4677"/>
        <w:tab w:val="right" w:pos="9355"/>
      </w:tabs>
      <w:spacing w:after="0" w:line="240" w:lineRule="auto"/>
    </w:pPr>
  </w:style>
  <w:style w:type="character" w:customStyle="1" w:styleId="a5">
    <w:name w:val="Нижний колонтитул Знак"/>
    <w:basedOn w:val="a0"/>
    <w:link w:val="a4"/>
    <w:uiPriority w:val="99"/>
    <w:rsid w:val="00E05DDF"/>
  </w:style>
  <w:style w:type="paragraph" w:styleId="a6">
    <w:name w:val="Normal (Web)"/>
    <w:basedOn w:val="a"/>
    <w:uiPriority w:val="99"/>
    <w:unhideWhenUsed/>
    <w:rsid w:val="00E05D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l">
    <w:name w:val="il"/>
    <w:basedOn w:val="a0"/>
    <w:rsid w:val="00E05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2535</Words>
  <Characters>14455</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2026-03-30T06:39:00Z</dcterms:created>
  <dcterms:modified xsi:type="dcterms:W3CDTF">2026-03-30T13:13:00Z</dcterms:modified>
</cp:coreProperties>
</file>