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A7030" w14:textId="77777777" w:rsidR="002C1470" w:rsidRDefault="00000000">
      <w:pPr>
        <w:pBdr>
          <w:top w:val="none" w:sz="0" w:space="0" w:color="000000"/>
          <w:left w:val="none" w:sz="0" w:space="0" w:color="000000"/>
          <w:bottom w:val="none" w:sz="0" w:space="0" w:color="000000"/>
          <w:right w:val="none" w:sz="0" w:space="0" w:color="000000"/>
        </w:pBdr>
        <w:tabs>
          <w:tab w:val="left" w:pos="884"/>
          <w:tab w:val="left" w:pos="1196"/>
        </w:tabs>
        <w:ind w:right="360" w:firstLine="0"/>
        <w:jc w:val="center"/>
        <w:rPr>
          <w:sz w:val="24"/>
          <w:szCs w:val="24"/>
        </w:rPr>
      </w:pPr>
      <w:r>
        <w:rPr>
          <w:b/>
          <w:bCs/>
          <w:sz w:val="24"/>
          <w:szCs w:val="24"/>
        </w:rPr>
        <w:t>NOTA DE FUNDAMENTARE</w:t>
      </w:r>
    </w:p>
    <w:p w14:paraId="486EC850" w14:textId="77777777" w:rsidR="002C1470" w:rsidRDefault="00000000">
      <w:pPr>
        <w:pBdr>
          <w:top w:val="none" w:sz="0" w:space="0" w:color="000000"/>
          <w:left w:val="none" w:sz="0" w:space="0" w:color="000000"/>
          <w:bottom w:val="none" w:sz="0" w:space="0" w:color="000000"/>
          <w:right w:val="none" w:sz="0" w:space="0" w:color="000000"/>
        </w:pBdr>
        <w:tabs>
          <w:tab w:val="left" w:pos="884"/>
          <w:tab w:val="left" w:pos="1196"/>
        </w:tabs>
        <w:ind w:right="360" w:firstLine="0"/>
        <w:jc w:val="center"/>
        <w:rPr>
          <w:sz w:val="24"/>
          <w:szCs w:val="24"/>
        </w:rPr>
      </w:pPr>
      <w:r>
        <w:rPr>
          <w:sz w:val="24"/>
          <w:szCs w:val="24"/>
        </w:rPr>
        <w:t>la proiectul Hotărârii Guvernului cu privire la aprobarea Regulamentului privind modul de ținere a resursei informaționale formate de Subsistemul informațional ,,Management programe și proiecte” aferentă Sistemului informațional național în domeniul eficienței energetice</w:t>
      </w:r>
      <w:r>
        <w:br/>
      </w:r>
    </w:p>
    <w:tbl>
      <w:tblPr>
        <w:tblStyle w:val="a2"/>
        <w:tblW w:w="910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109"/>
      </w:tblGrid>
      <w:tr w:rsidR="002C1470" w14:paraId="05DDFB99" w14:textId="77777777">
        <w:trPr>
          <w:trHeight w:val="300"/>
        </w:trPr>
        <w:tc>
          <w:tcPr>
            <w:tcW w:w="9109"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5D078DF6" w14:textId="77777777" w:rsidR="002C1470"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Denumirea sau numele autorului și, după caz, a/al participanților la elaborarea proiectului actului normativ</w:t>
            </w:r>
          </w:p>
        </w:tc>
      </w:tr>
      <w:tr w:rsidR="002C1470" w14:paraId="05C726DF" w14:textId="77777777">
        <w:trPr>
          <w:trHeight w:val="300"/>
        </w:trPr>
        <w:tc>
          <w:tcPr>
            <w:tcW w:w="91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009DF45" w14:textId="77777777" w:rsidR="002C1470"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Proiectul Hotărârii</w:t>
            </w:r>
            <w:r>
              <w:rPr>
                <w:rFonts w:ascii="Times New Roman" w:eastAsia="Times New Roman" w:hAnsi="Times New Roman" w:cs="Times New Roman"/>
                <w:sz w:val="24"/>
                <w:szCs w:val="24"/>
              </w:rPr>
              <w:t xml:space="preserve"> Guvernului cu privire la aprobarea Regulamentului privind modul de ținere a resursei informaționale formate de Subsistemul informațional ,,Management programe și proiecte” aferentă Sistemului informațional național în domeniul eficienței energetice, </w:t>
            </w:r>
            <w:r>
              <w:rPr>
                <w:rFonts w:ascii="Times New Roman" w:eastAsia="Times New Roman" w:hAnsi="Times New Roman" w:cs="Times New Roman"/>
                <w:color w:val="000000"/>
                <w:sz w:val="24"/>
                <w:szCs w:val="24"/>
              </w:rPr>
              <w:t>a fost elaborat de către Ministerul Energiei, în colaborare cu Instituția Publică Centrul Național pentru Energie Durabilă.</w:t>
            </w:r>
          </w:p>
        </w:tc>
      </w:tr>
      <w:tr w:rsidR="002C1470" w14:paraId="3ECA9D0E" w14:textId="77777777">
        <w:trPr>
          <w:trHeight w:val="300"/>
        </w:trPr>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442AF375" w14:textId="77777777" w:rsidR="002C1470"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Condițiile ce au impus elaborarea proiectului actului normativ</w:t>
            </w:r>
          </w:p>
        </w:tc>
      </w:tr>
      <w:tr w:rsidR="002C1470" w14:paraId="2D85A4E6" w14:textId="77777777">
        <w:trPr>
          <w:trHeight w:val="300"/>
        </w:trPr>
        <w:tc>
          <w:tcPr>
            <w:tcW w:w="91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DF7FBD9" w14:textId="77777777" w:rsidR="002C147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Proiectul a fost elaborat în temeiul Legii nr. 139/2018 cu privire la eficiența energetică, art. 18 alin (1) și art. 22 alin. (1) al Legii nr.467-XV/2003 cu privire la informatizare și la resursele informaționale de stat, HG nr. 144/2025 cu privire la aprobarea Conceptului Sistemului informațional național în domeniul eficienței energetice, precum și HG nr. 251/2024 cu privire la aprobarea Programului de finanțare „Fondul pentru eficiență energetică în sectorul rezidențial din Republica Moldova”. </w:t>
            </w:r>
          </w:p>
        </w:tc>
      </w:tr>
      <w:tr w:rsidR="002C1470" w14:paraId="0A6A6D1D" w14:textId="77777777">
        <w:trPr>
          <w:trHeight w:val="300"/>
        </w:trPr>
        <w:tc>
          <w:tcPr>
            <w:tcW w:w="91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B13E923" w14:textId="77777777" w:rsidR="002C1470"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Pr>
                <w:rFonts w:ascii="Times New Roman" w:eastAsia="Times New Roman" w:hAnsi="Times New Roman" w:cs="Times New Roman"/>
                <w:color w:val="000000"/>
                <w:sz w:val="24"/>
                <w:szCs w:val="24"/>
              </w:rPr>
              <w:t>Scopul</w:t>
            </w:r>
            <w:r>
              <w:rPr>
                <w:rFonts w:ascii="Times New Roman" w:eastAsia="Times New Roman" w:hAnsi="Times New Roman" w:cs="Times New Roman"/>
                <w:sz w:val="24"/>
                <w:szCs w:val="24"/>
              </w:rPr>
              <w:t xml:space="preserve"> proiectului este crearea cadrului normativ necesar pentru organizarea, funcționarea și utilizarea treptată a resurselor informaționale ale Sistemului Informațional Național în domeniul Eficienței Energetice (SINEE) pe măsură ce se va avansa cu dezvoltarea și operaționalizarea subsistemelor informaționale ale SINEE așa cum sunt descrise în Conceptul SINEE. SINEE este un sistem informațional integrat, destinat pentru digitalizarea activității IP CNED în vederea informatizării proceselor de business în domeniul eficienței energetice, performanței energetice a clădirilor, precum și</w:t>
            </w:r>
            <w:r>
              <w:t xml:space="preserve"> </w:t>
            </w:r>
            <w:r>
              <w:rPr>
                <w:rFonts w:ascii="Times New Roman" w:eastAsia="Times New Roman" w:hAnsi="Times New Roman" w:cs="Times New Roman"/>
                <w:sz w:val="24"/>
                <w:szCs w:val="24"/>
              </w:rPr>
              <w:t>valorificării surselor de energie regenerabilă.</w:t>
            </w:r>
          </w:p>
          <w:p w14:paraId="45E3DEE6" w14:textId="77777777" w:rsidR="002C1470"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Conform Conceptului Sistemului informațional național în domeniul eficienței energetice, contururile funcționale ale SINEE sunt reprezentate de subsistemele informaționale ale acestuia, care interacționează reciproc prin intermediul serviciilor specializate, după cum urmează:</w:t>
            </w:r>
          </w:p>
          <w:p w14:paraId="51EAE8B5" w14:textId="77777777" w:rsidR="002C1470" w:rsidRDefault="00000000">
            <w:pPr>
              <w:numPr>
                <w:ilvl w:val="0"/>
                <w:numId w:val="2"/>
              </w:numPr>
              <w:pBdr>
                <w:top w:val="nil"/>
                <w:left w:val="nil"/>
                <w:bottom w:val="nil"/>
                <w:right w:val="nil"/>
                <w:between w:val="nil"/>
              </w:pBdr>
              <w:shd w:val="clear" w:color="auto" w:fill="FFFFFF"/>
              <w:ind w:left="10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subsistemul informațional „Portalul public al CNED”;</w:t>
            </w:r>
          </w:p>
          <w:p w14:paraId="3BEE48B6" w14:textId="77777777" w:rsidR="002C1470" w:rsidRDefault="00000000">
            <w:pPr>
              <w:numPr>
                <w:ilvl w:val="0"/>
                <w:numId w:val="2"/>
              </w:numPr>
              <w:pBdr>
                <w:top w:val="nil"/>
                <w:left w:val="nil"/>
                <w:bottom w:val="nil"/>
                <w:right w:val="nil"/>
                <w:between w:val="nil"/>
              </w:pBdr>
              <w:shd w:val="clear" w:color="auto" w:fill="FFFFFF"/>
              <w:ind w:left="106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subsistemul informațional „Management programe și proiecte”;</w:t>
            </w:r>
          </w:p>
          <w:p w14:paraId="3F68499B" w14:textId="77777777" w:rsidR="002C1470" w:rsidRDefault="00000000">
            <w:pPr>
              <w:numPr>
                <w:ilvl w:val="0"/>
                <w:numId w:val="2"/>
              </w:numPr>
              <w:pBdr>
                <w:top w:val="nil"/>
                <w:left w:val="nil"/>
                <w:bottom w:val="nil"/>
                <w:right w:val="nil"/>
                <w:between w:val="nil"/>
              </w:pBdr>
              <w:shd w:val="clear" w:color="auto" w:fill="FFFFFF"/>
              <w:ind w:left="10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subsistemul informațional „Managementul energetic în clădiri”;</w:t>
            </w:r>
          </w:p>
          <w:p w14:paraId="1EDC90D5" w14:textId="77777777" w:rsidR="002C1470" w:rsidRDefault="00000000">
            <w:pPr>
              <w:numPr>
                <w:ilvl w:val="0"/>
                <w:numId w:val="2"/>
              </w:numPr>
              <w:pBdr>
                <w:top w:val="nil"/>
                <w:left w:val="nil"/>
                <w:bottom w:val="nil"/>
                <w:right w:val="nil"/>
                <w:between w:val="nil"/>
              </w:pBdr>
              <w:shd w:val="clear" w:color="auto" w:fill="FFFFFF"/>
              <w:ind w:left="10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subsistemul informațional „Eficiența energetică a clădirilor”;</w:t>
            </w:r>
          </w:p>
          <w:p w14:paraId="0EAD06D6" w14:textId="77777777" w:rsidR="002C1470" w:rsidRDefault="00000000">
            <w:pPr>
              <w:numPr>
                <w:ilvl w:val="0"/>
                <w:numId w:val="2"/>
              </w:numPr>
              <w:pBdr>
                <w:top w:val="nil"/>
                <w:left w:val="nil"/>
                <w:bottom w:val="nil"/>
                <w:right w:val="nil"/>
                <w:between w:val="nil"/>
              </w:pBdr>
              <w:shd w:val="clear" w:color="auto" w:fill="FFFFFF"/>
              <w:ind w:left="10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subsistemul informațional „Auditul energetic”;</w:t>
            </w:r>
          </w:p>
          <w:p w14:paraId="1EEBEFD9" w14:textId="77777777" w:rsidR="002C1470" w:rsidRDefault="00000000">
            <w:pPr>
              <w:numPr>
                <w:ilvl w:val="0"/>
                <w:numId w:val="2"/>
              </w:numPr>
              <w:pBdr>
                <w:top w:val="nil"/>
                <w:left w:val="nil"/>
                <w:bottom w:val="nil"/>
                <w:right w:val="nil"/>
                <w:between w:val="nil"/>
              </w:pBdr>
              <w:shd w:val="clear" w:color="auto" w:fill="FFFFFF"/>
              <w:ind w:left="10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subsistemul informațional „Monitorizarea și verificarea economiilor de energie”;</w:t>
            </w:r>
          </w:p>
          <w:p w14:paraId="5C5D22D5" w14:textId="77777777" w:rsidR="002C1470" w:rsidRDefault="00000000">
            <w:pPr>
              <w:numPr>
                <w:ilvl w:val="0"/>
                <w:numId w:val="2"/>
              </w:numPr>
              <w:pBdr>
                <w:top w:val="nil"/>
                <w:left w:val="nil"/>
                <w:bottom w:val="nil"/>
                <w:right w:val="nil"/>
                <w:between w:val="nil"/>
              </w:pBdr>
              <w:shd w:val="clear" w:color="auto" w:fill="FFFFFF"/>
              <w:ind w:left="10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subsistemul informațional „Registrul specialiștilor în domeniul eficienței energetice”;</w:t>
            </w:r>
          </w:p>
          <w:p w14:paraId="7C0E3EC2" w14:textId="77777777" w:rsidR="002C1470" w:rsidRDefault="00000000">
            <w:pPr>
              <w:numPr>
                <w:ilvl w:val="0"/>
                <w:numId w:val="2"/>
              </w:numPr>
              <w:pBdr>
                <w:top w:val="nil"/>
                <w:left w:val="nil"/>
                <w:bottom w:val="nil"/>
                <w:right w:val="nil"/>
                <w:between w:val="nil"/>
              </w:pBdr>
              <w:shd w:val="clear" w:color="auto" w:fill="FFFFFF"/>
              <w:ind w:left="10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subsistemul informațional „Administrare și funcționalități de sistem”;</w:t>
            </w:r>
          </w:p>
          <w:p w14:paraId="498AA292" w14:textId="77777777" w:rsidR="002C1470" w:rsidRDefault="00000000">
            <w:pPr>
              <w:numPr>
                <w:ilvl w:val="0"/>
                <w:numId w:val="2"/>
              </w:numPr>
              <w:pBdr>
                <w:top w:val="nil"/>
                <w:left w:val="nil"/>
                <w:bottom w:val="nil"/>
                <w:right w:val="nil"/>
                <w:between w:val="nil"/>
              </w:pBdr>
              <w:shd w:val="clear" w:color="auto" w:fill="FFFFFF"/>
              <w:ind w:left="10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subsistemul informațional „Analiza datelor și generarea rapoartelor”;</w:t>
            </w:r>
          </w:p>
          <w:p w14:paraId="668B8BE2" w14:textId="77777777" w:rsidR="002C1470" w:rsidRDefault="00000000">
            <w:pPr>
              <w:numPr>
                <w:ilvl w:val="0"/>
                <w:numId w:val="2"/>
              </w:numPr>
              <w:pBdr>
                <w:top w:val="nil"/>
                <w:left w:val="nil"/>
                <w:bottom w:val="nil"/>
                <w:right w:val="nil"/>
                <w:between w:val="nil"/>
              </w:pBdr>
              <w:shd w:val="clear" w:color="auto" w:fill="FFFFFF"/>
              <w:ind w:left="10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subsistemul informațional „Platforma GIS”.</w:t>
            </w:r>
          </w:p>
          <w:p w14:paraId="12825CEF" w14:textId="77777777" w:rsidR="002C1470" w:rsidRDefault="0000000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w:t>
            </w:r>
            <w:r>
              <w:rPr>
                <w:rFonts w:ascii="Times New Roman" w:eastAsia="Times New Roman" w:hAnsi="Times New Roman" w:cs="Times New Roman"/>
                <w:sz w:val="24"/>
                <w:szCs w:val="24"/>
              </w:rPr>
              <w:t>această</w:t>
            </w:r>
            <w:r>
              <w:rPr>
                <w:rFonts w:ascii="Times New Roman" w:eastAsia="Times New Roman" w:hAnsi="Times New Roman" w:cs="Times New Roman"/>
                <w:color w:val="000000"/>
                <w:sz w:val="24"/>
                <w:szCs w:val="24"/>
              </w:rPr>
              <w:t xml:space="preserve"> etapă, se propune aprobarea Regulamentului privind modul de ținere a resursei informaționale formate de Subsistemul Informațional „Management programe și proiecte” </w:t>
            </w:r>
            <w:r>
              <w:rPr>
                <w:rFonts w:ascii="Times New Roman" w:eastAsia="Times New Roman" w:hAnsi="Times New Roman" w:cs="Times New Roman"/>
                <w:sz w:val="24"/>
                <w:szCs w:val="24"/>
              </w:rPr>
              <w:t xml:space="preserve">aferentă </w:t>
            </w:r>
            <w:r>
              <w:rPr>
                <w:rFonts w:ascii="Times New Roman" w:eastAsia="Times New Roman" w:hAnsi="Times New Roman" w:cs="Times New Roman"/>
                <w:color w:val="000000"/>
                <w:sz w:val="24"/>
                <w:szCs w:val="24"/>
              </w:rPr>
              <w:t>Sistemului informațional național în domeniul eficienței energetice (în continuare – Regulament).</w:t>
            </w:r>
          </w:p>
          <w:p w14:paraId="2E33EBA8" w14:textId="77777777" w:rsidR="002C1470" w:rsidRDefault="0000000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Scopul Regulamentului este de a crea cadrul normativ necesar pentru organizarea, funcționarea și utilizarea Subsistemului Informațional „Management programe și proiecte”, destinat administrării programelor și proiectelor de finanțare în domeniul eficienței energetice.</w:t>
            </w:r>
          </w:p>
          <w:p w14:paraId="18E453AA" w14:textId="77777777" w:rsidR="002C1470" w:rsidRDefault="00000000">
            <w:r>
              <w:rPr>
                <w:rFonts w:ascii="Times New Roman" w:eastAsia="Times New Roman" w:hAnsi="Times New Roman" w:cs="Times New Roman"/>
                <w:color w:val="000000"/>
                <w:sz w:val="24"/>
                <w:szCs w:val="24"/>
              </w:rPr>
              <w:t>Subsistemul Informațional „Management programe și proiecte” este parte componentă a sistemelor informaționale de stat ale Republicii Moldova și reprezintă un ansamblu de resurse și tehnologii informaționale, mijloace tehnice de program și metodologii, aflate în interconexiune.</w:t>
            </w:r>
          </w:p>
        </w:tc>
      </w:tr>
      <w:tr w:rsidR="002C1470" w14:paraId="0B964FB0" w14:textId="77777777">
        <w:trPr>
          <w:trHeight w:val="300"/>
        </w:trPr>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2FE8A889" w14:textId="77777777" w:rsidR="002C1470"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 Obiectivele urmărite și soluțiile propuse</w:t>
            </w:r>
          </w:p>
        </w:tc>
      </w:tr>
      <w:tr w:rsidR="002C1470" w14:paraId="51B889B0" w14:textId="77777777">
        <w:trPr>
          <w:trHeight w:val="300"/>
        </w:trPr>
        <w:tc>
          <w:tcPr>
            <w:tcW w:w="91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07BC418" w14:textId="77777777" w:rsidR="002C1470" w:rsidRDefault="00000000">
            <w:pPr>
              <w:ind w:firstLine="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3.1. </w:t>
            </w:r>
            <w:r>
              <w:rPr>
                <w:rFonts w:ascii="Times New Roman" w:eastAsia="Times New Roman" w:hAnsi="Times New Roman" w:cs="Times New Roman"/>
                <w:color w:val="000000"/>
                <w:sz w:val="24"/>
                <w:szCs w:val="24"/>
              </w:rPr>
              <w:t>Proiectul Regulamentului stabilește modul de ținere, păstrare, actualizare și utilizare a resursei informaționale formate de Subsistemul „Management programe și proiecte”. Proiectul descrie drepturile și obligațiile participanților la Subsistemul Informațional „Management programe și proiecte”, procesul de înregistrare a datelor, modificarea și completarea datelor, regimul juridic de utilizare a datelor din sistem, precum și asigurarea protecției și securității informației.</w:t>
            </w:r>
          </w:p>
          <w:p w14:paraId="471E8630" w14:textId="77777777" w:rsidR="002C1470" w:rsidRDefault="00000000">
            <w:pPr>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Sunt definite atribuțiile și responsabilitățile subiecților implicați, precum:</w:t>
            </w:r>
          </w:p>
          <w:p w14:paraId="790EC57D" w14:textId="77777777" w:rsidR="002C1470"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proprietarul</w:t>
            </w:r>
            <w:r>
              <w:rPr>
                <w:rFonts w:ascii="Times New Roman" w:eastAsia="Times New Roman" w:hAnsi="Times New Roman" w:cs="Times New Roman"/>
                <w:color w:val="000000"/>
                <w:sz w:val="24"/>
                <w:szCs w:val="24"/>
              </w:rPr>
              <w:t> – statul;</w:t>
            </w:r>
          </w:p>
          <w:p w14:paraId="46BB3562" w14:textId="77777777" w:rsidR="002C1470"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posesorul</w:t>
            </w:r>
            <w:r>
              <w:rPr>
                <w:rFonts w:ascii="Times New Roman" w:eastAsia="Times New Roman" w:hAnsi="Times New Roman" w:cs="Times New Roman"/>
                <w:color w:val="000000"/>
                <w:sz w:val="24"/>
                <w:szCs w:val="24"/>
              </w:rPr>
              <w:t> – Ministerul Energiei,</w:t>
            </w:r>
          </w:p>
          <w:p w14:paraId="16FBDCE0" w14:textId="77777777" w:rsidR="002C1470"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deținătorul</w:t>
            </w:r>
            <w:r>
              <w:rPr>
                <w:rFonts w:ascii="Times New Roman" w:eastAsia="Times New Roman" w:hAnsi="Times New Roman" w:cs="Times New Roman"/>
                <w:color w:val="000000"/>
                <w:sz w:val="24"/>
                <w:szCs w:val="24"/>
              </w:rPr>
              <w:t> – Instituția Publică Centrul Național pentru Energie Durabilă;</w:t>
            </w:r>
          </w:p>
          <w:p w14:paraId="575542E8" w14:textId="77777777" w:rsidR="002C1470"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utilizatorii</w:t>
            </w:r>
            <w:r>
              <w:rPr>
                <w:rFonts w:ascii="Times New Roman" w:eastAsia="Times New Roman" w:hAnsi="Times New Roman" w:cs="Times New Roman"/>
                <w:color w:val="000000"/>
                <w:sz w:val="24"/>
                <w:szCs w:val="24"/>
              </w:rPr>
              <w:t> – administrator, specialiști CNED, decidenți CNED, solicitanți și utilizatori externi.</w:t>
            </w:r>
          </w:p>
          <w:p w14:paraId="7CF4ADB2" w14:textId="77777777" w:rsidR="002C1470" w:rsidRDefault="00000000">
            <w:pPr>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Subsistemul este parte componentă a Sistemului informațional național în domeniul eficienței energetice și este destinat să asigure gestionarea digitalizată și trasabilă a proceselor aferente finanțării proiectelor de eficiență energetică.</w:t>
            </w:r>
          </w:p>
        </w:tc>
      </w:tr>
      <w:tr w:rsidR="002C1470" w14:paraId="69396657" w14:textId="77777777">
        <w:trPr>
          <w:trHeight w:val="300"/>
        </w:trPr>
        <w:tc>
          <w:tcPr>
            <w:tcW w:w="91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F8700E0" w14:textId="77777777" w:rsidR="002C147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3.2. Nu este aplicabil.</w:t>
            </w:r>
          </w:p>
        </w:tc>
      </w:tr>
      <w:tr w:rsidR="002C1470" w14:paraId="6939732A" w14:textId="77777777">
        <w:trPr>
          <w:trHeight w:val="300"/>
        </w:trPr>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5A18170F" w14:textId="77777777" w:rsidR="002C1470"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Analiza impactului de reglementare </w:t>
            </w:r>
          </w:p>
        </w:tc>
      </w:tr>
      <w:tr w:rsidR="002C1470" w14:paraId="1DE1489E" w14:textId="77777777">
        <w:trPr>
          <w:trHeight w:val="300"/>
        </w:trPr>
        <w:tc>
          <w:tcPr>
            <w:tcW w:w="91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C03EE7E" w14:textId="77777777" w:rsidR="002C147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4.1. Implementarea Subsistemului Informațional „Management programe și proiecte” va contribui la digitalizarea proceselor de administrare a programelor și proiectelor în domeniul eficienței energetice, la reducerea sarcinii administrative și la creșterea transparenței procesului decizional. Sectorul public va beneficia de o mai bună trasabilitate a proceselor și de acces rapid la informații, ceea ce va permite un control mai eficient asupra utilizării fondurilor publice alocate domeniului eficienței energetice.</w:t>
            </w:r>
          </w:p>
        </w:tc>
      </w:tr>
      <w:tr w:rsidR="002C1470" w14:paraId="430511AD" w14:textId="77777777">
        <w:trPr>
          <w:trHeight w:val="300"/>
        </w:trPr>
        <w:tc>
          <w:tcPr>
            <w:tcW w:w="91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6AB9E00" w14:textId="77777777" w:rsidR="002C147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4.2. Costurile aferente dezvoltării subsistemului din surse externe (parteneri de dezvoltare și proiecte de finanțare) iar costurile aferente mentenanței vor fi acoperite din resursele bugetului de stat, prin bugetul Ministerului Energiei și al IP CNED.</w:t>
            </w:r>
          </w:p>
          <w:p w14:paraId="60D96693" w14:textId="77777777" w:rsidR="002C147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Implementarea Subsistemului Informațional „Managementul programelor și proiectelor” implică costuri de dezvoltare, operare și mentenanță, estimate orientativ în baza proiectelor similare de sisteme informaționale publice și a soluțiilor tehnice utilizate în cadrul SINEE.</w:t>
            </w:r>
          </w:p>
          <w:p w14:paraId="0F4109EB" w14:textId="77777777" w:rsidR="002C147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Costurile de dezvoltare inițială și extindere a funcționalităților sunt estimate la </w:t>
            </w:r>
            <w:r>
              <w:rPr>
                <w:rFonts w:ascii="Times New Roman" w:eastAsia="Times New Roman" w:hAnsi="Times New Roman" w:cs="Times New Roman"/>
                <w:b/>
                <w:bCs/>
                <w:sz w:val="24"/>
                <w:szCs w:val="24"/>
              </w:rPr>
              <w:t>circa 3 milioane lei</w:t>
            </w:r>
            <w:r>
              <w:rPr>
                <w:rFonts w:ascii="Times New Roman" w:eastAsia="Times New Roman" w:hAnsi="Times New Roman" w:cs="Times New Roman"/>
                <w:sz w:val="24"/>
                <w:szCs w:val="24"/>
              </w:rPr>
              <w:t xml:space="preserve">, și vor fi acoperite din surse externe, inclusiv în cadrul proiectului </w:t>
            </w:r>
            <w:hyperlink r:id="rId8">
              <w:r>
                <w:rPr>
                  <w:rFonts w:ascii="Times New Roman" w:eastAsia="Times New Roman" w:hAnsi="Times New Roman" w:cs="Times New Roman"/>
                  <w:sz w:val="24"/>
                  <w:szCs w:val="24"/>
                </w:rPr>
                <w:t>„Eficiența energetică și energiile regenerabile în Republica Moldova (E4M)”, finanțat de Ministerul Federal pentru Cooperare Economică și Dezvoltare (BMZ) și implementat de Agenția Germană pentru Cooperare Internațională (GIZ).</w:t>
              </w:r>
            </w:hyperlink>
          </w:p>
          <w:p w14:paraId="4D264128" w14:textId="77777777" w:rsidR="002C147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Costurile anuale de mentenanță, suport tehnic și operare sunt estimate la </w:t>
            </w:r>
            <w:r>
              <w:rPr>
                <w:rFonts w:ascii="Times New Roman" w:eastAsia="Times New Roman" w:hAnsi="Times New Roman" w:cs="Times New Roman"/>
                <w:b/>
                <w:bCs/>
                <w:sz w:val="24"/>
                <w:szCs w:val="24"/>
              </w:rPr>
              <w:t>300–600 mii lei anual</w:t>
            </w:r>
            <w:r>
              <w:rPr>
                <w:rFonts w:ascii="Times New Roman" w:eastAsia="Times New Roman" w:hAnsi="Times New Roman" w:cs="Times New Roman"/>
                <w:sz w:val="24"/>
                <w:szCs w:val="24"/>
              </w:rPr>
              <w:t xml:space="preserve">, reprezentând aproximativ </w:t>
            </w:r>
            <w:r>
              <w:rPr>
                <w:rFonts w:ascii="Times New Roman" w:eastAsia="Times New Roman" w:hAnsi="Times New Roman" w:cs="Times New Roman"/>
                <w:b/>
                <w:bCs/>
                <w:sz w:val="24"/>
                <w:szCs w:val="24"/>
              </w:rPr>
              <w:t>10–20% din costul inițial</w:t>
            </w:r>
            <w:r>
              <w:rPr>
                <w:rFonts w:ascii="Times New Roman" w:eastAsia="Times New Roman" w:hAnsi="Times New Roman" w:cs="Times New Roman"/>
                <w:sz w:val="24"/>
                <w:szCs w:val="24"/>
              </w:rPr>
              <w:t xml:space="preserve">, nivel considerat standard pentru sisteme informaționale, și acoperă activități precum mentenanța corectivă și adaptivă, </w:t>
            </w:r>
            <w:r>
              <w:rPr>
                <w:rFonts w:ascii="Times New Roman" w:eastAsia="Times New Roman" w:hAnsi="Times New Roman" w:cs="Times New Roman"/>
                <w:sz w:val="24"/>
                <w:szCs w:val="24"/>
              </w:rPr>
              <w:lastRenderedPageBreak/>
              <w:t>actualizări de securitate, suport utilizatori și asigurarea funcționării continue a subsistemului. Acestea vor fi asigurate din limitele bugetelor aprobate ale Ministerului Energiei și ale IP Centrul Național pentru Energie Durabilă, fără a genera impact bugetar suplimentar asupra bugetului de stat.</w:t>
            </w:r>
          </w:p>
          <w:p w14:paraId="4F9E6BA1" w14:textId="77777777" w:rsidR="002C147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Estimările menționate au caracter orientativ și pot varia în funcție de volumul funcționalităților implementate, numărul de utilizatori și soluțiile tehnice aprobate la etapa de implementare.</w:t>
            </w:r>
          </w:p>
          <w:p w14:paraId="0B93E000" w14:textId="77777777" w:rsidR="002C147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Impactul economic al reglementării este pozitiv, prin reducerea costurilor administrative pentru solicitanți, optimizarea proceselor de gestionare a programelor de finanțare și creșterea eficienței utilizării fondurilor publice.</w:t>
            </w:r>
          </w:p>
        </w:tc>
      </w:tr>
      <w:tr w:rsidR="002C1470" w14:paraId="479DFC49" w14:textId="77777777">
        <w:trPr>
          <w:trHeight w:val="405"/>
        </w:trPr>
        <w:tc>
          <w:tcPr>
            <w:tcW w:w="91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4840419" w14:textId="77777777" w:rsidR="002C1470" w:rsidRDefault="00000000">
            <w:r>
              <w:rPr>
                <w:rFonts w:ascii="Times New Roman" w:eastAsia="Times New Roman" w:hAnsi="Times New Roman" w:cs="Times New Roman"/>
                <w:sz w:val="24"/>
                <w:szCs w:val="24"/>
              </w:rPr>
              <w:lastRenderedPageBreak/>
              <w:t>4.3. Sectorul privat, în special beneficiarii programelor și proiectelor de finanțare, va beneficia de un acces simplificat și digitalizat la procedurile și procesele de aplicare, monitorizare și raportare. Astfel, va avea posibilitatea de a depune online solicitări și rapoarte, reducând costurile administrative și timpul necesar pentru interacțiunea cu autoritățile publice.</w:t>
            </w:r>
          </w:p>
        </w:tc>
      </w:tr>
      <w:tr w:rsidR="002C1470" w14:paraId="23950B74" w14:textId="77777777">
        <w:trPr>
          <w:trHeight w:val="300"/>
        </w:trPr>
        <w:tc>
          <w:tcPr>
            <w:tcW w:w="91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2E4681F" w14:textId="77777777" w:rsidR="002C147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4.4. Impactul social</w:t>
            </w:r>
          </w:p>
          <w:p w14:paraId="5F7B1A71" w14:textId="77777777" w:rsidR="002C1470" w:rsidRDefault="00000000">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4.4.1. Subsistemul va prelucra date cu caracter personal (de ex., datele solicitanților și beneficiarilor de finanțare). Vor fi aplicate măsuri tehnice și organizatorice stricte de securitate, conform cerințelor Legii nr.133/2011 și Hotărârii Guvernului nr. 201/2017. Proiectul prevede perioada de păstrare a datelor cu caracter personal și necesitatea depersonalizării și arhivării datelor.</w:t>
            </w:r>
          </w:p>
          <w:p w14:paraId="10B24F33" w14:textId="77777777" w:rsidR="002C147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4.4.2. Regulamentul nu creează diferențe între femei și bărbați, ci oferă acces egal tuturor solicitanților la programele de finanțare în domeniul eficienței energetice. În mod indirect, digitalizarea proceselor poate facilita accesul grupurilor vulnerabile prin reducerea barierelor birocratice.</w:t>
            </w:r>
          </w:p>
        </w:tc>
      </w:tr>
      <w:tr w:rsidR="002C1470" w14:paraId="1F5F6901" w14:textId="77777777">
        <w:trPr>
          <w:trHeight w:val="300"/>
        </w:trPr>
        <w:tc>
          <w:tcPr>
            <w:tcW w:w="91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7E53643" w14:textId="77777777" w:rsidR="002C147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4.5. Subsistemul susține implementarea programelor de eficiență energetică, care contribuie la reducerea emisiilor de gaze cu efect de seră, utilizarea mai eficientă a resurselor și creșterea ponderii energiei regenerabile. Impactul asupra mediului este preponderent pozitiv și pe termen lung.</w:t>
            </w:r>
          </w:p>
        </w:tc>
      </w:tr>
      <w:tr w:rsidR="002C1470" w14:paraId="44D4BDBA" w14:textId="77777777">
        <w:trPr>
          <w:trHeight w:val="300"/>
        </w:trPr>
        <w:tc>
          <w:tcPr>
            <w:tcW w:w="91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A4C1BD7" w14:textId="77777777" w:rsidR="002C1470" w:rsidRDefault="00000000">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4.6. Nu este aplicabil.</w:t>
            </w:r>
          </w:p>
        </w:tc>
      </w:tr>
      <w:tr w:rsidR="002C1470" w14:paraId="24536C46" w14:textId="77777777">
        <w:trPr>
          <w:trHeight w:val="300"/>
        </w:trPr>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307F725F" w14:textId="77777777" w:rsidR="002C1470"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 Compatibilitatea proiectului actului normativ cu legislația UE </w:t>
            </w:r>
          </w:p>
        </w:tc>
      </w:tr>
      <w:tr w:rsidR="002C1470" w14:paraId="1495EAD8" w14:textId="77777777">
        <w:trPr>
          <w:trHeight w:val="300"/>
        </w:trPr>
        <w:tc>
          <w:tcPr>
            <w:tcW w:w="91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F6D7107" w14:textId="77777777" w:rsidR="002C147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5.1. Nu este aplicabil.</w:t>
            </w:r>
          </w:p>
        </w:tc>
      </w:tr>
      <w:tr w:rsidR="002C1470" w14:paraId="1902D749" w14:textId="77777777">
        <w:trPr>
          <w:trHeight w:val="300"/>
        </w:trPr>
        <w:tc>
          <w:tcPr>
            <w:tcW w:w="91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65F1704" w14:textId="77777777" w:rsidR="002C147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5.2. Nu este aplicabil.</w:t>
            </w:r>
          </w:p>
        </w:tc>
      </w:tr>
      <w:tr w:rsidR="002C1470" w14:paraId="1D4C87A4" w14:textId="77777777">
        <w:trPr>
          <w:trHeight w:val="300"/>
        </w:trPr>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1D09D567" w14:textId="77777777" w:rsidR="002C1470"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Avizarea și consultarea publică a proiectului actului normativ</w:t>
            </w:r>
          </w:p>
        </w:tc>
      </w:tr>
      <w:tr w:rsidR="002C1470" w14:paraId="1CAD4D55" w14:textId="77777777">
        <w:trPr>
          <w:trHeight w:val="300"/>
        </w:trPr>
        <w:tc>
          <w:tcPr>
            <w:tcW w:w="91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BFC7366" w14:textId="77777777" w:rsidR="002C147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Proiectul a fost supus consultării prealabile cu I.P. ,,Agenția de Guvernare Electronică” și IP Serviciul Tehnologia Informației și Securitate Cibernetică, în virtutea prevederilor pct. 22 din Hotărârea Guvernului nr. 414/2018 cu privire la măsurile de consolidare a centrelor de date în sectorul public și de raționalizare a administrării sistemelor informaționale de stat. Propunerile de îmbunătățire ale proiectului au fost luate în considerare la elaborarea proiectului, fiind, de asemenea reflectate în sinteză. </w:t>
            </w:r>
          </w:p>
          <w:p w14:paraId="3EE3DB35" w14:textId="77777777" w:rsidR="002C1470" w:rsidRDefault="00000000">
            <w:pPr>
              <w:rPr>
                <w:rFonts w:ascii="Times New Roman" w:eastAsia="Times New Roman" w:hAnsi="Times New Roman" w:cs="Times New Roman"/>
              </w:rPr>
            </w:pPr>
            <w:r>
              <w:rPr>
                <w:rFonts w:ascii="Times New Roman" w:eastAsia="Times New Roman" w:hAnsi="Times New Roman" w:cs="Times New Roman"/>
                <w:sz w:val="24"/>
                <w:szCs w:val="24"/>
              </w:rPr>
              <w:t>În scopul respectării prevederilor Legii nr. 239 din 13 noiembrie 2008 privind transparența în procesul decizional, proiectul a fost plasat pe pagina web oficială a Ministerului Energiei, compartimentul Transparență, directoriul Transparență decizională.</w:t>
            </w:r>
            <w:r>
              <w:rPr>
                <w:rFonts w:ascii="Times New Roman" w:eastAsia="Times New Roman" w:hAnsi="Times New Roman" w:cs="Times New Roman"/>
              </w:rPr>
              <w:t xml:space="preserve"> </w:t>
            </w:r>
            <w:hyperlink r:id="rId9">
              <w:r>
                <w:rPr>
                  <w:rFonts w:ascii="Times New Roman" w:eastAsia="Times New Roman" w:hAnsi="Times New Roman" w:cs="Times New Roman"/>
                  <w:color w:val="0000FF"/>
                  <w:sz w:val="24"/>
                  <w:szCs w:val="24"/>
                  <w:u w:val="single"/>
                </w:rPr>
                <w:t>https://particip.gov.md/ro/document/stages/*/15042</w:t>
              </w:r>
            </w:hyperlink>
          </w:p>
          <w:p w14:paraId="465D6136" w14:textId="77777777" w:rsidR="002C147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Proiectul urmează a fi remis spre avizare către:</w:t>
            </w:r>
          </w:p>
          <w:p w14:paraId="0767301C" w14:textId="77777777" w:rsidR="002C147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Ministerul Dezvoltării Economice și Digitalizării (Agenția de Guvernare Electronică); Ministerul Infrastructurii și Dezvoltării Regionale; Ministerul Muncii Protecției Sociale; Ministerul Finanțelor; Ministerul Mediului (Serviciul Hidrometeorologic de Stat ); Ministerul Educației și Cercetării (Centrul de Tehnologii Informaționale și Comunicaționale în Educație); Agenția Națională pentru Reglementare în Energetică; Serviciul Tehnologia Informației și Securitatea Cibernetică; Agenția Geodezie, Cartografie și Cadastru; Agenția Servicii Publice; Biroul Național de Statistică; Camera de Comerț și Industrie a Republicii Moldova.</w:t>
            </w:r>
          </w:p>
        </w:tc>
      </w:tr>
      <w:tr w:rsidR="002C1470" w14:paraId="267A7059" w14:textId="77777777">
        <w:trPr>
          <w:trHeight w:val="300"/>
        </w:trPr>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3F7C8155" w14:textId="77777777" w:rsidR="002C1470"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7. Concluziile expertizelor</w:t>
            </w:r>
          </w:p>
        </w:tc>
      </w:tr>
      <w:tr w:rsidR="002C1470" w14:paraId="2D372512" w14:textId="77777777">
        <w:trPr>
          <w:trHeight w:val="300"/>
        </w:trPr>
        <w:tc>
          <w:tcPr>
            <w:tcW w:w="91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F4FA342" w14:textId="26A6D985" w:rsidR="002C147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Proiectul </w:t>
            </w:r>
            <w:r w:rsidR="00400FC0">
              <w:rPr>
                <w:rFonts w:ascii="Times New Roman" w:eastAsia="Times New Roman" w:hAnsi="Times New Roman" w:cs="Times New Roman"/>
                <w:sz w:val="24"/>
                <w:szCs w:val="24"/>
              </w:rPr>
              <w:t xml:space="preserve">este </w:t>
            </w:r>
            <w:r>
              <w:rPr>
                <w:rFonts w:ascii="Times New Roman" w:eastAsia="Times New Roman" w:hAnsi="Times New Roman" w:cs="Times New Roman"/>
                <w:sz w:val="24"/>
                <w:szCs w:val="24"/>
              </w:rPr>
              <w:t>supus expertizei anticorupție, precum și expertizei juridice, conform art.36 și art.37 din Legea nr.100/2017 cu privire la actele normative.</w:t>
            </w:r>
          </w:p>
        </w:tc>
      </w:tr>
      <w:tr w:rsidR="002C1470" w14:paraId="0ECD536F" w14:textId="77777777">
        <w:trPr>
          <w:trHeight w:val="300"/>
        </w:trPr>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3795F463" w14:textId="77777777" w:rsidR="002C1470"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Modul de încorporare a actului în cadrul normativ existent</w:t>
            </w:r>
          </w:p>
        </w:tc>
      </w:tr>
      <w:tr w:rsidR="002C1470" w14:paraId="713C5E29" w14:textId="77777777">
        <w:trPr>
          <w:trHeight w:val="300"/>
        </w:trPr>
        <w:tc>
          <w:tcPr>
            <w:tcW w:w="91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6067827" w14:textId="77777777" w:rsidR="002C1470"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Proiectul de hotărâre a Guvernului se integrează organic în cadrul normativ în vigoare și nu necesită modificarea sau abrogarea altor acte normative.</w:t>
            </w:r>
          </w:p>
        </w:tc>
      </w:tr>
      <w:tr w:rsidR="002C1470" w14:paraId="6249671B" w14:textId="77777777">
        <w:trPr>
          <w:trHeight w:val="300"/>
        </w:trPr>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33F53D9C" w14:textId="77777777" w:rsidR="002C1470"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 Măsurile necesare pentru implementarea prevederilor proiectului actului normativ</w:t>
            </w:r>
          </w:p>
        </w:tc>
      </w:tr>
      <w:tr w:rsidR="002C1470" w14:paraId="7391D953" w14:textId="77777777">
        <w:trPr>
          <w:trHeight w:val="300"/>
        </w:trPr>
        <w:tc>
          <w:tcPr>
            <w:tcW w:w="91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05640E" w14:textId="77777777" w:rsidR="002C1470" w:rsidRDefault="00000000" w:rsidP="00400FC0">
            <w:pPr>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Implementarea va fi asigurată de către:</w:t>
            </w:r>
          </w:p>
          <w:p w14:paraId="2ADC407C" w14:textId="77777777" w:rsidR="002C1470" w:rsidRDefault="00000000" w:rsidP="00400FC0">
            <w:pPr>
              <w:ind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Ministerul Energiei</w:t>
            </w:r>
            <w:r>
              <w:rPr>
                <w:rFonts w:ascii="Times New Roman" w:eastAsia="Times New Roman" w:hAnsi="Times New Roman" w:cs="Times New Roman"/>
                <w:sz w:val="24"/>
                <w:szCs w:val="24"/>
              </w:rPr>
              <w:t xml:space="preserve"> – în calitate de posesor al sistemului și coordonator al politicilor publice;</w:t>
            </w:r>
          </w:p>
          <w:p w14:paraId="5EA28EE4" w14:textId="77777777" w:rsidR="002C1470" w:rsidRDefault="00000000" w:rsidP="00400FC0">
            <w:pPr>
              <w:ind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IP Centrul Național pentru Energie Durabilă</w:t>
            </w:r>
            <w:r>
              <w:rPr>
                <w:rFonts w:ascii="Times New Roman" w:eastAsia="Times New Roman" w:hAnsi="Times New Roman" w:cs="Times New Roman"/>
                <w:sz w:val="24"/>
                <w:szCs w:val="24"/>
              </w:rPr>
              <w:t xml:space="preserve"> – în calitate de deținător și responsabil de gestionarea proceselor;</w:t>
            </w:r>
          </w:p>
          <w:p w14:paraId="1D50A35C" w14:textId="77777777" w:rsidR="002C1470" w:rsidRDefault="00000000" w:rsidP="00400FC0">
            <w:pPr>
              <w:ind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Serviciul Tehnologia Informației și Securitate Cibernetică</w:t>
            </w:r>
            <w:r>
              <w:rPr>
                <w:rFonts w:ascii="Times New Roman" w:eastAsia="Times New Roman" w:hAnsi="Times New Roman" w:cs="Times New Roman"/>
                <w:sz w:val="24"/>
                <w:szCs w:val="24"/>
              </w:rPr>
              <w:t xml:space="preserve"> – în calitate de administrator tehnic;</w:t>
            </w:r>
          </w:p>
          <w:p w14:paraId="3997D4CB" w14:textId="77777777" w:rsidR="002C1470" w:rsidRDefault="00000000" w:rsidP="00400FC0">
            <w:pPr>
              <w:ind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Agenția de Guvernare Electronică</w:t>
            </w:r>
            <w:r>
              <w:rPr>
                <w:rFonts w:ascii="Times New Roman" w:eastAsia="Times New Roman" w:hAnsi="Times New Roman" w:cs="Times New Roman"/>
                <w:sz w:val="24"/>
                <w:szCs w:val="24"/>
              </w:rPr>
              <w:t xml:space="preserve"> - în calitate de posesor al platformelor guvernamentale partajate (</w:t>
            </w:r>
            <w:proofErr w:type="spellStart"/>
            <w:r>
              <w:rPr>
                <w:rFonts w:ascii="Times New Roman" w:eastAsia="Times New Roman" w:hAnsi="Times New Roman" w:cs="Times New Roman"/>
                <w:sz w:val="24"/>
                <w:szCs w:val="24"/>
              </w:rPr>
              <w:t>MConnect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MPass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MLog</w:t>
            </w:r>
            <w:proofErr w:type="spellEnd"/>
            <w:r>
              <w:rPr>
                <w:rFonts w:ascii="Times New Roman" w:eastAsia="Times New Roman" w:hAnsi="Times New Roman" w:cs="Times New Roman"/>
                <w:sz w:val="24"/>
                <w:szCs w:val="24"/>
              </w:rPr>
              <w:t xml:space="preserve"> etc.) utilizate de către subsistem.</w:t>
            </w:r>
          </w:p>
          <w:p w14:paraId="10CB3775" w14:textId="77777777" w:rsidR="002C1470" w:rsidRDefault="00000000" w:rsidP="00400FC0">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Pentru operaționalizarea subsistemului în conformitate cu Regulamentul propus spre aprobare, vor fi întreprinse următoarele măsuri:</w:t>
            </w:r>
          </w:p>
          <w:p w14:paraId="5F1B3076" w14:textId="2E628171" w:rsidR="002C1470" w:rsidRPr="00400FC0" w:rsidRDefault="00000000" w:rsidP="00400FC0">
            <w:pPr>
              <w:pStyle w:val="ListParagraph"/>
              <w:numPr>
                <w:ilvl w:val="0"/>
                <w:numId w:val="5"/>
              </w:numPr>
              <w:pBdr>
                <w:top w:val="nil"/>
                <w:left w:val="nil"/>
                <w:bottom w:val="nil"/>
                <w:right w:val="nil"/>
                <w:between w:val="nil"/>
              </w:pBdr>
              <w:rPr>
                <w:rFonts w:ascii="Times New Roman" w:hAnsi="Times New Roman" w:cs="Times New Roman"/>
                <w:color w:val="000000"/>
                <w:sz w:val="24"/>
                <w:szCs w:val="24"/>
              </w:rPr>
            </w:pPr>
            <w:r w:rsidRPr="00400FC0">
              <w:rPr>
                <w:rFonts w:ascii="Times New Roman" w:hAnsi="Times New Roman" w:cs="Times New Roman"/>
                <w:color w:val="000000"/>
                <w:sz w:val="24"/>
                <w:szCs w:val="24"/>
              </w:rPr>
              <w:t>instruirea și sprijinirea personalului implicat în utilizarea și administrarea subsistemului;</w:t>
            </w:r>
          </w:p>
          <w:p w14:paraId="1DE6A86F" w14:textId="25624D3E" w:rsidR="00400FC0" w:rsidRPr="00400FC0" w:rsidRDefault="00000000" w:rsidP="00400FC0">
            <w:pPr>
              <w:pStyle w:val="ListParagraph"/>
              <w:numPr>
                <w:ilvl w:val="0"/>
                <w:numId w:val="5"/>
              </w:numPr>
              <w:pBdr>
                <w:top w:val="nil"/>
                <w:left w:val="nil"/>
                <w:bottom w:val="nil"/>
                <w:right w:val="nil"/>
                <w:between w:val="nil"/>
              </w:pBdr>
              <w:rPr>
                <w:rFonts w:ascii="Times New Roman" w:eastAsia="Times New Roman" w:hAnsi="Times New Roman" w:cs="Times New Roman"/>
                <w:color w:val="000000"/>
                <w:sz w:val="24"/>
                <w:szCs w:val="24"/>
              </w:rPr>
            </w:pPr>
            <w:r w:rsidRPr="00400FC0">
              <w:rPr>
                <w:rFonts w:ascii="Times New Roman" w:hAnsi="Times New Roman" w:cs="Times New Roman"/>
                <w:color w:val="000000"/>
                <w:sz w:val="24"/>
                <w:szCs w:val="24"/>
              </w:rPr>
              <w:t>elaborarea și aprobarea procedurilor interne privind aplicarea regulamentului și utilizarea subsistemului;</w:t>
            </w:r>
          </w:p>
          <w:p w14:paraId="0C210A77" w14:textId="4428DAA0" w:rsidR="002C1470" w:rsidRPr="00400FC0" w:rsidRDefault="00000000" w:rsidP="00400FC0">
            <w:pPr>
              <w:pStyle w:val="ListParagraph"/>
              <w:numPr>
                <w:ilvl w:val="0"/>
                <w:numId w:val="5"/>
              </w:numPr>
              <w:pBdr>
                <w:top w:val="nil"/>
                <w:left w:val="nil"/>
                <w:bottom w:val="nil"/>
                <w:right w:val="nil"/>
                <w:between w:val="nil"/>
              </w:pBdr>
              <w:rPr>
                <w:rFonts w:ascii="Times New Roman" w:hAnsi="Times New Roman" w:cs="Times New Roman"/>
                <w:color w:val="000000"/>
                <w:sz w:val="24"/>
                <w:szCs w:val="24"/>
              </w:rPr>
            </w:pPr>
            <w:r w:rsidRPr="00400FC0">
              <w:rPr>
                <w:rFonts w:ascii="Times New Roman" w:hAnsi="Times New Roman" w:cs="Times New Roman"/>
                <w:color w:val="000000"/>
                <w:sz w:val="24"/>
                <w:szCs w:val="24"/>
              </w:rPr>
              <w:t>informarea și ghidarea solicitanților și beneficiarilor în procesul de utilizare a platformei;</w:t>
            </w:r>
          </w:p>
          <w:p w14:paraId="6A9B24DC" w14:textId="4B2B9DBC" w:rsidR="002C1470" w:rsidRPr="00400FC0" w:rsidRDefault="00000000" w:rsidP="00400FC0">
            <w:pPr>
              <w:pStyle w:val="ListParagraph"/>
              <w:numPr>
                <w:ilvl w:val="0"/>
                <w:numId w:val="5"/>
              </w:numPr>
              <w:pBdr>
                <w:top w:val="nil"/>
                <w:left w:val="nil"/>
                <w:bottom w:val="nil"/>
                <w:right w:val="nil"/>
                <w:between w:val="nil"/>
              </w:pBdr>
              <w:rPr>
                <w:rFonts w:ascii="Times New Roman" w:hAnsi="Times New Roman" w:cs="Times New Roman"/>
                <w:color w:val="000000"/>
                <w:sz w:val="24"/>
                <w:szCs w:val="24"/>
              </w:rPr>
            </w:pPr>
            <w:r w:rsidRPr="00400FC0">
              <w:rPr>
                <w:rFonts w:ascii="Times New Roman" w:hAnsi="Times New Roman" w:cs="Times New Roman"/>
                <w:color w:val="000000"/>
                <w:sz w:val="24"/>
                <w:szCs w:val="24"/>
              </w:rPr>
              <w:t>integrarea subsistemului în fluxurile de lucru instituționale și în cadrul SINEE;</w:t>
            </w:r>
          </w:p>
          <w:p w14:paraId="5CE1FD83" w14:textId="60AF48C8" w:rsidR="002C1470" w:rsidRPr="00400FC0" w:rsidRDefault="00000000" w:rsidP="00400FC0">
            <w:pPr>
              <w:pStyle w:val="ListParagraph"/>
              <w:numPr>
                <w:ilvl w:val="0"/>
                <w:numId w:val="5"/>
              </w:numPr>
              <w:pBdr>
                <w:top w:val="nil"/>
                <w:left w:val="nil"/>
                <w:bottom w:val="nil"/>
                <w:right w:val="nil"/>
                <w:between w:val="nil"/>
              </w:pBdr>
              <w:rPr>
                <w:rFonts w:ascii="Times New Roman" w:hAnsi="Times New Roman" w:cs="Times New Roman"/>
                <w:color w:val="000000"/>
                <w:sz w:val="24"/>
                <w:szCs w:val="24"/>
              </w:rPr>
            </w:pPr>
            <w:r w:rsidRPr="00400FC0">
              <w:rPr>
                <w:rFonts w:ascii="Times New Roman" w:hAnsi="Times New Roman" w:cs="Times New Roman"/>
                <w:color w:val="000000"/>
                <w:sz w:val="24"/>
                <w:szCs w:val="24"/>
              </w:rPr>
              <w:t>monitorizarea respectării procedurilor/proceselor stabilite prin regulament;</w:t>
            </w:r>
          </w:p>
          <w:p w14:paraId="64C77283" w14:textId="3CF1886D" w:rsidR="002C1470" w:rsidRPr="00400FC0" w:rsidRDefault="00000000" w:rsidP="00400FC0">
            <w:pPr>
              <w:pStyle w:val="ListParagraph"/>
              <w:numPr>
                <w:ilvl w:val="0"/>
                <w:numId w:val="5"/>
              </w:numPr>
              <w:pBdr>
                <w:top w:val="nil"/>
                <w:left w:val="nil"/>
                <w:bottom w:val="nil"/>
                <w:right w:val="nil"/>
                <w:between w:val="nil"/>
              </w:pBdr>
              <w:rPr>
                <w:rFonts w:ascii="Times New Roman" w:hAnsi="Times New Roman" w:cs="Times New Roman"/>
                <w:color w:val="000000"/>
                <w:sz w:val="24"/>
                <w:szCs w:val="24"/>
              </w:rPr>
            </w:pPr>
            <w:r w:rsidRPr="00400FC0">
              <w:rPr>
                <w:rFonts w:ascii="Times New Roman" w:hAnsi="Times New Roman" w:cs="Times New Roman"/>
                <w:color w:val="000000"/>
                <w:sz w:val="24"/>
                <w:szCs w:val="24"/>
              </w:rPr>
              <w:t>evaluarea periodică a performanței subsistemului prin rapoarte anuale, audituri interne și externe.</w:t>
            </w:r>
          </w:p>
          <w:p w14:paraId="52810952" w14:textId="77777777" w:rsidR="002C1470" w:rsidRPr="00400FC0" w:rsidRDefault="00000000" w:rsidP="00400FC0">
            <w:pPr>
              <w:rPr>
                <w:rFonts w:ascii="Times New Roman" w:eastAsia="Times New Roman" w:hAnsi="Times New Roman" w:cs="Times New Roman"/>
                <w:sz w:val="24"/>
                <w:szCs w:val="24"/>
              </w:rPr>
            </w:pPr>
            <w:r w:rsidRPr="00400FC0">
              <w:rPr>
                <w:rFonts w:ascii="Times New Roman" w:eastAsia="Times New Roman" w:hAnsi="Times New Roman" w:cs="Times New Roman"/>
                <w:sz w:val="24"/>
                <w:szCs w:val="24"/>
              </w:rPr>
              <w:t>Implementarea se va realiza etapizat, conform planului de dezvoltare și operaționalizare, iar progresul va fi evaluat prin indicatori de performanță precum:</w:t>
            </w:r>
          </w:p>
          <w:p w14:paraId="3B4F60B0" w14:textId="0CEBCF25" w:rsidR="002C1470" w:rsidRPr="00400FC0" w:rsidRDefault="00000000" w:rsidP="00400FC0">
            <w:pPr>
              <w:pStyle w:val="ListParagraph"/>
              <w:numPr>
                <w:ilvl w:val="0"/>
                <w:numId w:val="5"/>
              </w:numPr>
              <w:pBdr>
                <w:top w:val="nil"/>
                <w:left w:val="nil"/>
                <w:bottom w:val="nil"/>
                <w:right w:val="nil"/>
                <w:between w:val="nil"/>
              </w:pBdr>
              <w:rPr>
                <w:rFonts w:ascii="Times New Roman" w:hAnsi="Times New Roman" w:cs="Times New Roman"/>
                <w:color w:val="000000"/>
                <w:sz w:val="24"/>
                <w:szCs w:val="24"/>
              </w:rPr>
            </w:pPr>
            <w:r w:rsidRPr="00400FC0">
              <w:rPr>
                <w:rFonts w:ascii="Times New Roman" w:hAnsi="Times New Roman" w:cs="Times New Roman"/>
                <w:color w:val="000000"/>
                <w:sz w:val="24"/>
                <w:szCs w:val="24"/>
              </w:rPr>
              <w:t>numărul de proiecte/programe gestionate digital;</w:t>
            </w:r>
          </w:p>
          <w:p w14:paraId="6F3D07DE" w14:textId="303B7ACD" w:rsidR="002C1470" w:rsidRPr="00400FC0" w:rsidRDefault="00000000" w:rsidP="00400FC0">
            <w:pPr>
              <w:pStyle w:val="ListParagraph"/>
              <w:numPr>
                <w:ilvl w:val="0"/>
                <w:numId w:val="5"/>
              </w:numPr>
              <w:pBdr>
                <w:top w:val="nil"/>
                <w:left w:val="nil"/>
                <w:bottom w:val="nil"/>
                <w:right w:val="nil"/>
                <w:between w:val="nil"/>
              </w:pBdr>
              <w:rPr>
                <w:rFonts w:ascii="Times New Roman" w:hAnsi="Times New Roman" w:cs="Times New Roman"/>
                <w:color w:val="000000"/>
                <w:sz w:val="24"/>
                <w:szCs w:val="24"/>
              </w:rPr>
            </w:pPr>
            <w:r w:rsidRPr="00400FC0">
              <w:rPr>
                <w:rFonts w:ascii="Times New Roman" w:hAnsi="Times New Roman" w:cs="Times New Roman"/>
                <w:color w:val="000000"/>
                <w:sz w:val="24"/>
                <w:szCs w:val="24"/>
              </w:rPr>
              <w:t>timpul de procesare a formularelor de aplicare;</w:t>
            </w:r>
          </w:p>
          <w:p w14:paraId="1363B7E0" w14:textId="59BA34DB" w:rsidR="002C1470" w:rsidRPr="00400FC0" w:rsidRDefault="00000000" w:rsidP="00400FC0">
            <w:pPr>
              <w:pStyle w:val="ListParagraph"/>
              <w:numPr>
                <w:ilvl w:val="0"/>
                <w:numId w:val="5"/>
              </w:numPr>
              <w:pBdr>
                <w:top w:val="nil"/>
                <w:left w:val="nil"/>
                <w:bottom w:val="nil"/>
                <w:right w:val="nil"/>
                <w:between w:val="nil"/>
              </w:pBdr>
              <w:spacing w:line="259" w:lineRule="auto"/>
              <w:rPr>
                <w:color w:val="000000"/>
                <w:sz w:val="24"/>
                <w:szCs w:val="24"/>
              </w:rPr>
            </w:pPr>
            <w:r w:rsidRPr="00400FC0">
              <w:rPr>
                <w:rFonts w:ascii="Times New Roman" w:hAnsi="Times New Roman" w:cs="Times New Roman"/>
                <w:color w:val="000000"/>
                <w:sz w:val="24"/>
                <w:szCs w:val="24"/>
              </w:rPr>
              <w:t>gradul de utilizare de către beneficiari.</w:t>
            </w:r>
          </w:p>
        </w:tc>
      </w:tr>
    </w:tbl>
    <w:p w14:paraId="3D4B33E6" w14:textId="77777777" w:rsidR="002C1470" w:rsidRDefault="002C1470">
      <w:pPr>
        <w:pBdr>
          <w:top w:val="none" w:sz="0" w:space="0" w:color="000000"/>
          <w:left w:val="none" w:sz="0" w:space="0" w:color="000000"/>
          <w:bottom w:val="none" w:sz="0" w:space="0" w:color="000000"/>
          <w:right w:val="none" w:sz="0" w:space="0" w:color="000000"/>
        </w:pBdr>
        <w:tabs>
          <w:tab w:val="left" w:pos="884"/>
          <w:tab w:val="left" w:pos="1196"/>
        </w:tabs>
        <w:ind w:right="360" w:firstLine="0"/>
        <w:jc w:val="center"/>
        <w:rPr>
          <w:sz w:val="24"/>
          <w:szCs w:val="24"/>
          <w:vertAlign w:val="superscript"/>
        </w:rPr>
      </w:pPr>
    </w:p>
    <w:p w14:paraId="0912C404" w14:textId="77777777" w:rsidR="002C1470" w:rsidRDefault="002C1470">
      <w:pPr>
        <w:pBdr>
          <w:top w:val="none" w:sz="0" w:space="0" w:color="000000"/>
          <w:left w:val="none" w:sz="0" w:space="0" w:color="000000"/>
          <w:bottom w:val="none" w:sz="0" w:space="0" w:color="000000"/>
          <w:right w:val="none" w:sz="0" w:space="0" w:color="000000"/>
        </w:pBdr>
        <w:tabs>
          <w:tab w:val="left" w:pos="884"/>
          <w:tab w:val="left" w:pos="1196"/>
        </w:tabs>
        <w:ind w:right="360" w:firstLine="0"/>
        <w:jc w:val="center"/>
        <w:rPr>
          <w:sz w:val="24"/>
          <w:szCs w:val="24"/>
          <w:vertAlign w:val="superscript"/>
        </w:rPr>
      </w:pPr>
    </w:p>
    <w:p w14:paraId="2FF68F8B" w14:textId="77777777" w:rsidR="002C1470" w:rsidRDefault="002C1470">
      <w:pPr>
        <w:pBdr>
          <w:top w:val="none" w:sz="0" w:space="0" w:color="000000"/>
          <w:left w:val="none" w:sz="0" w:space="0" w:color="000000"/>
          <w:bottom w:val="none" w:sz="0" w:space="0" w:color="000000"/>
          <w:right w:val="none" w:sz="0" w:space="0" w:color="000000"/>
        </w:pBdr>
        <w:tabs>
          <w:tab w:val="left" w:pos="884"/>
          <w:tab w:val="left" w:pos="1196"/>
        </w:tabs>
        <w:ind w:right="360" w:firstLine="0"/>
        <w:jc w:val="center"/>
        <w:rPr>
          <w:b/>
          <w:bCs/>
          <w:color w:val="000000"/>
          <w:sz w:val="24"/>
          <w:szCs w:val="24"/>
        </w:rPr>
      </w:pPr>
    </w:p>
    <w:p w14:paraId="20ED82EB" w14:textId="7175BF5F" w:rsidR="002C1470" w:rsidRPr="00400FC0" w:rsidRDefault="00400FC0">
      <w:pPr>
        <w:pBdr>
          <w:top w:val="none" w:sz="0" w:space="0" w:color="000000"/>
          <w:left w:val="none" w:sz="0" w:space="0" w:color="000000"/>
          <w:bottom w:val="none" w:sz="0" w:space="0" w:color="000000"/>
          <w:right w:val="none" w:sz="0" w:space="0" w:color="000000"/>
        </w:pBdr>
        <w:tabs>
          <w:tab w:val="left" w:pos="884"/>
          <w:tab w:val="left" w:pos="1196"/>
        </w:tabs>
        <w:ind w:right="360" w:firstLine="0"/>
        <w:jc w:val="center"/>
        <w:rPr>
          <w:sz w:val="24"/>
          <w:szCs w:val="24"/>
          <w:vertAlign w:val="superscript"/>
          <w:lang w:val="ro-MD"/>
        </w:rPr>
      </w:pPr>
      <w:r>
        <w:rPr>
          <w:b/>
          <w:bCs/>
          <w:color w:val="000000"/>
          <w:sz w:val="24"/>
          <w:szCs w:val="24"/>
        </w:rPr>
        <w:t>Secretar de stat</w:t>
      </w:r>
      <w:r w:rsidR="00000000">
        <w:rPr>
          <w:b/>
          <w:bCs/>
          <w:color w:val="000000"/>
          <w:sz w:val="24"/>
          <w:szCs w:val="24"/>
        </w:rPr>
        <w:tab/>
        <w:t xml:space="preserve">                  </w:t>
      </w:r>
      <w:r w:rsidR="00000000">
        <w:rPr>
          <w:i/>
          <w:iCs/>
          <w:color w:val="000000"/>
          <w:sz w:val="24"/>
          <w:szCs w:val="24"/>
        </w:rPr>
        <w:t xml:space="preserve">/semnat electronic/ </w:t>
      </w:r>
      <w:r w:rsidR="00000000">
        <w:rPr>
          <w:b/>
          <w:bCs/>
          <w:i/>
          <w:iCs/>
          <w:color w:val="000000"/>
          <w:sz w:val="24"/>
          <w:szCs w:val="24"/>
        </w:rPr>
        <w:t xml:space="preserve">                </w:t>
      </w:r>
      <w:r w:rsidR="00000000">
        <w:rPr>
          <w:b/>
          <w:bCs/>
          <w:color w:val="000000"/>
          <w:sz w:val="24"/>
          <w:szCs w:val="24"/>
        </w:rPr>
        <w:t xml:space="preserve">     </w:t>
      </w:r>
      <w:r>
        <w:rPr>
          <w:b/>
          <w:bCs/>
          <w:color w:val="000000"/>
          <w:sz w:val="24"/>
          <w:szCs w:val="24"/>
        </w:rPr>
        <w:t>Vitalie M</w:t>
      </w:r>
      <w:r>
        <w:rPr>
          <w:b/>
          <w:bCs/>
          <w:color w:val="000000"/>
          <w:sz w:val="24"/>
          <w:szCs w:val="24"/>
          <w:lang w:val="ro-MD"/>
        </w:rPr>
        <w:t>ÎȚA</w:t>
      </w:r>
    </w:p>
    <w:sectPr w:rsidR="002C1470" w:rsidRPr="00400FC0">
      <w:headerReference w:type="default" r:id="rId10"/>
      <w:footerReference w:type="default" r:id="rId11"/>
      <w:headerReference w:type="first" r:id="rId12"/>
      <w:footerReference w:type="first" r:id="rId13"/>
      <w:pgSz w:w="11907" w:h="16840"/>
      <w:pgMar w:top="1418" w:right="567" w:bottom="2080" w:left="1985"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FFFFC" w14:textId="77777777" w:rsidR="000D575F" w:rsidRDefault="000D575F">
      <w:r>
        <w:separator/>
      </w:r>
    </w:p>
  </w:endnote>
  <w:endnote w:type="continuationSeparator" w:id="0">
    <w:p w14:paraId="22DA8C7B" w14:textId="77777777" w:rsidR="000D575F" w:rsidRDefault="000D5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BDF0F65-D4EB-4167-90BA-482A3DE7468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F5E637C-591C-4824-B145-794402E31E7D}"/>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 Benguiat_Bold">
    <w:altName w:val="Calibri"/>
    <w:charset w:val="00"/>
    <w:family w:val="auto"/>
    <w:pitch w:val="default"/>
  </w:font>
  <w:font w:name="$Caslon">
    <w:altName w:val="Calibri"/>
    <w:charset w:val="00"/>
    <w:family w:val="auto"/>
    <w:pitch w:val="default"/>
  </w:font>
  <w:font w:name="Garamond">
    <w:panose1 w:val="02020404030301010803"/>
    <w:charset w:val="00"/>
    <w:family w:val="roman"/>
    <w:pitch w:val="variable"/>
    <w:sig w:usb0="00000287" w:usb1="00000000" w:usb2="00000000" w:usb3="00000000" w:csb0="0000009F" w:csb1="00000000"/>
    <w:embedBold r:id="rId3" w:fontKey="{C00F26CE-3DC3-4BC3-ADDD-B8DFB95FA58B}"/>
  </w:font>
  <w:font w:name="Tahoma">
    <w:panose1 w:val="020B0604030504040204"/>
    <w:charset w:val="00"/>
    <w:family w:val="swiss"/>
    <w:pitch w:val="variable"/>
    <w:sig w:usb0="E1002EFF" w:usb1="C000605B" w:usb2="00000029" w:usb3="00000000" w:csb0="000101FF" w:csb1="00000000"/>
    <w:embedRegular r:id="rId4" w:fontKey="{CEB49967-F38E-45A2-8DF5-3EA6C572AE15}"/>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embedRegular r:id="rId5" w:fontKey="{E0E93FCD-3C5D-4F75-B819-24D1726C3448}"/>
  </w:font>
  <w:font w:name="Consolas">
    <w:panose1 w:val="020B0609020204030204"/>
    <w:charset w:val="00"/>
    <w:family w:val="modern"/>
    <w:pitch w:val="fixed"/>
    <w:sig w:usb0="E00006FF" w:usb1="0000FCFF" w:usb2="00000001" w:usb3="00000000" w:csb0="0000019F" w:csb1="00000000"/>
    <w:embedRegular r:id="rId6" w:fontKey="{5DA8C044-89AA-4510-839B-166566BDBB94}"/>
  </w:font>
  <w:font w:name="Cambria">
    <w:panose1 w:val="02040503050406030204"/>
    <w:charset w:val="00"/>
    <w:family w:val="roman"/>
    <w:pitch w:val="variable"/>
    <w:sig w:usb0="E00006FF" w:usb1="420024FF" w:usb2="02000000" w:usb3="00000000" w:csb0="0000019F" w:csb1="00000000"/>
    <w:embedRegular r:id="rId7" w:fontKey="{1A958916-DD73-43A0-BF12-C68A532FF2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B5BEA" w14:textId="77777777" w:rsidR="002C1470" w:rsidRDefault="002C1470">
    <w:pPr>
      <w:widowControl w:val="0"/>
      <w:pBdr>
        <w:top w:val="nil"/>
        <w:left w:val="nil"/>
        <w:bottom w:val="nil"/>
        <w:right w:val="nil"/>
        <w:between w:val="nil"/>
      </w:pBdr>
      <w:spacing w:line="276" w:lineRule="auto"/>
      <w:ind w:firstLine="0"/>
      <w:jc w:val="left"/>
      <w:rPr>
        <w:color w:val="000000"/>
        <w:sz w:val="28"/>
        <w:szCs w:val="28"/>
      </w:rPr>
    </w:pPr>
  </w:p>
  <w:tbl>
    <w:tblPr>
      <w:tblStyle w:val="a3"/>
      <w:tblW w:w="9345" w:type="dxa"/>
      <w:tblInd w:w="-115" w:type="dxa"/>
      <w:tblLayout w:type="fixed"/>
      <w:tblLook w:val="0600" w:firstRow="0" w:lastRow="0" w:firstColumn="0" w:lastColumn="0" w:noHBand="1" w:noVBand="1"/>
    </w:tblPr>
    <w:tblGrid>
      <w:gridCol w:w="3115"/>
      <w:gridCol w:w="3115"/>
      <w:gridCol w:w="3115"/>
    </w:tblGrid>
    <w:tr w:rsidR="002C1470" w14:paraId="2B883845" w14:textId="77777777">
      <w:trPr>
        <w:trHeight w:val="300"/>
      </w:trPr>
      <w:tc>
        <w:tcPr>
          <w:tcW w:w="3115" w:type="dxa"/>
        </w:tcPr>
        <w:p w14:paraId="65C1F533" w14:textId="77777777" w:rsidR="002C1470" w:rsidRDefault="002C1470">
          <w:pPr>
            <w:pBdr>
              <w:top w:val="nil"/>
              <w:left w:val="nil"/>
              <w:bottom w:val="nil"/>
              <w:right w:val="nil"/>
              <w:between w:val="nil"/>
            </w:pBdr>
            <w:tabs>
              <w:tab w:val="center" w:pos="4677"/>
              <w:tab w:val="right" w:pos="9355"/>
            </w:tabs>
            <w:ind w:left="-115"/>
            <w:jc w:val="left"/>
            <w:rPr>
              <w:color w:val="000000"/>
            </w:rPr>
          </w:pPr>
        </w:p>
      </w:tc>
      <w:tc>
        <w:tcPr>
          <w:tcW w:w="3115" w:type="dxa"/>
        </w:tcPr>
        <w:p w14:paraId="5CE89385" w14:textId="77777777" w:rsidR="002C1470" w:rsidRDefault="002C1470">
          <w:pPr>
            <w:pBdr>
              <w:top w:val="nil"/>
              <w:left w:val="nil"/>
              <w:bottom w:val="nil"/>
              <w:right w:val="nil"/>
              <w:between w:val="nil"/>
            </w:pBdr>
            <w:tabs>
              <w:tab w:val="center" w:pos="4677"/>
              <w:tab w:val="right" w:pos="9355"/>
            </w:tabs>
            <w:jc w:val="center"/>
            <w:rPr>
              <w:color w:val="000000"/>
            </w:rPr>
          </w:pPr>
        </w:p>
      </w:tc>
      <w:tc>
        <w:tcPr>
          <w:tcW w:w="3115" w:type="dxa"/>
        </w:tcPr>
        <w:p w14:paraId="61704808" w14:textId="77777777" w:rsidR="002C1470" w:rsidRDefault="002C1470">
          <w:pPr>
            <w:pBdr>
              <w:top w:val="nil"/>
              <w:left w:val="nil"/>
              <w:bottom w:val="nil"/>
              <w:right w:val="nil"/>
              <w:between w:val="nil"/>
            </w:pBdr>
            <w:tabs>
              <w:tab w:val="center" w:pos="4677"/>
              <w:tab w:val="right" w:pos="9355"/>
            </w:tabs>
            <w:ind w:right="-115"/>
            <w:jc w:val="right"/>
            <w:rPr>
              <w:color w:val="000000"/>
            </w:rPr>
          </w:pPr>
        </w:p>
      </w:tc>
    </w:tr>
  </w:tbl>
  <w:p w14:paraId="23E36EFB" w14:textId="77777777" w:rsidR="002C1470" w:rsidRDefault="002C1470">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9566E" w14:textId="77777777" w:rsidR="002C1470" w:rsidRDefault="002C1470">
    <w:pPr>
      <w:widowControl w:val="0"/>
      <w:pBdr>
        <w:top w:val="nil"/>
        <w:left w:val="nil"/>
        <w:bottom w:val="nil"/>
        <w:right w:val="nil"/>
        <w:between w:val="nil"/>
      </w:pBdr>
      <w:spacing w:line="276" w:lineRule="auto"/>
      <w:ind w:firstLine="0"/>
      <w:jc w:val="left"/>
      <w:rPr>
        <w:color w:val="000000"/>
      </w:rPr>
    </w:pPr>
  </w:p>
  <w:tbl>
    <w:tblPr>
      <w:tblStyle w:val="a4"/>
      <w:tblW w:w="9345" w:type="dxa"/>
      <w:tblInd w:w="-115" w:type="dxa"/>
      <w:tblLayout w:type="fixed"/>
      <w:tblLook w:val="0600" w:firstRow="0" w:lastRow="0" w:firstColumn="0" w:lastColumn="0" w:noHBand="1" w:noVBand="1"/>
    </w:tblPr>
    <w:tblGrid>
      <w:gridCol w:w="3115"/>
      <w:gridCol w:w="3115"/>
      <w:gridCol w:w="3115"/>
    </w:tblGrid>
    <w:tr w:rsidR="002C1470" w14:paraId="3EC10848" w14:textId="77777777">
      <w:trPr>
        <w:trHeight w:val="300"/>
      </w:trPr>
      <w:tc>
        <w:tcPr>
          <w:tcW w:w="3115" w:type="dxa"/>
        </w:tcPr>
        <w:p w14:paraId="4B05A628" w14:textId="77777777" w:rsidR="002C1470" w:rsidRDefault="002C1470">
          <w:pPr>
            <w:pBdr>
              <w:top w:val="nil"/>
              <w:left w:val="nil"/>
              <w:bottom w:val="nil"/>
              <w:right w:val="nil"/>
              <w:between w:val="nil"/>
            </w:pBdr>
            <w:tabs>
              <w:tab w:val="center" w:pos="4677"/>
              <w:tab w:val="right" w:pos="9355"/>
            </w:tabs>
            <w:ind w:left="-115"/>
            <w:jc w:val="left"/>
            <w:rPr>
              <w:color w:val="000000"/>
            </w:rPr>
          </w:pPr>
        </w:p>
      </w:tc>
      <w:tc>
        <w:tcPr>
          <w:tcW w:w="3115" w:type="dxa"/>
        </w:tcPr>
        <w:p w14:paraId="32C43176" w14:textId="77777777" w:rsidR="002C1470" w:rsidRDefault="002C1470">
          <w:pPr>
            <w:pBdr>
              <w:top w:val="nil"/>
              <w:left w:val="nil"/>
              <w:bottom w:val="nil"/>
              <w:right w:val="nil"/>
              <w:between w:val="nil"/>
            </w:pBdr>
            <w:tabs>
              <w:tab w:val="center" w:pos="4677"/>
              <w:tab w:val="right" w:pos="9355"/>
            </w:tabs>
            <w:jc w:val="center"/>
            <w:rPr>
              <w:color w:val="000000"/>
            </w:rPr>
          </w:pPr>
        </w:p>
      </w:tc>
      <w:tc>
        <w:tcPr>
          <w:tcW w:w="3115" w:type="dxa"/>
        </w:tcPr>
        <w:p w14:paraId="2BAA490B" w14:textId="77777777" w:rsidR="002C1470" w:rsidRDefault="002C1470">
          <w:pPr>
            <w:pBdr>
              <w:top w:val="nil"/>
              <w:left w:val="nil"/>
              <w:bottom w:val="nil"/>
              <w:right w:val="nil"/>
              <w:between w:val="nil"/>
            </w:pBdr>
            <w:tabs>
              <w:tab w:val="center" w:pos="4677"/>
              <w:tab w:val="right" w:pos="9355"/>
            </w:tabs>
            <w:ind w:right="-115"/>
            <w:jc w:val="right"/>
            <w:rPr>
              <w:color w:val="000000"/>
            </w:rPr>
          </w:pPr>
        </w:p>
      </w:tc>
    </w:tr>
  </w:tbl>
  <w:p w14:paraId="0E679178" w14:textId="77777777" w:rsidR="002C1470" w:rsidRDefault="002C1470">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8171D" w14:textId="77777777" w:rsidR="000D575F" w:rsidRDefault="000D575F">
      <w:r>
        <w:separator/>
      </w:r>
    </w:p>
  </w:footnote>
  <w:footnote w:type="continuationSeparator" w:id="0">
    <w:p w14:paraId="1CDFE9D1" w14:textId="77777777" w:rsidR="000D575F" w:rsidRDefault="000D57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377AE" w14:textId="77777777" w:rsidR="002C1470" w:rsidRDefault="002C1470">
    <w:pPr>
      <w:pBdr>
        <w:top w:val="nil"/>
        <w:left w:val="nil"/>
        <w:bottom w:val="nil"/>
        <w:right w:val="nil"/>
        <w:between w:val="nil"/>
      </w:pBdr>
      <w:tabs>
        <w:tab w:val="center" w:pos="4677"/>
        <w:tab w:val="right" w:pos="9355"/>
      </w:tabs>
      <w:ind w:firstLine="0"/>
      <w:jc w:val="center"/>
      <w:rPr>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B34DD" w14:textId="77777777" w:rsidR="002C1470" w:rsidRDefault="002C1470">
    <w:pPr>
      <w:pBdr>
        <w:top w:val="nil"/>
        <w:left w:val="nil"/>
        <w:bottom w:val="nil"/>
        <w:right w:val="nil"/>
        <w:between w:val="nil"/>
      </w:pBdr>
      <w:tabs>
        <w:tab w:val="center" w:pos="4677"/>
        <w:tab w:val="right" w:pos="9355"/>
      </w:tabs>
      <w:ind w:firstLine="0"/>
      <w:rPr>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F5D05"/>
    <w:multiLevelType w:val="multilevel"/>
    <w:tmpl w:val="981A8E9E"/>
    <w:lvl w:ilvl="0">
      <w:start w:val="1"/>
      <w:numFmt w:val="lowerLetter"/>
      <w:lvlText w:val="%1)"/>
      <w:lvlJc w:val="left"/>
      <w:pPr>
        <w:ind w:left="720" w:hanging="360"/>
      </w:p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1" w15:restartNumberingAfterBreak="0">
    <w:nsid w:val="1CD41BC2"/>
    <w:multiLevelType w:val="multilevel"/>
    <w:tmpl w:val="3E2C960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 w15:restartNumberingAfterBreak="0">
    <w:nsid w:val="1F634C95"/>
    <w:multiLevelType w:val="multilevel"/>
    <w:tmpl w:val="7206CAA6"/>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3" w15:restartNumberingAfterBreak="0">
    <w:nsid w:val="2909775F"/>
    <w:multiLevelType w:val="hybridMultilevel"/>
    <w:tmpl w:val="588EB122"/>
    <w:lvl w:ilvl="0" w:tplc="CC5C5D08">
      <w:start w:val="7"/>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506A68"/>
    <w:multiLevelType w:val="hybridMultilevel"/>
    <w:tmpl w:val="65B0ACE0"/>
    <w:lvl w:ilvl="0" w:tplc="7A6AAB04">
      <w:start w:val="7"/>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16cid:durableId="812061533">
    <w:abstractNumId w:val="2"/>
  </w:num>
  <w:num w:numId="2" w16cid:durableId="2040886472">
    <w:abstractNumId w:val="1"/>
  </w:num>
  <w:num w:numId="3" w16cid:durableId="1086920451">
    <w:abstractNumId w:val="0"/>
  </w:num>
  <w:num w:numId="4" w16cid:durableId="1600215877">
    <w:abstractNumId w:val="4"/>
  </w:num>
  <w:num w:numId="5" w16cid:durableId="16026417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470"/>
    <w:rsid w:val="000D575F"/>
    <w:rsid w:val="002C1470"/>
    <w:rsid w:val="00400FC0"/>
    <w:rsid w:val="00565B87"/>
    <w:rsid w:val="00A617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E9CE4"/>
  <w15:docId w15:val="{8AF691F2-3D9E-4BD5-B4EE-E01341AEB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 w:eastAsia="zh-CN"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jc w:val="center"/>
      <w:outlineLvl w:val="1"/>
    </w:pPr>
    <w:rPr>
      <w:rFonts w:ascii="$ Benguiat_Bold" w:eastAsia="$ Benguiat_Bold" w:hAnsi="$ Benguiat_Bold" w:cs="$ Benguiat_Bold"/>
      <w:b/>
      <w:bCs/>
      <w:sz w:val="132"/>
      <w:szCs w:val="132"/>
    </w:rPr>
  </w:style>
  <w:style w:type="paragraph" w:styleId="Heading3">
    <w:name w:val="heading 3"/>
    <w:basedOn w:val="Normal"/>
    <w:next w:val="Normal"/>
    <w:uiPriority w:val="9"/>
    <w:semiHidden/>
    <w:unhideWhenUsed/>
    <w:qFormat/>
    <w:pPr>
      <w:keepNext/>
      <w:jc w:val="center"/>
      <w:outlineLvl w:val="2"/>
    </w:pPr>
    <w:rPr>
      <w:rFonts w:ascii="$Caslon" w:eastAsia="$Caslon" w:hAnsi="$Caslon" w:cs="$Caslon"/>
      <w:b/>
      <w:bCs/>
    </w:rPr>
  </w:style>
  <w:style w:type="paragraph" w:styleId="Heading4">
    <w:name w:val="heading 4"/>
    <w:basedOn w:val="Normal"/>
    <w:next w:val="Normal"/>
    <w:uiPriority w:val="9"/>
    <w:semiHidden/>
    <w:unhideWhenUsed/>
    <w:qFormat/>
    <w:pPr>
      <w:keepNext/>
      <w:jc w:val="center"/>
      <w:outlineLvl w:val="3"/>
    </w:pPr>
    <w:rPr>
      <w:rFonts w:ascii="$Caslon" w:eastAsia="$Caslon" w:hAnsi="$Caslon" w:cs="$Caslon"/>
      <w:b/>
      <w:bCs/>
      <w:sz w:val="26"/>
      <w:szCs w:val="26"/>
    </w:rPr>
  </w:style>
  <w:style w:type="paragraph" w:styleId="Heading5">
    <w:name w:val="heading 5"/>
    <w:basedOn w:val="Normal"/>
    <w:next w:val="Normal"/>
    <w:uiPriority w:val="9"/>
    <w:semiHidden/>
    <w:unhideWhenUsed/>
    <w:qFormat/>
    <w:pPr>
      <w:keepNext/>
      <w:jc w:val="center"/>
      <w:outlineLvl w:val="4"/>
    </w:pPr>
    <w:rPr>
      <w:rFonts w:ascii="$Caslon" w:eastAsia="$Caslon" w:hAnsi="$Caslon" w:cs="$Caslon"/>
      <w:sz w:val="24"/>
      <w:szCs w:val="24"/>
    </w:rPr>
  </w:style>
  <w:style w:type="paragraph" w:styleId="Heading6">
    <w:name w:val="heading 6"/>
    <w:basedOn w:val="Normal"/>
    <w:next w:val="Normal"/>
    <w:uiPriority w:val="9"/>
    <w:semiHidden/>
    <w:unhideWhenUsed/>
    <w:qFormat/>
    <w:pPr>
      <w:keepNext/>
      <w:jc w:val="center"/>
      <w:outlineLvl w:val="5"/>
    </w:pPr>
    <w:rPr>
      <w:rFonts w:ascii="$Caslon" w:eastAsia="$Caslon" w:hAnsi="$Caslon" w:cs="$Caslon"/>
      <w:b/>
      <w:bCs/>
      <w:sz w:val="22"/>
      <w:szCs w:val="22"/>
    </w:rPr>
  </w:style>
  <w:style w:type="paragraph" w:styleId="Heading7">
    <w:name w:val="heading 7"/>
    <w:basedOn w:val="Normal"/>
    <w:next w:val="Normal"/>
    <w:link w:val="Heading7Char"/>
    <w:qFormat/>
    <w:pPr>
      <w:keepNext/>
      <w:jc w:val="center"/>
      <w:outlineLvl w:val="6"/>
    </w:pPr>
    <w:rPr>
      <w:rFonts w:ascii="Garamond" w:hAnsi="Garamond"/>
      <w:b/>
      <w:sz w:val="28"/>
    </w:rPr>
  </w:style>
  <w:style w:type="paragraph" w:styleId="Heading8">
    <w:name w:val="heading 8"/>
    <w:basedOn w:val="Normal"/>
    <w:next w:val="Normal"/>
    <w:link w:val="Heading8Char"/>
    <w:qFormat/>
    <w:pPr>
      <w:keepNext/>
      <w:jc w:val="center"/>
      <w:outlineLvl w:val="7"/>
    </w:pPr>
    <w:rPr>
      <w:rFonts w:ascii="$Caslon" w:hAnsi="$Caslon"/>
      <w:b/>
      <w:sz w:val="24"/>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00" w:after="200"/>
    </w:pPr>
    <w:rPr>
      <w:sz w:val="48"/>
      <w:szCs w:val="48"/>
    </w:rPr>
  </w:style>
  <w:style w:type="table" w:customStyle="1" w:styleId="TableNormal1">
    <w:name w:val="TableNormal"/>
    <w:tblPr>
      <w:tblCellMar>
        <w:top w:w="100" w:type="dxa"/>
        <w:left w:w="100" w:type="dxa"/>
        <w:bottom w:w="100" w:type="dxa"/>
        <w:right w:w="100" w:type="dxa"/>
      </w:tblCellMar>
    </w:tblPr>
  </w:style>
  <w:style w:type="character" w:customStyle="1" w:styleId="Titlu1Caracter">
    <w:name w:val="Titlu 1 Caracter"/>
    <w:basedOn w:val="DefaultParagraphFont"/>
    <w:uiPriority w:val="9"/>
    <w:rPr>
      <w:rFonts w:ascii="Arial" w:eastAsia="Arial" w:hAnsi="Arial" w:cs="Arial"/>
      <w:sz w:val="40"/>
      <w:szCs w:val="40"/>
    </w:rPr>
  </w:style>
  <w:style w:type="character" w:customStyle="1" w:styleId="Titlu2Caracter">
    <w:name w:val="Titlu 2 Caracter"/>
    <w:basedOn w:val="DefaultParagraphFont"/>
    <w:uiPriority w:val="9"/>
    <w:rPr>
      <w:rFonts w:ascii="Arial" w:eastAsia="Arial" w:hAnsi="Arial" w:cs="Arial"/>
      <w:sz w:val="34"/>
    </w:rPr>
  </w:style>
  <w:style w:type="character" w:customStyle="1" w:styleId="Titlu3Caracter">
    <w:name w:val="Titlu 3 Caracter"/>
    <w:basedOn w:val="DefaultParagraphFont"/>
    <w:uiPriority w:val="9"/>
    <w:rPr>
      <w:rFonts w:ascii="Arial" w:eastAsia="Arial" w:hAnsi="Arial" w:cs="Arial"/>
      <w:sz w:val="30"/>
      <w:szCs w:val="30"/>
    </w:rPr>
  </w:style>
  <w:style w:type="character" w:customStyle="1" w:styleId="Titlu4Caracter">
    <w:name w:val="Titlu 4 Caracter"/>
    <w:basedOn w:val="DefaultParagraphFont"/>
    <w:uiPriority w:val="9"/>
    <w:rPr>
      <w:rFonts w:ascii="Arial" w:eastAsia="Arial" w:hAnsi="Arial" w:cs="Arial"/>
      <w:b/>
      <w:bCs/>
      <w:sz w:val="26"/>
      <w:szCs w:val="26"/>
    </w:rPr>
  </w:style>
  <w:style w:type="character" w:customStyle="1" w:styleId="Titlu5Caracter">
    <w:name w:val="Titlu 5 Caracter"/>
    <w:basedOn w:val="DefaultParagraphFont"/>
    <w:uiPriority w:val="9"/>
    <w:rPr>
      <w:rFonts w:ascii="Arial" w:eastAsia="Arial" w:hAnsi="Arial" w:cs="Arial"/>
      <w:b/>
      <w:bCs/>
      <w:sz w:val="24"/>
      <w:szCs w:val="24"/>
    </w:rPr>
  </w:style>
  <w:style w:type="character" w:customStyle="1" w:styleId="Titlu6Caracter">
    <w:name w:val="Titlu 6 Caracter"/>
    <w:basedOn w:val="DefaultParagraphFont"/>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style>
  <w:style w:type="character" w:customStyle="1" w:styleId="TitluCaracter">
    <w:name w:val="Titlu Caracter"/>
    <w:basedOn w:val="DefaultParagraphFont"/>
    <w:uiPriority w:val="10"/>
    <w:rPr>
      <w:sz w:val="48"/>
      <w:szCs w:val="48"/>
    </w:rPr>
  </w:style>
  <w:style w:type="character" w:customStyle="1" w:styleId="SubtitluCaracter">
    <w:name w:val="Subtitlu Caracter"/>
    <w:basedOn w:val="DefaultParagraphFont"/>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1">
    <w:name w:val="Plain Table 21"/>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1">
    <w:name w:val="Plain Table 41"/>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1">
    <w:name w:val="Plain Table 51"/>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1">
    <w:name w:val="Grid Table 1 Light1"/>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1">
    <w:name w:val="Grid Table 21"/>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1">
    <w:name w:val="Grid Table 31"/>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1">
    <w:name w:val="Grid Table 41"/>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1">
    <w:name w:val="Grid Table 5 Dark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1">
    <w:name w:val="Grid Table 5 Dark - Accent 2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1">
    <w:name w:val="Grid Table 5 Dark - Accent 5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1">
    <w:name w:val="Grid Table 6 Colorful1"/>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1">
    <w:name w:val="Grid Table 7 Colorful1"/>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1">
    <w:name w:val="List Table 1 Light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1">
    <w:name w:val="List Table 21"/>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1">
    <w:name w:val="List Table 31"/>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1">
    <w:name w:val="List Table 41"/>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1">
    <w:name w:val="List Table 5 Dark1"/>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1">
    <w:name w:val="List Table 6 Colorful1"/>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1">
    <w:name w:val="List Table 7 Colorful1"/>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Pr>
      <w:color w:val="404040"/>
      <w:lang w:val="ro-RO" w:eastAsia="ro-RO"/>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lang w:val="ro-RO" w:eastAsia="ro-RO"/>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Pr>
      <w:color w:val="404040"/>
      <w:lang w:val="ro-RO" w:eastAsia="ro-RO"/>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Pr>
      <w:color w:val="404040"/>
      <w:lang w:val="ro-RO" w:eastAsia="ro-RO"/>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Pr>
      <w:color w:val="404040"/>
      <w:lang w:val="ro-RO" w:eastAsia="ro-RO"/>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Pr>
      <w:color w:val="404040"/>
      <w:lang w:val="ro-RO" w:eastAsia="ro-RO"/>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Pr>
      <w:color w:val="404040"/>
      <w:lang w:val="ro-RO" w:eastAsia="ro-RO"/>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ind w:firstLine="0"/>
    </w:pPr>
  </w:style>
  <w:style w:type="paragraph" w:styleId="TOC2">
    <w:name w:val="toc 2"/>
    <w:basedOn w:val="Normal"/>
    <w:next w:val="Normal"/>
    <w:uiPriority w:val="39"/>
    <w:unhideWhenUsed/>
    <w:pPr>
      <w:spacing w:after="57"/>
      <w:ind w:left="283" w:firstLine="0"/>
    </w:pPr>
  </w:style>
  <w:style w:type="paragraph" w:styleId="TOC3">
    <w:name w:val="toc 3"/>
    <w:basedOn w:val="Normal"/>
    <w:next w:val="Normal"/>
    <w:uiPriority w:val="39"/>
    <w:unhideWhenUsed/>
    <w:pPr>
      <w:spacing w:after="57"/>
      <w:ind w:left="567" w:firstLine="0"/>
    </w:pPr>
  </w:style>
  <w:style w:type="paragraph" w:styleId="TOC4">
    <w:name w:val="toc 4"/>
    <w:basedOn w:val="Normal"/>
    <w:next w:val="Normal"/>
    <w:uiPriority w:val="39"/>
    <w:unhideWhenUsed/>
    <w:pPr>
      <w:spacing w:after="57"/>
      <w:ind w:left="850" w:firstLine="0"/>
    </w:pPr>
  </w:style>
  <w:style w:type="paragraph" w:styleId="TOC5">
    <w:name w:val="toc 5"/>
    <w:basedOn w:val="Normal"/>
    <w:next w:val="Normal"/>
    <w:uiPriority w:val="39"/>
    <w:unhideWhenUsed/>
    <w:pPr>
      <w:spacing w:after="57"/>
      <w:ind w:left="1134" w:firstLine="0"/>
    </w:pPr>
  </w:style>
  <w:style w:type="paragraph" w:styleId="TOC6">
    <w:name w:val="toc 6"/>
    <w:basedOn w:val="Normal"/>
    <w:next w:val="Normal"/>
    <w:uiPriority w:val="39"/>
    <w:unhideWhenUsed/>
    <w:pPr>
      <w:spacing w:after="57"/>
      <w:ind w:left="1417" w:firstLine="0"/>
    </w:pPr>
  </w:style>
  <w:style w:type="paragraph" w:styleId="TOC7">
    <w:name w:val="toc 7"/>
    <w:basedOn w:val="Normal"/>
    <w:next w:val="Normal"/>
    <w:uiPriority w:val="39"/>
    <w:unhideWhenUsed/>
    <w:pPr>
      <w:spacing w:after="57"/>
      <w:ind w:left="1701" w:firstLine="0"/>
    </w:pPr>
  </w:style>
  <w:style w:type="paragraph" w:styleId="TOC8">
    <w:name w:val="toc 8"/>
    <w:basedOn w:val="Normal"/>
    <w:next w:val="Normal"/>
    <w:uiPriority w:val="39"/>
    <w:unhideWhenUsed/>
    <w:pPr>
      <w:spacing w:after="57"/>
      <w:ind w:left="1984" w:firstLine="0"/>
    </w:pPr>
  </w:style>
  <w:style w:type="paragraph" w:styleId="TOC9">
    <w:name w:val="toc 9"/>
    <w:basedOn w:val="Normal"/>
    <w:next w:val="Normal"/>
    <w:uiPriority w:val="39"/>
    <w:unhideWhenUsed/>
    <w:pPr>
      <w:spacing w:after="57"/>
      <w:ind w:left="2268" w:firstLine="0"/>
    </w:pPr>
  </w:style>
  <w:style w:type="paragraph" w:styleId="TOCHeading">
    <w:name w:val="TOC Heading"/>
    <w:uiPriority w:val="39"/>
    <w:unhideWhenUsed/>
  </w:style>
  <w:style w:type="paragraph" w:styleId="TableofFigures">
    <w:name w:val="table of figures"/>
    <w:basedOn w:val="Normal"/>
    <w:next w:val="Normal"/>
    <w:uiPriority w:val="99"/>
    <w:unhideWhenUsed/>
  </w:style>
  <w:style w:type="paragraph" w:styleId="BalloonText">
    <w:name w:val="Balloon Text"/>
    <w:basedOn w:val="Normal"/>
    <w:link w:val="BalloonTextChar"/>
    <w:uiPriority w:val="99"/>
    <w:rPr>
      <w:rFonts w:ascii="Tahoma" w:hAnsi="Tahoma"/>
      <w:sz w:val="16"/>
      <w:szCs w:val="16"/>
    </w:rPr>
  </w:style>
  <w:style w:type="character" w:customStyle="1" w:styleId="BalloonTextChar">
    <w:name w:val="Balloon Text Char"/>
    <w:link w:val="BalloonText"/>
    <w:uiPriority w:val="99"/>
    <w:rPr>
      <w:rFonts w:ascii="Tahoma" w:hAnsi="Tahoma" w:cs="Tahoma"/>
      <w:sz w:val="16"/>
      <w:szCs w:val="16"/>
      <w:lang w:val="en-US" w:eastAsia="en-US"/>
    </w:rPr>
  </w:style>
  <w:style w:type="paragraph" w:customStyle="1" w:styleId="CharChar">
    <w:name w:val="Знак Знак Char Char Знак"/>
    <w:basedOn w:val="Normal"/>
    <w:pPr>
      <w:spacing w:after="160" w:line="240" w:lineRule="exact"/>
      <w:ind w:firstLine="0"/>
      <w:jc w:val="left"/>
    </w:pPr>
    <w:rPr>
      <w:rFonts w:ascii="Arial" w:eastAsia="Batang" w:hAnsi="Arial" w:cs="Arial"/>
    </w:rPr>
  </w:style>
  <w:style w:type="paragraph" w:styleId="NormalWeb">
    <w:name w:val="Normal (Web)"/>
    <w:basedOn w:val="Normal"/>
    <w:uiPriority w:val="99"/>
    <w:unhideWhenUsed/>
    <w:pPr>
      <w:ind w:firstLine="567"/>
    </w:pPr>
    <w:rPr>
      <w:sz w:val="24"/>
      <w:szCs w:val="24"/>
      <w:lang w:val="ru-RU" w:eastAsia="ru-RU"/>
    </w:rPr>
  </w:style>
  <w:style w:type="paragraph" w:customStyle="1" w:styleId="cn">
    <w:name w:val="cn"/>
    <w:basedOn w:val="Normal"/>
    <w:pPr>
      <w:ind w:firstLine="0"/>
      <w:jc w:val="center"/>
    </w:pPr>
    <w:rPr>
      <w:sz w:val="24"/>
      <w:szCs w:val="24"/>
      <w:lang w:val="ru-RU" w:eastAsia="ru-RU"/>
    </w:rPr>
  </w:style>
  <w:style w:type="paragraph" w:customStyle="1" w:styleId="cb">
    <w:name w:val="cb"/>
    <w:basedOn w:val="Normal"/>
    <w:uiPriority w:val="99"/>
    <w:semiHidden/>
    <w:pPr>
      <w:ind w:firstLine="0"/>
      <w:jc w:val="center"/>
    </w:pPr>
    <w:rPr>
      <w:b/>
      <w:bCs/>
      <w:sz w:val="24"/>
      <w:szCs w:val="24"/>
      <w:lang w:val="ru-RU" w:eastAsia="ru-RU"/>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uiPriority w:val="99"/>
    <w:rPr>
      <w:lang w:val="en-US" w:eastAsia="en-US"/>
    </w:rPr>
  </w:style>
  <w:style w:type="paragraph" w:styleId="Footer">
    <w:name w:val="footer"/>
    <w:basedOn w:val="Normal"/>
    <w:link w:val="FooterChar"/>
    <w:pPr>
      <w:tabs>
        <w:tab w:val="center" w:pos="4677"/>
        <w:tab w:val="right" w:pos="9355"/>
      </w:tabs>
    </w:pPr>
  </w:style>
  <w:style w:type="character" w:customStyle="1" w:styleId="FooterChar">
    <w:name w:val="Footer Char"/>
    <w:link w:val="Footer"/>
    <w:uiPriority w:val="99"/>
    <w:rPr>
      <w:lang w:val="en-US" w:eastAsia="en-US"/>
    </w:rPr>
  </w:style>
  <w:style w:type="table" w:styleId="TableGrid">
    <w:name w:val="Table Grid"/>
    <w:basedOn w:val="TableNormal"/>
    <w:uiPriority w:val="39"/>
    <w:rPr>
      <w:rFonts w:ascii="Calibri" w:eastAsia="Calibri" w:hAnsi="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ews">
    <w:name w:val="news"/>
    <w:basedOn w:val="Normal"/>
    <w:pPr>
      <w:ind w:firstLine="0"/>
      <w:jc w:val="left"/>
    </w:pPr>
    <w:rPr>
      <w:rFonts w:ascii="Arial" w:hAnsi="Arial" w:cs="Arial"/>
      <w:lang w:val="ru-RU" w:eastAsia="ru-RU"/>
    </w:rPr>
  </w:style>
  <w:style w:type="table" w:customStyle="1" w:styleId="GrilTabel1">
    <w:name w:val="Grilă Tabel1"/>
    <w:basedOn w:val="TableNormal"/>
    <w:next w:val="TableGrid"/>
    <w:uiPriority w:val="59"/>
    <w:rPr>
      <w:rFonts w:ascii="Calibri" w:eastAsia="Calibri" w:hAnsi="Calibri"/>
      <w:sz w:val="22"/>
      <w:szCs w:val="22"/>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ind w:left="720"/>
      <w:contextualSpacing/>
    </w:pPr>
  </w:style>
  <w:style w:type="numbering" w:customStyle="1" w:styleId="FrListare1">
    <w:name w:val="Fără Listare1"/>
    <w:next w:val="NoList"/>
    <w:semiHidden/>
  </w:style>
  <w:style w:type="character" w:styleId="PageNumber">
    <w:name w:val="page number"/>
    <w:basedOn w:val="DefaultParagraphFont"/>
  </w:style>
  <w:style w:type="paragraph" w:customStyle="1" w:styleId="tt">
    <w:name w:val="tt"/>
    <w:basedOn w:val="Normal"/>
    <w:pPr>
      <w:ind w:firstLine="0"/>
      <w:jc w:val="center"/>
    </w:pPr>
    <w:rPr>
      <w:b/>
      <w:bCs/>
      <w:sz w:val="24"/>
      <w:szCs w:val="24"/>
      <w:lang w:val="ru-RU" w:eastAsia="ru-RU"/>
    </w:rPr>
  </w:style>
  <w:style w:type="paragraph" w:customStyle="1" w:styleId="CharChar0">
    <w:name w:val="Char Char Знак Знак"/>
    <w:basedOn w:val="Normal"/>
    <w:pPr>
      <w:spacing w:after="160" w:line="240" w:lineRule="exact"/>
      <w:ind w:firstLine="0"/>
      <w:jc w:val="left"/>
    </w:pPr>
    <w:rPr>
      <w:rFonts w:ascii="Arial" w:eastAsia="Batang" w:hAnsi="Arial" w:cs="Arial"/>
    </w:rPr>
  </w:style>
  <w:style w:type="character" w:customStyle="1" w:styleId="docheader1">
    <w:name w:val="doc_header1"/>
    <w:rPr>
      <w:rFonts w:ascii="Times New Roman" w:hAnsi="Times New Roman" w:cs="Times New Roman" w:hint="default"/>
      <w:b/>
      <w:bCs/>
      <w:color w:val="000000"/>
      <w:sz w:val="24"/>
      <w:szCs w:val="24"/>
    </w:rPr>
  </w:style>
  <w:style w:type="character" w:styleId="Strong">
    <w:name w:val="Strong"/>
    <w:uiPriority w:val="22"/>
    <w:qFormat/>
    <w:rPr>
      <w:b/>
      <w:bCs/>
    </w:rPr>
  </w:style>
  <w:style w:type="character" w:customStyle="1" w:styleId="docsign11">
    <w:name w:val="doc_sign11"/>
    <w:rPr>
      <w:rFonts w:ascii="Times New Roman" w:hAnsi="Times New Roman" w:cs="Times New Roman" w:hint="default"/>
      <w:b/>
      <w:bCs/>
      <w:color w:val="000000"/>
      <w:sz w:val="22"/>
      <w:szCs w:val="22"/>
    </w:rPr>
  </w:style>
  <w:style w:type="character" w:customStyle="1" w:styleId="sttart">
    <w:name w:val="st_tart"/>
    <w:basedOn w:val="DefaultParagraphFont"/>
  </w:style>
  <w:style w:type="character" w:customStyle="1" w:styleId="tal1">
    <w:name w:val="tal1"/>
  </w:style>
  <w:style w:type="table" w:customStyle="1" w:styleId="GrilTabel2">
    <w:name w:val="Grilă Tabel2"/>
    <w:basedOn w:val="TableNormal"/>
    <w:next w:val="TableGrid"/>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justify">
    <w:name w:val="justify"/>
    <w:basedOn w:val="Normal"/>
    <w:pPr>
      <w:spacing w:before="100" w:beforeAutospacing="1" w:after="100" w:afterAutospacing="1"/>
      <w:ind w:firstLine="200"/>
    </w:pPr>
    <w:rPr>
      <w:rFonts w:ascii="Verdana" w:hAnsi="Verdana"/>
      <w:color w:val="033778"/>
      <w:sz w:val="21"/>
      <w:szCs w:val="21"/>
    </w:rPr>
  </w:style>
  <w:style w:type="character" w:customStyle="1" w:styleId="def">
    <w:name w:val="def"/>
  </w:style>
  <w:style w:type="paragraph" w:customStyle="1" w:styleId="cnam1">
    <w:name w:val="cnam1"/>
    <w:basedOn w:val="Normal"/>
    <w:pPr>
      <w:spacing w:before="100" w:beforeAutospacing="1" w:after="100" w:afterAutospacing="1"/>
      <w:ind w:firstLine="0"/>
      <w:jc w:val="left"/>
    </w:pPr>
    <w:rPr>
      <w:color w:val="2D2D2D"/>
      <w:sz w:val="29"/>
      <w:szCs w:val="29"/>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pPr>
      <w:ind w:firstLine="0"/>
      <w:jc w:val="left"/>
    </w:pPr>
    <w:rPr>
      <w:lang w:val="ro-RO" w:eastAsia="ru-RU"/>
    </w:rPr>
  </w:style>
  <w:style w:type="character" w:customStyle="1" w:styleId="CommentTextChar">
    <w:name w:val="Comment Text Char"/>
    <w:basedOn w:val="DefaultParagraphFont"/>
    <w:link w:val="CommentText"/>
    <w:uiPriority w:val="99"/>
    <w:rPr>
      <w:lang w:val="ro-RO"/>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lang w:val="ro-RO"/>
    </w:rPr>
  </w:style>
  <w:style w:type="character" w:customStyle="1" w:styleId="apple-converted-space">
    <w:name w:val="apple-converted-space"/>
  </w:style>
  <w:style w:type="character" w:customStyle="1" w:styleId="docheader">
    <w:name w:val="doc_header"/>
  </w:style>
  <w:style w:type="paragraph" w:customStyle="1" w:styleId="Style2">
    <w:name w:val="Style2"/>
    <w:basedOn w:val="Normal"/>
    <w:uiPriority w:val="99"/>
    <w:pPr>
      <w:widowControl w:val="0"/>
      <w:spacing w:line="373" w:lineRule="exact"/>
      <w:ind w:firstLine="696"/>
    </w:pPr>
    <w:rPr>
      <w:rFonts w:eastAsiaTheme="minorEastAsia"/>
      <w:sz w:val="24"/>
      <w:szCs w:val="24"/>
      <w:lang w:val="ru-RU" w:eastAsia="ru-RU"/>
    </w:rPr>
  </w:style>
  <w:style w:type="paragraph" w:customStyle="1" w:styleId="Style8">
    <w:name w:val="Style8"/>
    <w:basedOn w:val="Normal"/>
    <w:uiPriority w:val="99"/>
    <w:pPr>
      <w:widowControl w:val="0"/>
      <w:spacing w:line="317" w:lineRule="exact"/>
      <w:ind w:firstLine="0"/>
      <w:jc w:val="left"/>
    </w:pPr>
    <w:rPr>
      <w:rFonts w:eastAsiaTheme="minorEastAsia"/>
      <w:sz w:val="24"/>
      <w:szCs w:val="24"/>
      <w:lang w:val="ru-RU" w:eastAsia="ru-RU"/>
    </w:rPr>
  </w:style>
  <w:style w:type="paragraph" w:customStyle="1" w:styleId="Style9">
    <w:name w:val="Style9"/>
    <w:basedOn w:val="Normal"/>
    <w:uiPriority w:val="99"/>
    <w:pPr>
      <w:widowControl w:val="0"/>
      <w:spacing w:line="326" w:lineRule="exact"/>
      <w:ind w:firstLine="398"/>
      <w:jc w:val="left"/>
    </w:pPr>
    <w:rPr>
      <w:rFonts w:eastAsiaTheme="minorEastAsia"/>
      <w:sz w:val="24"/>
      <w:szCs w:val="24"/>
      <w:lang w:val="ru-RU" w:eastAsia="ru-RU"/>
    </w:rPr>
  </w:style>
  <w:style w:type="character" w:customStyle="1" w:styleId="FontStyle12">
    <w:name w:val="Font Style12"/>
    <w:basedOn w:val="DefaultParagraphFont"/>
    <w:uiPriority w:val="99"/>
    <w:rPr>
      <w:rFonts w:ascii="Times New Roman" w:hAnsi="Times New Roman" w:cs="Times New Roman"/>
      <w:sz w:val="24"/>
      <w:szCs w:val="24"/>
    </w:rPr>
  </w:style>
  <w:style w:type="character" w:styleId="Hyperlink">
    <w:name w:val="Hyperlink"/>
    <w:basedOn w:val="DefaultParagraphFont"/>
    <w:uiPriority w:val="99"/>
    <w:rPr>
      <w:color w:val="0000FF"/>
      <w:u w:val="single"/>
    </w:rPr>
  </w:style>
  <w:style w:type="paragraph" w:customStyle="1" w:styleId="cp">
    <w:name w:val="cp"/>
    <w:basedOn w:val="Normal"/>
    <w:pPr>
      <w:spacing w:before="100" w:beforeAutospacing="1" w:after="100" w:afterAutospacing="1"/>
      <w:ind w:firstLine="0"/>
      <w:jc w:val="left"/>
    </w:pPr>
    <w:rPr>
      <w:sz w:val="24"/>
      <w:szCs w:val="24"/>
      <w:lang w:val="ru-RU" w:eastAsia="ru-RU"/>
    </w:rPr>
  </w:style>
  <w:style w:type="character" w:customStyle="1" w:styleId="object">
    <w:name w:val="object"/>
    <w:basedOn w:val="DefaultParagraphFont"/>
  </w:style>
  <w:style w:type="paragraph" w:styleId="HTMLPreformatted">
    <w:name w:val="HTML Preformatted"/>
    <w:basedOn w:val="Normal"/>
    <w:link w:val="HTMLPreformattedChar"/>
    <w:uiPriority w:val="99"/>
    <w:unhideWhenUsed/>
    <w:pPr>
      <w:ind w:firstLine="0"/>
      <w:jc w:val="left"/>
    </w:pPr>
    <w:rPr>
      <w:rFonts w:ascii="Consolas" w:hAnsi="Consolas"/>
    </w:rPr>
  </w:style>
  <w:style w:type="character" w:customStyle="1" w:styleId="HTMLPreformattedChar">
    <w:name w:val="HTML Preformatted Char"/>
    <w:basedOn w:val="DefaultParagraphFont"/>
    <w:link w:val="HTMLPreformatted"/>
    <w:uiPriority w:val="99"/>
    <w:rPr>
      <w:rFonts w:ascii="Consolas" w:hAnsi="Consolas"/>
      <w:lang w:val="en-US" w:eastAsia="en-US"/>
    </w:rPr>
  </w:style>
  <w:style w:type="character" w:styleId="PlaceholderText">
    <w:name w:val="Placeholder Text"/>
    <w:basedOn w:val="DefaultParagraphFont"/>
    <w:uiPriority w:val="99"/>
    <w:semiHidden/>
    <w:rsid w:val="001C3F21"/>
    <w:rPr>
      <w:color w:val="808080"/>
    </w:rPr>
  </w:style>
  <w:style w:type="paragraph" w:styleId="Revision">
    <w:name w:val="Revision"/>
    <w:hidden/>
    <w:uiPriority w:val="99"/>
    <w:semiHidden/>
    <w:rsid w:val="007D0E36"/>
    <w:pPr>
      <w:ind w:firstLine="0"/>
      <w:jc w:val="left"/>
    </w:pPr>
    <w:rPr>
      <w:lang w:val="en-US"/>
    </w:rPr>
  </w:style>
  <w:style w:type="character" w:customStyle="1" w:styleId="UnresolvedMention1">
    <w:name w:val="Unresolved Mention1"/>
    <w:basedOn w:val="DefaultParagraphFont"/>
    <w:uiPriority w:val="99"/>
    <w:semiHidden/>
    <w:unhideWhenUsed/>
    <w:rsid w:val="00572006"/>
    <w:rPr>
      <w:color w:val="605E5C"/>
      <w:shd w:val="clear" w:color="auto" w:fill="E1DFDD"/>
    </w:rPr>
  </w:style>
  <w:style w:type="character" w:styleId="UnresolvedMention">
    <w:name w:val="Unresolved Mention"/>
    <w:basedOn w:val="DefaultParagraphFont"/>
    <w:uiPriority w:val="99"/>
    <w:semiHidden/>
    <w:unhideWhenUsed/>
    <w:rsid w:val="006C0276"/>
    <w:rPr>
      <w:color w:val="605E5C"/>
      <w:shd w:val="clear" w:color="auto" w:fill="E1DFDD"/>
    </w:rPr>
  </w:style>
  <w:style w:type="table" w:customStyle="1" w:styleId="a">
    <w:basedOn w:val="TableNormal1"/>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spacing w:before="200" w:after="200"/>
    </w:pPr>
    <w:rPr>
      <w:sz w:val="24"/>
      <w:szCs w:val="24"/>
    </w:rPr>
  </w:style>
  <w:style w:type="table" w:customStyle="1" w:styleId="a2">
    <w:basedOn w:val="TableNormal"/>
    <w:rPr>
      <w:rFonts w:ascii="Calibri" w:eastAsia="Calibri" w:hAnsi="Calibri" w:cs="Calibri"/>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drnord.md/pageview.php?l=ro&amp;idc=237"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articip.gov.md/ro/document/stages/*/15042"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kUV2yrl3Z9HXGPBmzbguxJBR4A==">CgMxLjA4AHIhMVh3S2dudzMxWmExYXlEY1FjbVNSSjAtTWdHeGJOLW02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1889</Words>
  <Characters>10769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lll</dc:creator>
  <cp:lastModifiedBy>Direcția eficiență energetică</cp:lastModifiedBy>
  <cp:revision>2</cp:revision>
  <dcterms:created xsi:type="dcterms:W3CDTF">2025-08-25T13:12:00Z</dcterms:created>
  <dcterms:modified xsi:type="dcterms:W3CDTF">2026-03-26T13:51:00Z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0x010100DB3619079C70BA4C8A987488329513F90014B383F883BBE84C9A1272D50E465059</vt:lpwstr>
  </property>
  <property fmtid="{D5CDD505-2E9C-101B-9397-08002B2CF9AE}" pid="3" name="Tipul documentului">
    <vt:lpwstr>Aviz</vt:lpwstr>
  </property>
</Properties>
</file>