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DF24" w14:textId="77777777" w:rsidR="00BB271D" w:rsidRPr="00404674" w:rsidRDefault="00A46A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color w:val="000000" w:themeColor="text1"/>
          <w:sz w:val="24"/>
          <w:szCs w:val="24"/>
          <w:lang w:val="ro-MD"/>
        </w:rPr>
      </w:pPr>
      <w:r w:rsidRPr="00404674">
        <w:rPr>
          <w:b/>
          <w:color w:val="000000" w:themeColor="text1"/>
          <w:sz w:val="24"/>
          <w:szCs w:val="24"/>
          <w:lang w:val="ro-MD"/>
        </w:rPr>
        <w:t>NOTA DE FUNDAMENTARE</w:t>
      </w:r>
    </w:p>
    <w:p w14:paraId="520B4B5B" w14:textId="1CE3B062" w:rsidR="008D7361" w:rsidRPr="00404674" w:rsidRDefault="008D7361" w:rsidP="009F501E">
      <w:pPr>
        <w:spacing w:line="276" w:lineRule="auto"/>
        <w:ind w:firstLine="0"/>
        <w:jc w:val="center"/>
        <w:rPr>
          <w:b/>
          <w:color w:val="000000" w:themeColor="text1"/>
          <w:sz w:val="24"/>
          <w:szCs w:val="24"/>
          <w:lang w:val="ro-MD"/>
        </w:rPr>
      </w:pPr>
      <w:r w:rsidRPr="00404674">
        <w:rPr>
          <w:b/>
          <w:color w:val="000000" w:themeColor="text1"/>
          <w:sz w:val="24"/>
          <w:szCs w:val="24"/>
          <w:lang w:val="ro-MD"/>
        </w:rPr>
        <w:t xml:space="preserve">la proiectul Hotărârii Guvernului </w:t>
      </w:r>
      <w:r w:rsidR="00F12FB9" w:rsidRPr="00F12FB9">
        <w:rPr>
          <w:b/>
          <w:color w:val="000000" w:themeColor="text1"/>
          <w:sz w:val="24"/>
          <w:szCs w:val="24"/>
          <w:lang w:val="ro-MD"/>
        </w:rPr>
        <w:t>Cu privire la  aprobarea Regulamentului de funcționare a taberelor de odihnă și întremare a sănătății copiilor</w:t>
      </w:r>
    </w:p>
    <w:p w14:paraId="1C52EB9D" w14:textId="77777777" w:rsidR="00BB271D" w:rsidRPr="00404674" w:rsidRDefault="00BB271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MD"/>
        </w:rPr>
      </w:pPr>
    </w:p>
    <w:tbl>
      <w:tblPr>
        <w:tblStyle w:val="TableGrid"/>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404674" w:rsidRPr="00B2035D" w14:paraId="2114AD0D"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342596BD"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1. Denumirea sau numele autorului și, după caz, a/al participanților la elaborarea proiectului actului normativ</w:t>
            </w:r>
          </w:p>
        </w:tc>
      </w:tr>
      <w:tr w:rsidR="00404674" w:rsidRPr="00B2035D" w14:paraId="6BC8FBA7" w14:textId="77777777" w:rsidTr="00BF30CE">
        <w:trPr>
          <w:trHeight w:val="20"/>
          <w:jc w:val="center"/>
        </w:trPr>
        <w:tc>
          <w:tcPr>
            <w:tcW w:w="9487" w:type="dxa"/>
            <w:tcMar>
              <w:top w:w="0" w:type="dxa"/>
              <w:left w:w="108" w:type="dxa"/>
              <w:bottom w:w="0" w:type="dxa"/>
              <w:right w:w="108" w:type="dxa"/>
            </w:tcMar>
          </w:tcPr>
          <w:p w14:paraId="313F7DC7" w14:textId="49683934" w:rsidR="00BB271D" w:rsidRPr="00404674" w:rsidRDefault="008D7361" w:rsidP="00F12FB9">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Proiectul Hotărârii Guvernului </w:t>
            </w:r>
            <w:r w:rsidR="00F12FB9" w:rsidRPr="00F12FB9">
              <w:rPr>
                <w:rFonts w:ascii="Times New Roman" w:hAnsi="Times New Roman"/>
                <w:i/>
                <w:iCs/>
                <w:color w:val="000000" w:themeColor="text1"/>
                <w:sz w:val="24"/>
                <w:szCs w:val="24"/>
                <w:lang w:val="ro-RO"/>
              </w:rPr>
              <w:t>Cu privire la  aprobarea Regulamentului de funcționare a taberelor de odihnă și întremare a sănătății copiilor</w:t>
            </w:r>
            <w:r w:rsidR="00F12FB9" w:rsidRPr="00F12FB9">
              <w:rPr>
                <w:rFonts w:ascii="Times New Roman" w:hAnsi="Times New Roman"/>
                <w:color w:val="000000" w:themeColor="text1"/>
                <w:sz w:val="24"/>
                <w:szCs w:val="24"/>
                <w:lang w:val="ro-MD"/>
              </w:rPr>
              <w:t xml:space="preserve"> </w:t>
            </w:r>
            <w:r w:rsidR="00F12FB9">
              <w:rPr>
                <w:rFonts w:ascii="Times New Roman" w:hAnsi="Times New Roman"/>
                <w:color w:val="000000" w:themeColor="text1"/>
                <w:sz w:val="24"/>
                <w:szCs w:val="24"/>
                <w:lang w:val="ro-MD"/>
              </w:rPr>
              <w:t>este elaborat de Ministerul Educației și Cercetării.</w:t>
            </w:r>
          </w:p>
        </w:tc>
      </w:tr>
      <w:tr w:rsidR="00404674" w:rsidRPr="00B2035D" w14:paraId="64299BE4"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186B36FF"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2. Condițiile ce au impus elaborarea proiectului actului normativ</w:t>
            </w:r>
          </w:p>
        </w:tc>
      </w:tr>
      <w:tr w:rsidR="00404674" w:rsidRPr="00B2035D" w14:paraId="7B2E07C6"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2B4E7011"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2.1. Temeiul legal sau, după caz, sursa proiectului actului normativ</w:t>
            </w:r>
          </w:p>
        </w:tc>
      </w:tr>
      <w:tr w:rsidR="00404674" w:rsidRPr="00B2035D" w14:paraId="3BFE32CA" w14:textId="77777777" w:rsidTr="00BF30CE">
        <w:trPr>
          <w:trHeight w:val="20"/>
          <w:jc w:val="center"/>
        </w:trPr>
        <w:tc>
          <w:tcPr>
            <w:tcW w:w="9487" w:type="dxa"/>
            <w:tcMar>
              <w:top w:w="0" w:type="dxa"/>
              <w:left w:w="108" w:type="dxa"/>
              <w:bottom w:w="0" w:type="dxa"/>
              <w:right w:w="108" w:type="dxa"/>
            </w:tcMar>
          </w:tcPr>
          <w:p w14:paraId="0E3E6378" w14:textId="303A8A88" w:rsidR="00775F66" w:rsidRPr="00775F66" w:rsidRDefault="00775F66" w:rsidP="00775F66">
            <w:pPr>
              <w:spacing w:line="276" w:lineRule="auto"/>
              <w:rPr>
                <w:rFonts w:ascii="Times New Roman" w:hAnsi="Times New Roman"/>
                <w:color w:val="000000" w:themeColor="text1"/>
                <w:sz w:val="24"/>
                <w:szCs w:val="24"/>
                <w:lang w:val="ro-MD"/>
              </w:rPr>
            </w:pPr>
            <w:r w:rsidRPr="00775F66">
              <w:rPr>
                <w:rFonts w:ascii="Times New Roman" w:hAnsi="Times New Roman"/>
                <w:color w:val="000000" w:themeColor="text1"/>
                <w:sz w:val="24"/>
                <w:szCs w:val="24"/>
                <w:lang w:val="ro-MD"/>
              </w:rPr>
              <w:t>Proiectul Hotărârii Guvernului privind aprobarea Regulamentului de funcționare a taberelor de odihnă și întremare a sănătății copiilor este elaborat în temeiul art. 37 din Codul educației al Republicii Moldova nr. 152/2014, care reglementează organizarea învățământului extrașcolar și funcționarea instituțiilor aferente.</w:t>
            </w:r>
          </w:p>
          <w:p w14:paraId="1E8C8EDA" w14:textId="2AF91229" w:rsidR="00775F66" w:rsidRPr="00775F66" w:rsidRDefault="00775F66" w:rsidP="00775F66">
            <w:pPr>
              <w:spacing w:line="276" w:lineRule="auto"/>
              <w:rPr>
                <w:rFonts w:ascii="Times New Roman" w:hAnsi="Times New Roman"/>
                <w:color w:val="000000" w:themeColor="text1"/>
                <w:sz w:val="24"/>
                <w:szCs w:val="24"/>
                <w:lang w:val="ro-MD"/>
              </w:rPr>
            </w:pPr>
            <w:r w:rsidRPr="00775F66">
              <w:rPr>
                <w:rFonts w:ascii="Times New Roman" w:hAnsi="Times New Roman"/>
                <w:color w:val="000000" w:themeColor="text1"/>
                <w:sz w:val="24"/>
                <w:szCs w:val="24"/>
                <w:lang w:val="ro-MD"/>
              </w:rPr>
              <w:t>Intervenția normativă este determinată de necesitatea actualizării cadrului existent, astfel încât acesta să reflecte evoluțiile din domeniu și să reglementeze explicit activitatea taberelor de odihnă, inclusiv a celor cu sejur de zi. Totodată, proiectul vizează stabilirea clară a competențelor autorităților publice centrale și locale, precum și ale directorilor taberelor, prin delimitarea și atribuirea responsabilităților privind planificarea, finanțarea, autorizarea și controlul. Scopul este instituirea unui cadru coerent și modern, care să asigure condiții sigure, incluzive și educaționale pentru dezvoltarea copiilor</w:t>
            </w:r>
          </w:p>
          <w:p w14:paraId="2FED41B3" w14:textId="1150FC2B" w:rsidR="008D7361" w:rsidRPr="00404674" w:rsidRDefault="00775F66" w:rsidP="00775F66">
            <w:pPr>
              <w:ind w:firstLine="308"/>
              <w:rPr>
                <w:rFonts w:ascii="Times New Roman" w:hAnsi="Times New Roman"/>
                <w:color w:val="000000" w:themeColor="text1"/>
                <w:sz w:val="24"/>
                <w:szCs w:val="24"/>
                <w:lang w:val="ro-MD"/>
              </w:rPr>
            </w:pPr>
            <w:r w:rsidRPr="00775F66">
              <w:rPr>
                <w:rFonts w:ascii="Times New Roman" w:hAnsi="Times New Roman"/>
                <w:color w:val="000000" w:themeColor="text1"/>
                <w:sz w:val="24"/>
                <w:szCs w:val="24"/>
                <w:lang w:val="ro-MD"/>
              </w:rPr>
              <w:t>Totodată, amploarea modificărilor propuse — care vizează peste 40% din conținutul actualei Hotărâri a Guvernului nr. 334/2009 — justifică, în conformitate cu Legea nr. 100 privind actele normative, abrogarea actului existent și adoptarea unui nou cadru normativ.</w:t>
            </w:r>
          </w:p>
        </w:tc>
      </w:tr>
      <w:tr w:rsidR="00404674" w:rsidRPr="00B2035D" w14:paraId="72F00BDA"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21EF4328"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2.2. Descrierea situației actuale și a problemelor care impun intervenția, inclusiv a cadrului normativ aplicabil și a deficiențelor/lacunelor normative</w:t>
            </w:r>
          </w:p>
        </w:tc>
      </w:tr>
      <w:tr w:rsidR="00404674" w:rsidRPr="00B2035D" w14:paraId="5BA95B38" w14:textId="77777777" w:rsidTr="00BF30CE">
        <w:trPr>
          <w:trHeight w:val="20"/>
          <w:jc w:val="center"/>
        </w:trPr>
        <w:tc>
          <w:tcPr>
            <w:tcW w:w="9487" w:type="dxa"/>
            <w:tcMar>
              <w:top w:w="0" w:type="dxa"/>
              <w:left w:w="108" w:type="dxa"/>
              <w:bottom w:w="0" w:type="dxa"/>
              <w:right w:w="108" w:type="dxa"/>
            </w:tcMar>
          </w:tcPr>
          <w:p w14:paraId="53A2FCE5" w14:textId="6000BEC0" w:rsidR="009B1BAE" w:rsidRPr="009B1BAE" w:rsidRDefault="009B1BAE" w:rsidP="009B1BAE">
            <w:pPr>
              <w:spacing w:line="276" w:lineRule="auto"/>
              <w:rPr>
                <w:rFonts w:ascii="Times New Roman" w:hAnsi="Times New Roman"/>
                <w:color w:val="000000" w:themeColor="text1"/>
                <w:sz w:val="24"/>
                <w:szCs w:val="24"/>
                <w:lang w:val="ro-MD"/>
              </w:rPr>
            </w:pPr>
            <w:r w:rsidRPr="009B1BAE">
              <w:rPr>
                <w:rFonts w:ascii="Times New Roman" w:hAnsi="Times New Roman"/>
                <w:color w:val="000000" w:themeColor="text1"/>
                <w:sz w:val="24"/>
                <w:szCs w:val="24"/>
                <w:lang w:val="ro-MD"/>
              </w:rPr>
              <w:t>În prezent, funcționarea taberelor de odihnă și întremare a sănătății copiilor este reglementată prin Hotărârea Guvernului nr. 334/2009, elaborată într-un context normativ și instituțional diferit de cel actual. Deși actul a constituit un cadru de bază pentru organizarea odihnei copiilor, acesta nu mai corespunde pe deplin realităților și necesităților actuale ale sistemului educațional și ale politicilor publice în domeniul protecției copilului.</w:t>
            </w:r>
          </w:p>
          <w:p w14:paraId="7F59F6C8" w14:textId="17A2ADFC" w:rsidR="009B1BAE" w:rsidRPr="009B1BAE" w:rsidRDefault="009B1BAE" w:rsidP="009B1BAE">
            <w:pPr>
              <w:spacing w:line="276" w:lineRule="auto"/>
              <w:rPr>
                <w:rFonts w:ascii="Times New Roman" w:hAnsi="Times New Roman"/>
                <w:color w:val="000000" w:themeColor="text1"/>
                <w:sz w:val="24"/>
                <w:szCs w:val="24"/>
                <w:lang w:val="ro-MD"/>
              </w:rPr>
            </w:pPr>
            <w:r w:rsidRPr="009B1BAE">
              <w:rPr>
                <w:rFonts w:ascii="Times New Roman" w:hAnsi="Times New Roman"/>
                <w:color w:val="000000" w:themeColor="text1"/>
                <w:sz w:val="24"/>
                <w:szCs w:val="24"/>
                <w:lang w:val="ro-MD"/>
              </w:rPr>
              <w:t>Cadrul normativ existent prezintă o serie de deficiențe și lacune, după cum urmează:</w:t>
            </w:r>
          </w:p>
          <w:p w14:paraId="395D4AB9" w14:textId="40E96B52" w:rsidR="009B1BAE" w:rsidRPr="009B1BAE" w:rsidRDefault="009B1BAE" w:rsidP="009B1BAE">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9B1BAE">
              <w:rPr>
                <w:rFonts w:ascii="Times New Roman" w:hAnsi="Times New Roman"/>
                <w:color w:val="000000" w:themeColor="text1"/>
                <w:sz w:val="24"/>
                <w:szCs w:val="24"/>
                <w:lang w:val="ro-MD"/>
              </w:rPr>
              <w:t>reglementarea insuficientă a tipurilor de tabere, în special a celor cu sejur de zi, care în prezent sunt organizate pe scară largă, fără o normare clară și unitară;</w:t>
            </w:r>
          </w:p>
          <w:p w14:paraId="4B085C9E" w14:textId="2F2CB2C4" w:rsidR="009B1BAE" w:rsidRPr="009B1BAE" w:rsidRDefault="009B1BAE" w:rsidP="009B1BAE">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9B1BAE">
              <w:rPr>
                <w:rFonts w:ascii="Times New Roman" w:hAnsi="Times New Roman"/>
                <w:color w:val="000000" w:themeColor="text1"/>
                <w:sz w:val="24"/>
                <w:szCs w:val="24"/>
                <w:lang w:val="ro-MD"/>
              </w:rPr>
              <w:t>lipsa unei delimitări clare a competențelor și responsabilităților între autoritățile publice centrale, autoritățile administrației publice locale, fondatori și conducătorii taberelor, ceea ce generează interpretări neuniforme și dificultăți în aplicare;</w:t>
            </w:r>
          </w:p>
          <w:p w14:paraId="1AD60932" w14:textId="11100034" w:rsidR="009B1BAE" w:rsidRPr="009B1BAE" w:rsidRDefault="009B1BAE" w:rsidP="009B1BAE">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9B1BAE">
              <w:rPr>
                <w:rFonts w:ascii="Times New Roman" w:hAnsi="Times New Roman"/>
                <w:color w:val="000000" w:themeColor="text1"/>
                <w:sz w:val="24"/>
                <w:szCs w:val="24"/>
                <w:lang w:val="ro-MD"/>
              </w:rPr>
              <w:t xml:space="preserve">absența unor prevederi actualizate privind standardele de calitate, siguranță, incluziune și protecție a copiilor, inclusiv în raport cu noile cerințe privind educația </w:t>
            </w:r>
            <w:proofErr w:type="spellStart"/>
            <w:r w:rsidRPr="009B1BAE">
              <w:rPr>
                <w:rFonts w:ascii="Times New Roman" w:hAnsi="Times New Roman"/>
                <w:color w:val="000000" w:themeColor="text1"/>
                <w:sz w:val="24"/>
                <w:szCs w:val="24"/>
                <w:lang w:val="ro-MD"/>
              </w:rPr>
              <w:t>nonformală</w:t>
            </w:r>
            <w:proofErr w:type="spellEnd"/>
            <w:r w:rsidRPr="009B1BAE">
              <w:rPr>
                <w:rFonts w:ascii="Times New Roman" w:hAnsi="Times New Roman"/>
                <w:color w:val="000000" w:themeColor="text1"/>
                <w:sz w:val="24"/>
                <w:szCs w:val="24"/>
                <w:lang w:val="ro-MD"/>
              </w:rPr>
              <w:t xml:space="preserve"> și drepturile copilului;</w:t>
            </w:r>
          </w:p>
          <w:p w14:paraId="202B76F1" w14:textId="32914528" w:rsidR="009B1BAE" w:rsidRPr="009B1BAE" w:rsidRDefault="009B1BAE" w:rsidP="009B1BAE">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9B1BAE">
              <w:rPr>
                <w:rFonts w:ascii="Times New Roman" w:hAnsi="Times New Roman"/>
                <w:color w:val="000000" w:themeColor="text1"/>
                <w:sz w:val="24"/>
                <w:szCs w:val="24"/>
                <w:lang w:val="ro-MD"/>
              </w:rPr>
              <w:t>insuficienta corelare cu cadrul normativ conex, inclusiv în domeniul sănătății publice, siguranței, achizițiilor publice și utilizării mijloacelor financiare;</w:t>
            </w:r>
          </w:p>
          <w:p w14:paraId="3E7EC2BC" w14:textId="2AD02106" w:rsidR="009B1BAE" w:rsidRPr="009B1BAE" w:rsidRDefault="009B1BAE" w:rsidP="009B1BAE">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9B1BAE">
              <w:rPr>
                <w:rFonts w:ascii="Times New Roman" w:hAnsi="Times New Roman"/>
                <w:color w:val="000000" w:themeColor="text1"/>
                <w:sz w:val="24"/>
                <w:szCs w:val="24"/>
                <w:lang w:val="ro-MD"/>
              </w:rPr>
              <w:t>lipsa unor mecanisme clare privind planificarea, monitorizarea și controlul activității taberelor, precum și privind responsabilitatea instituțională a actorilor implicați.</w:t>
            </w:r>
          </w:p>
          <w:p w14:paraId="20016F34" w14:textId="77777777" w:rsidR="009B1BAE" w:rsidRPr="009B1BAE" w:rsidRDefault="009B1BAE" w:rsidP="009B1BAE">
            <w:pPr>
              <w:spacing w:line="276" w:lineRule="auto"/>
              <w:rPr>
                <w:rFonts w:ascii="Times New Roman" w:hAnsi="Times New Roman"/>
                <w:color w:val="000000" w:themeColor="text1"/>
                <w:sz w:val="24"/>
                <w:szCs w:val="24"/>
                <w:lang w:val="ro-MD"/>
              </w:rPr>
            </w:pPr>
          </w:p>
          <w:p w14:paraId="018F8412" w14:textId="5E908642" w:rsidR="009B1BAE" w:rsidRPr="009B1BAE" w:rsidRDefault="009B1BAE" w:rsidP="009B1BAE">
            <w:pPr>
              <w:spacing w:line="276" w:lineRule="auto"/>
              <w:rPr>
                <w:rFonts w:ascii="Times New Roman" w:hAnsi="Times New Roman"/>
                <w:color w:val="000000" w:themeColor="text1"/>
                <w:sz w:val="24"/>
                <w:szCs w:val="24"/>
                <w:lang w:val="ro-MD"/>
              </w:rPr>
            </w:pPr>
            <w:r w:rsidRPr="009B1BAE">
              <w:rPr>
                <w:rFonts w:ascii="Times New Roman" w:hAnsi="Times New Roman"/>
                <w:color w:val="000000" w:themeColor="text1"/>
                <w:sz w:val="24"/>
                <w:szCs w:val="24"/>
                <w:lang w:val="ro-MD"/>
              </w:rPr>
              <w:lastRenderedPageBreak/>
              <w:t xml:space="preserve">Totodată, evoluțiile recente din domeniul educației, inclusiv accentul sporit pe educația </w:t>
            </w:r>
            <w:proofErr w:type="spellStart"/>
            <w:r w:rsidRPr="009B1BAE">
              <w:rPr>
                <w:rFonts w:ascii="Times New Roman" w:hAnsi="Times New Roman"/>
                <w:color w:val="000000" w:themeColor="text1"/>
                <w:sz w:val="24"/>
                <w:szCs w:val="24"/>
                <w:lang w:val="ro-MD"/>
              </w:rPr>
              <w:t>nonformală</w:t>
            </w:r>
            <w:proofErr w:type="spellEnd"/>
            <w:r w:rsidRPr="009B1BAE">
              <w:rPr>
                <w:rFonts w:ascii="Times New Roman" w:hAnsi="Times New Roman"/>
                <w:color w:val="000000" w:themeColor="text1"/>
                <w:sz w:val="24"/>
                <w:szCs w:val="24"/>
                <w:lang w:val="ro-MD"/>
              </w:rPr>
              <w:t>, incluziune și dezvoltare personală, precum și diversificarea formelor de organizare a activităților pentru copii, impun revizuirea cadrului normativ existent.</w:t>
            </w:r>
          </w:p>
          <w:p w14:paraId="6946C967" w14:textId="79CA4688" w:rsidR="00BB271D" w:rsidRPr="00404674" w:rsidRDefault="009B1BAE" w:rsidP="009B1BAE">
            <w:pPr>
              <w:spacing w:line="276" w:lineRule="auto"/>
              <w:rPr>
                <w:rFonts w:ascii="Times New Roman" w:hAnsi="Times New Roman"/>
                <w:color w:val="000000" w:themeColor="text1"/>
                <w:sz w:val="24"/>
                <w:szCs w:val="24"/>
                <w:lang w:val="ro-MD"/>
              </w:rPr>
            </w:pPr>
            <w:r w:rsidRPr="009B1BAE">
              <w:rPr>
                <w:rFonts w:ascii="Times New Roman" w:hAnsi="Times New Roman"/>
                <w:color w:val="000000" w:themeColor="text1"/>
                <w:sz w:val="24"/>
                <w:szCs w:val="24"/>
                <w:lang w:val="ro-MD"/>
              </w:rPr>
              <w:t>În aceste condiții, se constată necesitatea elaborării unui nou act normativ care să elimine lacunele identificate, să asigure coerența și claritatea reglementărilor și să creeze un cadru funcțional și adaptat pentru organizarea și desfășurarea activităților în taberele de odihnă și întremare a sănătății copiilor.</w:t>
            </w:r>
          </w:p>
        </w:tc>
      </w:tr>
      <w:tr w:rsidR="00404674" w:rsidRPr="00B2035D" w14:paraId="7F5D47C6"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0B1D5547"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lastRenderedPageBreak/>
              <w:t>3. Obiectivele urmărite și soluțiile propuse</w:t>
            </w:r>
          </w:p>
        </w:tc>
      </w:tr>
      <w:tr w:rsidR="00404674" w:rsidRPr="00B2035D" w14:paraId="27FB4B7E"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389785F8"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3.1. Principalele prevederi ale proiectului și evidențierea elementelor noi</w:t>
            </w:r>
          </w:p>
        </w:tc>
      </w:tr>
      <w:tr w:rsidR="00404674" w:rsidRPr="00B2035D" w14:paraId="0F568796" w14:textId="77777777" w:rsidTr="00BF30CE">
        <w:trPr>
          <w:trHeight w:val="20"/>
          <w:jc w:val="center"/>
        </w:trPr>
        <w:tc>
          <w:tcPr>
            <w:tcW w:w="9487" w:type="dxa"/>
            <w:tcMar>
              <w:top w:w="0" w:type="dxa"/>
              <w:left w:w="108" w:type="dxa"/>
              <w:bottom w:w="0" w:type="dxa"/>
              <w:right w:w="108" w:type="dxa"/>
            </w:tcMar>
          </w:tcPr>
          <w:p w14:paraId="3AFC8FD7" w14:textId="71EDED44" w:rsidR="00D453A8" w:rsidRPr="00D453A8" w:rsidRDefault="00D453A8" w:rsidP="00D453A8">
            <w:pPr>
              <w:spacing w:line="276" w:lineRule="auto"/>
              <w:rPr>
                <w:rFonts w:ascii="Times New Roman" w:hAnsi="Times New Roman"/>
                <w:color w:val="000000" w:themeColor="text1"/>
                <w:sz w:val="24"/>
                <w:szCs w:val="24"/>
                <w:lang w:val="ro-MD"/>
              </w:rPr>
            </w:pPr>
            <w:r w:rsidRPr="00D453A8">
              <w:rPr>
                <w:rFonts w:ascii="Times New Roman" w:hAnsi="Times New Roman"/>
                <w:color w:val="000000" w:themeColor="text1"/>
                <w:sz w:val="24"/>
                <w:szCs w:val="24"/>
                <w:lang w:val="ro-MD"/>
              </w:rPr>
              <w:t>Proiectul de hotărâre are drept obiectiv principal modernizarea cadrului normativ privind organizarea și funcționarea taberelor de odihnă și întremare a sănătății copiilor, în vederea asigurării unor servicii sigure, incluzive și orientate spre dezvoltarea personală a beneficiarilor.</w:t>
            </w:r>
          </w:p>
          <w:p w14:paraId="2AA60B56" w14:textId="77777777" w:rsidR="00D453A8" w:rsidRDefault="00D453A8" w:rsidP="00D453A8">
            <w:pPr>
              <w:spacing w:line="276" w:lineRule="auto"/>
              <w:rPr>
                <w:rFonts w:ascii="Times New Roman" w:hAnsi="Times New Roman"/>
                <w:color w:val="000000" w:themeColor="text1"/>
                <w:sz w:val="24"/>
                <w:szCs w:val="24"/>
                <w:lang w:val="ro-MD"/>
              </w:rPr>
            </w:pPr>
            <w:r w:rsidRPr="00D453A8">
              <w:rPr>
                <w:rFonts w:ascii="Times New Roman" w:hAnsi="Times New Roman"/>
                <w:color w:val="000000" w:themeColor="text1"/>
                <w:sz w:val="24"/>
                <w:szCs w:val="24"/>
                <w:lang w:val="ro-MD"/>
              </w:rPr>
              <w:t>În acest sens, proiectul propune instituirea unui cadru normativ coerent și actualizat, care reglementează unitar activitatea taberelor de odihnă și a taberelor cu sejur de zi și asigură corelarea cu legislația națională în domeniul educației, sănătății publice și protecției copilului.</w:t>
            </w:r>
          </w:p>
          <w:p w14:paraId="68C94F04" w14:textId="718F89CA" w:rsidR="00D453A8" w:rsidRPr="00D453A8" w:rsidRDefault="00D453A8" w:rsidP="00D453A8">
            <w:pPr>
              <w:spacing w:line="276" w:lineRule="auto"/>
              <w:rPr>
                <w:rFonts w:ascii="Times New Roman" w:hAnsi="Times New Roman"/>
                <w:color w:val="000000" w:themeColor="text1"/>
                <w:sz w:val="24"/>
                <w:szCs w:val="24"/>
                <w:lang w:val="ro-MD"/>
              </w:rPr>
            </w:pPr>
            <w:r w:rsidRPr="00D453A8">
              <w:rPr>
                <w:rFonts w:ascii="Times New Roman" w:hAnsi="Times New Roman"/>
                <w:color w:val="000000" w:themeColor="text1"/>
                <w:sz w:val="24"/>
                <w:szCs w:val="24"/>
                <w:lang w:val="ro-MD"/>
              </w:rPr>
              <w:t>Principalele prevederi și elemente de noutate ale proiectului vizează:</w:t>
            </w:r>
          </w:p>
          <w:p w14:paraId="0DE93176" w14:textId="0AB09D6E"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actualizarea terminologiei utilizate</w:t>
            </w:r>
            <w:r w:rsidRPr="00D453A8">
              <w:rPr>
                <w:rFonts w:ascii="Times New Roman" w:hAnsi="Times New Roman"/>
                <w:color w:val="000000" w:themeColor="text1"/>
                <w:sz w:val="24"/>
                <w:szCs w:val="24"/>
                <w:lang w:val="ro-MD"/>
              </w:rPr>
              <w:t>, în conformitate cu actele normative recente din domeniile educației, sănătății publice, protecției copilului și administrației publice locale;</w:t>
            </w:r>
          </w:p>
          <w:p w14:paraId="461B29A6" w14:textId="7A8DEDAA"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reglementarea expresă a tipurilor de tabere, inclusiv a taberelor cu sejur de zi;</w:t>
            </w:r>
          </w:p>
          <w:p w14:paraId="1B199E79" w14:textId="00AC8E96"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delimitarea clară a competențelor și responsabilităților fondatorilor, autorităților administrației publice locale, OLSDÎ și directorilor taberelor,</w:t>
            </w:r>
            <w:r w:rsidRPr="00D453A8">
              <w:rPr>
                <w:rFonts w:ascii="Times New Roman" w:hAnsi="Times New Roman"/>
                <w:color w:val="000000" w:themeColor="text1"/>
                <w:sz w:val="24"/>
                <w:szCs w:val="24"/>
                <w:lang w:val="ro-MD"/>
              </w:rPr>
              <w:t xml:space="preserve"> inclusiv în ceea ce privește organizarea, funcționarea și monitorizarea activității;</w:t>
            </w:r>
          </w:p>
          <w:p w14:paraId="40E14147" w14:textId="0DFBB2A4"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stabilirea condițiilor de funcționare și autorizare a taberelor,</w:t>
            </w:r>
            <w:r w:rsidRPr="00D453A8">
              <w:rPr>
                <w:rFonts w:ascii="Times New Roman" w:hAnsi="Times New Roman"/>
                <w:color w:val="000000" w:themeColor="text1"/>
                <w:sz w:val="24"/>
                <w:szCs w:val="24"/>
                <w:lang w:val="ro-MD"/>
              </w:rPr>
              <w:t xml:space="preserve"> în corelare cu legislația în vigoare în domeniul sănătății publice și controlului de stat;</w:t>
            </w:r>
          </w:p>
          <w:p w14:paraId="1C9218E9" w14:textId="1C3AAB9B" w:rsidR="00D453A8" w:rsidRPr="00D453A8" w:rsidRDefault="00D453A8" w:rsidP="00D453A8">
            <w:pPr>
              <w:spacing w:line="276" w:lineRule="auto"/>
              <w:rPr>
                <w:rFonts w:ascii="Times New Roman" w:hAnsi="Times New Roman"/>
                <w:b/>
                <w:bCs/>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instituirea unor cerințe actualizate privind siguranța, igiena, alimentația și asistența medicală a copiilor, precum și respectarea normelor de securitate;</w:t>
            </w:r>
          </w:p>
          <w:p w14:paraId="2BD26D80" w14:textId="5B1453EF"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 xml:space="preserve">consolidarea rolului educației </w:t>
            </w:r>
            <w:proofErr w:type="spellStart"/>
            <w:r w:rsidRPr="00D453A8">
              <w:rPr>
                <w:rFonts w:ascii="Times New Roman" w:hAnsi="Times New Roman"/>
                <w:b/>
                <w:bCs/>
                <w:color w:val="000000" w:themeColor="text1"/>
                <w:sz w:val="24"/>
                <w:szCs w:val="24"/>
                <w:lang w:val="ro-MD"/>
              </w:rPr>
              <w:t>nonformale</w:t>
            </w:r>
            <w:proofErr w:type="spellEnd"/>
            <w:r w:rsidRPr="00D453A8">
              <w:rPr>
                <w:rFonts w:ascii="Times New Roman" w:hAnsi="Times New Roman"/>
                <w:b/>
                <w:bCs/>
                <w:color w:val="000000" w:themeColor="text1"/>
                <w:sz w:val="24"/>
                <w:szCs w:val="24"/>
                <w:lang w:val="ro-MD"/>
              </w:rPr>
              <w:t>,</w:t>
            </w:r>
            <w:r w:rsidRPr="00D453A8">
              <w:rPr>
                <w:rFonts w:ascii="Times New Roman" w:hAnsi="Times New Roman"/>
                <w:color w:val="000000" w:themeColor="text1"/>
                <w:sz w:val="24"/>
                <w:szCs w:val="24"/>
                <w:lang w:val="ro-MD"/>
              </w:rPr>
              <w:t xml:space="preserve"> prin introducerea activităților educaționale, culturale, sportive și recreative orientate spre dezvoltarea competențelor de viață;</w:t>
            </w:r>
          </w:p>
          <w:p w14:paraId="42BF8C96" w14:textId="2651F82C"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reglementarea cerințelor privind încadrarea, atribuțiile și responsabilitățile personalului taberelor,</w:t>
            </w:r>
            <w:r w:rsidRPr="00D453A8">
              <w:rPr>
                <w:rFonts w:ascii="Times New Roman" w:hAnsi="Times New Roman"/>
                <w:color w:val="000000" w:themeColor="text1"/>
                <w:sz w:val="24"/>
                <w:szCs w:val="24"/>
                <w:lang w:val="ro-MD"/>
              </w:rPr>
              <w:t xml:space="preserve"> inclusiv în domeniul asigurării securității și sănătății copiilor;</w:t>
            </w:r>
          </w:p>
          <w:p w14:paraId="49811C1A" w14:textId="26E011DD"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promovarea incluziunii și asigurarea accesului copiilor din diverse categorii</w:t>
            </w:r>
            <w:r>
              <w:rPr>
                <w:rFonts w:ascii="Times New Roman" w:hAnsi="Times New Roman"/>
                <w:color w:val="000000" w:themeColor="text1"/>
                <w:sz w:val="24"/>
                <w:szCs w:val="24"/>
                <w:lang w:val="ro-MD"/>
              </w:rPr>
              <w:t>, inclusiv din grupurile vulnerabile,</w:t>
            </w:r>
            <w:r w:rsidRPr="00D453A8">
              <w:rPr>
                <w:rFonts w:ascii="Times New Roman" w:hAnsi="Times New Roman"/>
                <w:color w:val="000000" w:themeColor="text1"/>
                <w:sz w:val="24"/>
                <w:szCs w:val="24"/>
                <w:lang w:val="ro-MD"/>
              </w:rPr>
              <w:t xml:space="preserve"> la activitățile organizate în tabere;</w:t>
            </w:r>
          </w:p>
          <w:p w14:paraId="791FE177" w14:textId="6E8DB41D" w:rsidR="00D453A8" w:rsidRPr="00D453A8" w:rsidRDefault="00D453A8" w:rsidP="00D453A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Pr="00D453A8">
              <w:rPr>
                <w:rFonts w:ascii="Times New Roman" w:hAnsi="Times New Roman"/>
                <w:b/>
                <w:bCs/>
                <w:color w:val="000000" w:themeColor="text1"/>
                <w:sz w:val="24"/>
                <w:szCs w:val="24"/>
                <w:lang w:val="ro-MD"/>
              </w:rPr>
              <w:t>reglementarea mecanismelor de organizare, finanțare și utilizare a mijloacelor financiare</w:t>
            </w:r>
            <w:r w:rsidRPr="00D453A8">
              <w:rPr>
                <w:rFonts w:ascii="Times New Roman" w:hAnsi="Times New Roman"/>
                <w:color w:val="000000" w:themeColor="text1"/>
                <w:sz w:val="24"/>
                <w:szCs w:val="24"/>
                <w:lang w:val="ro-MD"/>
              </w:rPr>
              <w:t>, inclusiv prin implicarea Casei Naționale de Asigurări Sociale în procesul de achiziție și distribuire a biletelor de odihnă;</w:t>
            </w:r>
          </w:p>
          <w:p w14:paraId="0B07FE98" w14:textId="5483D040" w:rsidR="00D453A8" w:rsidRPr="00D453A8" w:rsidRDefault="00F15FB8" w:rsidP="00B15418">
            <w:pPr>
              <w:spacing w:line="276" w:lineRule="auto"/>
              <w:rPr>
                <w:rFonts w:ascii="Times New Roman" w:hAnsi="Times New Roman"/>
                <w:color w:val="000000" w:themeColor="text1"/>
                <w:sz w:val="24"/>
                <w:szCs w:val="24"/>
                <w:lang w:val="ro-MD"/>
              </w:rPr>
            </w:pPr>
            <w:r>
              <w:rPr>
                <w:rFonts w:ascii="Times New Roman" w:hAnsi="Times New Roman"/>
                <w:color w:val="000000" w:themeColor="text1"/>
                <w:sz w:val="24"/>
                <w:szCs w:val="24"/>
                <w:lang w:val="ro-MD"/>
              </w:rPr>
              <w:t xml:space="preserve">- </w:t>
            </w:r>
            <w:r w:rsidR="00D453A8" w:rsidRPr="00F15FB8">
              <w:rPr>
                <w:rFonts w:ascii="Times New Roman" w:hAnsi="Times New Roman"/>
                <w:b/>
                <w:bCs/>
                <w:color w:val="000000" w:themeColor="text1"/>
                <w:sz w:val="24"/>
                <w:szCs w:val="24"/>
                <w:lang w:val="ro-MD"/>
              </w:rPr>
              <w:t>consolidarea mecanismelor de control și monitorizare a activității taberelor</w:t>
            </w:r>
            <w:r w:rsidR="00D453A8" w:rsidRPr="00D453A8">
              <w:rPr>
                <w:rFonts w:ascii="Times New Roman" w:hAnsi="Times New Roman"/>
                <w:color w:val="000000" w:themeColor="text1"/>
                <w:sz w:val="24"/>
                <w:szCs w:val="24"/>
                <w:lang w:val="ro-MD"/>
              </w:rPr>
              <w:t xml:space="preserve"> prin implicarea instituțiilor competente, în conformitate cu cadrul normativ aplicabil.</w:t>
            </w:r>
          </w:p>
          <w:p w14:paraId="20DE685D" w14:textId="4CBEB155" w:rsidR="008D7361" w:rsidRPr="00404674" w:rsidRDefault="00D453A8" w:rsidP="00D453A8">
            <w:pPr>
              <w:spacing w:line="276" w:lineRule="auto"/>
              <w:rPr>
                <w:rFonts w:ascii="Times New Roman" w:hAnsi="Times New Roman"/>
                <w:color w:val="000000" w:themeColor="text1"/>
                <w:sz w:val="24"/>
                <w:szCs w:val="24"/>
                <w:lang w:val="ro-MD"/>
              </w:rPr>
            </w:pPr>
            <w:r w:rsidRPr="00D453A8">
              <w:rPr>
                <w:rFonts w:ascii="Times New Roman" w:hAnsi="Times New Roman"/>
                <w:color w:val="000000" w:themeColor="text1"/>
                <w:sz w:val="24"/>
                <w:szCs w:val="24"/>
                <w:lang w:val="ro-MD"/>
              </w:rPr>
              <w:t>Prin aceste măsuri, proiectul instituie un cadru normativ modern, coerent și funcțional, care contribuie la creșterea calității serviciilor oferite copiilor și la asigurarea unui mediu sigur, incluziv și educativ în cadrul taberelor de odihnă și întremare a sănătății.</w:t>
            </w:r>
          </w:p>
        </w:tc>
      </w:tr>
      <w:tr w:rsidR="00404674" w:rsidRPr="00404674" w14:paraId="57D49626"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059C4A21"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3.2. Opțiunile alternative analizate și motivele pentru care acestea nu au fost luate în considerare</w:t>
            </w:r>
          </w:p>
        </w:tc>
      </w:tr>
      <w:tr w:rsidR="00404674" w:rsidRPr="00B2035D" w14:paraId="0667D6E2" w14:textId="77777777" w:rsidTr="00BF30CE">
        <w:trPr>
          <w:trHeight w:val="20"/>
          <w:jc w:val="center"/>
        </w:trPr>
        <w:tc>
          <w:tcPr>
            <w:tcW w:w="9487" w:type="dxa"/>
            <w:tcMar>
              <w:top w:w="0" w:type="dxa"/>
              <w:left w:w="108" w:type="dxa"/>
              <w:bottom w:w="0" w:type="dxa"/>
              <w:right w:w="108" w:type="dxa"/>
            </w:tcMar>
          </w:tcPr>
          <w:p w14:paraId="1191188F" w14:textId="77777777" w:rsidR="00BB271D" w:rsidRPr="00404674" w:rsidRDefault="00A46A3E" w:rsidP="00675C79">
            <w:pPr>
              <w:ind w:firstLine="596"/>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 </w:t>
            </w:r>
            <w:r w:rsidR="008D7361" w:rsidRPr="00404674">
              <w:rPr>
                <w:rFonts w:ascii="Times New Roman" w:hAnsi="Times New Roman"/>
                <w:color w:val="000000" w:themeColor="text1"/>
                <w:sz w:val="24"/>
                <w:szCs w:val="24"/>
                <w:lang w:val="ro-MD"/>
              </w:rPr>
              <w:t>Nu sunt. Toate propunerile de ajustare reies din experiența acumulată.</w:t>
            </w:r>
          </w:p>
        </w:tc>
      </w:tr>
      <w:tr w:rsidR="00404674" w:rsidRPr="00404674" w14:paraId="3CDCAC2D"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58AB40AA"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 xml:space="preserve">4. Analiza impactului de reglementare </w:t>
            </w:r>
          </w:p>
        </w:tc>
      </w:tr>
      <w:tr w:rsidR="00404674" w:rsidRPr="00404674" w14:paraId="5E5B1124"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78C5FBD5"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4.1. </w:t>
            </w:r>
            <w:r w:rsidR="00D03C31" w:rsidRPr="00404674">
              <w:rPr>
                <w:rFonts w:ascii="Times New Roman" w:hAnsi="Times New Roman"/>
                <w:color w:val="000000" w:themeColor="text1"/>
                <w:sz w:val="24"/>
                <w:szCs w:val="24"/>
                <w:lang w:val="ro-MD"/>
              </w:rPr>
              <w:t>Impactul asupra sectorului public</w:t>
            </w:r>
          </w:p>
        </w:tc>
      </w:tr>
      <w:tr w:rsidR="00404674" w:rsidRPr="00B2035D" w14:paraId="25822E83" w14:textId="77777777" w:rsidTr="00BF30CE">
        <w:trPr>
          <w:trHeight w:val="20"/>
          <w:jc w:val="center"/>
        </w:trPr>
        <w:tc>
          <w:tcPr>
            <w:tcW w:w="9487" w:type="dxa"/>
            <w:tcMar>
              <w:top w:w="0" w:type="dxa"/>
              <w:left w:w="108" w:type="dxa"/>
              <w:bottom w:w="0" w:type="dxa"/>
              <w:right w:w="108" w:type="dxa"/>
            </w:tcMar>
          </w:tcPr>
          <w:p w14:paraId="2BD2CED5" w14:textId="77777777" w:rsidR="00B15418" w:rsidRPr="00B15418" w:rsidRDefault="00B15418" w:rsidP="00B15418">
            <w:pPr>
              <w:rPr>
                <w:rFonts w:ascii="Times New Roman" w:hAnsi="Times New Roman"/>
                <w:color w:val="000000" w:themeColor="text1"/>
                <w:sz w:val="24"/>
                <w:szCs w:val="24"/>
                <w:lang w:val="ro-MD"/>
              </w:rPr>
            </w:pPr>
            <w:r w:rsidRPr="00B15418">
              <w:rPr>
                <w:rFonts w:ascii="Times New Roman" w:hAnsi="Times New Roman"/>
                <w:color w:val="000000" w:themeColor="text1"/>
                <w:sz w:val="24"/>
                <w:szCs w:val="24"/>
                <w:lang w:val="ro-MD"/>
              </w:rPr>
              <w:t>Implementarea proiectului de hotărâre va avea un impact pozitiv asupra sectorului public, prin clarificarea cadrului normativ și eficientizarea proceselor de organizare, autorizare și monitorizare a activității taberelor de odihnă și întremare a sănătății copiilor.</w:t>
            </w:r>
          </w:p>
          <w:p w14:paraId="748683EF" w14:textId="0444495A" w:rsidR="00B15418" w:rsidRPr="00B15418" w:rsidRDefault="00B15418" w:rsidP="00276BC0">
            <w:pPr>
              <w:rPr>
                <w:rFonts w:ascii="Times New Roman" w:hAnsi="Times New Roman"/>
                <w:color w:val="000000" w:themeColor="text1"/>
                <w:sz w:val="24"/>
                <w:szCs w:val="24"/>
                <w:lang w:val="ro-MD"/>
              </w:rPr>
            </w:pPr>
            <w:r w:rsidRPr="00B15418">
              <w:rPr>
                <w:rFonts w:ascii="Times New Roman" w:hAnsi="Times New Roman"/>
                <w:color w:val="000000" w:themeColor="text1"/>
                <w:sz w:val="24"/>
                <w:szCs w:val="24"/>
                <w:lang w:val="ro-MD"/>
              </w:rPr>
              <w:lastRenderedPageBreak/>
              <w:t>În primul rând, proiectul contribuie la delimitarea clară a competențelor și responsabilităților între autoritățile administrației publice locale, organele locale de specialitate în domeniul învățământului, fondatori și conducătorii taberelor, ceea ce va reduce suprapunerile instituționale și va facilita coordonarea interinstituțională.</w:t>
            </w:r>
          </w:p>
          <w:p w14:paraId="43C7AA6E" w14:textId="4ABEBEE9" w:rsidR="00B15418" w:rsidRPr="00B15418" w:rsidRDefault="00B15418" w:rsidP="00276BC0">
            <w:pPr>
              <w:rPr>
                <w:rFonts w:ascii="Times New Roman" w:hAnsi="Times New Roman"/>
                <w:color w:val="000000" w:themeColor="text1"/>
                <w:sz w:val="24"/>
                <w:szCs w:val="24"/>
                <w:lang w:val="ro-MD"/>
              </w:rPr>
            </w:pPr>
            <w:r w:rsidRPr="00B15418">
              <w:rPr>
                <w:rFonts w:ascii="Times New Roman" w:hAnsi="Times New Roman"/>
                <w:color w:val="000000" w:themeColor="text1"/>
                <w:sz w:val="24"/>
                <w:szCs w:val="24"/>
                <w:lang w:val="ro-MD"/>
              </w:rPr>
              <w:t>În al doilea rând, corelarea Regulamentului cu legislația în vigoare în domeniul sănătății publice, controlului de stat și achizițiilor publice va conduce la o mai bună aplicare a normelor existente și la eficientizarea procedurilor administrative, inclusiv în procesul de autorizare și evaluare a taberelor.</w:t>
            </w:r>
          </w:p>
          <w:p w14:paraId="58E80E35" w14:textId="77777777" w:rsidR="00D00EDA" w:rsidRDefault="00B15418" w:rsidP="00B15418">
            <w:pPr>
              <w:rPr>
                <w:rFonts w:ascii="Times New Roman" w:hAnsi="Times New Roman"/>
                <w:color w:val="000000" w:themeColor="text1"/>
                <w:sz w:val="24"/>
                <w:szCs w:val="24"/>
                <w:lang w:val="ro-MD"/>
              </w:rPr>
            </w:pPr>
            <w:r w:rsidRPr="00B15418">
              <w:rPr>
                <w:rFonts w:ascii="Times New Roman" w:hAnsi="Times New Roman"/>
                <w:color w:val="000000" w:themeColor="text1"/>
                <w:sz w:val="24"/>
                <w:szCs w:val="24"/>
                <w:lang w:val="ro-MD"/>
              </w:rPr>
              <w:t>Totodată, proiectul consolidează mecanismele de monitorizare și control prin implicarea instituțiilor competente, precum Agenția Națională pentru Sănătate Publică, autoritățile administrației publice locale și alte instituții abilitate, contribuind la creșterea responsabilității instituționale și la asigurarea respectării cerințelor privind siguranța și sănătatea copiilor.</w:t>
            </w:r>
          </w:p>
          <w:p w14:paraId="66AD682B" w14:textId="324651F5" w:rsidR="00276BC0" w:rsidRPr="00404674" w:rsidRDefault="00276BC0" w:rsidP="00B15418">
            <w:pPr>
              <w:rPr>
                <w:rFonts w:ascii="Times New Roman" w:hAnsi="Times New Roman"/>
                <w:color w:val="000000" w:themeColor="text1"/>
                <w:sz w:val="24"/>
                <w:szCs w:val="24"/>
                <w:lang w:val="ro-MD"/>
              </w:rPr>
            </w:pPr>
            <w:r w:rsidRPr="00276BC0">
              <w:rPr>
                <w:rFonts w:ascii="Times New Roman" w:hAnsi="Times New Roman"/>
                <w:color w:val="000000" w:themeColor="text1"/>
                <w:sz w:val="24"/>
                <w:szCs w:val="24"/>
                <w:lang w:val="ro-MD"/>
              </w:rPr>
              <w:t>În ansamblu, proiectul va contribui la creșterea eficienței administrative, la îmbunătățirea calității serviciilor publice oferite copiilor și la consolidarea capacității instituționale a autorităților implicate în organizarea și monitorizarea activității taberelor de odihnă și întremare a sănătății.</w:t>
            </w:r>
          </w:p>
        </w:tc>
      </w:tr>
      <w:tr w:rsidR="00404674" w:rsidRPr="00B2035D" w14:paraId="25A9450E"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0E3F18DB"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lastRenderedPageBreak/>
              <w:t>4.2. Impactul financiar și argumentarea costurilor estimative</w:t>
            </w:r>
          </w:p>
        </w:tc>
      </w:tr>
      <w:tr w:rsidR="00404674" w:rsidRPr="00B2035D" w14:paraId="66EECB73" w14:textId="77777777" w:rsidTr="00BF30CE">
        <w:trPr>
          <w:trHeight w:val="20"/>
          <w:jc w:val="center"/>
        </w:trPr>
        <w:tc>
          <w:tcPr>
            <w:tcW w:w="9487" w:type="dxa"/>
            <w:tcMar>
              <w:top w:w="0" w:type="dxa"/>
              <w:left w:w="108" w:type="dxa"/>
              <w:bottom w:w="0" w:type="dxa"/>
              <w:right w:w="108" w:type="dxa"/>
            </w:tcMar>
          </w:tcPr>
          <w:p w14:paraId="7FB53CEA" w14:textId="5D202A93" w:rsidR="00FE316A" w:rsidRPr="00404674" w:rsidRDefault="00276BC0" w:rsidP="004C4E49">
            <w:pPr>
              <w:ind w:firstLine="738"/>
              <w:rPr>
                <w:rFonts w:ascii="Times New Roman" w:eastAsia="SimSun" w:hAnsi="Times New Roman"/>
                <w:color w:val="000000" w:themeColor="text1"/>
                <w:sz w:val="23"/>
                <w:szCs w:val="23"/>
                <w:lang w:val="ro-MD"/>
              </w:rPr>
            </w:pPr>
            <w:r w:rsidRPr="00276BC0">
              <w:rPr>
                <w:rFonts w:ascii="Times New Roman" w:eastAsia="SimSun" w:hAnsi="Times New Roman"/>
                <w:color w:val="000000" w:themeColor="text1"/>
                <w:sz w:val="23"/>
                <w:szCs w:val="23"/>
                <w:lang w:val="ro-MD"/>
              </w:rPr>
              <w:t>Implementarea proiectului de hotărâre nu generează cheltuieli bugetare suplimentare, întrucât acesta vizează în principal actualizarea și eficientizarea cadrului normativ existent, fără instituirea unor structuri noi sau a unor mecanisme instituționale suplimentare.</w:t>
            </w:r>
          </w:p>
        </w:tc>
      </w:tr>
      <w:tr w:rsidR="00404674" w:rsidRPr="00404674" w14:paraId="02D0D1EE"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71FFF116"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4.3. Impactul asupra sectorului privat</w:t>
            </w:r>
          </w:p>
        </w:tc>
      </w:tr>
      <w:tr w:rsidR="00404674" w:rsidRPr="00B2035D" w14:paraId="79CE9F7A" w14:textId="77777777" w:rsidTr="00BF30CE">
        <w:trPr>
          <w:trHeight w:val="20"/>
          <w:jc w:val="center"/>
        </w:trPr>
        <w:tc>
          <w:tcPr>
            <w:tcW w:w="9487" w:type="dxa"/>
            <w:tcMar>
              <w:top w:w="0" w:type="dxa"/>
              <w:left w:w="108" w:type="dxa"/>
              <w:bottom w:w="0" w:type="dxa"/>
              <w:right w:w="108" w:type="dxa"/>
            </w:tcMar>
          </w:tcPr>
          <w:p w14:paraId="71EDCD2B" w14:textId="51DD2916"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Proiectul de hotărâre are un impact pozitiv și asupra sectorului privat, în special asupra agenților economici și organizațiilor care au calitatea de fondatori sau furnizori de servicii în domeniul organizării taberelor de odihnă și întremare a sănătății copiilor.</w:t>
            </w:r>
          </w:p>
          <w:p w14:paraId="48B2ED9D" w14:textId="2C7E0656"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Prin instituirea unui cadru normativ clar, coerent și actualizat, proiectul contribuie la crearea unor condiții echitabile și transparente de funcționare pentru toți operatorii, reducând incertitudinile juridice și riscurile asociate interpretării neuniforme a reglementărilor existente.</w:t>
            </w:r>
          </w:p>
          <w:p w14:paraId="5C1D8EF0" w14:textId="79C5E6CF"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Reglementarea expresă a condițiilor de organizare și funcționare, inclusiv a cerințelor privind siguranța, igiena, alimentația și protecția copiilor, va conduce la creșterea calității serviciilor oferite, dar și la responsabilizarea operatorilor economici în respectarea standardelor aplicabile.</w:t>
            </w:r>
          </w:p>
          <w:p w14:paraId="20125188" w14:textId="75016719" w:rsidR="00542AC1" w:rsidRPr="00404674"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Totodată, proiectul nu introduce bariere administrative suplimentare semnificative pentru sectorul privat, ci dimpotrivă, asigură o mai bună corelare cu legislația existentă în domeniul autorizării și controlului, contribuind la simplificarea și clarificarea procedurilor.</w:t>
            </w:r>
          </w:p>
        </w:tc>
      </w:tr>
      <w:tr w:rsidR="00404674" w:rsidRPr="00404674" w14:paraId="0725118B"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06C910B2"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4.4. Impactul social</w:t>
            </w:r>
          </w:p>
          <w:p w14:paraId="6A923C6D"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4.4.1. Impactul asupra datelor cu caracter personal</w:t>
            </w:r>
          </w:p>
        </w:tc>
      </w:tr>
      <w:tr w:rsidR="00404674" w:rsidRPr="00B2035D" w14:paraId="1B33AD8F" w14:textId="77777777" w:rsidTr="00BF30CE">
        <w:trPr>
          <w:trHeight w:val="20"/>
          <w:jc w:val="center"/>
        </w:trPr>
        <w:tc>
          <w:tcPr>
            <w:tcW w:w="9487" w:type="dxa"/>
            <w:tcMar>
              <w:top w:w="0" w:type="dxa"/>
              <w:left w:w="108" w:type="dxa"/>
              <w:bottom w:w="0" w:type="dxa"/>
              <w:right w:w="108" w:type="dxa"/>
            </w:tcMar>
          </w:tcPr>
          <w:p w14:paraId="341EC336" w14:textId="77777777" w:rsidR="00675C79" w:rsidRPr="00404674" w:rsidRDefault="00675C79" w:rsidP="00675C79">
            <w:pPr>
              <w:ind w:firstLine="596"/>
              <w:rPr>
                <w:color w:val="000000" w:themeColor="text1"/>
                <w:sz w:val="24"/>
                <w:szCs w:val="24"/>
                <w:lang w:val="ro-MD"/>
              </w:rPr>
            </w:pPr>
            <w:r w:rsidRPr="00404674">
              <w:rPr>
                <w:rFonts w:ascii="Times New Roman" w:hAnsi="Times New Roman"/>
                <w:color w:val="000000" w:themeColor="text1"/>
                <w:sz w:val="24"/>
                <w:szCs w:val="24"/>
                <w:lang w:val="ro-MD"/>
              </w:rPr>
              <w:t>Proiectul nu conține prevederi cu referire la utilizarea datelor cu caracter personal, respectiv nu are careva impact asupra acestora.</w:t>
            </w:r>
          </w:p>
        </w:tc>
      </w:tr>
      <w:tr w:rsidR="00404674" w:rsidRPr="00B2035D" w14:paraId="2007D2FE"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2896109B" w14:textId="77777777" w:rsidR="00675C79" w:rsidRPr="00404674" w:rsidRDefault="00675C79" w:rsidP="00421917">
            <w:pPr>
              <w:ind w:firstLine="0"/>
              <w:rPr>
                <w:color w:val="000000" w:themeColor="text1"/>
                <w:sz w:val="24"/>
                <w:szCs w:val="24"/>
                <w:lang w:val="ro-MD"/>
              </w:rPr>
            </w:pPr>
            <w:r w:rsidRPr="00404674">
              <w:rPr>
                <w:rFonts w:ascii="Times New Roman" w:hAnsi="Times New Roman"/>
                <w:color w:val="000000" w:themeColor="text1"/>
                <w:sz w:val="24"/>
                <w:szCs w:val="24"/>
                <w:lang w:val="ro-MD"/>
              </w:rPr>
              <w:t>4.4.2. Impactul asupra echității și egalității de gen</w:t>
            </w:r>
          </w:p>
        </w:tc>
      </w:tr>
      <w:tr w:rsidR="00404674" w:rsidRPr="00B2035D" w14:paraId="20D403C0" w14:textId="77777777" w:rsidTr="00BF30CE">
        <w:trPr>
          <w:trHeight w:val="20"/>
          <w:jc w:val="center"/>
        </w:trPr>
        <w:tc>
          <w:tcPr>
            <w:tcW w:w="9487" w:type="dxa"/>
            <w:tcMar>
              <w:top w:w="0" w:type="dxa"/>
              <w:left w:w="108" w:type="dxa"/>
              <w:bottom w:w="0" w:type="dxa"/>
              <w:right w:w="108" w:type="dxa"/>
            </w:tcMar>
          </w:tcPr>
          <w:p w14:paraId="492D176E" w14:textId="460BF3B1"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Proiectul de hotărâre are un impact pozitiv asupra echității și egalității de gen, prin promovarea accesului egal al tuturor copiilor la serviciile oferite în cadrul taberelor de odihnă și întremare a sănătății, fără discriminare pe criterii de gen.</w:t>
            </w:r>
          </w:p>
          <w:p w14:paraId="3962DCA9" w14:textId="53909741"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Reglementările propuse sunt neutre din perspectiva genului și asigură tratament egal pentru fete și băieți în ceea ce privește participarea la activitățile organizate, accesul la resurse, condițiile de cazare, alimentație și asistență medicală.</w:t>
            </w:r>
          </w:p>
          <w:p w14:paraId="4EC745D6" w14:textId="6D077D2A"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Totodată, prin promovarea principiilor incluziunii, respectării diversității și egalității de șanse, proiectul contribuie la crearea unui mediu sigur și nediscriminatoriu, în care sunt prevenite comportamentele de excludere, stereotipurile de gen și orice forme de violență sau hărțuire.</w:t>
            </w:r>
          </w:p>
          <w:p w14:paraId="4DCEF131" w14:textId="77777777" w:rsidR="00DF7557" w:rsidRPr="00DF7557"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t>Activitățile educaționale și recreative desfășurate în tabere vor încuraja participarea activă a tuturor copiilor, dezvoltarea abilităților sociale și promovarea valorilor de respect reciproc, cooperare și egalitate.</w:t>
            </w:r>
          </w:p>
          <w:p w14:paraId="1707C576" w14:textId="77777777" w:rsidR="00DF7557" w:rsidRPr="00DF7557" w:rsidRDefault="00DF7557" w:rsidP="00DF7557">
            <w:pPr>
              <w:rPr>
                <w:rFonts w:ascii="Times New Roman" w:hAnsi="Times New Roman"/>
                <w:color w:val="000000" w:themeColor="text1"/>
                <w:sz w:val="24"/>
                <w:szCs w:val="24"/>
                <w:lang w:val="ro-MD"/>
              </w:rPr>
            </w:pPr>
          </w:p>
          <w:p w14:paraId="67361517" w14:textId="202EFF7C" w:rsidR="00542AC1" w:rsidRPr="00404674" w:rsidRDefault="00DF7557" w:rsidP="00DF7557">
            <w:pPr>
              <w:rPr>
                <w:rFonts w:ascii="Times New Roman" w:hAnsi="Times New Roman"/>
                <w:color w:val="000000" w:themeColor="text1"/>
                <w:sz w:val="24"/>
                <w:szCs w:val="24"/>
                <w:lang w:val="ro-MD"/>
              </w:rPr>
            </w:pPr>
            <w:r w:rsidRPr="00DF7557">
              <w:rPr>
                <w:rFonts w:ascii="Times New Roman" w:hAnsi="Times New Roman"/>
                <w:color w:val="000000" w:themeColor="text1"/>
                <w:sz w:val="24"/>
                <w:szCs w:val="24"/>
                <w:lang w:val="ro-MD"/>
              </w:rPr>
              <w:lastRenderedPageBreak/>
              <w:t>În ansamblu, proiectul susține integrarea perspectivei de gen în organizarea și funcționarea taberelor, contribuind la asigurarea unui cadru echitabil și incluziv pentru toți beneficiarii.</w:t>
            </w:r>
          </w:p>
        </w:tc>
      </w:tr>
      <w:tr w:rsidR="00404674" w:rsidRPr="00404674" w14:paraId="2D703439"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00A0A1EA"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lastRenderedPageBreak/>
              <w:t>4.5. Impactul asupra mediului</w:t>
            </w:r>
          </w:p>
        </w:tc>
      </w:tr>
      <w:tr w:rsidR="00404674" w:rsidRPr="00404674" w14:paraId="6C255816" w14:textId="77777777" w:rsidTr="00BF30CE">
        <w:trPr>
          <w:trHeight w:val="20"/>
          <w:jc w:val="center"/>
        </w:trPr>
        <w:tc>
          <w:tcPr>
            <w:tcW w:w="9487" w:type="dxa"/>
            <w:tcMar>
              <w:top w:w="0" w:type="dxa"/>
              <w:left w:w="108" w:type="dxa"/>
              <w:bottom w:w="0" w:type="dxa"/>
              <w:right w:w="108" w:type="dxa"/>
            </w:tcMar>
          </w:tcPr>
          <w:p w14:paraId="44903A9C" w14:textId="772398B5" w:rsidR="00542AC1" w:rsidRPr="00404674" w:rsidRDefault="00526D4B" w:rsidP="0069692B">
            <w:pPr>
              <w:rPr>
                <w:rFonts w:ascii="Times New Roman" w:hAnsi="Times New Roman"/>
                <w:color w:val="000000" w:themeColor="text1"/>
                <w:sz w:val="24"/>
                <w:szCs w:val="24"/>
                <w:lang w:val="ro-MD"/>
              </w:rPr>
            </w:pPr>
            <w:r w:rsidRPr="00526D4B">
              <w:rPr>
                <w:rFonts w:ascii="Times New Roman" w:hAnsi="Times New Roman"/>
                <w:color w:val="000000" w:themeColor="text1"/>
                <w:sz w:val="24"/>
                <w:szCs w:val="24"/>
                <w:lang w:val="ro-MD"/>
              </w:rPr>
              <w:t xml:space="preserve">Proiectul de hotărâre are un impact pozitiv asupra mediului, întrucât activitățile desfășurate în taberele de odihnă și întremare a sănătății sunt organizate în conformitate cu normele </w:t>
            </w:r>
            <w:proofErr w:type="spellStart"/>
            <w:r w:rsidRPr="00526D4B">
              <w:rPr>
                <w:rFonts w:ascii="Times New Roman" w:hAnsi="Times New Roman"/>
                <w:color w:val="000000" w:themeColor="text1"/>
                <w:sz w:val="24"/>
                <w:szCs w:val="24"/>
                <w:lang w:val="ro-MD"/>
              </w:rPr>
              <w:t>sanitaro</w:t>
            </w:r>
            <w:proofErr w:type="spellEnd"/>
            <w:r w:rsidRPr="00526D4B">
              <w:rPr>
                <w:rFonts w:ascii="Times New Roman" w:hAnsi="Times New Roman"/>
                <w:color w:val="000000" w:themeColor="text1"/>
                <w:sz w:val="24"/>
                <w:szCs w:val="24"/>
                <w:lang w:val="ro-MD"/>
              </w:rPr>
              <w:t>-igienice și de securitate, contribuind astfel indirect la protecția mediului prin asigurarea unui management adecvat al resurselor, al alimentației și al condițiilor de trai</w:t>
            </w:r>
          </w:p>
        </w:tc>
      </w:tr>
      <w:tr w:rsidR="00404674" w:rsidRPr="00B2035D" w14:paraId="7AD4CF0C"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6FB12B3E"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4.6. Alte impacturi și informații relevante</w:t>
            </w:r>
          </w:p>
        </w:tc>
      </w:tr>
      <w:tr w:rsidR="00404674" w:rsidRPr="00404674" w14:paraId="216C00C9" w14:textId="77777777" w:rsidTr="00BF30CE">
        <w:trPr>
          <w:trHeight w:val="20"/>
          <w:jc w:val="center"/>
        </w:trPr>
        <w:tc>
          <w:tcPr>
            <w:tcW w:w="9487" w:type="dxa"/>
            <w:tcMar>
              <w:top w:w="0" w:type="dxa"/>
              <w:left w:w="108" w:type="dxa"/>
              <w:bottom w:w="0" w:type="dxa"/>
              <w:right w:w="108" w:type="dxa"/>
            </w:tcMar>
          </w:tcPr>
          <w:p w14:paraId="5118045B" w14:textId="77777777" w:rsidR="00BB271D" w:rsidRPr="00404674" w:rsidRDefault="00A46A3E">
            <w:pPr>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 </w:t>
            </w:r>
            <w:r w:rsidR="00542AC1" w:rsidRPr="00404674">
              <w:rPr>
                <w:rFonts w:ascii="Times New Roman" w:hAnsi="Times New Roman"/>
                <w:color w:val="000000" w:themeColor="text1"/>
                <w:sz w:val="24"/>
                <w:szCs w:val="24"/>
                <w:lang w:val="ro-MD"/>
              </w:rPr>
              <w:t>Nu sunt.</w:t>
            </w:r>
          </w:p>
        </w:tc>
      </w:tr>
      <w:tr w:rsidR="00404674" w:rsidRPr="00B2035D" w14:paraId="50583048"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4766DDCF"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 xml:space="preserve">5. Compatibilitatea proiectului actului normativ cu legislația UE </w:t>
            </w:r>
          </w:p>
        </w:tc>
      </w:tr>
      <w:tr w:rsidR="00404674" w:rsidRPr="00B2035D" w14:paraId="7452DEB2"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62410B14"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5.1. Măsuri normative necesare pentru transpunerea actelor juridice ale UE în legislația națională</w:t>
            </w:r>
          </w:p>
        </w:tc>
      </w:tr>
      <w:tr w:rsidR="00404674" w:rsidRPr="00B2035D" w14:paraId="7FC58F99" w14:textId="77777777" w:rsidTr="00BF30CE">
        <w:trPr>
          <w:trHeight w:val="20"/>
          <w:jc w:val="center"/>
        </w:trPr>
        <w:tc>
          <w:tcPr>
            <w:tcW w:w="9487" w:type="dxa"/>
            <w:tcMar>
              <w:top w:w="0" w:type="dxa"/>
              <w:left w:w="108" w:type="dxa"/>
              <w:bottom w:w="0" w:type="dxa"/>
              <w:right w:w="108" w:type="dxa"/>
            </w:tcMar>
          </w:tcPr>
          <w:p w14:paraId="2A364A1A" w14:textId="77777777" w:rsidR="00CA70EF" w:rsidRPr="00404674" w:rsidRDefault="00CA70EF" w:rsidP="00CA70EF">
            <w:pPr>
              <w:ind w:firstLine="596"/>
              <w:rPr>
                <w:color w:val="000000" w:themeColor="text1"/>
                <w:sz w:val="24"/>
                <w:szCs w:val="24"/>
                <w:lang w:val="ro-MD"/>
              </w:rPr>
            </w:pPr>
            <w:r w:rsidRPr="00404674">
              <w:rPr>
                <w:rFonts w:ascii="Times New Roman" w:eastAsia="Times New Roman" w:hAnsi="Times New Roman"/>
                <w:noProof/>
                <w:color w:val="000000" w:themeColor="text1"/>
                <w:sz w:val="24"/>
                <w:szCs w:val="24"/>
                <w:lang w:val="ro-MD" w:eastAsia="ru-RU"/>
              </w:rPr>
              <w:t>Proiectul nu intră în categoria actelor normative care necesită transpunere cu legislația Uniunii Europene.</w:t>
            </w:r>
          </w:p>
        </w:tc>
      </w:tr>
      <w:tr w:rsidR="00404674" w:rsidRPr="00B2035D" w14:paraId="29A07625" w14:textId="77777777" w:rsidTr="00BF30CE">
        <w:trPr>
          <w:trHeight w:val="20"/>
          <w:jc w:val="center"/>
        </w:trPr>
        <w:tc>
          <w:tcPr>
            <w:tcW w:w="9487" w:type="dxa"/>
            <w:shd w:val="clear" w:color="auto" w:fill="DBE5F1" w:themeFill="accent1" w:themeFillTint="33"/>
            <w:tcMar>
              <w:top w:w="0" w:type="dxa"/>
              <w:left w:w="108" w:type="dxa"/>
              <w:bottom w:w="0" w:type="dxa"/>
              <w:right w:w="108" w:type="dxa"/>
            </w:tcMar>
          </w:tcPr>
          <w:p w14:paraId="5922DDB6" w14:textId="77777777" w:rsidR="00BB271D" w:rsidRPr="00404674" w:rsidRDefault="00A46A3E" w:rsidP="00421917">
            <w:pPr>
              <w:ind w:firstLine="0"/>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5.2. Măsuri normative care urmăresc crearea cadrului juridic intern necesar pentru implementarea legislației UE</w:t>
            </w:r>
          </w:p>
        </w:tc>
      </w:tr>
      <w:tr w:rsidR="00404674" w:rsidRPr="00B2035D" w14:paraId="5A77A2FE" w14:textId="77777777" w:rsidTr="00BF30CE">
        <w:trPr>
          <w:trHeight w:val="20"/>
          <w:jc w:val="center"/>
        </w:trPr>
        <w:tc>
          <w:tcPr>
            <w:tcW w:w="9487" w:type="dxa"/>
            <w:tcMar>
              <w:top w:w="0" w:type="dxa"/>
              <w:left w:w="108" w:type="dxa"/>
              <w:bottom w:w="0" w:type="dxa"/>
              <w:right w:w="108" w:type="dxa"/>
            </w:tcMar>
          </w:tcPr>
          <w:p w14:paraId="0BE139EB" w14:textId="2BA64E5E" w:rsidR="00BB271D" w:rsidRPr="00404674" w:rsidRDefault="00CC4E97">
            <w:pPr>
              <w:rPr>
                <w:rFonts w:ascii="Times New Roman" w:hAnsi="Times New Roman"/>
                <w:color w:val="000000" w:themeColor="text1"/>
                <w:sz w:val="24"/>
                <w:szCs w:val="24"/>
                <w:lang w:val="ro-MD"/>
              </w:rPr>
            </w:pPr>
            <w:r w:rsidRPr="00404674">
              <w:rPr>
                <w:rFonts w:ascii="Times New Roman" w:eastAsia="Times New Roman" w:hAnsi="Times New Roman"/>
                <w:noProof/>
                <w:color w:val="000000" w:themeColor="text1"/>
                <w:sz w:val="24"/>
                <w:szCs w:val="24"/>
                <w:lang w:val="ro-MD" w:eastAsia="ru-RU"/>
              </w:rPr>
              <w:t>Proiectul nu intră în categoria actelor normative care necesită expertiza de compatibilitate cu legislația Uniunii Europene.</w:t>
            </w:r>
          </w:p>
        </w:tc>
      </w:tr>
      <w:tr w:rsidR="00404674" w:rsidRPr="00B2035D" w14:paraId="4638A2A9"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3AB4D413"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6. Avizarea și consultarea publică a proiectului actului normativ</w:t>
            </w:r>
          </w:p>
        </w:tc>
      </w:tr>
      <w:tr w:rsidR="00404674" w:rsidRPr="00B2035D" w14:paraId="3D612EB6" w14:textId="77777777" w:rsidTr="00BF30CE">
        <w:trPr>
          <w:trHeight w:val="20"/>
          <w:jc w:val="center"/>
        </w:trPr>
        <w:tc>
          <w:tcPr>
            <w:tcW w:w="9487" w:type="dxa"/>
            <w:tcMar>
              <w:top w:w="0" w:type="dxa"/>
              <w:left w:w="108" w:type="dxa"/>
              <w:bottom w:w="0" w:type="dxa"/>
              <w:right w:w="108" w:type="dxa"/>
            </w:tcMar>
          </w:tcPr>
          <w:p w14:paraId="3922E6BE" w14:textId="40521928" w:rsidR="00526D4B" w:rsidRPr="00404674" w:rsidRDefault="00BF30CE" w:rsidP="00526D4B">
            <w:pPr>
              <w:ind w:firstLine="738"/>
              <w:rPr>
                <w:rFonts w:ascii="Times New Roman" w:hAnsi="Times New Roman"/>
                <w:bCs/>
                <w:color w:val="000000" w:themeColor="text1"/>
                <w:sz w:val="24"/>
                <w:szCs w:val="24"/>
                <w:lang w:val="ro-MD"/>
              </w:rPr>
            </w:pPr>
            <w:r w:rsidRPr="00404674">
              <w:rPr>
                <w:rFonts w:ascii="Times New Roman" w:hAnsi="Times New Roman"/>
                <w:color w:val="000000" w:themeColor="text1"/>
                <w:sz w:val="24"/>
                <w:szCs w:val="24"/>
                <w:lang w:val="ro-MD"/>
              </w:rPr>
              <w:t>În scopul respectării prevederilor Legii nr.239/2008 privind transparența în procesul decizional, pe pagina web oficială a Ministerului Educației și Cercetării</w:t>
            </w:r>
            <w:hyperlink r:id="rId11" w:history="1"/>
            <w:r w:rsidRPr="00404674">
              <w:rPr>
                <w:rFonts w:ascii="Times New Roman" w:hAnsi="Times New Roman"/>
                <w:color w:val="000000" w:themeColor="text1"/>
                <w:sz w:val="24"/>
                <w:szCs w:val="24"/>
                <w:lang w:val="ro-MD"/>
              </w:rPr>
              <w:t xml:space="preserve">, compartimentul Transparența decizională, a fost plasat anunțul despre inițierea elaborării proiectului Hotărârii Guvernului </w:t>
            </w:r>
            <w:r w:rsidR="00526D4B" w:rsidRPr="00F12FB9">
              <w:rPr>
                <w:rFonts w:ascii="Times New Roman" w:hAnsi="Times New Roman"/>
                <w:i/>
                <w:iCs/>
                <w:color w:val="000000" w:themeColor="text1"/>
                <w:sz w:val="24"/>
                <w:szCs w:val="24"/>
                <w:lang w:val="ro-RO"/>
              </w:rPr>
              <w:t xml:space="preserve">Cu privire la  aprobarea Regulamentului de funcționare a taberelor de odihnă și întremare a sănătății copiilor </w:t>
            </w:r>
          </w:p>
          <w:p w14:paraId="4B55263F" w14:textId="58FB6E83" w:rsidR="00526D4B" w:rsidRDefault="00CA61FA" w:rsidP="00526D4B">
            <w:pPr>
              <w:ind w:firstLine="454"/>
              <w:rPr>
                <w:rFonts w:ascii="Times New Roman" w:hAnsi="Times New Roman"/>
                <w:bCs/>
                <w:color w:val="000000" w:themeColor="text1"/>
                <w:sz w:val="24"/>
                <w:szCs w:val="24"/>
                <w:lang w:val="ro-MD"/>
              </w:rPr>
            </w:pPr>
            <w:hyperlink r:id="rId12" w:history="1">
              <w:r w:rsidRPr="00E45152">
                <w:rPr>
                  <w:rStyle w:val="Hyperlink"/>
                  <w:bCs/>
                  <w:sz w:val="24"/>
                  <w:szCs w:val="24"/>
                  <w:lang w:val="ro-MD"/>
                </w:rPr>
                <w:t>https://particip.gov.md/ro/document/stages/anunt-privind-initerea-modificarii-proiectului-hotarare-nr-hg3342009-din-23042009-cu-privire-la/15807</w:t>
              </w:r>
            </w:hyperlink>
          </w:p>
          <w:p w14:paraId="24ED4447" w14:textId="553DD8C2" w:rsidR="00CA61FA" w:rsidRPr="00404674" w:rsidRDefault="00CA61FA" w:rsidP="00526D4B">
            <w:pPr>
              <w:ind w:firstLine="454"/>
              <w:rPr>
                <w:rFonts w:ascii="Times New Roman" w:hAnsi="Times New Roman"/>
                <w:bCs/>
                <w:color w:val="000000" w:themeColor="text1"/>
                <w:sz w:val="24"/>
                <w:szCs w:val="24"/>
                <w:lang w:val="ro-MD"/>
              </w:rPr>
            </w:pPr>
            <w:r>
              <w:rPr>
                <w:rFonts w:ascii="Times New Roman" w:hAnsi="Times New Roman"/>
                <w:bCs/>
                <w:color w:val="000000" w:themeColor="text1"/>
                <w:sz w:val="24"/>
                <w:szCs w:val="24"/>
                <w:lang w:val="ro-MD"/>
              </w:rPr>
              <w:t>Proiectul de hotărâre urmează a fi plasat la discuții publice în compartimentul Transparență decizională.</w:t>
            </w:r>
          </w:p>
        </w:tc>
      </w:tr>
      <w:tr w:rsidR="00404674" w:rsidRPr="00404674" w14:paraId="50E0500A"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7AB37018"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7. Concluziile expertizelor</w:t>
            </w:r>
          </w:p>
        </w:tc>
      </w:tr>
      <w:tr w:rsidR="00404674" w:rsidRPr="00404674" w14:paraId="5BFF1586" w14:textId="77777777" w:rsidTr="00BF30CE">
        <w:trPr>
          <w:trHeight w:val="20"/>
          <w:jc w:val="center"/>
        </w:trPr>
        <w:tc>
          <w:tcPr>
            <w:tcW w:w="9487" w:type="dxa"/>
            <w:shd w:val="clear" w:color="FFFFFF" w:fill="FFFFFF"/>
            <w:tcMar>
              <w:top w:w="0" w:type="dxa"/>
              <w:left w:w="108" w:type="dxa"/>
              <w:bottom w:w="0" w:type="dxa"/>
              <w:right w:w="108" w:type="dxa"/>
            </w:tcMar>
          </w:tcPr>
          <w:p w14:paraId="486B6B45" w14:textId="77777777" w:rsidR="00BB271D" w:rsidRPr="00404674" w:rsidRDefault="00A46A3E">
            <w:pPr>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 xml:space="preserve"> </w:t>
            </w:r>
            <w:r w:rsidR="00CC4E97" w:rsidRPr="00404674">
              <w:rPr>
                <w:rFonts w:ascii="Times New Roman" w:eastAsia="Times New Roman" w:hAnsi="Times New Roman"/>
                <w:noProof/>
                <w:color w:val="000000" w:themeColor="text1"/>
                <w:sz w:val="24"/>
                <w:szCs w:val="24"/>
                <w:lang w:val="ro-MD" w:eastAsia="ru-RU"/>
              </w:rPr>
              <w:t>P</w:t>
            </w:r>
            <w:proofErr w:type="spellStart"/>
            <w:r w:rsidR="00CC4E97" w:rsidRPr="00404674">
              <w:rPr>
                <w:rFonts w:ascii="Times New Roman" w:hAnsi="Times New Roman"/>
                <w:color w:val="000000" w:themeColor="text1"/>
                <w:sz w:val="24"/>
                <w:szCs w:val="24"/>
                <w:lang w:val="ro-MD"/>
              </w:rPr>
              <w:t>roiectul</w:t>
            </w:r>
            <w:proofErr w:type="spellEnd"/>
            <w:r w:rsidR="00CC4E97" w:rsidRPr="00404674">
              <w:rPr>
                <w:rFonts w:ascii="Times New Roman" w:hAnsi="Times New Roman"/>
                <w:color w:val="000000" w:themeColor="text1"/>
                <w:sz w:val="24"/>
                <w:szCs w:val="24"/>
                <w:lang w:val="ro-MD"/>
              </w:rPr>
              <w:t xml:space="preserve"> va fi  transmis pentru expertiza anticorupție la Centrul Național Anticorupție și expertiza juridică la Ministerul Justiției.  </w:t>
            </w:r>
          </w:p>
        </w:tc>
      </w:tr>
      <w:tr w:rsidR="00404674" w:rsidRPr="00B2035D" w14:paraId="148F57D5"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63E99F40"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8. Modul de încorporare a actului în cadrul normativ existent</w:t>
            </w:r>
          </w:p>
        </w:tc>
      </w:tr>
      <w:tr w:rsidR="00404674" w:rsidRPr="00B2035D" w14:paraId="7D15BBC6" w14:textId="77777777" w:rsidTr="00BF30CE">
        <w:trPr>
          <w:trHeight w:val="20"/>
          <w:jc w:val="center"/>
        </w:trPr>
        <w:tc>
          <w:tcPr>
            <w:tcW w:w="9487" w:type="dxa"/>
            <w:tcMar>
              <w:top w:w="0" w:type="dxa"/>
              <w:left w:w="108" w:type="dxa"/>
              <w:bottom w:w="0" w:type="dxa"/>
              <w:right w:w="108" w:type="dxa"/>
            </w:tcMar>
          </w:tcPr>
          <w:p w14:paraId="5A294A56" w14:textId="77777777" w:rsidR="00BB271D" w:rsidRPr="00404674" w:rsidRDefault="00A46A3E">
            <w:pPr>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 </w:t>
            </w:r>
            <w:r w:rsidR="00CC4E97" w:rsidRPr="00404674">
              <w:rPr>
                <w:rFonts w:ascii="Times New Roman" w:eastAsia="Times New Roman" w:hAnsi="Times New Roman"/>
                <w:noProof/>
                <w:color w:val="000000" w:themeColor="text1"/>
                <w:sz w:val="24"/>
                <w:szCs w:val="24"/>
                <w:lang w:val="ro-MD" w:eastAsia="ru-RU"/>
              </w:rPr>
              <w:t>Proiectul se încorporează în sistemul actelor normative și</w:t>
            </w:r>
            <w:r w:rsidR="00CC4E97" w:rsidRPr="00404674">
              <w:rPr>
                <w:rFonts w:ascii="Times New Roman" w:hAnsi="Times New Roman"/>
                <w:color w:val="000000" w:themeColor="text1"/>
                <w:sz w:val="24"/>
                <w:szCs w:val="24"/>
                <w:lang w:val="ro-MD"/>
              </w:rPr>
              <w:t xml:space="preserve"> nu necesită modificarea cadrului normativ sau elaborarea unor acte normative noi.</w:t>
            </w:r>
          </w:p>
        </w:tc>
      </w:tr>
      <w:tr w:rsidR="00404674" w:rsidRPr="00B2035D" w14:paraId="17446190" w14:textId="77777777" w:rsidTr="00BF30CE">
        <w:trPr>
          <w:trHeight w:val="20"/>
          <w:jc w:val="center"/>
        </w:trPr>
        <w:tc>
          <w:tcPr>
            <w:tcW w:w="9487" w:type="dxa"/>
            <w:shd w:val="clear" w:color="auto" w:fill="C6D9F1" w:themeFill="text2" w:themeFillTint="33"/>
            <w:tcMar>
              <w:top w:w="0" w:type="dxa"/>
              <w:left w:w="108" w:type="dxa"/>
              <w:bottom w:w="0" w:type="dxa"/>
              <w:right w:w="108" w:type="dxa"/>
            </w:tcMar>
          </w:tcPr>
          <w:p w14:paraId="45D1A8C5" w14:textId="77777777" w:rsidR="00BB271D" w:rsidRPr="00404674" w:rsidRDefault="00A46A3E" w:rsidP="00421917">
            <w:pPr>
              <w:ind w:firstLine="0"/>
              <w:rPr>
                <w:rFonts w:ascii="Times New Roman" w:hAnsi="Times New Roman"/>
                <w:b/>
                <w:bCs/>
                <w:color w:val="000000" w:themeColor="text1"/>
                <w:sz w:val="24"/>
                <w:szCs w:val="24"/>
                <w:lang w:val="ro-MD"/>
              </w:rPr>
            </w:pPr>
            <w:r w:rsidRPr="00404674">
              <w:rPr>
                <w:rFonts w:ascii="Times New Roman" w:hAnsi="Times New Roman"/>
                <w:b/>
                <w:bCs/>
                <w:color w:val="000000" w:themeColor="text1"/>
                <w:sz w:val="24"/>
                <w:szCs w:val="24"/>
                <w:lang w:val="ro-MD"/>
              </w:rPr>
              <w:t>9. Măsurile necesare pentru implementarea prevederilor proiectului actului normativ</w:t>
            </w:r>
          </w:p>
        </w:tc>
      </w:tr>
      <w:tr w:rsidR="00404674" w:rsidRPr="00B2035D" w14:paraId="3005420F" w14:textId="77777777" w:rsidTr="00BF30CE">
        <w:trPr>
          <w:trHeight w:val="20"/>
          <w:jc w:val="center"/>
        </w:trPr>
        <w:tc>
          <w:tcPr>
            <w:tcW w:w="9487" w:type="dxa"/>
            <w:tcMar>
              <w:top w:w="0" w:type="dxa"/>
              <w:left w:w="108" w:type="dxa"/>
              <w:bottom w:w="0" w:type="dxa"/>
              <w:right w:w="108" w:type="dxa"/>
            </w:tcMar>
          </w:tcPr>
          <w:p w14:paraId="355F9C8B" w14:textId="396DADE8" w:rsidR="00BB271D" w:rsidRPr="00404674" w:rsidRDefault="00D56E34" w:rsidP="00CC4E97">
            <w:pPr>
              <w:rPr>
                <w:rFonts w:ascii="Times New Roman" w:hAnsi="Times New Roman"/>
                <w:color w:val="000000" w:themeColor="text1"/>
                <w:sz w:val="24"/>
                <w:szCs w:val="24"/>
                <w:lang w:val="ro-MD"/>
              </w:rPr>
            </w:pPr>
            <w:r w:rsidRPr="00404674">
              <w:rPr>
                <w:rFonts w:ascii="Times New Roman" w:hAnsi="Times New Roman"/>
                <w:color w:val="000000" w:themeColor="text1"/>
                <w:sz w:val="24"/>
                <w:szCs w:val="24"/>
                <w:lang w:val="ro-MD"/>
              </w:rPr>
              <w:t xml:space="preserve">Intrarea în vigoare a prezentei hotărâri la data publicării în Monitorul Oficial al Republicii Moldova este necesară pentru a permite aplicarea imediată a noilor prevederi privind </w:t>
            </w:r>
            <w:r w:rsidR="00D10556">
              <w:rPr>
                <w:rFonts w:ascii="Times New Roman" w:hAnsi="Times New Roman"/>
                <w:color w:val="000000" w:themeColor="text1"/>
                <w:sz w:val="24"/>
                <w:szCs w:val="24"/>
                <w:lang w:val="ro-MD"/>
              </w:rPr>
              <w:t>organizarea și funcționarea taberelor de odihnă a copiilor și întremare a sănătății</w:t>
            </w:r>
            <w:r w:rsidR="00161F2C">
              <w:rPr>
                <w:rFonts w:ascii="Times New Roman" w:hAnsi="Times New Roman"/>
                <w:color w:val="000000" w:themeColor="text1"/>
                <w:sz w:val="24"/>
                <w:szCs w:val="24"/>
                <w:lang w:val="ro-MD"/>
              </w:rPr>
              <w:t xml:space="preserve"> în sezonul estival 2006.</w:t>
            </w:r>
          </w:p>
        </w:tc>
      </w:tr>
    </w:tbl>
    <w:p w14:paraId="54C410D1" w14:textId="77777777" w:rsidR="00BB271D" w:rsidRPr="00404674" w:rsidRDefault="00BB271D" w:rsidP="00CC4E97">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MD"/>
        </w:rPr>
      </w:pPr>
    </w:p>
    <w:p w14:paraId="00C5F3D4" w14:textId="77777777" w:rsidR="005A0F49" w:rsidRPr="00404674" w:rsidRDefault="005A0F49" w:rsidP="00CC4E97">
      <w:pPr>
        <w:spacing w:line="276" w:lineRule="auto"/>
        <w:jc w:val="center"/>
        <w:rPr>
          <w:b/>
          <w:color w:val="000000" w:themeColor="text1"/>
          <w:sz w:val="24"/>
          <w:szCs w:val="24"/>
          <w:lang w:val="ro-MD"/>
        </w:rPr>
      </w:pPr>
    </w:p>
    <w:p w14:paraId="4527AD95" w14:textId="77777777" w:rsidR="003E3494" w:rsidRPr="00404674" w:rsidRDefault="003E3494" w:rsidP="005A0F49">
      <w:pPr>
        <w:spacing w:line="276" w:lineRule="auto"/>
        <w:ind w:firstLine="0"/>
        <w:jc w:val="center"/>
        <w:rPr>
          <w:b/>
          <w:color w:val="000000" w:themeColor="text1"/>
          <w:sz w:val="24"/>
          <w:szCs w:val="24"/>
          <w:lang w:val="ro-MD"/>
        </w:rPr>
      </w:pPr>
    </w:p>
    <w:p w14:paraId="1E3B155C" w14:textId="77777777" w:rsidR="00CC4E97" w:rsidRPr="00404674" w:rsidRDefault="00CC4E97" w:rsidP="005A0F49">
      <w:pPr>
        <w:spacing w:line="276" w:lineRule="auto"/>
        <w:ind w:firstLine="0"/>
        <w:jc w:val="center"/>
        <w:rPr>
          <w:b/>
          <w:color w:val="000000" w:themeColor="text1"/>
          <w:sz w:val="24"/>
          <w:szCs w:val="24"/>
          <w:lang w:val="ro-MD"/>
        </w:rPr>
      </w:pPr>
      <w:r w:rsidRPr="00404674">
        <w:rPr>
          <w:b/>
          <w:color w:val="000000" w:themeColor="text1"/>
          <w:sz w:val="24"/>
          <w:szCs w:val="24"/>
          <w:lang w:val="ro-MD"/>
        </w:rPr>
        <w:t>Ministru</w:t>
      </w:r>
      <w:r w:rsidRPr="00404674">
        <w:rPr>
          <w:b/>
          <w:color w:val="000000" w:themeColor="text1"/>
          <w:sz w:val="24"/>
          <w:szCs w:val="24"/>
          <w:lang w:val="ro-MD"/>
        </w:rPr>
        <w:tab/>
      </w:r>
      <w:r w:rsidRPr="00404674">
        <w:rPr>
          <w:b/>
          <w:color w:val="000000" w:themeColor="text1"/>
          <w:sz w:val="24"/>
          <w:szCs w:val="24"/>
          <w:lang w:val="ro-MD"/>
        </w:rPr>
        <w:tab/>
        <w:t xml:space="preserve"> </w:t>
      </w:r>
      <w:r w:rsidR="00D56E34" w:rsidRPr="00404674">
        <w:rPr>
          <w:b/>
          <w:color w:val="000000" w:themeColor="text1"/>
          <w:sz w:val="24"/>
          <w:szCs w:val="24"/>
          <w:lang w:val="ro-MD"/>
        </w:rPr>
        <w:t xml:space="preserve">              </w:t>
      </w:r>
      <w:r w:rsidRPr="00404674">
        <w:rPr>
          <w:b/>
          <w:color w:val="000000" w:themeColor="text1"/>
          <w:sz w:val="24"/>
          <w:szCs w:val="24"/>
          <w:lang w:val="ro-MD"/>
        </w:rPr>
        <w:t xml:space="preserve">        Dan PERCIUN </w:t>
      </w:r>
    </w:p>
    <w:p w14:paraId="5BAF1C66" w14:textId="77777777" w:rsidR="00CC4E97" w:rsidRPr="00404674" w:rsidRDefault="00CC4E97" w:rsidP="00CC4E97">
      <w:pPr>
        <w:rPr>
          <w:color w:val="000000" w:themeColor="text1"/>
          <w:sz w:val="24"/>
          <w:szCs w:val="24"/>
          <w:lang w:val="ro-MD"/>
        </w:rPr>
      </w:pPr>
    </w:p>
    <w:p w14:paraId="67E154D0" w14:textId="77777777" w:rsidR="00122C0A" w:rsidRPr="00404674" w:rsidRDefault="00122C0A" w:rsidP="00CC4E97">
      <w:pPr>
        <w:ind w:left="-426"/>
        <w:rPr>
          <w:color w:val="000000" w:themeColor="text1"/>
          <w:szCs w:val="24"/>
          <w:lang w:val="ro-MD"/>
        </w:rPr>
      </w:pPr>
    </w:p>
    <w:p w14:paraId="4A7F8EA5" w14:textId="77777777" w:rsidR="00122C0A" w:rsidRPr="00404674" w:rsidRDefault="00122C0A" w:rsidP="00CC4E97">
      <w:pPr>
        <w:ind w:left="-426"/>
        <w:rPr>
          <w:color w:val="000000" w:themeColor="text1"/>
          <w:szCs w:val="24"/>
          <w:lang w:val="ro-MD"/>
        </w:rPr>
      </w:pPr>
    </w:p>
    <w:p w14:paraId="1A903D0A" w14:textId="77777777" w:rsidR="00122C0A" w:rsidRPr="00404674" w:rsidRDefault="00122C0A" w:rsidP="00CC4E97">
      <w:pPr>
        <w:ind w:left="-426"/>
        <w:rPr>
          <w:color w:val="000000" w:themeColor="text1"/>
          <w:szCs w:val="24"/>
          <w:lang w:val="ro-MD"/>
        </w:rPr>
      </w:pPr>
    </w:p>
    <w:p w14:paraId="64D1A2FA" w14:textId="77777777" w:rsidR="00F901A4" w:rsidRPr="00404674" w:rsidRDefault="00F901A4" w:rsidP="00CC4E97">
      <w:pPr>
        <w:ind w:left="-426"/>
        <w:rPr>
          <w:color w:val="000000" w:themeColor="text1"/>
          <w:szCs w:val="24"/>
          <w:lang w:val="ro-MD"/>
        </w:rPr>
      </w:pPr>
    </w:p>
    <w:p w14:paraId="596634C6" w14:textId="77777777" w:rsidR="00F901A4" w:rsidRPr="00404674" w:rsidRDefault="00F901A4" w:rsidP="00CC4E97">
      <w:pPr>
        <w:ind w:left="-426"/>
        <w:rPr>
          <w:color w:val="000000" w:themeColor="text1"/>
          <w:szCs w:val="24"/>
          <w:lang w:val="ro-MD"/>
        </w:rPr>
      </w:pPr>
    </w:p>
    <w:p w14:paraId="4103759C" w14:textId="77777777" w:rsidR="00F901A4" w:rsidRPr="00404674" w:rsidRDefault="00F901A4" w:rsidP="00CC4E97">
      <w:pPr>
        <w:ind w:left="-426"/>
        <w:rPr>
          <w:color w:val="000000" w:themeColor="text1"/>
          <w:szCs w:val="24"/>
          <w:lang w:val="ro-MD"/>
        </w:rPr>
      </w:pPr>
    </w:p>
    <w:p w14:paraId="3CC3A7CE" w14:textId="77777777" w:rsidR="00F901A4" w:rsidRPr="00404674" w:rsidRDefault="00F901A4" w:rsidP="00CC4E97">
      <w:pPr>
        <w:ind w:left="-426"/>
        <w:rPr>
          <w:color w:val="000000" w:themeColor="text1"/>
          <w:szCs w:val="24"/>
          <w:lang w:val="ro-MD"/>
        </w:rPr>
      </w:pPr>
    </w:p>
    <w:p w14:paraId="39096446" w14:textId="77777777" w:rsidR="00F901A4" w:rsidRPr="00404674" w:rsidRDefault="00F901A4" w:rsidP="00CC4E97">
      <w:pPr>
        <w:ind w:left="-426"/>
        <w:rPr>
          <w:color w:val="000000" w:themeColor="text1"/>
          <w:szCs w:val="24"/>
          <w:lang w:val="ro-MD"/>
        </w:rPr>
      </w:pPr>
    </w:p>
    <w:p w14:paraId="3858B47C" w14:textId="77777777" w:rsidR="00F901A4" w:rsidRPr="00404674" w:rsidRDefault="00F901A4" w:rsidP="00CC4E97">
      <w:pPr>
        <w:ind w:left="-426"/>
        <w:rPr>
          <w:color w:val="000000" w:themeColor="text1"/>
          <w:szCs w:val="24"/>
          <w:lang w:val="ro-MD"/>
        </w:rPr>
      </w:pPr>
    </w:p>
    <w:p w14:paraId="2734D79A" w14:textId="77777777" w:rsidR="00F901A4" w:rsidRPr="00404674" w:rsidRDefault="00F901A4" w:rsidP="00CC4E97">
      <w:pPr>
        <w:ind w:left="-426"/>
        <w:rPr>
          <w:color w:val="000000" w:themeColor="text1"/>
          <w:szCs w:val="24"/>
          <w:lang w:val="ro-MD"/>
        </w:rPr>
      </w:pPr>
    </w:p>
    <w:p w14:paraId="6379D926" w14:textId="2BB46577" w:rsidR="00D10556" w:rsidRPr="00B2035D" w:rsidRDefault="00D10556" w:rsidP="00D10556">
      <w:pPr>
        <w:ind w:left="-426"/>
        <w:rPr>
          <w:color w:val="000000"/>
          <w:shd w:val="clear" w:color="auto" w:fill="FFFFFF"/>
          <w:lang w:val="it-IT"/>
        </w:rPr>
      </w:pPr>
      <w:r>
        <w:rPr>
          <w:color w:val="000000" w:themeColor="text1"/>
          <w:szCs w:val="24"/>
          <w:lang w:val="ro-MD"/>
        </w:rPr>
        <w:t xml:space="preserve">Ex. </w:t>
      </w:r>
      <w:proofErr w:type="spellStart"/>
      <w:r>
        <w:rPr>
          <w:color w:val="000000" w:themeColor="text1"/>
          <w:szCs w:val="24"/>
          <w:lang w:val="ro-MD"/>
        </w:rPr>
        <w:t>Baran</w:t>
      </w:r>
      <w:proofErr w:type="spellEnd"/>
      <w:r>
        <w:rPr>
          <w:color w:val="000000" w:themeColor="text1"/>
          <w:szCs w:val="24"/>
          <w:lang w:val="ro-MD"/>
        </w:rPr>
        <w:t xml:space="preserve"> Irina, tel. </w:t>
      </w:r>
      <w:r w:rsidRPr="00B2035D">
        <w:rPr>
          <w:color w:val="000000"/>
          <w:shd w:val="clear" w:color="auto" w:fill="FFFFFF"/>
          <w:lang w:val="it-IT"/>
        </w:rPr>
        <w:t>23 24 43</w:t>
      </w:r>
    </w:p>
    <w:p w14:paraId="2BF4DBB4" w14:textId="6856C2BE" w:rsidR="00CC4E97" w:rsidRPr="00D10556" w:rsidRDefault="00D10556" w:rsidP="00D10556">
      <w:pPr>
        <w:ind w:left="-426"/>
        <w:rPr>
          <w:color w:val="000000" w:themeColor="text1"/>
          <w:szCs w:val="24"/>
          <w:lang w:val="ro-MD"/>
        </w:rPr>
      </w:pPr>
      <w:r>
        <w:rPr>
          <w:color w:val="000000"/>
          <w:shd w:val="clear" w:color="auto" w:fill="FFFFFF"/>
        </w:rPr>
        <w:t>irina.baran@mec.gov.md</w:t>
      </w:r>
      <w:r>
        <w:rPr>
          <w:color w:val="000000" w:themeColor="text1"/>
          <w:szCs w:val="24"/>
          <w:lang w:val="ro-MD"/>
        </w:rPr>
        <w:t xml:space="preserve"> </w:t>
      </w:r>
      <w:r w:rsidR="00CC4E97" w:rsidRPr="00404674">
        <w:rPr>
          <w:color w:val="000000" w:themeColor="text1"/>
          <w:szCs w:val="24"/>
          <w:lang w:val="ro-MD"/>
        </w:rPr>
        <w:t xml:space="preserve"> </w:t>
      </w:r>
      <w:r w:rsidR="00CC4E97" w:rsidRPr="00404674">
        <w:rPr>
          <w:color w:val="000000" w:themeColor="text1"/>
          <w:sz w:val="24"/>
          <w:szCs w:val="24"/>
          <w:lang w:val="ro-MD"/>
        </w:rPr>
        <w:t xml:space="preserve">       </w:t>
      </w:r>
    </w:p>
    <w:p w14:paraId="6B9D5172" w14:textId="77777777" w:rsidR="00CC4E97" w:rsidRPr="00404674" w:rsidRDefault="00CC4E97" w:rsidP="00CC4E97">
      <w:pPr>
        <w:pBdr>
          <w:top w:val="none" w:sz="4" w:space="0" w:color="000000"/>
          <w:left w:val="none" w:sz="4" w:space="0" w:color="000000"/>
          <w:bottom w:val="none" w:sz="4" w:space="0" w:color="000000"/>
          <w:right w:val="none" w:sz="4" w:space="0" w:color="000000"/>
        </w:pBdr>
        <w:tabs>
          <w:tab w:val="left" w:pos="884"/>
          <w:tab w:val="left" w:pos="1196"/>
        </w:tabs>
        <w:rPr>
          <w:color w:val="000000" w:themeColor="text1"/>
          <w:sz w:val="24"/>
          <w:szCs w:val="24"/>
          <w:lang w:val="ro-MD"/>
        </w:rPr>
      </w:pPr>
    </w:p>
    <w:sectPr w:rsidR="00CC4E97" w:rsidRPr="00404674" w:rsidSect="00D10556">
      <w:headerReference w:type="default" r:id="rId13"/>
      <w:headerReference w:type="first" r:id="rId14"/>
      <w:pgSz w:w="11906" w:h="16838" w:code="9"/>
      <w:pgMar w:top="993" w:right="1134" w:bottom="993" w:left="1276" w:header="284"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4132" w14:textId="77777777" w:rsidR="00992BFF" w:rsidRDefault="00992BFF">
      <w:r>
        <w:separator/>
      </w:r>
    </w:p>
  </w:endnote>
  <w:endnote w:type="continuationSeparator" w:id="0">
    <w:p w14:paraId="7CC1F3F9" w14:textId="77777777" w:rsidR="00992BFF" w:rsidRDefault="00992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C1D4" w14:textId="77777777" w:rsidR="00992BFF" w:rsidRDefault="00992BFF">
      <w:r>
        <w:separator/>
      </w:r>
    </w:p>
  </w:footnote>
  <w:footnote w:type="continuationSeparator" w:id="0">
    <w:p w14:paraId="21998DFB" w14:textId="77777777" w:rsidR="00992BFF" w:rsidRDefault="00992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B28A"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59FA"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B6C"/>
    <w:multiLevelType w:val="multilevel"/>
    <w:tmpl w:val="9AE4B89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647DCE"/>
    <w:multiLevelType w:val="multilevel"/>
    <w:tmpl w:val="5764FD0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4095F"/>
    <w:multiLevelType w:val="multilevel"/>
    <w:tmpl w:val="7B86581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0B6BD0"/>
    <w:multiLevelType w:val="multilevel"/>
    <w:tmpl w:val="C92AFB0E"/>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F7030D"/>
    <w:multiLevelType w:val="multilevel"/>
    <w:tmpl w:val="69DC9B0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F05227"/>
    <w:multiLevelType w:val="multilevel"/>
    <w:tmpl w:val="DC8685F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876BD"/>
    <w:multiLevelType w:val="multilevel"/>
    <w:tmpl w:val="0626315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F22B2"/>
    <w:multiLevelType w:val="multilevel"/>
    <w:tmpl w:val="8FEE149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28745A"/>
    <w:multiLevelType w:val="multilevel"/>
    <w:tmpl w:val="EA94D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C4422"/>
    <w:multiLevelType w:val="multilevel"/>
    <w:tmpl w:val="042A368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8546C"/>
    <w:multiLevelType w:val="multilevel"/>
    <w:tmpl w:val="F648A8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132C62"/>
    <w:multiLevelType w:val="multilevel"/>
    <w:tmpl w:val="F14A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86B44"/>
    <w:multiLevelType w:val="multilevel"/>
    <w:tmpl w:val="996C2E62"/>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F14801"/>
    <w:multiLevelType w:val="multilevel"/>
    <w:tmpl w:val="46943102"/>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5F43F2"/>
    <w:multiLevelType w:val="multilevel"/>
    <w:tmpl w:val="BFCA4EB0"/>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681D95"/>
    <w:multiLevelType w:val="multilevel"/>
    <w:tmpl w:val="07E0751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0C95A33"/>
    <w:multiLevelType w:val="multilevel"/>
    <w:tmpl w:val="6182471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D13FF2"/>
    <w:multiLevelType w:val="multilevel"/>
    <w:tmpl w:val="BF1AC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500112"/>
    <w:multiLevelType w:val="multilevel"/>
    <w:tmpl w:val="63507D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3D47D2"/>
    <w:multiLevelType w:val="multilevel"/>
    <w:tmpl w:val="100E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875764"/>
    <w:multiLevelType w:val="multilevel"/>
    <w:tmpl w:val="B9A2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33779"/>
    <w:multiLevelType w:val="multilevel"/>
    <w:tmpl w:val="A6269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A7440E"/>
    <w:multiLevelType w:val="multilevel"/>
    <w:tmpl w:val="1746508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46CA0"/>
    <w:multiLevelType w:val="multilevel"/>
    <w:tmpl w:val="F312B78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4" w15:restartNumberingAfterBreak="0">
    <w:nsid w:val="3E9D4AC2"/>
    <w:multiLevelType w:val="multilevel"/>
    <w:tmpl w:val="961C595C"/>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D15EF1"/>
    <w:multiLevelType w:val="multilevel"/>
    <w:tmpl w:val="4198E18C"/>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42FC77F8"/>
    <w:multiLevelType w:val="multilevel"/>
    <w:tmpl w:val="603419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436A7361"/>
    <w:multiLevelType w:val="multilevel"/>
    <w:tmpl w:val="59849B1C"/>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455A4F5F"/>
    <w:multiLevelType w:val="multilevel"/>
    <w:tmpl w:val="5FBAFB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7CB6E72"/>
    <w:multiLevelType w:val="multilevel"/>
    <w:tmpl w:val="B2108A0C"/>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860002"/>
    <w:multiLevelType w:val="hybridMultilevel"/>
    <w:tmpl w:val="E112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151D6"/>
    <w:multiLevelType w:val="hybridMultilevel"/>
    <w:tmpl w:val="04E0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E4F6327"/>
    <w:multiLevelType w:val="multilevel"/>
    <w:tmpl w:val="3044F88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795E20"/>
    <w:multiLevelType w:val="multilevel"/>
    <w:tmpl w:val="5D00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A13E1D"/>
    <w:multiLevelType w:val="multilevel"/>
    <w:tmpl w:val="19B22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D3DFA"/>
    <w:multiLevelType w:val="multilevel"/>
    <w:tmpl w:val="C04C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DE5815"/>
    <w:multiLevelType w:val="multilevel"/>
    <w:tmpl w:val="E2D81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C001FF"/>
    <w:multiLevelType w:val="multilevel"/>
    <w:tmpl w:val="85EEA30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F14523E"/>
    <w:multiLevelType w:val="multilevel"/>
    <w:tmpl w:val="A8AE8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056BE"/>
    <w:multiLevelType w:val="multilevel"/>
    <w:tmpl w:val="140A1C7C"/>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0" w15:restartNumberingAfterBreak="0">
    <w:nsid w:val="65757501"/>
    <w:multiLevelType w:val="multilevel"/>
    <w:tmpl w:val="DF10079E"/>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566D95"/>
    <w:multiLevelType w:val="multilevel"/>
    <w:tmpl w:val="77300B2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2" w15:restartNumberingAfterBreak="0">
    <w:nsid w:val="6B65604D"/>
    <w:multiLevelType w:val="multilevel"/>
    <w:tmpl w:val="88C2EDD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3" w15:restartNumberingAfterBreak="0">
    <w:nsid w:val="6C955CDB"/>
    <w:multiLevelType w:val="multilevel"/>
    <w:tmpl w:val="04382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E5C9A"/>
    <w:multiLevelType w:val="hybridMultilevel"/>
    <w:tmpl w:val="F8F8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5E91"/>
    <w:multiLevelType w:val="multilevel"/>
    <w:tmpl w:val="63422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99211630">
    <w:abstractNumId w:val="32"/>
  </w:num>
  <w:num w:numId="2" w16cid:durableId="394472618">
    <w:abstractNumId w:val="6"/>
  </w:num>
  <w:num w:numId="3" w16cid:durableId="225266539">
    <w:abstractNumId w:val="10"/>
  </w:num>
  <w:num w:numId="4" w16cid:durableId="535167962">
    <w:abstractNumId w:val="45"/>
  </w:num>
  <w:num w:numId="5" w16cid:durableId="1881549654">
    <w:abstractNumId w:val="24"/>
  </w:num>
  <w:num w:numId="6" w16cid:durableId="1180462676">
    <w:abstractNumId w:val="21"/>
  </w:num>
  <w:num w:numId="7" w16cid:durableId="1809542867">
    <w:abstractNumId w:val="19"/>
  </w:num>
  <w:num w:numId="8" w16cid:durableId="1718704995">
    <w:abstractNumId w:val="17"/>
  </w:num>
  <w:num w:numId="9" w16cid:durableId="1653604870">
    <w:abstractNumId w:val="0"/>
  </w:num>
  <w:num w:numId="10" w16cid:durableId="1785492544">
    <w:abstractNumId w:val="7"/>
  </w:num>
  <w:num w:numId="11" w16cid:durableId="1860191681">
    <w:abstractNumId w:val="39"/>
  </w:num>
  <w:num w:numId="12" w16cid:durableId="579561205">
    <w:abstractNumId w:val="9"/>
  </w:num>
  <w:num w:numId="13" w16cid:durableId="817527575">
    <w:abstractNumId w:val="37"/>
  </w:num>
  <w:num w:numId="14" w16cid:durableId="1001592095">
    <w:abstractNumId w:val="28"/>
  </w:num>
  <w:num w:numId="15" w16cid:durableId="1795564789">
    <w:abstractNumId w:val="25"/>
  </w:num>
  <w:num w:numId="16" w16cid:durableId="1247378748">
    <w:abstractNumId w:val="13"/>
  </w:num>
  <w:num w:numId="17" w16cid:durableId="496458337">
    <w:abstractNumId w:val="14"/>
  </w:num>
  <w:num w:numId="18" w16cid:durableId="1892494857">
    <w:abstractNumId w:val="12"/>
  </w:num>
  <w:num w:numId="19" w16cid:durableId="5712209">
    <w:abstractNumId w:val="15"/>
  </w:num>
  <w:num w:numId="20" w16cid:durableId="718555216">
    <w:abstractNumId w:val="3"/>
  </w:num>
  <w:num w:numId="21" w16cid:durableId="1928296719">
    <w:abstractNumId w:val="29"/>
  </w:num>
  <w:num w:numId="22" w16cid:durableId="952639227">
    <w:abstractNumId w:val="22"/>
  </w:num>
  <w:num w:numId="23" w16cid:durableId="375006601">
    <w:abstractNumId w:val="36"/>
  </w:num>
  <w:num w:numId="24" w16cid:durableId="478770097">
    <w:abstractNumId w:val="20"/>
  </w:num>
  <w:num w:numId="25" w16cid:durableId="137503802">
    <w:abstractNumId w:val="8"/>
  </w:num>
  <w:num w:numId="26" w16cid:durableId="566764328">
    <w:abstractNumId w:val="43"/>
  </w:num>
  <w:num w:numId="27" w16cid:durableId="776103223">
    <w:abstractNumId w:val="4"/>
  </w:num>
  <w:num w:numId="28" w16cid:durableId="1232497790">
    <w:abstractNumId w:val="40"/>
    <w:lvlOverride w:ilvl="0">
      <w:startOverride w:val="1"/>
    </w:lvlOverride>
  </w:num>
  <w:num w:numId="29" w16cid:durableId="707996219">
    <w:abstractNumId w:val="18"/>
  </w:num>
  <w:num w:numId="30" w16cid:durableId="895897996">
    <w:abstractNumId w:val="16"/>
  </w:num>
  <w:num w:numId="31" w16cid:durableId="712269102">
    <w:abstractNumId w:val="5"/>
  </w:num>
  <w:num w:numId="32" w16cid:durableId="481120093">
    <w:abstractNumId w:val="40"/>
  </w:num>
  <w:num w:numId="33" w16cid:durableId="1474448958">
    <w:abstractNumId w:val="35"/>
  </w:num>
  <w:num w:numId="34" w16cid:durableId="1884171548">
    <w:abstractNumId w:val="34"/>
  </w:num>
  <w:num w:numId="35" w16cid:durableId="493188051">
    <w:abstractNumId w:val="33"/>
  </w:num>
  <w:num w:numId="36" w16cid:durableId="1206213541">
    <w:abstractNumId w:val="38"/>
  </w:num>
  <w:num w:numId="37" w16cid:durableId="125851778">
    <w:abstractNumId w:val="2"/>
  </w:num>
  <w:num w:numId="38" w16cid:durableId="217278143">
    <w:abstractNumId w:val="1"/>
  </w:num>
  <w:num w:numId="39" w16cid:durableId="2072147755">
    <w:abstractNumId w:val="41"/>
  </w:num>
  <w:num w:numId="40" w16cid:durableId="700907540">
    <w:abstractNumId w:val="23"/>
  </w:num>
  <w:num w:numId="41" w16cid:durableId="864827005">
    <w:abstractNumId w:val="42"/>
  </w:num>
  <w:num w:numId="42" w16cid:durableId="108932533">
    <w:abstractNumId w:val="26"/>
  </w:num>
  <w:num w:numId="43" w16cid:durableId="1684668554">
    <w:abstractNumId w:val="27"/>
  </w:num>
  <w:num w:numId="44" w16cid:durableId="2013605729">
    <w:abstractNumId w:val="11"/>
  </w:num>
  <w:num w:numId="45" w16cid:durableId="43910478">
    <w:abstractNumId w:val="44"/>
  </w:num>
  <w:num w:numId="46" w16cid:durableId="1429153211">
    <w:abstractNumId w:val="31"/>
  </w:num>
  <w:num w:numId="47" w16cid:durableId="105450649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71D"/>
    <w:rsid w:val="000109DF"/>
    <w:rsid w:val="00025775"/>
    <w:rsid w:val="000470F2"/>
    <w:rsid w:val="000935CA"/>
    <w:rsid w:val="000C3C94"/>
    <w:rsid w:val="000F4A5B"/>
    <w:rsid w:val="00122C0A"/>
    <w:rsid w:val="00161F2C"/>
    <w:rsid w:val="001B1EDF"/>
    <w:rsid w:val="001B7FFE"/>
    <w:rsid w:val="00217B7F"/>
    <w:rsid w:val="00231529"/>
    <w:rsid w:val="00276BC0"/>
    <w:rsid w:val="002C08A1"/>
    <w:rsid w:val="002D3601"/>
    <w:rsid w:val="002E1A55"/>
    <w:rsid w:val="003739AE"/>
    <w:rsid w:val="0038798F"/>
    <w:rsid w:val="003C37AD"/>
    <w:rsid w:val="003E11DD"/>
    <w:rsid w:val="003E3494"/>
    <w:rsid w:val="003F05F8"/>
    <w:rsid w:val="004039EA"/>
    <w:rsid w:val="00404674"/>
    <w:rsid w:val="00421917"/>
    <w:rsid w:val="00450BF9"/>
    <w:rsid w:val="004619F2"/>
    <w:rsid w:val="00474AC9"/>
    <w:rsid w:val="00497AE7"/>
    <w:rsid w:val="004A4FE4"/>
    <w:rsid w:val="004B3A4F"/>
    <w:rsid w:val="004C4E49"/>
    <w:rsid w:val="004C6043"/>
    <w:rsid w:val="004D4722"/>
    <w:rsid w:val="00526D4B"/>
    <w:rsid w:val="005313E0"/>
    <w:rsid w:val="00542AC1"/>
    <w:rsid w:val="005509D4"/>
    <w:rsid w:val="0056379F"/>
    <w:rsid w:val="00565E49"/>
    <w:rsid w:val="00566D79"/>
    <w:rsid w:val="005A0F49"/>
    <w:rsid w:val="00646DA7"/>
    <w:rsid w:val="00675C79"/>
    <w:rsid w:val="00683476"/>
    <w:rsid w:val="006929CF"/>
    <w:rsid w:val="0069692B"/>
    <w:rsid w:val="00737EB6"/>
    <w:rsid w:val="00764327"/>
    <w:rsid w:val="00775F66"/>
    <w:rsid w:val="007B7355"/>
    <w:rsid w:val="007B7A3F"/>
    <w:rsid w:val="0082097F"/>
    <w:rsid w:val="00870D15"/>
    <w:rsid w:val="0087384D"/>
    <w:rsid w:val="00893DCC"/>
    <w:rsid w:val="008D51FE"/>
    <w:rsid w:val="008D7361"/>
    <w:rsid w:val="009036F7"/>
    <w:rsid w:val="009135B2"/>
    <w:rsid w:val="009656C5"/>
    <w:rsid w:val="00992BFF"/>
    <w:rsid w:val="009B0E9B"/>
    <w:rsid w:val="009B1BAE"/>
    <w:rsid w:val="009E2154"/>
    <w:rsid w:val="009F501E"/>
    <w:rsid w:val="00A32638"/>
    <w:rsid w:val="00A46A3E"/>
    <w:rsid w:val="00AA1F9A"/>
    <w:rsid w:val="00AB0B73"/>
    <w:rsid w:val="00B009E1"/>
    <w:rsid w:val="00B15418"/>
    <w:rsid w:val="00B2035D"/>
    <w:rsid w:val="00B80822"/>
    <w:rsid w:val="00B87035"/>
    <w:rsid w:val="00BB271D"/>
    <w:rsid w:val="00BB42FB"/>
    <w:rsid w:val="00BF281B"/>
    <w:rsid w:val="00BF30CE"/>
    <w:rsid w:val="00C50347"/>
    <w:rsid w:val="00C64D77"/>
    <w:rsid w:val="00C901A3"/>
    <w:rsid w:val="00CA48FC"/>
    <w:rsid w:val="00CA61FA"/>
    <w:rsid w:val="00CA70EF"/>
    <w:rsid w:val="00CC1AD0"/>
    <w:rsid w:val="00CC23FB"/>
    <w:rsid w:val="00CC4E97"/>
    <w:rsid w:val="00D00EDA"/>
    <w:rsid w:val="00D03C31"/>
    <w:rsid w:val="00D10556"/>
    <w:rsid w:val="00D338ED"/>
    <w:rsid w:val="00D36922"/>
    <w:rsid w:val="00D430BE"/>
    <w:rsid w:val="00D43275"/>
    <w:rsid w:val="00D453A8"/>
    <w:rsid w:val="00D56E34"/>
    <w:rsid w:val="00D607D1"/>
    <w:rsid w:val="00D700EF"/>
    <w:rsid w:val="00D83889"/>
    <w:rsid w:val="00DD0AAD"/>
    <w:rsid w:val="00DF599D"/>
    <w:rsid w:val="00DF7557"/>
    <w:rsid w:val="00E3432D"/>
    <w:rsid w:val="00E5614D"/>
    <w:rsid w:val="00E6363B"/>
    <w:rsid w:val="00F12FB9"/>
    <w:rsid w:val="00F15FB8"/>
    <w:rsid w:val="00F278FE"/>
    <w:rsid w:val="00F53DD8"/>
    <w:rsid w:val="00F901A4"/>
    <w:rsid w:val="00F91C6F"/>
    <w:rsid w:val="00F9678F"/>
    <w:rsid w:val="00F96C23"/>
    <w:rsid w:val="00FB1565"/>
    <w:rsid w:val="00FB3A08"/>
    <w:rsid w:val="00FC4437"/>
    <w:rsid w:val="00FE3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7F12"/>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1">
    <w:name w:val="Неразрешенное упоминание1"/>
    <w:basedOn w:val="DefaultParagraphFont"/>
    <w:uiPriority w:val="99"/>
    <w:semiHidden/>
    <w:unhideWhenUsed/>
    <w:rPr>
      <w:color w:val="605E5C"/>
      <w:shd w:val="clear" w:color="auto" w:fill="E1DFDD"/>
    </w:rPr>
  </w:style>
  <w:style w:type="character" w:customStyle="1" w:styleId="object-hover">
    <w:name w:val="object-hover"/>
    <w:basedOn w:val="DefaultParagraphFont"/>
    <w:rsid w:val="00450BF9"/>
  </w:style>
  <w:style w:type="character" w:styleId="UnresolvedMention">
    <w:name w:val="Unresolved Mention"/>
    <w:basedOn w:val="DefaultParagraphFont"/>
    <w:uiPriority w:val="99"/>
    <w:semiHidden/>
    <w:unhideWhenUsed/>
    <w:rsid w:val="0052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6043">
      <w:bodyDiv w:val="1"/>
      <w:marLeft w:val="0"/>
      <w:marRight w:val="0"/>
      <w:marTop w:val="0"/>
      <w:marBottom w:val="0"/>
      <w:divBdr>
        <w:top w:val="none" w:sz="0" w:space="0" w:color="auto"/>
        <w:left w:val="none" w:sz="0" w:space="0" w:color="auto"/>
        <w:bottom w:val="none" w:sz="0" w:space="0" w:color="auto"/>
        <w:right w:val="none" w:sz="0" w:space="0" w:color="auto"/>
      </w:divBdr>
    </w:div>
    <w:div w:id="787234030">
      <w:bodyDiv w:val="1"/>
      <w:marLeft w:val="0"/>
      <w:marRight w:val="0"/>
      <w:marTop w:val="0"/>
      <w:marBottom w:val="0"/>
      <w:divBdr>
        <w:top w:val="none" w:sz="0" w:space="0" w:color="auto"/>
        <w:left w:val="none" w:sz="0" w:space="0" w:color="auto"/>
        <w:bottom w:val="none" w:sz="0" w:space="0" w:color="auto"/>
        <w:right w:val="none" w:sz="0" w:space="0" w:color="auto"/>
      </w:divBdr>
    </w:div>
    <w:div w:id="1134831476">
      <w:bodyDiv w:val="1"/>
      <w:marLeft w:val="0"/>
      <w:marRight w:val="0"/>
      <w:marTop w:val="0"/>
      <w:marBottom w:val="0"/>
      <w:divBdr>
        <w:top w:val="none" w:sz="0" w:space="0" w:color="auto"/>
        <w:left w:val="none" w:sz="0" w:space="0" w:color="auto"/>
        <w:bottom w:val="none" w:sz="0" w:space="0" w:color="auto"/>
        <w:right w:val="none" w:sz="0" w:space="0" w:color="auto"/>
      </w:divBdr>
    </w:div>
    <w:div w:id="184262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erea-modificarii-proiectului-hotarare-nr-hg3342009-din-23042009-cu-privire-la/158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c.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261ABFEE-8091-44CC-99D4-16A34BF426DB}">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2112</Words>
  <Characters>12252</Characters>
  <Application>Microsoft Office Word</Application>
  <DocSecurity>0</DocSecurity>
  <Lines>102</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USER</cp:lastModifiedBy>
  <cp:revision>2</cp:revision>
  <cp:lastPrinted>2026-03-26T07:11:00Z</cp:lastPrinted>
  <dcterms:created xsi:type="dcterms:W3CDTF">2026-03-26T07:29:00Z</dcterms:created>
  <dcterms:modified xsi:type="dcterms:W3CDTF">2026-03-26T07:29:00Z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