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388" w:type="dxa"/>
        <w:tblLook w:val="04A0" w:firstRow="1" w:lastRow="0" w:firstColumn="1" w:lastColumn="0" w:noHBand="0" w:noVBand="1"/>
      </w:tblPr>
      <w:tblGrid>
        <w:gridCol w:w="6395"/>
        <w:gridCol w:w="5656"/>
        <w:gridCol w:w="1634"/>
        <w:gridCol w:w="1703"/>
      </w:tblGrid>
      <w:tr w:rsidR="00EB4549" w:rsidRPr="001E7471" w14:paraId="5201D9C5" w14:textId="752424EE" w:rsidTr="00C01E4B">
        <w:trPr>
          <w:trHeight w:val="288"/>
        </w:trPr>
        <w:tc>
          <w:tcPr>
            <w:tcW w:w="6455" w:type="dxa"/>
          </w:tcPr>
          <w:p w14:paraId="0A87C6FF" w14:textId="1750A666" w:rsidR="00EB4549" w:rsidRPr="00EF37BA" w:rsidRDefault="00EB4549" w:rsidP="004D7842">
            <w:pPr>
              <w:rPr>
                <w:rFonts w:cs="Times New Roman"/>
                <w:b/>
                <w:bCs/>
                <w:lang w:val="ro-RO"/>
              </w:rPr>
            </w:pPr>
            <w:r w:rsidRPr="00EF37BA">
              <w:rPr>
                <w:rFonts w:cs="Times New Roman"/>
                <w:b/>
                <w:bCs/>
                <w:lang w:val="ro-RO"/>
              </w:rPr>
              <w:t>1</w:t>
            </w:r>
          </w:p>
        </w:tc>
        <w:tc>
          <w:tcPr>
            <w:tcW w:w="8933" w:type="dxa"/>
            <w:gridSpan w:val="3"/>
          </w:tcPr>
          <w:p w14:paraId="06A9C7BC" w14:textId="4E869581" w:rsidR="00B91E12" w:rsidRPr="00B91E12" w:rsidRDefault="000737D1" w:rsidP="00A0053F">
            <w:pPr>
              <w:spacing w:line="259" w:lineRule="auto"/>
              <w:jc w:val="both"/>
              <w:rPr>
                <w:rFonts w:cs="Times New Roman"/>
                <w:b/>
                <w:lang w:val="ro-RO"/>
              </w:rPr>
            </w:pPr>
            <w:r w:rsidRPr="000737D1">
              <w:rPr>
                <w:rFonts w:cs="Times New Roman"/>
                <w:b/>
                <w:lang w:val="ro-RO"/>
              </w:rPr>
              <w:t>Regulamentul delegat (UE) 2023/1185 al Comisiei din 10 februarie 2023 de completare a Directivei (UE) 2018/2001 a Parlamentului European și a Consiliului prin stabilirea unui prag minim pentru reducerea emisiilor de gaze cu efect de seră generate de combustibilii pe bază de carbon reciclat și prin specificarea unei metodologii de evaluare a reducerilor de emisii de gaze cu efect de seră obținute de la combustibilii lichizi și gazoși de origine nebiologică produși din surse regenerabile și utilizați în transporturi și de la combustibilii pe bază de carbon reciclat, publicat în Jurnalul Oficial al Uniunii Europene, seria L 157 din 20 iunie 2023 (CELEX: 32023R1185)</w:t>
            </w:r>
            <w:r w:rsidR="00FE3577">
              <w:rPr>
                <w:rFonts w:cs="Times New Roman"/>
                <w:b/>
                <w:lang w:val="ro-RO"/>
              </w:rPr>
              <w:t>.</w:t>
            </w:r>
          </w:p>
        </w:tc>
      </w:tr>
      <w:tr w:rsidR="00EB4549" w:rsidRPr="001E7471" w14:paraId="1C18E1BF" w14:textId="3A6021C8" w:rsidTr="00C01E4B">
        <w:trPr>
          <w:trHeight w:val="288"/>
        </w:trPr>
        <w:tc>
          <w:tcPr>
            <w:tcW w:w="6455" w:type="dxa"/>
          </w:tcPr>
          <w:p w14:paraId="726E4F9C" w14:textId="7DB1E404" w:rsidR="00EB4549" w:rsidRPr="00EF37BA" w:rsidRDefault="00EB4549" w:rsidP="004D7842">
            <w:pPr>
              <w:rPr>
                <w:rFonts w:cs="Times New Roman"/>
                <w:b/>
                <w:bCs/>
                <w:lang w:val="ro-RO"/>
              </w:rPr>
            </w:pPr>
            <w:r w:rsidRPr="00EF37BA">
              <w:rPr>
                <w:rFonts w:cs="Times New Roman"/>
                <w:b/>
                <w:bCs/>
                <w:lang w:val="ro-RO"/>
              </w:rPr>
              <w:t>2</w:t>
            </w:r>
          </w:p>
        </w:tc>
        <w:tc>
          <w:tcPr>
            <w:tcW w:w="8933" w:type="dxa"/>
            <w:gridSpan w:val="3"/>
          </w:tcPr>
          <w:p w14:paraId="14FCCF20" w14:textId="5B08BF81" w:rsidR="009D2B2E" w:rsidRPr="00AA471A" w:rsidRDefault="007C34C2" w:rsidP="00EB4549">
            <w:pPr>
              <w:spacing w:line="259" w:lineRule="auto"/>
              <w:rPr>
                <w:rFonts w:cs="Times New Roman"/>
                <w:b/>
                <w:bCs/>
                <w:lang w:val="ro-RO"/>
              </w:rPr>
            </w:pPr>
            <w:r w:rsidRPr="00DB3BE8">
              <w:rPr>
                <w:rFonts w:cs="Times New Roman"/>
                <w:b/>
                <w:bCs/>
                <w:lang w:val="ro-RO"/>
              </w:rPr>
              <w:t xml:space="preserve">Proiectul Hotărârii Guvernului privind </w:t>
            </w:r>
            <w:r w:rsidR="00E43249">
              <w:rPr>
                <w:b/>
                <w:bCs/>
                <w:lang w:val="ro-RO"/>
              </w:rPr>
              <w:t>aprobarea Regulamentului cu privire la normele de verificare a biocarburanților, biolichidelor și combustibililor din biomasă, precum și recunoașterea schemelor voluntare și modificarea unor acte normative</w:t>
            </w:r>
            <w:r>
              <w:rPr>
                <w:rFonts w:cs="Times New Roman"/>
                <w:b/>
                <w:bCs/>
                <w:lang w:val="ro-RO"/>
              </w:rPr>
              <w:t>.</w:t>
            </w:r>
          </w:p>
        </w:tc>
      </w:tr>
      <w:tr w:rsidR="00EB4549" w:rsidRPr="001E7471" w14:paraId="624F6F32" w14:textId="41A2AD75" w:rsidTr="00C01E4B">
        <w:trPr>
          <w:trHeight w:val="288"/>
        </w:trPr>
        <w:tc>
          <w:tcPr>
            <w:tcW w:w="6455" w:type="dxa"/>
          </w:tcPr>
          <w:p w14:paraId="49137594" w14:textId="7E529B7D" w:rsidR="00EB4549" w:rsidRPr="00EF37BA" w:rsidRDefault="00EB4549" w:rsidP="004D7842">
            <w:pPr>
              <w:rPr>
                <w:rFonts w:cs="Times New Roman"/>
                <w:b/>
                <w:bCs/>
                <w:lang w:val="ro-RO"/>
              </w:rPr>
            </w:pPr>
            <w:r w:rsidRPr="00EF37BA">
              <w:rPr>
                <w:rFonts w:cs="Times New Roman"/>
                <w:b/>
                <w:bCs/>
                <w:lang w:val="ro-RO"/>
              </w:rPr>
              <w:t>3</w:t>
            </w:r>
          </w:p>
        </w:tc>
        <w:tc>
          <w:tcPr>
            <w:tcW w:w="8933" w:type="dxa"/>
            <w:gridSpan w:val="3"/>
          </w:tcPr>
          <w:p w14:paraId="4A6F61A9" w14:textId="77777777" w:rsidR="00EB4549" w:rsidRPr="00EB4549" w:rsidRDefault="00EB4549" w:rsidP="004D1014">
            <w:pPr>
              <w:pStyle w:val="TableContents"/>
              <w:rPr>
                <w:rFonts w:ascii="Times New Roman" w:hAnsi="Times New Roman" w:cs="Times New Roman"/>
                <w:b/>
                <w:bCs/>
                <w:sz w:val="22"/>
                <w:szCs w:val="22"/>
                <w:highlight w:val="yellow"/>
                <w:lang w:val="it-IT"/>
              </w:rPr>
            </w:pPr>
            <w:r w:rsidRPr="00EB4549">
              <w:rPr>
                <w:rFonts w:ascii="Times New Roman" w:hAnsi="Times New Roman" w:cs="Times New Roman"/>
                <w:b/>
                <w:bCs/>
                <w:lang w:val="it-IT"/>
              </w:rPr>
              <w:t>Gradul general de compatibilitate</w:t>
            </w:r>
          </w:p>
          <w:p w14:paraId="18E52923" w14:textId="63919290" w:rsidR="00EB4549" w:rsidRPr="00CB7BD4" w:rsidRDefault="00EB4549" w:rsidP="00EB4549">
            <w:pPr>
              <w:spacing w:line="259" w:lineRule="auto"/>
              <w:rPr>
                <w:lang w:val="pt-BR"/>
              </w:rPr>
            </w:pPr>
            <w:r w:rsidRPr="0081492E">
              <w:rPr>
                <w:rFonts w:cs="Times New Roman"/>
                <w:bCs/>
                <w:lang w:val="ro-MD"/>
              </w:rPr>
              <w:t>Integral</w:t>
            </w:r>
            <w:r w:rsidRPr="00EB4549">
              <w:rPr>
                <w:rFonts w:cs="Times New Roman"/>
                <w:bCs/>
                <w:lang w:val="ro-MD"/>
              </w:rPr>
              <w:t xml:space="preserve"> </w:t>
            </w:r>
            <w:r w:rsidRPr="00EB4549">
              <w:rPr>
                <w:rFonts w:cs="Times New Roman"/>
                <w:bCs/>
                <w:lang w:val="it-IT"/>
              </w:rPr>
              <w:t>compatibil</w:t>
            </w:r>
          </w:p>
        </w:tc>
      </w:tr>
      <w:tr w:rsidR="00EB4549" w:rsidRPr="001E7471" w14:paraId="4B7EBE11" w14:textId="2A67F012" w:rsidTr="00C01E4B">
        <w:trPr>
          <w:trHeight w:val="288"/>
        </w:trPr>
        <w:tc>
          <w:tcPr>
            <w:tcW w:w="6455" w:type="dxa"/>
          </w:tcPr>
          <w:p w14:paraId="6AB4DCA7" w14:textId="2FD2788E" w:rsidR="00EB4549" w:rsidRPr="00EF37BA" w:rsidRDefault="00EB4549" w:rsidP="004D7842">
            <w:pPr>
              <w:rPr>
                <w:rFonts w:cs="Times New Roman"/>
                <w:b/>
                <w:bCs/>
                <w:lang w:val="ro-RO"/>
              </w:rPr>
            </w:pPr>
            <w:r w:rsidRPr="00EF37BA">
              <w:rPr>
                <w:rFonts w:cs="Times New Roman"/>
                <w:b/>
                <w:bCs/>
                <w:lang w:val="ro-RO"/>
              </w:rPr>
              <w:t>4</w:t>
            </w:r>
          </w:p>
        </w:tc>
        <w:tc>
          <w:tcPr>
            <w:tcW w:w="8933" w:type="dxa"/>
            <w:gridSpan w:val="3"/>
          </w:tcPr>
          <w:p w14:paraId="6DC940E7" w14:textId="77777777" w:rsidR="00EB4549" w:rsidRPr="00EB4549" w:rsidRDefault="00EB4549" w:rsidP="004D7842">
            <w:pPr>
              <w:pStyle w:val="TableContents"/>
              <w:rPr>
                <w:rFonts w:ascii="Times New Roman" w:hAnsi="Times New Roman" w:cs="Times New Roman"/>
                <w:b/>
                <w:bCs/>
                <w:sz w:val="22"/>
                <w:szCs w:val="22"/>
                <w:lang w:val="it-IT"/>
              </w:rPr>
            </w:pPr>
            <w:r w:rsidRPr="00EB4549">
              <w:rPr>
                <w:rFonts w:ascii="Times New Roman" w:hAnsi="Times New Roman" w:cs="Times New Roman"/>
                <w:b/>
                <w:bCs/>
                <w:lang w:val="it-IT"/>
              </w:rPr>
              <w:t>Autoritatea/persoana responsabilă</w:t>
            </w:r>
          </w:p>
          <w:p w14:paraId="70719989" w14:textId="1D42C1CB" w:rsidR="00EB4549" w:rsidRPr="00CB7BD4" w:rsidRDefault="00EB4549" w:rsidP="00EB4549">
            <w:pPr>
              <w:spacing w:line="259" w:lineRule="auto"/>
              <w:rPr>
                <w:lang w:val="pt-BR"/>
              </w:rPr>
            </w:pPr>
            <w:r w:rsidRPr="00EB4549">
              <w:rPr>
                <w:rFonts w:cs="Times New Roman"/>
                <w:bCs/>
                <w:lang w:val="ro-MD"/>
              </w:rPr>
              <w:t>Ministerul Energiei</w:t>
            </w:r>
          </w:p>
        </w:tc>
      </w:tr>
      <w:tr w:rsidR="00EB4549" w:rsidRPr="00EF37BA" w14:paraId="55DE3524" w14:textId="511C030C" w:rsidTr="00C01E4B">
        <w:trPr>
          <w:trHeight w:val="288"/>
        </w:trPr>
        <w:tc>
          <w:tcPr>
            <w:tcW w:w="6455" w:type="dxa"/>
          </w:tcPr>
          <w:p w14:paraId="3C7D88D5" w14:textId="0E2D3724" w:rsidR="00EB4549" w:rsidRPr="00EF37BA" w:rsidRDefault="00EB4549" w:rsidP="004D7842">
            <w:pPr>
              <w:rPr>
                <w:rFonts w:cs="Times New Roman"/>
                <w:b/>
                <w:bCs/>
                <w:lang w:val="ro-RO"/>
              </w:rPr>
            </w:pPr>
            <w:r w:rsidRPr="00EF37BA">
              <w:rPr>
                <w:rFonts w:cs="Times New Roman"/>
                <w:b/>
                <w:bCs/>
                <w:lang w:val="ro-RO"/>
              </w:rPr>
              <w:t>5</w:t>
            </w:r>
          </w:p>
        </w:tc>
        <w:tc>
          <w:tcPr>
            <w:tcW w:w="8933" w:type="dxa"/>
            <w:gridSpan w:val="3"/>
          </w:tcPr>
          <w:p w14:paraId="5AD64FCD" w14:textId="77777777" w:rsidR="00EB4549" w:rsidRPr="00EB4549" w:rsidRDefault="00EB4549" w:rsidP="00636D29">
            <w:pPr>
              <w:pStyle w:val="TableContents"/>
              <w:rPr>
                <w:rFonts w:ascii="Times New Roman" w:hAnsi="Times New Roman" w:cs="Times New Roman"/>
                <w:b/>
                <w:bCs/>
                <w:sz w:val="22"/>
                <w:szCs w:val="22"/>
                <w:lang w:val="ro-RO"/>
              </w:rPr>
            </w:pPr>
            <w:r w:rsidRPr="00EB4549">
              <w:rPr>
                <w:rFonts w:ascii="Times New Roman" w:hAnsi="Times New Roman" w:cs="Times New Roman"/>
                <w:b/>
                <w:bCs/>
              </w:rPr>
              <w:t>Data întocmirii/actualizării</w:t>
            </w:r>
          </w:p>
          <w:p w14:paraId="3AADBAF4" w14:textId="6A67B738" w:rsidR="00EB4549" w:rsidRPr="00EF37BA" w:rsidRDefault="00EB4549" w:rsidP="00EB4549">
            <w:pPr>
              <w:spacing w:line="259" w:lineRule="auto"/>
            </w:pPr>
            <w:r w:rsidRPr="00EB4549">
              <w:rPr>
                <w:rFonts w:cs="Times New Roman"/>
                <w:bCs/>
                <w:lang w:val="ro-RO"/>
              </w:rPr>
              <w:t>06.02.2026</w:t>
            </w:r>
          </w:p>
        </w:tc>
      </w:tr>
      <w:tr w:rsidR="00E8325C" w:rsidRPr="00EF37BA" w14:paraId="6D4132FC" w14:textId="77777777" w:rsidTr="00C01E4B">
        <w:trPr>
          <w:trHeight w:val="680"/>
        </w:trPr>
        <w:tc>
          <w:tcPr>
            <w:tcW w:w="6455" w:type="dxa"/>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5609"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1620" w:type="dxa"/>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1704" w:type="dxa"/>
            <w:vAlign w:val="center"/>
          </w:tcPr>
          <w:p w14:paraId="05536A91" w14:textId="7FEC7967" w:rsidR="00AF2440" w:rsidRPr="00EF37BA" w:rsidRDefault="00446DB3" w:rsidP="00557051">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E8325C" w:rsidRPr="001E7471" w14:paraId="2F22C4FA" w14:textId="77777777" w:rsidTr="00C01E4B">
        <w:tc>
          <w:tcPr>
            <w:tcW w:w="6455" w:type="dxa"/>
          </w:tcPr>
          <w:p w14:paraId="399BDF0E" w14:textId="69F12E3A" w:rsidR="00B91E12" w:rsidRPr="00614E78" w:rsidRDefault="00614E78" w:rsidP="00614E78">
            <w:pPr>
              <w:jc w:val="both"/>
              <w:rPr>
                <w:lang w:val="ro-RO"/>
              </w:rPr>
            </w:pPr>
            <w:r w:rsidRPr="00614E78">
              <w:rPr>
                <w:lang w:val="ro-RO"/>
              </w:rPr>
              <w:t>Regulamentul delegat (UE) 2023/1185 al Comisiei din 10 februarie 2023 de completare a Directivei (UE) 2018/2001 a Parlamentului European și a Consiliului prin stabilirea unui prag minim pentru reducerea emisiilor de gaze cu efect de seră generate de combustibilii pe bază de carbon reciclat și prin specificarea unei metodologii de evaluare a reducerilor de emisii de gaze cu efect de seră obținute de la combustibilii lichizi și gazoși de origine nebiologică produși din surse regenerabile și utilizați în transporturi și de la combustibilii pe bază de carbon reciclat, publicat în Jurnalul Oficial al Uniunii Europene, seria L 157 din 20 iunie 2023 (CELEX: 32023R1185)</w:t>
            </w:r>
            <w:r w:rsidR="00FE3577">
              <w:rPr>
                <w:lang w:val="ro-RO"/>
              </w:rPr>
              <w:t>.</w:t>
            </w:r>
          </w:p>
        </w:tc>
        <w:tc>
          <w:tcPr>
            <w:tcW w:w="5609" w:type="dxa"/>
          </w:tcPr>
          <w:p w14:paraId="4A2B06E1" w14:textId="21CF5C1F" w:rsidR="00C9094A" w:rsidRDefault="00661747" w:rsidP="00E47480">
            <w:pPr>
              <w:jc w:val="both"/>
              <w:rPr>
                <w:lang w:val="ro-RO"/>
              </w:rPr>
            </w:pPr>
            <w:r>
              <w:rPr>
                <w:lang w:val="ro-RO"/>
              </w:rPr>
              <w:t xml:space="preserve">Prezentul proiect modifică </w:t>
            </w:r>
            <w:r w:rsidR="0037225F" w:rsidRPr="0037225F">
              <w:rPr>
                <w:lang w:val="ro-RO"/>
              </w:rPr>
              <w:t>Hotărârea Guvernului nr. 53/2025 privind aprobarea Regulamentului cu privire la criteriile de durabilitate și de reducere a emisiilor de gaze cu efect de seră pentru biocarburanți, biolichide și combustibili din biomasă și a Metodologiei de calcul al impactului biocarburanților, biolichidelor și combustibililor din biomasă asupra emisiilor de gaze cu efect de seră (Monitorul Oficial al Republicii Moldova, 2025, nr. 43-46 art. 68), cu modificările ulterioare, după cum urmează:</w:t>
            </w:r>
          </w:p>
          <w:p w14:paraId="13730972" w14:textId="77777777" w:rsidR="00415A15" w:rsidRDefault="00415A15" w:rsidP="00E47480">
            <w:pPr>
              <w:jc w:val="both"/>
              <w:rPr>
                <w:lang w:val="ro-RO"/>
              </w:rPr>
            </w:pPr>
          </w:p>
          <w:p w14:paraId="2BC8EFEF" w14:textId="1E9A7B25" w:rsidR="00B91E12" w:rsidRPr="00EF37BA" w:rsidRDefault="00415A15" w:rsidP="00415A15">
            <w:pPr>
              <w:jc w:val="both"/>
              <w:rPr>
                <w:rFonts w:cs="Times New Roman"/>
                <w:lang w:val="ro-RO"/>
              </w:rPr>
            </w:pPr>
            <w:r w:rsidRPr="00415A15">
              <w:rPr>
                <w:rFonts w:cs="Times New Roman"/>
                <w:lang w:val="ro-RO"/>
              </w:rPr>
              <w:t xml:space="preserve">- transpune integral Regulamentul delegat (UE) 2023/1185 al Comisiei din 10 februarie 2023 de completare a Directivei (UE) 2018/2001 a Parlamentului European și a Consiliului </w:t>
            </w:r>
            <w:r w:rsidRPr="00415A15">
              <w:rPr>
                <w:rFonts w:cs="Times New Roman"/>
                <w:lang w:val="ro-RO"/>
              </w:rPr>
              <w:lastRenderedPageBreak/>
              <w:t>prin stabilirea unui prag minim pentru reducerea emisiilor de gaze cu efect de seră generate de combustibilii pe bază de carbon reciclat și prin specificarea unei metodologii de evaluare a reducerilor de emisii de gaze cu efect de seră obținute de la combustibilii lichizi și gazoși de origine nebiologică produși din surse regenerabile și utilizați în transporturi și de la combustibilii pe bază de carbon reciclat, publicat în Jurnalul Oficial al Uniunii Europene, seria L 157 din 20 iunie 2023 (CELEX: 32023R1185)</w:t>
            </w:r>
            <w:r w:rsidR="00B13BFA">
              <w:rPr>
                <w:rFonts w:cs="Times New Roman"/>
                <w:lang w:val="ro-RO"/>
              </w:rPr>
              <w:t xml:space="preserve"> – </w:t>
            </w:r>
            <w:r w:rsidR="00F41B20" w:rsidRPr="00F41B20">
              <w:rPr>
                <w:rFonts w:cs="Times New Roman"/>
                <w:b/>
                <w:bCs/>
                <w:lang w:val="ro-RO"/>
              </w:rPr>
              <w:t>se</w:t>
            </w:r>
            <w:r w:rsidR="00F41B20">
              <w:rPr>
                <w:rFonts w:cs="Times New Roman"/>
                <w:lang w:val="ro-RO"/>
              </w:rPr>
              <w:t xml:space="preserve"> </w:t>
            </w:r>
            <w:r w:rsidR="00FE5E23" w:rsidRPr="0013049F">
              <w:rPr>
                <w:rFonts w:cs="Times New Roman"/>
                <w:b/>
                <w:bCs/>
                <w:lang w:val="ro-RO"/>
              </w:rPr>
              <w:t>transpu</w:t>
            </w:r>
            <w:r w:rsidR="00F41B20">
              <w:rPr>
                <w:rFonts w:cs="Times New Roman"/>
                <w:b/>
                <w:bCs/>
                <w:lang w:val="ro-RO"/>
              </w:rPr>
              <w:t>ne</w:t>
            </w:r>
            <w:r w:rsidR="00FE5E23" w:rsidRPr="0013049F">
              <w:rPr>
                <w:rFonts w:cs="Times New Roman"/>
                <w:b/>
                <w:bCs/>
                <w:lang w:val="ro-RO"/>
              </w:rPr>
              <w:t xml:space="preserve"> </w:t>
            </w:r>
            <w:r w:rsidR="00F40753" w:rsidRPr="0013049F">
              <w:rPr>
                <w:rFonts w:cs="Times New Roman"/>
                <w:b/>
                <w:bCs/>
                <w:lang w:val="ro-RO"/>
              </w:rPr>
              <w:t>prin</w:t>
            </w:r>
            <w:r w:rsidR="00C8384E">
              <w:rPr>
                <w:rFonts w:cs="Times New Roman"/>
                <w:b/>
                <w:bCs/>
                <w:lang w:val="ro-RO"/>
              </w:rPr>
              <w:t xml:space="preserve"> </w:t>
            </w:r>
            <w:r w:rsidR="00B6676A">
              <w:rPr>
                <w:rFonts w:cs="Times New Roman"/>
                <w:b/>
                <w:bCs/>
                <w:lang w:val="ro-RO"/>
              </w:rPr>
              <w:t xml:space="preserve">modificarea anexei nr. 1 </w:t>
            </w:r>
            <w:r w:rsidR="00C8384E">
              <w:rPr>
                <w:rFonts w:cs="Times New Roman"/>
                <w:b/>
                <w:bCs/>
                <w:lang w:val="ro-RO"/>
              </w:rPr>
              <w:t xml:space="preserve">și prin </w:t>
            </w:r>
            <w:r w:rsidR="00F40753">
              <w:rPr>
                <w:rFonts w:cs="Times New Roman"/>
                <w:b/>
                <w:bCs/>
                <w:lang w:val="ro-RO"/>
              </w:rPr>
              <w:t>completare</w:t>
            </w:r>
            <w:r w:rsidR="00C8384E">
              <w:rPr>
                <w:rFonts w:cs="Times New Roman"/>
                <w:b/>
                <w:bCs/>
                <w:lang w:val="ro-RO"/>
              </w:rPr>
              <w:t xml:space="preserve"> </w:t>
            </w:r>
            <w:r w:rsidR="00F40753">
              <w:rPr>
                <w:rFonts w:cs="Times New Roman"/>
                <w:b/>
                <w:bCs/>
                <w:lang w:val="ro-RO"/>
              </w:rPr>
              <w:t xml:space="preserve">cu </w:t>
            </w:r>
            <w:r w:rsidR="0089176B">
              <w:rPr>
                <w:rFonts w:cs="Times New Roman"/>
                <w:b/>
                <w:bCs/>
                <w:lang w:val="ro-RO"/>
              </w:rPr>
              <w:t>a</w:t>
            </w:r>
            <w:r w:rsidR="00FE5E23" w:rsidRPr="0013049F">
              <w:rPr>
                <w:rFonts w:cs="Times New Roman"/>
                <w:b/>
                <w:bCs/>
                <w:lang w:val="ro-RO"/>
              </w:rPr>
              <w:t>nexa nr. 3</w:t>
            </w:r>
            <w:r w:rsidR="00F40753">
              <w:rPr>
                <w:rFonts w:cs="Times New Roman"/>
                <w:b/>
                <w:bCs/>
                <w:lang w:val="ro-RO"/>
              </w:rPr>
              <w:t xml:space="preserve"> la HG 53/2025</w:t>
            </w:r>
            <w:r w:rsidR="00B7161A">
              <w:rPr>
                <w:rFonts w:cs="Times New Roman"/>
                <w:b/>
                <w:bCs/>
                <w:lang w:val="ro-RO"/>
              </w:rPr>
              <w:t>.</w:t>
            </w:r>
            <w:r w:rsidR="00B6676A">
              <w:rPr>
                <w:rFonts w:cs="Times New Roman"/>
                <w:b/>
                <w:bCs/>
                <w:lang w:val="ro-RO"/>
              </w:rPr>
              <w:t xml:space="preserve"> </w:t>
            </w:r>
          </w:p>
        </w:tc>
        <w:tc>
          <w:tcPr>
            <w:tcW w:w="1620" w:type="dxa"/>
          </w:tcPr>
          <w:p w14:paraId="56A9611D" w14:textId="7AA8CB4A" w:rsidR="00AF2440" w:rsidRPr="00EF37BA" w:rsidRDefault="00AF2440" w:rsidP="00CE28DD">
            <w:pPr>
              <w:rPr>
                <w:rFonts w:cs="Times New Roman"/>
                <w:lang w:val="ro-RO"/>
              </w:rPr>
            </w:pPr>
            <w:r w:rsidRPr="00EF37BA">
              <w:rPr>
                <w:rFonts w:cs="Times New Roman"/>
                <w:lang w:val="ro-RO"/>
              </w:rPr>
              <w:lastRenderedPageBreak/>
              <w:t>Compatibil</w:t>
            </w:r>
          </w:p>
        </w:tc>
        <w:tc>
          <w:tcPr>
            <w:tcW w:w="1704" w:type="dxa"/>
          </w:tcPr>
          <w:p w14:paraId="77B92101" w14:textId="27951BE5" w:rsidR="00AF2440" w:rsidRPr="00EF37BA" w:rsidRDefault="00B31FEC" w:rsidP="003034EE">
            <w:pPr>
              <w:rPr>
                <w:rFonts w:cs="Times New Roman"/>
                <w:lang w:val="ro-RO"/>
              </w:rPr>
            </w:pPr>
            <w:r w:rsidRPr="0090532C">
              <w:rPr>
                <w:rFonts w:cs="Times New Roman"/>
                <w:lang w:val="ro-RO"/>
              </w:rPr>
              <w:t xml:space="preserve">Se transpune prin prezenta Hotărâre de Guvern </w:t>
            </w:r>
            <w:r w:rsidR="008011CF" w:rsidRPr="008011CF">
              <w:rPr>
                <w:rFonts w:cs="Times New Roman"/>
                <w:lang w:val="ro-RO"/>
              </w:rPr>
              <w:t xml:space="preserve">privind aprobarea Regulamentului cu privire la normele de verificare a biocarburanților, biolichidelor și combustibililor din biomasă, </w:t>
            </w:r>
            <w:r w:rsidR="008011CF" w:rsidRPr="008011CF">
              <w:rPr>
                <w:rFonts w:cs="Times New Roman"/>
                <w:lang w:val="ro-RO"/>
              </w:rPr>
              <w:lastRenderedPageBreak/>
              <w:t>precum și recunoașterea schemelor voluntare și modificarea unor acte normative</w:t>
            </w:r>
            <w:r w:rsidR="008011CF">
              <w:rPr>
                <w:rFonts w:cs="Times New Roman"/>
                <w:lang w:val="ro-RO"/>
              </w:rPr>
              <w:t xml:space="preserve"> </w:t>
            </w:r>
            <w:r w:rsidRPr="0090532C">
              <w:rPr>
                <w:rFonts w:cs="Times New Roman"/>
                <w:lang w:val="ro-RO"/>
              </w:rPr>
              <w:t>care urmează a fi aprobat de Guvern.</w:t>
            </w:r>
          </w:p>
        </w:tc>
      </w:tr>
      <w:tr w:rsidR="008139F1" w:rsidRPr="009D5F2A" w14:paraId="676B5022" w14:textId="77777777" w:rsidTr="00C01E4B">
        <w:tc>
          <w:tcPr>
            <w:tcW w:w="6455" w:type="dxa"/>
          </w:tcPr>
          <w:p w14:paraId="08E8C3FA" w14:textId="77777777" w:rsidR="00B6031F" w:rsidRPr="00B6031F" w:rsidRDefault="00B6031F" w:rsidP="00B6031F">
            <w:pPr>
              <w:jc w:val="center"/>
              <w:rPr>
                <w:b/>
                <w:bCs/>
                <w:i/>
                <w:iCs/>
                <w:lang w:val="ro-RO"/>
              </w:rPr>
            </w:pPr>
            <w:r w:rsidRPr="00B6031F">
              <w:rPr>
                <w:b/>
                <w:bCs/>
                <w:i/>
                <w:iCs/>
                <w:lang w:val="ro-RO"/>
              </w:rPr>
              <w:lastRenderedPageBreak/>
              <w:t>Articolul 1</w:t>
            </w:r>
          </w:p>
          <w:p w14:paraId="1E7EA2D3" w14:textId="66C8383F" w:rsidR="008139F1" w:rsidRPr="008139F1" w:rsidRDefault="00B6031F" w:rsidP="00614E78">
            <w:pPr>
              <w:jc w:val="both"/>
              <w:rPr>
                <w:lang w:val="ro-RO"/>
              </w:rPr>
            </w:pPr>
            <w:r w:rsidRPr="00B6031F">
              <w:rPr>
                <w:lang w:val="ro-RO"/>
              </w:rPr>
              <w:t>Prezentul regulament stabilește un prag minim pentru reducerea emisiilor de gaze cu efect de seră generate de combustibilii pe bază de carbon reciclat și specifică metodologia de calcul al reducerilor de emisii de gaze cu efect de seră generate de combustibilii lichizi și gazoși de origine nebiologică din surse regenerabile utilizați în transporturi și de combustibilii pe bază de carbon reciclat.</w:t>
            </w:r>
          </w:p>
        </w:tc>
        <w:tc>
          <w:tcPr>
            <w:tcW w:w="5609" w:type="dxa"/>
          </w:tcPr>
          <w:p w14:paraId="5367DF01" w14:textId="376F8D5A" w:rsidR="006A61F2" w:rsidRDefault="007677C5" w:rsidP="006A61F2">
            <w:pPr>
              <w:jc w:val="both"/>
              <w:rPr>
                <w:u w:val="single"/>
                <w:lang w:val="ro-RO"/>
              </w:rPr>
            </w:pPr>
            <w:r w:rsidRPr="00656BF0">
              <w:rPr>
                <w:u w:val="single"/>
                <w:lang w:val="ro-RO"/>
              </w:rPr>
              <w:t xml:space="preserve">Proiectul Hotărârii Guvernului privind </w:t>
            </w:r>
            <w:r w:rsidR="00E43249">
              <w:rPr>
                <w:u w:val="single"/>
                <w:lang w:val="ro-RO"/>
              </w:rPr>
              <w:t>aprobarea Regulamentului cu privire la normele de verificare a biocarburanților, biolichidelor și combustibililor din biomasă, precum și recunoașterea schemelor voluntare și modificarea unor acte normative</w:t>
            </w:r>
            <w:r w:rsidRPr="00656BF0">
              <w:rPr>
                <w:u w:val="single"/>
                <w:lang w:val="ro-RO"/>
              </w:rPr>
              <w:t>.</w:t>
            </w:r>
          </w:p>
          <w:p w14:paraId="53A49F97" w14:textId="77777777" w:rsidR="00816CDA" w:rsidRPr="00816CDA" w:rsidRDefault="00816CDA" w:rsidP="00816CDA">
            <w:pPr>
              <w:jc w:val="right"/>
              <w:rPr>
                <w:lang w:val="ro-RO"/>
              </w:rPr>
            </w:pPr>
            <w:r w:rsidRPr="00816CDA">
              <w:rPr>
                <w:lang w:val="ro-RO"/>
              </w:rPr>
              <w:t>Anexa nr. 3</w:t>
            </w:r>
          </w:p>
          <w:p w14:paraId="6D8B4D6D" w14:textId="77777777" w:rsidR="00816CDA" w:rsidRPr="00816CDA" w:rsidRDefault="00816CDA" w:rsidP="00816CDA">
            <w:pPr>
              <w:jc w:val="right"/>
              <w:rPr>
                <w:lang w:val="ro-RO"/>
              </w:rPr>
            </w:pPr>
            <w:r w:rsidRPr="00816CDA">
              <w:rPr>
                <w:lang w:val="ro-RO"/>
              </w:rPr>
              <w:t>la Hotărârea Guvernului nr. 53/2025</w:t>
            </w:r>
          </w:p>
          <w:p w14:paraId="0A7C8810" w14:textId="14264C2E" w:rsidR="00C50687" w:rsidRPr="00816CDA" w:rsidRDefault="00816CDA" w:rsidP="00816CDA">
            <w:pPr>
              <w:jc w:val="center"/>
              <w:rPr>
                <w:b/>
                <w:bCs/>
                <w:lang w:val="ro-RO"/>
              </w:rPr>
            </w:pPr>
            <w:r w:rsidRPr="00816CDA">
              <w:rPr>
                <w:b/>
                <w:bCs/>
                <w:lang w:val="ro-RO"/>
              </w:rPr>
              <w:t>METODOLOGIA DE DETERMINARE A REDUCERILOR DE EMISII DE GAZE CU EFECT DE SERĂ GENERATE DE COMBUSTIBILII LICHIZI ȘI GAZOȘI DE ORIGINE NEBIOLOGICĂ DIN SURSE REGENERABILE UTILIZAȚI ÎN TRANSPORTURI ȘI DE COMBUSTIBILII PE BAZĂ DE CARBON RECICLAT</w:t>
            </w:r>
          </w:p>
          <w:p w14:paraId="7B3949A6" w14:textId="35968F83" w:rsidR="008139F1" w:rsidRPr="00C50687" w:rsidRDefault="00C50687" w:rsidP="00E47480">
            <w:pPr>
              <w:jc w:val="both"/>
              <w:rPr>
                <w:lang w:val="pt-BR"/>
              </w:rPr>
            </w:pPr>
            <w:r w:rsidRPr="00C50687">
              <w:rPr>
                <w:lang w:val="pt-BR"/>
              </w:rPr>
              <w:t>Prezenta Metodologie transpune integral Regulamentul Delegat (UE) 2023/1185 al Comisiei din 10 februarie 2023 de completare a Directivei (UE) 2018/2001 a Parlamentului European și a Consiliului prin stabilirea unui prag minim pentru reducerea emisiilor de gaze cu efect de seră generate de combustibilii pe bază de carbon reciclat și prin specificarea unei metodologii de evaluare a reducerilor de emisii de gaze cu efect de seră obținute de la combustibilii lichizi și gazoși de origine nebiologică produși din surse regenerabile și utilizați în transporturi și de la combustibilii pe bază de carbon reciclat, publicat în Jurnalul Oficial al Uniunii Europene, seria L 157 din 20 iunie 2023 (CELEX: 32023R1185).</w:t>
            </w:r>
          </w:p>
        </w:tc>
        <w:tc>
          <w:tcPr>
            <w:tcW w:w="1620" w:type="dxa"/>
          </w:tcPr>
          <w:p w14:paraId="5FCB4CB4" w14:textId="744375CA" w:rsidR="008139F1" w:rsidRPr="00EF37BA" w:rsidRDefault="00473190" w:rsidP="00CE28DD">
            <w:pPr>
              <w:rPr>
                <w:rFonts w:cs="Times New Roman"/>
                <w:lang w:val="ro-RO"/>
              </w:rPr>
            </w:pPr>
            <w:r w:rsidRPr="00EF37BA">
              <w:rPr>
                <w:rFonts w:cs="Times New Roman"/>
                <w:lang w:val="ro-RO"/>
              </w:rPr>
              <w:t>Compatibil</w:t>
            </w:r>
          </w:p>
        </w:tc>
        <w:tc>
          <w:tcPr>
            <w:tcW w:w="1704" w:type="dxa"/>
          </w:tcPr>
          <w:p w14:paraId="154A88B5" w14:textId="77777777" w:rsidR="008139F1" w:rsidRPr="0090532C" w:rsidRDefault="008139F1" w:rsidP="003034EE">
            <w:pPr>
              <w:rPr>
                <w:rFonts w:cs="Times New Roman"/>
                <w:lang w:val="ro-RO"/>
              </w:rPr>
            </w:pPr>
          </w:p>
        </w:tc>
      </w:tr>
      <w:tr w:rsidR="008139F1" w:rsidRPr="001E7471" w14:paraId="64920CCB" w14:textId="77777777" w:rsidTr="00C01E4B">
        <w:tc>
          <w:tcPr>
            <w:tcW w:w="6455" w:type="dxa"/>
          </w:tcPr>
          <w:p w14:paraId="0448561E" w14:textId="77777777" w:rsidR="00742CC6" w:rsidRPr="00742CC6" w:rsidRDefault="00742CC6" w:rsidP="00742CC6">
            <w:pPr>
              <w:jc w:val="center"/>
              <w:rPr>
                <w:b/>
                <w:bCs/>
                <w:i/>
                <w:iCs/>
                <w:lang w:val="ro-RO"/>
              </w:rPr>
            </w:pPr>
            <w:r w:rsidRPr="00742CC6">
              <w:rPr>
                <w:b/>
                <w:bCs/>
                <w:i/>
                <w:iCs/>
                <w:lang w:val="ro-RO"/>
              </w:rPr>
              <w:t>Articolul 2</w:t>
            </w:r>
          </w:p>
          <w:p w14:paraId="2D6BD3CA" w14:textId="7882D0CF" w:rsidR="008139F1" w:rsidRPr="00614E78" w:rsidRDefault="00742CC6" w:rsidP="00742CC6">
            <w:pPr>
              <w:jc w:val="both"/>
              <w:rPr>
                <w:lang w:val="ro-RO"/>
              </w:rPr>
            </w:pPr>
            <w:r w:rsidRPr="00742CC6">
              <w:rPr>
                <w:lang w:val="ro-RO"/>
              </w:rPr>
              <w:lastRenderedPageBreak/>
              <w:t>Reducerea emisiilor de gaze cu efect de seră prin utilizarea combustibililor pe bază de carbon reciclat este de cel puțin 70 %.</w:t>
            </w:r>
          </w:p>
        </w:tc>
        <w:tc>
          <w:tcPr>
            <w:tcW w:w="5609" w:type="dxa"/>
          </w:tcPr>
          <w:p w14:paraId="1CA8B836" w14:textId="3E216B47" w:rsidR="008139F1" w:rsidRPr="0037225F" w:rsidRDefault="00ED1524" w:rsidP="00E47480">
            <w:pPr>
              <w:jc w:val="both"/>
              <w:rPr>
                <w:lang w:val="ro-RO"/>
              </w:rPr>
            </w:pPr>
            <w:r>
              <w:rPr>
                <w:lang w:val="ro-RO"/>
              </w:rPr>
              <w:lastRenderedPageBreak/>
              <w:t>-</w:t>
            </w:r>
          </w:p>
        </w:tc>
        <w:tc>
          <w:tcPr>
            <w:tcW w:w="1620" w:type="dxa"/>
          </w:tcPr>
          <w:p w14:paraId="0FAFC291" w14:textId="1AA02CC4" w:rsidR="008139F1" w:rsidRPr="00EF37BA" w:rsidRDefault="001E32EA" w:rsidP="00CE28DD">
            <w:pPr>
              <w:rPr>
                <w:rFonts w:cs="Times New Roman"/>
                <w:lang w:val="ro-RO"/>
              </w:rPr>
            </w:pPr>
            <w:r>
              <w:rPr>
                <w:rFonts w:cs="Times New Roman"/>
                <w:color w:val="000000" w:themeColor="text1"/>
                <w:lang w:val="ro-RO"/>
              </w:rPr>
              <w:t>Prevederi UE netranspuse</w:t>
            </w:r>
          </w:p>
        </w:tc>
        <w:tc>
          <w:tcPr>
            <w:tcW w:w="1704" w:type="dxa"/>
          </w:tcPr>
          <w:p w14:paraId="43C6DAEB" w14:textId="5738D112" w:rsidR="00A764DE" w:rsidRPr="00A764DE" w:rsidRDefault="00A764DE" w:rsidP="00A764DE">
            <w:pPr>
              <w:rPr>
                <w:rFonts w:cs="Times New Roman"/>
                <w:lang w:val="ro-RO"/>
              </w:rPr>
            </w:pPr>
            <w:r w:rsidRPr="00A764DE">
              <w:rPr>
                <w:rFonts w:cs="Times New Roman"/>
                <w:lang w:val="ro-RO"/>
              </w:rPr>
              <w:t xml:space="preserve">Urmează să fie stabilit prin </w:t>
            </w:r>
            <w:r w:rsidRPr="00A764DE">
              <w:rPr>
                <w:rFonts w:cs="Times New Roman"/>
                <w:lang w:val="ro-RO"/>
              </w:rPr>
              <w:lastRenderedPageBreak/>
              <w:t xml:space="preserve">transpunerea </w:t>
            </w:r>
            <w:r>
              <w:rPr>
                <w:rFonts w:cs="Times New Roman"/>
                <w:lang w:val="ro-RO"/>
              </w:rPr>
              <w:t>A</w:t>
            </w:r>
            <w:r w:rsidRPr="00A764DE">
              <w:rPr>
                <w:rFonts w:cs="Times New Roman"/>
                <w:lang w:val="ro-RO"/>
              </w:rPr>
              <w:t>rt</w:t>
            </w:r>
            <w:r>
              <w:rPr>
                <w:rFonts w:cs="Times New Roman"/>
                <w:lang w:val="ro-RO"/>
              </w:rPr>
              <w:t>.</w:t>
            </w:r>
            <w:r w:rsidRPr="00A764DE">
              <w:rPr>
                <w:rFonts w:cs="Times New Roman"/>
                <w:lang w:val="ro-RO"/>
              </w:rPr>
              <w:t xml:space="preserve"> 29a alin</w:t>
            </w:r>
            <w:r w:rsidR="003C084D">
              <w:rPr>
                <w:rFonts w:cs="Times New Roman"/>
                <w:lang w:val="ro-RO"/>
              </w:rPr>
              <w:t>.</w:t>
            </w:r>
            <w:r w:rsidRPr="00A764DE">
              <w:rPr>
                <w:rFonts w:cs="Times New Roman"/>
                <w:lang w:val="ro-RO"/>
              </w:rPr>
              <w:t xml:space="preserve"> (2) din </w:t>
            </w:r>
            <w:r w:rsidR="003C084D" w:rsidRPr="00614E78">
              <w:rPr>
                <w:lang w:val="ro-RO"/>
              </w:rPr>
              <w:t xml:space="preserve">Directivei (UE) 2018/2001 </w:t>
            </w:r>
            <w:r w:rsidRPr="00A764DE">
              <w:rPr>
                <w:rFonts w:cs="Times New Roman"/>
                <w:lang w:val="ro-RO"/>
              </w:rPr>
              <w:t>RED III.</w:t>
            </w:r>
          </w:p>
          <w:p w14:paraId="64C7EB12" w14:textId="54FADB98" w:rsidR="008139F1" w:rsidRPr="0090532C" w:rsidRDefault="00A764DE" w:rsidP="00A764DE">
            <w:pPr>
              <w:rPr>
                <w:rFonts w:cs="Times New Roman"/>
                <w:lang w:val="ro-RO"/>
              </w:rPr>
            </w:pPr>
            <w:r w:rsidRPr="00A764DE">
              <w:rPr>
                <w:rFonts w:cs="Times New Roman"/>
                <w:lang w:val="ro-RO"/>
              </w:rPr>
              <w:t xml:space="preserve">Secretariatul Comunității Energetice planifică adaptarea pragului minim de 70 % aplicat în Uniunea Europeană pentru Republica Moldova </w:t>
            </w:r>
            <w:r w:rsidR="005363AA">
              <w:rPr>
                <w:rFonts w:cs="Times New Roman"/>
                <w:lang w:val="ro-RO"/>
              </w:rPr>
              <w:t>până la sfârșitul anului</w:t>
            </w:r>
            <w:r w:rsidRPr="00A764DE">
              <w:rPr>
                <w:rFonts w:cs="Times New Roman"/>
                <w:lang w:val="ro-RO"/>
              </w:rPr>
              <w:t xml:space="preserve"> 2026.</w:t>
            </w:r>
          </w:p>
        </w:tc>
      </w:tr>
      <w:tr w:rsidR="008139F1" w:rsidRPr="00F41B20" w14:paraId="24F91713" w14:textId="77777777" w:rsidTr="00C01E4B">
        <w:tc>
          <w:tcPr>
            <w:tcW w:w="6455" w:type="dxa"/>
          </w:tcPr>
          <w:p w14:paraId="16A54B8E" w14:textId="77777777" w:rsidR="00742CC6" w:rsidRPr="00742CC6" w:rsidRDefault="00742CC6" w:rsidP="00742CC6">
            <w:pPr>
              <w:jc w:val="center"/>
              <w:rPr>
                <w:b/>
                <w:bCs/>
                <w:i/>
                <w:iCs/>
                <w:lang w:val="ro-RO"/>
              </w:rPr>
            </w:pPr>
            <w:r w:rsidRPr="00742CC6">
              <w:rPr>
                <w:b/>
                <w:bCs/>
                <w:i/>
                <w:iCs/>
                <w:lang w:val="ro-RO"/>
              </w:rPr>
              <w:lastRenderedPageBreak/>
              <w:t>Articolul 3</w:t>
            </w:r>
          </w:p>
          <w:p w14:paraId="6064AA14" w14:textId="793C34C5" w:rsidR="008139F1" w:rsidRPr="00614E78" w:rsidRDefault="00742CC6" w:rsidP="00742CC6">
            <w:pPr>
              <w:jc w:val="both"/>
              <w:rPr>
                <w:lang w:val="ro-RO"/>
              </w:rPr>
            </w:pPr>
            <w:r w:rsidRPr="00742CC6">
              <w:rPr>
                <w:lang w:val="ro-RO"/>
              </w:rPr>
              <w:t>Reducerile de emisii de gaze cu efect de seră generate de combustibilii lichizi și gazoși de origine nebiologică din surse regenerabile utilizați în transporturi și de combustibilii pe bază de carbon reciclat se determină în conformitate cu metodologia prevăzută în anexă.</w:t>
            </w:r>
          </w:p>
        </w:tc>
        <w:tc>
          <w:tcPr>
            <w:tcW w:w="5609" w:type="dxa"/>
          </w:tcPr>
          <w:p w14:paraId="1202696D" w14:textId="39F0B08A" w:rsidR="007677C5" w:rsidRDefault="007677C5" w:rsidP="007677C5">
            <w:pPr>
              <w:jc w:val="both"/>
              <w:rPr>
                <w:u w:val="single"/>
                <w:lang w:val="ro-RO"/>
              </w:rPr>
            </w:pPr>
            <w:r w:rsidRPr="00656BF0">
              <w:rPr>
                <w:u w:val="single"/>
                <w:lang w:val="ro-RO"/>
              </w:rPr>
              <w:t xml:space="preserve">Proiectul Hotărârii Guvernului privind </w:t>
            </w:r>
            <w:r w:rsidR="00E43249">
              <w:rPr>
                <w:u w:val="single"/>
                <w:lang w:val="ro-RO"/>
              </w:rPr>
              <w:t>aprobarea Regulamentului cu privire la normele de verificare a biocarburanților, biolichidelor și combustibililor din biomasă, precum și recunoașterea schemelor voluntare și modificarea unor acte normative</w:t>
            </w:r>
            <w:r w:rsidRPr="00656BF0">
              <w:rPr>
                <w:u w:val="single"/>
                <w:lang w:val="ro-RO"/>
              </w:rPr>
              <w:t>.</w:t>
            </w:r>
          </w:p>
          <w:p w14:paraId="15ED5643" w14:textId="027FA3D8" w:rsidR="008A2E57" w:rsidRDefault="008A2E57" w:rsidP="008A2E57">
            <w:pPr>
              <w:jc w:val="right"/>
              <w:rPr>
                <w:u w:val="single"/>
                <w:lang w:val="ro-RO"/>
              </w:rPr>
            </w:pPr>
          </w:p>
          <w:p w14:paraId="20EADE37" w14:textId="50F98225" w:rsidR="00AA0A01" w:rsidRPr="00AA0A01" w:rsidRDefault="00FA3181" w:rsidP="00AA0A01">
            <w:pPr>
              <w:jc w:val="both"/>
              <w:rPr>
                <w:lang w:val="ro-RO"/>
              </w:rPr>
            </w:pPr>
            <w:r>
              <w:rPr>
                <w:lang w:val="ro-RO"/>
              </w:rPr>
              <w:t>3.1.12</w:t>
            </w:r>
            <w:r w:rsidR="00AA0A01" w:rsidRPr="00AA0A01">
              <w:rPr>
                <w:lang w:val="ro-RO"/>
              </w:rPr>
              <w:t>.</w:t>
            </w:r>
            <w:r w:rsidR="00BE60E2">
              <w:rPr>
                <w:lang w:val="ro-RO"/>
              </w:rPr>
              <w:t xml:space="preserve"> </w:t>
            </w:r>
            <w:r w:rsidR="00BE60E2" w:rsidRPr="00BE60E2">
              <w:rPr>
                <w:lang w:val="ro-RO"/>
              </w:rPr>
              <w:t>după pct. 35 se completează cu trei subpuncte noi, cu următorul cuprins</w:t>
            </w:r>
            <w:r w:rsidR="00AA0A01" w:rsidRPr="00AA0A01">
              <w:rPr>
                <w:lang w:val="ro-RO"/>
              </w:rPr>
              <w:t>:</w:t>
            </w:r>
          </w:p>
          <w:p w14:paraId="10DD999C" w14:textId="3612E862" w:rsidR="00E87259" w:rsidRPr="000D0E51" w:rsidRDefault="000D0E51" w:rsidP="000D0E51">
            <w:pPr>
              <w:jc w:val="both"/>
              <w:rPr>
                <w:lang w:val="ro-RO"/>
              </w:rPr>
            </w:pPr>
            <w:r>
              <w:rPr>
                <w:lang w:val="ro-RO"/>
              </w:rPr>
              <w:t>„</w:t>
            </w:r>
            <w:r w:rsidR="00AA0A01" w:rsidRPr="00ED1D9C">
              <w:rPr>
                <w:b/>
                <w:bCs/>
                <w:lang w:val="ro-RO"/>
              </w:rPr>
              <w:t>35</w:t>
            </w:r>
            <w:r w:rsidR="00AA0A01" w:rsidRPr="00ED1D9C">
              <w:rPr>
                <w:b/>
                <w:bCs/>
                <w:vertAlign w:val="superscript"/>
                <w:lang w:val="ro-RO"/>
              </w:rPr>
              <w:t>1</w:t>
            </w:r>
            <w:r w:rsidR="00AA0A01" w:rsidRPr="00AA0A01">
              <w:rPr>
                <w:lang w:val="ro-RO"/>
              </w:rPr>
              <w:t xml:space="preserve">. În cazul în care </w:t>
            </w:r>
            <w:r w:rsidR="005246AF" w:rsidRPr="005246AF">
              <w:rPr>
                <w:lang w:val="ro-RO"/>
              </w:rPr>
              <w:t>organul central de specialitate al administrației publice în domeniul energeticii</w:t>
            </w:r>
            <w:r w:rsidR="00AA0A01" w:rsidRPr="00AA0A01">
              <w:rPr>
                <w:lang w:val="ro-RO"/>
              </w:rPr>
              <w:t xml:space="preserve"> instituie o schemă națională în temeiul art. 26</w:t>
            </w:r>
            <w:r w:rsidR="00AA0A01" w:rsidRPr="00703154">
              <w:rPr>
                <w:vertAlign w:val="superscript"/>
                <w:lang w:val="ro-RO"/>
              </w:rPr>
              <w:t>2</w:t>
            </w:r>
            <w:r w:rsidR="00AA0A01" w:rsidRPr="00AA0A01">
              <w:rPr>
                <w:lang w:val="ro-RO"/>
              </w:rPr>
              <w:t xml:space="preserve"> alin. (7) din Legea nr. 10/2016 privind promovarea utilizării energiei din surse regenerabile, respectarea criteriilor de durabilitate și de reducere a emisiilor de gaze cu efect de seră stabilite la pct. 15-24, </w:t>
            </w:r>
            <w:r w:rsidR="00AA0A01" w:rsidRPr="00F0673C">
              <w:rPr>
                <w:u w:val="single"/>
                <w:lang w:val="ro-RO"/>
              </w:rPr>
              <w:t>precum și a criteriilor de reducere a emisiilor de gaze cu efect de seră pentru combustibilii din surse regenerabile de origine nebiologică și pentru combustibilii pe bază de carbon reciclat, în conformitate cu metodologia din anexa nr. 3</w:t>
            </w:r>
            <w:r w:rsidR="00AA0A01" w:rsidRPr="00AA0A01">
              <w:rPr>
                <w:lang w:val="ro-RO"/>
              </w:rPr>
              <w:t xml:space="preserve"> la prezenta hotărâre, se verifică întregul lanț de custodie implicând autoritățile competente. Schema națională poate fi </w:t>
            </w:r>
            <w:r w:rsidR="00AA0A01" w:rsidRPr="00AA0A01">
              <w:rPr>
                <w:lang w:val="ro-RO"/>
              </w:rPr>
              <w:lastRenderedPageBreak/>
              <w:t>utilizată pentru a verifica exactitatea și caracterul complet al informațiilor introduse de operatorii economici în Registru de biocarburanți, pentru a demonstra respectarea pct. 35 din Regulamentului privind calculul consumului de energie din surse regenerabile aprobat prin Hotărârea Guvernului nr. 74/2025 cu privire la aprobarea Regulamentului privind calculul consumului de energie din surse regenerabile și pentru certificarea biocombustibililor, a biolichidelor și a combustibililor din biomasă care prezintă riscuri reduse din perspectiva schimbării indirecte a destinației terenurilor.</w:t>
            </w:r>
            <w:r>
              <w:rPr>
                <w:lang w:val="ro-RO"/>
              </w:rPr>
              <w:t>”</w:t>
            </w:r>
          </w:p>
        </w:tc>
        <w:tc>
          <w:tcPr>
            <w:tcW w:w="1620" w:type="dxa"/>
          </w:tcPr>
          <w:p w14:paraId="205AAF12" w14:textId="78F62A13" w:rsidR="008139F1" w:rsidRPr="00EF37BA" w:rsidRDefault="00473190" w:rsidP="00CE28DD">
            <w:pPr>
              <w:rPr>
                <w:rFonts w:cs="Times New Roman"/>
                <w:lang w:val="ro-RO"/>
              </w:rPr>
            </w:pPr>
            <w:r w:rsidRPr="00EF37BA">
              <w:rPr>
                <w:rFonts w:cs="Times New Roman"/>
                <w:lang w:val="ro-RO"/>
              </w:rPr>
              <w:lastRenderedPageBreak/>
              <w:t>Compatibil</w:t>
            </w:r>
          </w:p>
        </w:tc>
        <w:tc>
          <w:tcPr>
            <w:tcW w:w="1704" w:type="dxa"/>
          </w:tcPr>
          <w:p w14:paraId="51FAFE42" w14:textId="0D1792A2" w:rsidR="008139F1" w:rsidRPr="0090532C" w:rsidRDefault="008B60D1" w:rsidP="003034EE">
            <w:pPr>
              <w:rPr>
                <w:rFonts w:cs="Times New Roman"/>
                <w:lang w:val="ro-RO"/>
              </w:rPr>
            </w:pPr>
            <w:r>
              <w:rPr>
                <w:rFonts w:cs="Times New Roman"/>
                <w:lang w:val="ro-RO"/>
              </w:rPr>
              <w:t>Prevederile menționate sunt</w:t>
            </w:r>
            <w:r w:rsidR="002D2591">
              <w:rPr>
                <w:rFonts w:cs="Times New Roman"/>
                <w:lang w:val="ro-RO"/>
              </w:rPr>
              <w:t xml:space="preserve"> prevederi noi</w:t>
            </w:r>
            <w:r w:rsidR="00F8556B">
              <w:rPr>
                <w:rFonts w:cs="Times New Roman"/>
                <w:lang w:val="ro-RO"/>
              </w:rPr>
              <w:t xml:space="preserve"> propuse</w:t>
            </w:r>
            <w:r w:rsidR="002D2591">
              <w:rPr>
                <w:rFonts w:cs="Times New Roman"/>
                <w:lang w:val="ro-RO"/>
              </w:rPr>
              <w:t xml:space="preserve"> </w:t>
            </w:r>
            <w:r w:rsidR="00765B57">
              <w:rPr>
                <w:rFonts w:cs="Times New Roman"/>
                <w:lang w:val="ro-RO"/>
              </w:rPr>
              <w:t xml:space="preserve">la </w:t>
            </w:r>
            <w:r w:rsidR="00765B57" w:rsidRPr="0037225F">
              <w:rPr>
                <w:lang w:val="ro-RO"/>
              </w:rPr>
              <w:t>Hotărârea Guvernului nr. 53/2025</w:t>
            </w:r>
            <w:r w:rsidR="00765B57">
              <w:rPr>
                <w:lang w:val="ro-RO"/>
              </w:rPr>
              <w:t xml:space="preserve"> care</w:t>
            </w:r>
            <w:r w:rsidR="00765B57" w:rsidRPr="0037225F">
              <w:rPr>
                <w:lang w:val="ro-RO"/>
              </w:rPr>
              <w:t xml:space="preserve"> </w:t>
            </w:r>
            <w:r w:rsidR="002D2591">
              <w:rPr>
                <w:rFonts w:cs="Times New Roman"/>
                <w:lang w:val="ro-RO"/>
              </w:rPr>
              <w:t xml:space="preserve">urmează </w:t>
            </w:r>
            <w:r w:rsidR="00765B57">
              <w:rPr>
                <w:rFonts w:cs="Times New Roman"/>
                <w:lang w:val="ro-RO"/>
              </w:rPr>
              <w:t>să fie aprobate.</w:t>
            </w:r>
          </w:p>
        </w:tc>
      </w:tr>
      <w:tr w:rsidR="00B31FA1" w:rsidRPr="000737D1" w14:paraId="77FECC42" w14:textId="77777777" w:rsidTr="00C01E4B">
        <w:tc>
          <w:tcPr>
            <w:tcW w:w="6455" w:type="dxa"/>
          </w:tcPr>
          <w:p w14:paraId="1C3D5AE6" w14:textId="77777777" w:rsidR="00B31FA1" w:rsidRPr="00742CC6" w:rsidRDefault="00B31FA1" w:rsidP="00B31FA1">
            <w:pPr>
              <w:jc w:val="center"/>
              <w:rPr>
                <w:b/>
                <w:bCs/>
                <w:i/>
                <w:iCs/>
                <w:lang w:val="ro-RO"/>
              </w:rPr>
            </w:pPr>
            <w:r w:rsidRPr="00742CC6">
              <w:rPr>
                <w:b/>
                <w:bCs/>
                <w:i/>
                <w:iCs/>
                <w:lang w:val="ro-RO"/>
              </w:rPr>
              <w:t>Articolul 4</w:t>
            </w:r>
          </w:p>
          <w:p w14:paraId="78D4E126" w14:textId="77777777" w:rsidR="00B31FA1" w:rsidRPr="00742CC6" w:rsidRDefault="00B31FA1" w:rsidP="00B31FA1">
            <w:pPr>
              <w:jc w:val="both"/>
              <w:rPr>
                <w:lang w:val="ro-RO"/>
              </w:rPr>
            </w:pPr>
            <w:r w:rsidRPr="00742CC6">
              <w:rPr>
                <w:lang w:val="ro-RO"/>
              </w:rPr>
              <w:t>Prezentul regulament intră în vigoare în a douăzecea zi de la data publicării în </w:t>
            </w:r>
            <w:r w:rsidRPr="00742CC6">
              <w:rPr>
                <w:i/>
                <w:iCs/>
                <w:lang w:val="ro-RO"/>
              </w:rPr>
              <w:t>Jurnalul Oficial al Uniunii Europene</w:t>
            </w:r>
            <w:r w:rsidRPr="00742CC6">
              <w:rPr>
                <w:lang w:val="ro-RO"/>
              </w:rPr>
              <w:t>.</w:t>
            </w:r>
          </w:p>
          <w:p w14:paraId="51DB9CBF" w14:textId="02790D3C" w:rsidR="00B31FA1" w:rsidRPr="00614E78" w:rsidRDefault="00B31FA1" w:rsidP="00B31FA1">
            <w:pPr>
              <w:jc w:val="both"/>
              <w:rPr>
                <w:lang w:val="ro-RO"/>
              </w:rPr>
            </w:pPr>
            <w:r w:rsidRPr="00742CC6">
              <w:rPr>
                <w:lang w:val="ro-RO"/>
              </w:rPr>
              <w:t>Prezentul regulament este obligatoriu în toate elementele sale și se aplică direct în toate statele membre.</w:t>
            </w:r>
          </w:p>
        </w:tc>
        <w:tc>
          <w:tcPr>
            <w:tcW w:w="5609" w:type="dxa"/>
          </w:tcPr>
          <w:p w14:paraId="71191BC8" w14:textId="1B32473E" w:rsidR="00B31FA1" w:rsidRPr="0037225F" w:rsidRDefault="00B31FA1" w:rsidP="00B31FA1">
            <w:pPr>
              <w:jc w:val="both"/>
              <w:rPr>
                <w:lang w:val="ro-RO"/>
              </w:rPr>
            </w:pPr>
            <w:r>
              <w:rPr>
                <w:lang w:val="ro-RO"/>
              </w:rPr>
              <w:t>-</w:t>
            </w:r>
          </w:p>
        </w:tc>
        <w:tc>
          <w:tcPr>
            <w:tcW w:w="1620" w:type="dxa"/>
          </w:tcPr>
          <w:p w14:paraId="6B4BC409" w14:textId="154B33F0" w:rsidR="00B31FA1" w:rsidRPr="00EF37BA" w:rsidRDefault="00B31FA1" w:rsidP="00B31FA1">
            <w:pPr>
              <w:rPr>
                <w:rFonts w:cs="Times New Roman"/>
                <w:lang w:val="ro-RO"/>
              </w:rPr>
            </w:pPr>
            <w:r>
              <w:rPr>
                <w:rFonts w:cs="Times New Roman"/>
                <w:color w:val="000000" w:themeColor="text1"/>
                <w:lang w:val="ro-RO"/>
              </w:rPr>
              <w:t>Prevederi UE neaplicabile</w:t>
            </w:r>
          </w:p>
        </w:tc>
        <w:tc>
          <w:tcPr>
            <w:tcW w:w="1704" w:type="dxa"/>
          </w:tcPr>
          <w:p w14:paraId="54AC7B30" w14:textId="01144C1E" w:rsidR="00B31FA1" w:rsidRPr="0090532C" w:rsidRDefault="00B31FA1" w:rsidP="00B31FA1">
            <w:pPr>
              <w:rPr>
                <w:rFonts w:cs="Times New Roman"/>
                <w:lang w:val="ro-RO"/>
              </w:rPr>
            </w:pPr>
            <w:r w:rsidRPr="00EF37BA">
              <w:rPr>
                <w:rFonts w:cs="Times New Roman"/>
                <w:lang w:val="ro-RO"/>
              </w:rPr>
              <w:t>Irelevant pentru Republica Moldova</w:t>
            </w:r>
          </w:p>
        </w:tc>
      </w:tr>
      <w:tr w:rsidR="00B31FA1" w:rsidRPr="000737D1" w14:paraId="3D957D4A" w14:textId="77777777" w:rsidTr="00C01E4B">
        <w:tc>
          <w:tcPr>
            <w:tcW w:w="6455" w:type="dxa"/>
          </w:tcPr>
          <w:p w14:paraId="4D9D046B" w14:textId="77777777" w:rsidR="00B31FA1" w:rsidRPr="003A1EA4" w:rsidRDefault="00B31FA1" w:rsidP="00B31FA1">
            <w:pPr>
              <w:jc w:val="center"/>
              <w:rPr>
                <w:b/>
                <w:bCs/>
                <w:lang w:val="ro-RO"/>
              </w:rPr>
            </w:pPr>
            <w:r w:rsidRPr="003A1EA4">
              <w:rPr>
                <w:b/>
                <w:bCs/>
                <w:lang w:val="ro-RO"/>
              </w:rPr>
              <w:t>ANEXĂ</w:t>
            </w:r>
          </w:p>
          <w:p w14:paraId="1BBF5178" w14:textId="77777777" w:rsidR="00B31FA1" w:rsidRPr="003A1EA4" w:rsidRDefault="00B31FA1" w:rsidP="00B31FA1">
            <w:pPr>
              <w:jc w:val="center"/>
              <w:rPr>
                <w:b/>
                <w:bCs/>
                <w:lang w:val="ro-RO"/>
              </w:rPr>
            </w:pPr>
            <w:r w:rsidRPr="003A1EA4">
              <w:rPr>
                <w:b/>
                <w:bCs/>
                <w:lang w:val="ro-RO"/>
              </w:rPr>
              <w:t>Metodologia de determinare a reducerilor de emisii de gaze cu efect de seră generate de combustibilii lichizi și gazoși de origine nebiologică din surse regenerabile utilizați în transporturi și de combustibilii pe bază de carbon reciclat</w:t>
            </w:r>
          </w:p>
          <w:p w14:paraId="15A51ED8" w14:textId="77777777" w:rsidR="00B31FA1" w:rsidRPr="003A1EA4" w:rsidRDefault="00B31FA1" w:rsidP="00B31FA1">
            <w:pPr>
              <w:jc w:val="both"/>
              <w:rPr>
                <w:b/>
                <w:bCs/>
                <w:lang w:val="ro-RO"/>
              </w:rPr>
            </w:pPr>
            <w:r w:rsidRPr="003A1EA4">
              <w:rPr>
                <w:b/>
                <w:bCs/>
                <w:lang w:val="ro-RO"/>
              </w:rPr>
              <w:t>A.   METODOLOGIE</w:t>
            </w: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1E7471" w14:paraId="0C50D199" w14:textId="77777777">
              <w:tc>
                <w:tcPr>
                  <w:tcW w:w="0" w:type="auto"/>
                  <w:shd w:val="clear" w:color="auto" w:fill="FFFFFF"/>
                  <w:hideMark/>
                </w:tcPr>
                <w:p w14:paraId="7A9D0B6C" w14:textId="77777777" w:rsidR="00B31FA1" w:rsidRPr="003A1EA4" w:rsidRDefault="00B31FA1" w:rsidP="00B31FA1">
                  <w:pPr>
                    <w:jc w:val="both"/>
                    <w:rPr>
                      <w:b/>
                      <w:bCs/>
                      <w:lang w:val="ro-RO"/>
                    </w:rPr>
                  </w:pPr>
                </w:p>
              </w:tc>
              <w:tc>
                <w:tcPr>
                  <w:tcW w:w="0" w:type="auto"/>
                  <w:shd w:val="clear" w:color="auto" w:fill="FFFFFF"/>
                  <w:hideMark/>
                </w:tcPr>
                <w:p w14:paraId="75CC2EF5" w14:textId="77777777" w:rsidR="00B31FA1" w:rsidRPr="003A1EA4" w:rsidRDefault="00B31FA1" w:rsidP="00B31FA1">
                  <w:pPr>
                    <w:jc w:val="both"/>
                    <w:rPr>
                      <w:lang w:val="ro-RO"/>
                    </w:rPr>
                  </w:pPr>
                  <w:r w:rsidRPr="003A1EA4">
                    <w:rPr>
                      <w:lang w:val="ro-RO"/>
                    </w:rPr>
                    <w:t>1.</w:t>
                  </w:r>
                </w:p>
              </w:tc>
              <w:tc>
                <w:tcPr>
                  <w:tcW w:w="0" w:type="auto"/>
                  <w:shd w:val="clear" w:color="auto" w:fill="FFFFFF"/>
                  <w:hideMark/>
                </w:tcPr>
                <w:p w14:paraId="35326F9B" w14:textId="77777777" w:rsidR="00B31FA1" w:rsidRPr="003A1EA4" w:rsidRDefault="00B31FA1" w:rsidP="00B31FA1">
                  <w:pPr>
                    <w:jc w:val="both"/>
                    <w:rPr>
                      <w:lang w:val="ro-RO"/>
                    </w:rPr>
                  </w:pPr>
                  <w:r w:rsidRPr="003A1EA4">
                    <w:rPr>
                      <w:lang w:val="ro-RO"/>
                    </w:rPr>
                    <w:t>Emisiile de gaze cu efect de seră provenite din producția și utilizarea combustibililor lichizi și gazoși de origine nebiologică din surse regenerabile folosiți în transporturi sau a combustibililor pe bază de carbon reciclat se calculează după cum urmează:</w:t>
                  </w:r>
                </w:p>
                <w:p w14:paraId="6AF057DC" w14:textId="77777777" w:rsidR="00B31FA1" w:rsidRPr="003A1EA4" w:rsidRDefault="00B31FA1" w:rsidP="00B31FA1">
                  <w:pPr>
                    <w:jc w:val="both"/>
                    <w:rPr>
                      <w:lang w:val="ro-RO"/>
                    </w:rPr>
                  </w:pPr>
                  <w:r w:rsidRPr="003A1EA4">
                    <w:rPr>
                      <w:lang w:val="ro-RO"/>
                    </w:rPr>
                    <w:t>E = e </w:t>
                  </w:r>
                  <w:r w:rsidRPr="003A1EA4">
                    <w:rPr>
                      <w:vertAlign w:val="subscript"/>
                      <w:lang w:val="ro-RO"/>
                    </w:rPr>
                    <w:t>i</w:t>
                  </w:r>
                  <w:r w:rsidRPr="003A1EA4">
                    <w:rPr>
                      <w:lang w:val="ro-RO"/>
                    </w:rPr>
                    <w:t> + e </w:t>
                  </w:r>
                  <w:r w:rsidRPr="003A1EA4">
                    <w:rPr>
                      <w:vertAlign w:val="subscript"/>
                      <w:lang w:val="ro-RO"/>
                    </w:rPr>
                    <w:t>p</w:t>
                  </w:r>
                  <w:r w:rsidRPr="003A1EA4">
                    <w:rPr>
                      <w:lang w:val="ro-RO"/>
                    </w:rPr>
                    <w:t> + e </w:t>
                  </w:r>
                  <w:r w:rsidRPr="003A1EA4">
                    <w:rPr>
                      <w:vertAlign w:val="subscript"/>
                      <w:lang w:val="ro-RO"/>
                    </w:rPr>
                    <w:t>td</w:t>
                  </w:r>
                  <w:r w:rsidRPr="003A1EA4">
                    <w:rPr>
                      <w:lang w:val="ro-RO"/>
                    </w:rPr>
                    <w:t> + e </w:t>
                  </w:r>
                  <w:r w:rsidRPr="003A1EA4">
                    <w:rPr>
                      <w:vertAlign w:val="subscript"/>
                      <w:lang w:val="ro-RO"/>
                    </w:rPr>
                    <w:t>u</w:t>
                  </w:r>
                  <w:r w:rsidRPr="003A1EA4">
                    <w:rPr>
                      <w:lang w:val="ro-RO"/>
                    </w:rPr>
                    <w:t> – e </w:t>
                  </w:r>
                  <w:r w:rsidRPr="003A1EA4">
                    <w:rPr>
                      <w:vertAlign w:val="subscript"/>
                      <w:lang w:val="ro-RO"/>
                    </w:rPr>
                    <w:t>ccs</w:t>
                  </w:r>
                </w:p>
                <w:p w14:paraId="216788DC" w14:textId="77777777" w:rsidR="00B31FA1" w:rsidRPr="003A1EA4" w:rsidRDefault="00B31FA1" w:rsidP="00B31FA1">
                  <w:pPr>
                    <w:jc w:val="both"/>
                    <w:rPr>
                      <w:lang w:val="ro-RO"/>
                    </w:rPr>
                  </w:pPr>
                  <w:r w:rsidRPr="003A1EA4">
                    <w:rPr>
                      <w:lang w:val="ro-RO"/>
                    </w:rPr>
                    <w:t>unde:</w:t>
                  </w:r>
                </w:p>
                <w:tbl>
                  <w:tblPr>
                    <w:tblW w:w="5000" w:type="pct"/>
                    <w:tblCellMar>
                      <w:left w:w="0" w:type="dxa"/>
                      <w:right w:w="0" w:type="dxa"/>
                    </w:tblCellMar>
                    <w:tblLook w:val="04A0" w:firstRow="1" w:lastRow="0" w:firstColumn="1" w:lastColumn="0" w:noHBand="0" w:noVBand="1"/>
                  </w:tblPr>
                  <w:tblGrid>
                    <w:gridCol w:w="809"/>
                    <w:gridCol w:w="125"/>
                    <w:gridCol w:w="5074"/>
                  </w:tblGrid>
                  <w:tr w:rsidR="00B31FA1" w:rsidRPr="001E7471" w14:paraId="009AAAAE" w14:textId="77777777">
                    <w:tc>
                      <w:tcPr>
                        <w:tcW w:w="0" w:type="auto"/>
                        <w:hideMark/>
                      </w:tcPr>
                      <w:p w14:paraId="1BFA362B" w14:textId="77777777" w:rsidR="00B31FA1" w:rsidRPr="003A1EA4" w:rsidRDefault="00B31FA1" w:rsidP="00B31FA1">
                        <w:pPr>
                          <w:jc w:val="both"/>
                          <w:rPr>
                            <w:lang w:val="ro-RO"/>
                          </w:rPr>
                        </w:pPr>
                        <w:r w:rsidRPr="003A1EA4">
                          <w:rPr>
                            <w:lang w:val="ro-RO"/>
                          </w:rPr>
                          <w:t>E</w:t>
                        </w:r>
                      </w:p>
                    </w:tc>
                    <w:tc>
                      <w:tcPr>
                        <w:tcW w:w="0" w:type="auto"/>
                        <w:hideMark/>
                      </w:tcPr>
                      <w:p w14:paraId="68FCC5B8" w14:textId="77777777" w:rsidR="00B31FA1" w:rsidRPr="003A1EA4" w:rsidRDefault="00B31FA1" w:rsidP="00B31FA1">
                        <w:pPr>
                          <w:jc w:val="both"/>
                          <w:rPr>
                            <w:lang w:val="ro-RO"/>
                          </w:rPr>
                        </w:pPr>
                        <w:r w:rsidRPr="003A1EA4">
                          <w:rPr>
                            <w:lang w:val="ro-RO"/>
                          </w:rPr>
                          <w:t>=</w:t>
                        </w:r>
                      </w:p>
                    </w:tc>
                    <w:tc>
                      <w:tcPr>
                        <w:tcW w:w="0" w:type="auto"/>
                        <w:hideMark/>
                      </w:tcPr>
                      <w:p w14:paraId="443A033A" w14:textId="77777777" w:rsidR="00B31FA1" w:rsidRPr="003A1EA4" w:rsidRDefault="00B31FA1" w:rsidP="00B31FA1">
                        <w:pPr>
                          <w:jc w:val="both"/>
                          <w:rPr>
                            <w:lang w:val="ro-RO"/>
                          </w:rPr>
                        </w:pPr>
                        <w:r w:rsidRPr="003A1EA4">
                          <w:rPr>
                            <w:lang w:val="ro-RO"/>
                          </w:rPr>
                          <w:t>totalul emisiilor din utilizarea combustibilului (gCO</w:t>
                        </w:r>
                        <w:r w:rsidRPr="003A1EA4">
                          <w:rPr>
                            <w:vertAlign w:val="subscript"/>
                            <w:lang w:val="ro-RO"/>
                          </w:rPr>
                          <w:t>2</w:t>
                        </w:r>
                        <w:r w:rsidRPr="003A1EA4">
                          <w:rPr>
                            <w:lang w:val="ro-RO"/>
                          </w:rPr>
                          <w:t>eq/MJ combustibil – </w:t>
                        </w:r>
                        <w:r w:rsidRPr="003A1EA4">
                          <w:rPr>
                            <w:i/>
                            <w:iCs/>
                            <w:lang w:val="ro-RO"/>
                          </w:rPr>
                          <w:t>grame echivalent CO</w:t>
                        </w:r>
                        <w:r w:rsidRPr="003A1EA4">
                          <w:rPr>
                            <w:i/>
                            <w:iCs/>
                            <w:vertAlign w:val="subscript"/>
                            <w:lang w:val="ro-RO"/>
                          </w:rPr>
                          <w:t>2</w:t>
                        </w:r>
                        <w:r w:rsidRPr="003A1EA4">
                          <w:rPr>
                            <w:i/>
                            <w:iCs/>
                            <w:lang w:val="ro-RO"/>
                          </w:rPr>
                          <w:t>/MJ combustibil</w:t>
                        </w:r>
                        <w:r w:rsidRPr="003A1EA4">
                          <w:rPr>
                            <w:lang w:val="ro-RO"/>
                          </w:rPr>
                          <w:t>)</w:t>
                        </w:r>
                      </w:p>
                    </w:tc>
                  </w:tr>
                  <w:tr w:rsidR="00B31FA1" w:rsidRPr="001E7471" w14:paraId="6891774E" w14:textId="77777777">
                    <w:tc>
                      <w:tcPr>
                        <w:tcW w:w="0" w:type="auto"/>
                        <w:hideMark/>
                      </w:tcPr>
                      <w:p w14:paraId="48928A2F" w14:textId="77777777" w:rsidR="00B31FA1" w:rsidRPr="003A1EA4" w:rsidRDefault="00B31FA1" w:rsidP="00B31FA1">
                        <w:pPr>
                          <w:jc w:val="both"/>
                          <w:rPr>
                            <w:lang w:val="ro-RO"/>
                          </w:rPr>
                        </w:pPr>
                        <w:r w:rsidRPr="003A1EA4">
                          <w:rPr>
                            <w:lang w:val="ro-RO"/>
                          </w:rPr>
                          <w:t>e </w:t>
                        </w:r>
                        <w:r w:rsidRPr="003A1EA4">
                          <w:rPr>
                            <w:vertAlign w:val="subscript"/>
                            <w:lang w:val="ro-RO"/>
                          </w:rPr>
                          <w:t>i</w:t>
                        </w:r>
                      </w:p>
                    </w:tc>
                    <w:tc>
                      <w:tcPr>
                        <w:tcW w:w="0" w:type="auto"/>
                        <w:hideMark/>
                      </w:tcPr>
                      <w:p w14:paraId="38CC1706" w14:textId="77777777" w:rsidR="00B31FA1" w:rsidRPr="003A1EA4" w:rsidRDefault="00B31FA1" w:rsidP="00B31FA1">
                        <w:pPr>
                          <w:jc w:val="both"/>
                          <w:rPr>
                            <w:lang w:val="ro-RO"/>
                          </w:rPr>
                        </w:pPr>
                        <w:r w:rsidRPr="003A1EA4">
                          <w:rPr>
                            <w:lang w:val="ro-RO"/>
                          </w:rPr>
                          <w:t>=</w:t>
                        </w:r>
                      </w:p>
                    </w:tc>
                    <w:tc>
                      <w:tcPr>
                        <w:tcW w:w="0" w:type="auto"/>
                        <w:hideMark/>
                      </w:tcPr>
                      <w:p w14:paraId="089C2058" w14:textId="77777777" w:rsidR="00B31FA1" w:rsidRPr="003A1EA4" w:rsidRDefault="00B31FA1" w:rsidP="00B31FA1">
                        <w:pPr>
                          <w:jc w:val="both"/>
                          <w:rPr>
                            <w:lang w:val="ro-RO"/>
                          </w:rPr>
                        </w:pPr>
                        <w:r w:rsidRPr="003A1EA4">
                          <w:rPr>
                            <w:lang w:val="ro-RO"/>
                          </w:rPr>
                          <w:t>e </w:t>
                        </w:r>
                        <w:r w:rsidRPr="003A1EA4">
                          <w:rPr>
                            <w:vertAlign w:val="subscript"/>
                            <w:lang w:val="ro-RO"/>
                          </w:rPr>
                          <w:t>i</w:t>
                        </w:r>
                        <w:r w:rsidRPr="003A1EA4">
                          <w:rPr>
                            <w:lang w:val="ro-RO"/>
                          </w:rPr>
                          <w:t> elastic + e i rigid – e ex-uz: emisii din furnizarea intrărilor (gCO</w:t>
                        </w:r>
                        <w:r w:rsidRPr="003A1EA4">
                          <w:rPr>
                            <w:vertAlign w:val="subscript"/>
                            <w:lang w:val="ro-RO"/>
                          </w:rPr>
                          <w:t>2</w:t>
                        </w:r>
                        <w:r w:rsidRPr="003A1EA4">
                          <w:rPr>
                            <w:lang w:val="ro-RO"/>
                          </w:rPr>
                          <w:t>eq/MJ combustibil)</w:t>
                        </w:r>
                      </w:p>
                    </w:tc>
                  </w:tr>
                  <w:tr w:rsidR="00B31FA1" w:rsidRPr="001E7471" w14:paraId="307B32FE" w14:textId="77777777">
                    <w:tc>
                      <w:tcPr>
                        <w:tcW w:w="0" w:type="auto"/>
                        <w:hideMark/>
                      </w:tcPr>
                      <w:p w14:paraId="2F9AD30A" w14:textId="77777777" w:rsidR="00B31FA1" w:rsidRPr="003A1EA4" w:rsidRDefault="00B31FA1" w:rsidP="00B31FA1">
                        <w:pPr>
                          <w:jc w:val="both"/>
                          <w:rPr>
                            <w:lang w:val="ro-RO"/>
                          </w:rPr>
                        </w:pPr>
                        <w:r w:rsidRPr="003A1EA4">
                          <w:rPr>
                            <w:lang w:val="ro-RO"/>
                          </w:rPr>
                          <w:t>e </w:t>
                        </w:r>
                        <w:r w:rsidRPr="003A1EA4">
                          <w:rPr>
                            <w:vertAlign w:val="subscript"/>
                            <w:lang w:val="ro-RO"/>
                          </w:rPr>
                          <w:t>i</w:t>
                        </w:r>
                        <w:r w:rsidRPr="003A1EA4">
                          <w:rPr>
                            <w:lang w:val="ro-RO"/>
                          </w:rPr>
                          <w:t> elastic</w:t>
                        </w:r>
                      </w:p>
                    </w:tc>
                    <w:tc>
                      <w:tcPr>
                        <w:tcW w:w="0" w:type="auto"/>
                        <w:hideMark/>
                      </w:tcPr>
                      <w:p w14:paraId="619EE918" w14:textId="77777777" w:rsidR="00B31FA1" w:rsidRPr="003A1EA4" w:rsidRDefault="00B31FA1" w:rsidP="00B31FA1">
                        <w:pPr>
                          <w:jc w:val="both"/>
                          <w:rPr>
                            <w:lang w:val="ro-RO"/>
                          </w:rPr>
                        </w:pPr>
                        <w:r w:rsidRPr="003A1EA4">
                          <w:rPr>
                            <w:lang w:val="ro-RO"/>
                          </w:rPr>
                          <w:t>=</w:t>
                        </w:r>
                      </w:p>
                    </w:tc>
                    <w:tc>
                      <w:tcPr>
                        <w:tcW w:w="0" w:type="auto"/>
                        <w:hideMark/>
                      </w:tcPr>
                      <w:p w14:paraId="28611BFB" w14:textId="77777777" w:rsidR="00B31FA1" w:rsidRPr="003A1EA4" w:rsidRDefault="00B31FA1" w:rsidP="00B31FA1">
                        <w:pPr>
                          <w:jc w:val="both"/>
                          <w:rPr>
                            <w:lang w:val="ro-RO"/>
                          </w:rPr>
                        </w:pPr>
                        <w:r w:rsidRPr="003A1EA4">
                          <w:rPr>
                            <w:lang w:val="ro-RO"/>
                          </w:rPr>
                          <w:t>emisii din intrările elastice (gCO</w:t>
                        </w:r>
                        <w:r w:rsidRPr="003A1EA4">
                          <w:rPr>
                            <w:vertAlign w:val="subscript"/>
                            <w:lang w:val="ro-RO"/>
                          </w:rPr>
                          <w:t>2</w:t>
                        </w:r>
                        <w:r w:rsidRPr="003A1EA4">
                          <w:rPr>
                            <w:lang w:val="ro-RO"/>
                          </w:rPr>
                          <w:t>eq/MJ combustibil)</w:t>
                        </w:r>
                      </w:p>
                    </w:tc>
                  </w:tr>
                  <w:tr w:rsidR="00B31FA1" w:rsidRPr="001E7471" w14:paraId="0E4F3F57" w14:textId="77777777">
                    <w:tc>
                      <w:tcPr>
                        <w:tcW w:w="0" w:type="auto"/>
                        <w:hideMark/>
                      </w:tcPr>
                      <w:p w14:paraId="016006B4" w14:textId="77777777" w:rsidR="00B31FA1" w:rsidRPr="003A1EA4" w:rsidRDefault="00B31FA1" w:rsidP="00B31FA1">
                        <w:pPr>
                          <w:jc w:val="both"/>
                          <w:rPr>
                            <w:lang w:val="ro-RO"/>
                          </w:rPr>
                        </w:pPr>
                        <w:r w:rsidRPr="003A1EA4">
                          <w:rPr>
                            <w:lang w:val="ro-RO"/>
                          </w:rPr>
                          <w:t>e </w:t>
                        </w:r>
                        <w:r w:rsidRPr="003A1EA4">
                          <w:rPr>
                            <w:vertAlign w:val="subscript"/>
                            <w:lang w:val="ro-RO"/>
                          </w:rPr>
                          <w:t>i</w:t>
                        </w:r>
                        <w:r w:rsidRPr="003A1EA4">
                          <w:rPr>
                            <w:lang w:val="ro-RO"/>
                          </w:rPr>
                          <w:t> rigid</w:t>
                        </w:r>
                      </w:p>
                    </w:tc>
                    <w:tc>
                      <w:tcPr>
                        <w:tcW w:w="0" w:type="auto"/>
                        <w:hideMark/>
                      </w:tcPr>
                      <w:p w14:paraId="5BEDE55B" w14:textId="77777777" w:rsidR="00B31FA1" w:rsidRPr="003A1EA4" w:rsidRDefault="00B31FA1" w:rsidP="00B31FA1">
                        <w:pPr>
                          <w:jc w:val="both"/>
                          <w:rPr>
                            <w:lang w:val="ro-RO"/>
                          </w:rPr>
                        </w:pPr>
                        <w:r w:rsidRPr="003A1EA4">
                          <w:rPr>
                            <w:lang w:val="ro-RO"/>
                          </w:rPr>
                          <w:t>=</w:t>
                        </w:r>
                      </w:p>
                    </w:tc>
                    <w:tc>
                      <w:tcPr>
                        <w:tcW w:w="0" w:type="auto"/>
                        <w:hideMark/>
                      </w:tcPr>
                      <w:p w14:paraId="5084B637" w14:textId="77777777" w:rsidR="00B31FA1" w:rsidRPr="003A1EA4" w:rsidRDefault="00B31FA1" w:rsidP="00B31FA1">
                        <w:pPr>
                          <w:jc w:val="both"/>
                          <w:rPr>
                            <w:lang w:val="ro-RO"/>
                          </w:rPr>
                        </w:pPr>
                        <w:r w:rsidRPr="003A1EA4">
                          <w:rPr>
                            <w:lang w:val="ro-RO"/>
                          </w:rPr>
                          <w:t>emisii din intrări rigide (gCO</w:t>
                        </w:r>
                        <w:r w:rsidRPr="003A1EA4">
                          <w:rPr>
                            <w:vertAlign w:val="subscript"/>
                            <w:lang w:val="ro-RO"/>
                          </w:rPr>
                          <w:t>2</w:t>
                        </w:r>
                        <w:r w:rsidRPr="003A1EA4">
                          <w:rPr>
                            <w:lang w:val="ro-RO"/>
                          </w:rPr>
                          <w:t>eq/MJ combustibil)</w:t>
                        </w:r>
                      </w:p>
                    </w:tc>
                  </w:tr>
                  <w:tr w:rsidR="00B31FA1" w:rsidRPr="001E7471" w14:paraId="4AB19501" w14:textId="77777777">
                    <w:tc>
                      <w:tcPr>
                        <w:tcW w:w="0" w:type="auto"/>
                        <w:hideMark/>
                      </w:tcPr>
                      <w:p w14:paraId="113D9A8A" w14:textId="77777777" w:rsidR="00B31FA1" w:rsidRPr="003A1EA4" w:rsidRDefault="00B31FA1" w:rsidP="00B31FA1">
                        <w:pPr>
                          <w:jc w:val="both"/>
                          <w:rPr>
                            <w:lang w:val="ro-RO"/>
                          </w:rPr>
                        </w:pPr>
                        <w:r w:rsidRPr="003A1EA4">
                          <w:rPr>
                            <w:lang w:val="ro-RO"/>
                          </w:rPr>
                          <w:t>e ex-uz</w:t>
                        </w:r>
                      </w:p>
                    </w:tc>
                    <w:tc>
                      <w:tcPr>
                        <w:tcW w:w="0" w:type="auto"/>
                        <w:hideMark/>
                      </w:tcPr>
                      <w:p w14:paraId="035E60E0" w14:textId="77777777" w:rsidR="00B31FA1" w:rsidRPr="003A1EA4" w:rsidRDefault="00B31FA1" w:rsidP="00B31FA1">
                        <w:pPr>
                          <w:jc w:val="both"/>
                          <w:rPr>
                            <w:lang w:val="ro-RO"/>
                          </w:rPr>
                        </w:pPr>
                        <w:r w:rsidRPr="003A1EA4">
                          <w:rPr>
                            <w:lang w:val="ro-RO"/>
                          </w:rPr>
                          <w:t>=</w:t>
                        </w:r>
                      </w:p>
                    </w:tc>
                    <w:tc>
                      <w:tcPr>
                        <w:tcW w:w="0" w:type="auto"/>
                        <w:hideMark/>
                      </w:tcPr>
                      <w:p w14:paraId="56B72274" w14:textId="77777777" w:rsidR="00B31FA1" w:rsidRPr="003A1EA4" w:rsidRDefault="00B31FA1" w:rsidP="00B31FA1">
                        <w:pPr>
                          <w:jc w:val="both"/>
                          <w:rPr>
                            <w:lang w:val="ro-RO"/>
                          </w:rPr>
                        </w:pPr>
                        <w:r w:rsidRPr="003A1EA4">
                          <w:rPr>
                            <w:lang w:val="ro-RO"/>
                          </w:rPr>
                          <w:t>emisii din utilizarea sau din evoluția existentă a intrărilor (gCO</w:t>
                        </w:r>
                        <w:r w:rsidRPr="003A1EA4">
                          <w:rPr>
                            <w:vertAlign w:val="subscript"/>
                            <w:lang w:val="ro-RO"/>
                          </w:rPr>
                          <w:t>2</w:t>
                        </w:r>
                        <w:r w:rsidRPr="003A1EA4">
                          <w:rPr>
                            <w:lang w:val="ro-RO"/>
                          </w:rPr>
                          <w:t>eq/MJ combustibil)</w:t>
                        </w:r>
                      </w:p>
                    </w:tc>
                  </w:tr>
                  <w:tr w:rsidR="00B31FA1" w:rsidRPr="001E7471" w14:paraId="7D5CCDD1" w14:textId="77777777">
                    <w:tc>
                      <w:tcPr>
                        <w:tcW w:w="0" w:type="auto"/>
                        <w:hideMark/>
                      </w:tcPr>
                      <w:p w14:paraId="19AE318A" w14:textId="77777777" w:rsidR="00B31FA1" w:rsidRPr="003A1EA4" w:rsidRDefault="00B31FA1" w:rsidP="00B31FA1">
                        <w:pPr>
                          <w:jc w:val="both"/>
                          <w:rPr>
                            <w:lang w:val="ro-RO"/>
                          </w:rPr>
                        </w:pPr>
                        <w:r w:rsidRPr="003A1EA4">
                          <w:rPr>
                            <w:lang w:val="ro-RO"/>
                          </w:rPr>
                          <w:t>e </w:t>
                        </w:r>
                        <w:r w:rsidRPr="003A1EA4">
                          <w:rPr>
                            <w:vertAlign w:val="subscript"/>
                            <w:lang w:val="ro-RO"/>
                          </w:rPr>
                          <w:t>p</w:t>
                        </w:r>
                      </w:p>
                    </w:tc>
                    <w:tc>
                      <w:tcPr>
                        <w:tcW w:w="0" w:type="auto"/>
                        <w:hideMark/>
                      </w:tcPr>
                      <w:p w14:paraId="4AAF3D5E" w14:textId="77777777" w:rsidR="00B31FA1" w:rsidRPr="003A1EA4" w:rsidRDefault="00B31FA1" w:rsidP="00B31FA1">
                        <w:pPr>
                          <w:jc w:val="both"/>
                          <w:rPr>
                            <w:lang w:val="ro-RO"/>
                          </w:rPr>
                        </w:pPr>
                        <w:r w:rsidRPr="003A1EA4">
                          <w:rPr>
                            <w:lang w:val="ro-RO"/>
                          </w:rPr>
                          <w:t>=</w:t>
                        </w:r>
                      </w:p>
                    </w:tc>
                    <w:tc>
                      <w:tcPr>
                        <w:tcW w:w="0" w:type="auto"/>
                        <w:hideMark/>
                      </w:tcPr>
                      <w:p w14:paraId="3FD22EDE" w14:textId="77777777" w:rsidR="00B31FA1" w:rsidRPr="003A1EA4" w:rsidRDefault="00B31FA1" w:rsidP="00B31FA1">
                        <w:pPr>
                          <w:jc w:val="both"/>
                          <w:rPr>
                            <w:lang w:val="ro-RO"/>
                          </w:rPr>
                        </w:pPr>
                        <w:r w:rsidRPr="003A1EA4">
                          <w:rPr>
                            <w:lang w:val="ro-RO"/>
                          </w:rPr>
                          <w:t>emisii din prelucrare (gCO</w:t>
                        </w:r>
                        <w:r w:rsidRPr="003A1EA4">
                          <w:rPr>
                            <w:vertAlign w:val="subscript"/>
                            <w:lang w:val="ro-RO"/>
                          </w:rPr>
                          <w:t>2</w:t>
                        </w:r>
                        <w:r w:rsidRPr="003A1EA4">
                          <w:rPr>
                            <w:lang w:val="ro-RO"/>
                          </w:rPr>
                          <w:t>eq/MJ combustibil)</w:t>
                        </w:r>
                      </w:p>
                    </w:tc>
                  </w:tr>
                  <w:tr w:rsidR="00B31FA1" w:rsidRPr="001E7471" w14:paraId="791A7DBE" w14:textId="77777777">
                    <w:tc>
                      <w:tcPr>
                        <w:tcW w:w="0" w:type="auto"/>
                        <w:hideMark/>
                      </w:tcPr>
                      <w:p w14:paraId="6C50BC97" w14:textId="77777777" w:rsidR="00B31FA1" w:rsidRPr="003A1EA4" w:rsidRDefault="00B31FA1" w:rsidP="00B31FA1">
                        <w:pPr>
                          <w:jc w:val="both"/>
                          <w:rPr>
                            <w:lang w:val="ro-RO"/>
                          </w:rPr>
                        </w:pPr>
                        <w:r w:rsidRPr="003A1EA4">
                          <w:rPr>
                            <w:lang w:val="ro-RO"/>
                          </w:rPr>
                          <w:t>e </w:t>
                        </w:r>
                        <w:r w:rsidRPr="003A1EA4">
                          <w:rPr>
                            <w:vertAlign w:val="subscript"/>
                            <w:lang w:val="ro-RO"/>
                          </w:rPr>
                          <w:t>td</w:t>
                        </w:r>
                      </w:p>
                    </w:tc>
                    <w:tc>
                      <w:tcPr>
                        <w:tcW w:w="0" w:type="auto"/>
                        <w:hideMark/>
                      </w:tcPr>
                      <w:p w14:paraId="705FDBD2" w14:textId="77777777" w:rsidR="00B31FA1" w:rsidRPr="003A1EA4" w:rsidRDefault="00B31FA1" w:rsidP="00B31FA1">
                        <w:pPr>
                          <w:jc w:val="both"/>
                          <w:rPr>
                            <w:lang w:val="ro-RO"/>
                          </w:rPr>
                        </w:pPr>
                        <w:r w:rsidRPr="003A1EA4">
                          <w:rPr>
                            <w:lang w:val="ro-RO"/>
                          </w:rPr>
                          <w:t>=</w:t>
                        </w:r>
                      </w:p>
                    </w:tc>
                    <w:tc>
                      <w:tcPr>
                        <w:tcW w:w="0" w:type="auto"/>
                        <w:hideMark/>
                      </w:tcPr>
                      <w:p w14:paraId="288107F1" w14:textId="77777777" w:rsidR="00B31FA1" w:rsidRPr="003A1EA4" w:rsidRDefault="00B31FA1" w:rsidP="00B31FA1">
                        <w:pPr>
                          <w:jc w:val="both"/>
                          <w:rPr>
                            <w:lang w:val="ro-RO"/>
                          </w:rPr>
                        </w:pPr>
                        <w:r w:rsidRPr="003A1EA4">
                          <w:rPr>
                            <w:lang w:val="ro-RO"/>
                          </w:rPr>
                          <w:t>emisii din transport și distribuție (gCO</w:t>
                        </w:r>
                        <w:r w:rsidRPr="003A1EA4">
                          <w:rPr>
                            <w:vertAlign w:val="subscript"/>
                            <w:lang w:val="ro-RO"/>
                          </w:rPr>
                          <w:t>2</w:t>
                        </w:r>
                        <w:r w:rsidRPr="003A1EA4">
                          <w:rPr>
                            <w:lang w:val="ro-RO"/>
                          </w:rPr>
                          <w:t>eq/MJ combustibil)</w:t>
                        </w:r>
                      </w:p>
                    </w:tc>
                  </w:tr>
                  <w:tr w:rsidR="00B31FA1" w:rsidRPr="001E7471" w14:paraId="6CFAD575" w14:textId="77777777">
                    <w:tc>
                      <w:tcPr>
                        <w:tcW w:w="0" w:type="auto"/>
                        <w:hideMark/>
                      </w:tcPr>
                      <w:p w14:paraId="0856D006" w14:textId="77777777" w:rsidR="00B31FA1" w:rsidRPr="003A1EA4" w:rsidRDefault="00B31FA1" w:rsidP="00B31FA1">
                        <w:pPr>
                          <w:jc w:val="both"/>
                          <w:rPr>
                            <w:lang w:val="ro-RO"/>
                          </w:rPr>
                        </w:pPr>
                        <w:r w:rsidRPr="003A1EA4">
                          <w:rPr>
                            <w:lang w:val="ro-RO"/>
                          </w:rPr>
                          <w:lastRenderedPageBreak/>
                          <w:t>e </w:t>
                        </w:r>
                        <w:r w:rsidRPr="003A1EA4">
                          <w:rPr>
                            <w:vertAlign w:val="subscript"/>
                            <w:lang w:val="ro-RO"/>
                          </w:rPr>
                          <w:t>u</w:t>
                        </w:r>
                      </w:p>
                    </w:tc>
                    <w:tc>
                      <w:tcPr>
                        <w:tcW w:w="0" w:type="auto"/>
                        <w:hideMark/>
                      </w:tcPr>
                      <w:p w14:paraId="05771C2C" w14:textId="77777777" w:rsidR="00B31FA1" w:rsidRPr="003A1EA4" w:rsidRDefault="00B31FA1" w:rsidP="00B31FA1">
                        <w:pPr>
                          <w:jc w:val="both"/>
                          <w:rPr>
                            <w:lang w:val="ro-RO"/>
                          </w:rPr>
                        </w:pPr>
                        <w:r w:rsidRPr="003A1EA4">
                          <w:rPr>
                            <w:lang w:val="ro-RO"/>
                          </w:rPr>
                          <w:t>=</w:t>
                        </w:r>
                      </w:p>
                    </w:tc>
                    <w:tc>
                      <w:tcPr>
                        <w:tcW w:w="0" w:type="auto"/>
                        <w:hideMark/>
                      </w:tcPr>
                      <w:p w14:paraId="45807AFB" w14:textId="77777777" w:rsidR="00B31FA1" w:rsidRPr="003A1EA4" w:rsidRDefault="00B31FA1" w:rsidP="00B31FA1">
                        <w:pPr>
                          <w:jc w:val="both"/>
                          <w:rPr>
                            <w:lang w:val="ro-RO"/>
                          </w:rPr>
                        </w:pPr>
                        <w:r w:rsidRPr="003A1EA4">
                          <w:rPr>
                            <w:lang w:val="ro-RO"/>
                          </w:rPr>
                          <w:t>emisii din arderea combustibilului în utilizarea sa finală (gCO</w:t>
                        </w:r>
                        <w:r w:rsidRPr="003A1EA4">
                          <w:rPr>
                            <w:vertAlign w:val="subscript"/>
                            <w:lang w:val="ro-RO"/>
                          </w:rPr>
                          <w:t>2</w:t>
                        </w:r>
                        <w:r w:rsidRPr="003A1EA4">
                          <w:rPr>
                            <w:lang w:val="ro-RO"/>
                          </w:rPr>
                          <w:t>eq/MJ combustibil)</w:t>
                        </w:r>
                      </w:p>
                    </w:tc>
                  </w:tr>
                  <w:tr w:rsidR="00B31FA1" w:rsidRPr="001E7471" w14:paraId="00025DB9" w14:textId="77777777">
                    <w:tc>
                      <w:tcPr>
                        <w:tcW w:w="0" w:type="auto"/>
                        <w:hideMark/>
                      </w:tcPr>
                      <w:p w14:paraId="6DDBE762" w14:textId="77777777" w:rsidR="00B31FA1" w:rsidRPr="003A1EA4" w:rsidRDefault="00B31FA1" w:rsidP="00B31FA1">
                        <w:pPr>
                          <w:jc w:val="both"/>
                          <w:rPr>
                            <w:lang w:val="ro-RO"/>
                          </w:rPr>
                        </w:pPr>
                        <w:r w:rsidRPr="003A1EA4">
                          <w:rPr>
                            <w:lang w:val="ro-RO"/>
                          </w:rPr>
                          <w:t>e </w:t>
                        </w:r>
                        <w:r w:rsidRPr="003A1EA4">
                          <w:rPr>
                            <w:vertAlign w:val="subscript"/>
                            <w:lang w:val="ro-RO"/>
                          </w:rPr>
                          <w:t>ccs</w:t>
                        </w:r>
                      </w:p>
                    </w:tc>
                    <w:tc>
                      <w:tcPr>
                        <w:tcW w:w="0" w:type="auto"/>
                        <w:hideMark/>
                      </w:tcPr>
                      <w:p w14:paraId="28487A70" w14:textId="77777777" w:rsidR="00B31FA1" w:rsidRPr="003A1EA4" w:rsidRDefault="00B31FA1" w:rsidP="00B31FA1">
                        <w:pPr>
                          <w:jc w:val="both"/>
                          <w:rPr>
                            <w:lang w:val="ro-RO"/>
                          </w:rPr>
                        </w:pPr>
                        <w:r w:rsidRPr="003A1EA4">
                          <w:rPr>
                            <w:lang w:val="ro-RO"/>
                          </w:rPr>
                          <w:t>=</w:t>
                        </w:r>
                      </w:p>
                    </w:tc>
                    <w:tc>
                      <w:tcPr>
                        <w:tcW w:w="0" w:type="auto"/>
                        <w:hideMark/>
                      </w:tcPr>
                      <w:p w14:paraId="7F8DDA73" w14:textId="77777777" w:rsidR="00B31FA1" w:rsidRPr="003A1EA4" w:rsidRDefault="00B31FA1" w:rsidP="00B31FA1">
                        <w:pPr>
                          <w:jc w:val="both"/>
                          <w:rPr>
                            <w:lang w:val="ro-RO"/>
                          </w:rPr>
                        </w:pPr>
                        <w:r w:rsidRPr="003A1EA4">
                          <w:rPr>
                            <w:lang w:val="ro-RO"/>
                          </w:rPr>
                          <w:t>reduceri de emisii din captarea carbonului și din stocarea geologică a acestuia (gCO</w:t>
                        </w:r>
                        <w:r w:rsidRPr="003A1EA4">
                          <w:rPr>
                            <w:vertAlign w:val="subscript"/>
                            <w:lang w:val="ro-RO"/>
                          </w:rPr>
                          <w:t>2</w:t>
                        </w:r>
                        <w:r w:rsidRPr="003A1EA4">
                          <w:rPr>
                            <w:lang w:val="ro-RO"/>
                          </w:rPr>
                          <w:t>eq/MJ combustibil)</w:t>
                        </w:r>
                      </w:p>
                    </w:tc>
                  </w:tr>
                </w:tbl>
                <w:p w14:paraId="75D24411" w14:textId="77777777" w:rsidR="00B31FA1" w:rsidRPr="003A1EA4" w:rsidRDefault="00B31FA1" w:rsidP="00B31FA1">
                  <w:pPr>
                    <w:jc w:val="both"/>
                    <w:rPr>
                      <w:lang w:val="ro-RO"/>
                    </w:rPr>
                  </w:pPr>
                  <w:r w:rsidRPr="003A1EA4">
                    <w:rPr>
                      <w:lang w:val="ro-RO"/>
                    </w:rPr>
                    <w:t>Emisiile rezultate din producția de mașini și echipamente nu se iau în considerare.</w:t>
                  </w:r>
                </w:p>
                <w:p w14:paraId="1E8A336B" w14:textId="77777777" w:rsidR="00B31FA1" w:rsidRPr="003A1EA4" w:rsidRDefault="00B31FA1" w:rsidP="00B31FA1">
                  <w:pPr>
                    <w:jc w:val="both"/>
                    <w:rPr>
                      <w:lang w:val="ro-RO"/>
                    </w:rPr>
                  </w:pPr>
                  <w:r w:rsidRPr="003A1EA4">
                    <w:rPr>
                      <w:lang w:val="ro-RO"/>
                    </w:rPr>
                    <w:t>Intensitatea emisiilor de gaze cu efect de seră generate de combustibilii lichizi și gazoși de origine nebiologică din surse regenerabile utilizați în transporturi sau de combustibilii pe bază de carbon reciclat se determină prin împărțirea emisiilor totale ale procesului care acoperă fiecare element al formulei la cantitatea totală de combustibil rezultată din proces și se exprimă în grame de echivalent CO</w:t>
                  </w:r>
                  <w:r w:rsidRPr="003A1EA4">
                    <w:rPr>
                      <w:vertAlign w:val="subscript"/>
                      <w:lang w:val="ro-RO"/>
                    </w:rPr>
                    <w:t>2</w:t>
                  </w:r>
                  <w:r w:rsidRPr="003A1EA4">
                    <w:rPr>
                      <w:lang w:val="ro-RO"/>
                    </w:rPr>
                    <w:t> per MJ de combustibil (gCO</w:t>
                  </w:r>
                  <w:r w:rsidRPr="003A1EA4">
                    <w:rPr>
                      <w:vertAlign w:val="subscript"/>
                      <w:lang w:val="ro-RO"/>
                    </w:rPr>
                    <w:t>2</w:t>
                  </w:r>
                  <w:r w:rsidRPr="003A1EA4">
                    <w:rPr>
                      <w:lang w:val="ro-RO"/>
                    </w:rPr>
                    <w:t>eq/MJ combustibil). Dacă un combustibil este un amestec de combustibili lichizi și gazoși de origine nebiologică din surse regenerabile utilizați în transporturi, combustibilii pe bază de carbon reciclat și alți combustibili sunt considerați ca având aceeași intensitate a emisiilor.</w:t>
                  </w:r>
                </w:p>
                <w:p w14:paraId="36E35F39" w14:textId="77777777" w:rsidR="00B31FA1" w:rsidRPr="003A1EA4" w:rsidRDefault="00B31FA1" w:rsidP="00B31FA1">
                  <w:pPr>
                    <w:jc w:val="both"/>
                    <w:rPr>
                      <w:lang w:val="ro-RO"/>
                    </w:rPr>
                  </w:pPr>
                  <w:r w:rsidRPr="003A1EA4">
                    <w:rPr>
                      <w:lang w:val="ro-RO"/>
                    </w:rPr>
                    <w:t>Excepția de la această regulă este cazul coprelucrării, în care combustibilii lichizi și gazoși de origine nebiologică din surse regenerabile utilizați în transporturi și combustibilii pe bază de carbon reciclat înlocuiesc doar parțial un factor de producție convențional într-un proces.</w:t>
                  </w:r>
                </w:p>
                <w:p w14:paraId="4BC8CEE5" w14:textId="77777777" w:rsidR="00B31FA1" w:rsidRPr="003A1EA4" w:rsidRDefault="00B31FA1" w:rsidP="00B31FA1">
                  <w:pPr>
                    <w:jc w:val="both"/>
                    <w:rPr>
                      <w:lang w:val="ro-RO"/>
                    </w:rPr>
                  </w:pPr>
                  <w:r w:rsidRPr="003A1EA4">
                    <w:rPr>
                      <w:lang w:val="ro-RO"/>
                    </w:rPr>
                    <w:t>Într-o astfel de situație, în calculul intensității emisiilor de gaze cu efect de seră se face o distincție proporțională cu valoarea energetică a intrărilor între:</w:t>
                  </w:r>
                </w:p>
                <w:tbl>
                  <w:tblPr>
                    <w:tblW w:w="5000" w:type="pct"/>
                    <w:tblCellMar>
                      <w:left w:w="0" w:type="dxa"/>
                      <w:right w:w="0" w:type="dxa"/>
                    </w:tblCellMar>
                    <w:tblLook w:val="04A0" w:firstRow="1" w:lastRow="0" w:firstColumn="1" w:lastColumn="0" w:noHBand="0" w:noVBand="1"/>
                  </w:tblPr>
                  <w:tblGrid>
                    <w:gridCol w:w="233"/>
                    <w:gridCol w:w="5775"/>
                  </w:tblGrid>
                  <w:tr w:rsidR="00B31FA1" w:rsidRPr="001E7471" w14:paraId="71500E9F" w14:textId="77777777">
                    <w:tc>
                      <w:tcPr>
                        <w:tcW w:w="0" w:type="auto"/>
                        <w:hideMark/>
                      </w:tcPr>
                      <w:p w14:paraId="71B60214" w14:textId="77777777" w:rsidR="00B31FA1" w:rsidRPr="003A1EA4" w:rsidRDefault="00B31FA1" w:rsidP="00B31FA1">
                        <w:pPr>
                          <w:jc w:val="both"/>
                          <w:rPr>
                            <w:lang w:val="ro-RO"/>
                          </w:rPr>
                        </w:pPr>
                        <w:r w:rsidRPr="003A1EA4">
                          <w:rPr>
                            <w:lang w:val="ro-RO"/>
                          </w:rPr>
                          <w:t>—</w:t>
                        </w:r>
                      </w:p>
                    </w:tc>
                    <w:tc>
                      <w:tcPr>
                        <w:tcW w:w="0" w:type="auto"/>
                        <w:hideMark/>
                      </w:tcPr>
                      <w:p w14:paraId="6E7A9FC4" w14:textId="77777777" w:rsidR="00B31FA1" w:rsidRPr="003A1EA4" w:rsidRDefault="00B31FA1" w:rsidP="00B31FA1">
                        <w:pPr>
                          <w:jc w:val="both"/>
                          <w:rPr>
                            <w:lang w:val="ro-RO"/>
                          </w:rPr>
                        </w:pPr>
                        <w:r w:rsidRPr="003A1EA4">
                          <w:rPr>
                            <w:lang w:val="ro-RO"/>
                          </w:rPr>
                          <w:t>partea din proces care se bazează pe intrarea convențională; și</w:t>
                        </w:r>
                      </w:p>
                    </w:tc>
                  </w:tr>
                </w:tbl>
                <w:p w14:paraId="274DE3AC"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20"/>
                    <w:gridCol w:w="5788"/>
                  </w:tblGrid>
                  <w:tr w:rsidR="00B31FA1" w:rsidRPr="001E7471" w14:paraId="3D4CDE6F" w14:textId="77777777">
                    <w:tc>
                      <w:tcPr>
                        <w:tcW w:w="0" w:type="auto"/>
                        <w:hideMark/>
                      </w:tcPr>
                      <w:p w14:paraId="72240556" w14:textId="77777777" w:rsidR="00B31FA1" w:rsidRPr="003A1EA4" w:rsidRDefault="00B31FA1" w:rsidP="00B31FA1">
                        <w:pPr>
                          <w:jc w:val="both"/>
                          <w:rPr>
                            <w:lang w:val="ro-RO"/>
                          </w:rPr>
                        </w:pPr>
                        <w:r w:rsidRPr="003A1EA4">
                          <w:rPr>
                            <w:lang w:val="ro-RO"/>
                          </w:rPr>
                          <w:t>—</w:t>
                        </w:r>
                      </w:p>
                    </w:tc>
                    <w:tc>
                      <w:tcPr>
                        <w:tcW w:w="0" w:type="auto"/>
                        <w:hideMark/>
                      </w:tcPr>
                      <w:p w14:paraId="6AEDBBDC" w14:textId="77777777" w:rsidR="00B31FA1" w:rsidRPr="003A1EA4" w:rsidRDefault="00B31FA1" w:rsidP="00B31FA1">
                        <w:pPr>
                          <w:jc w:val="both"/>
                          <w:rPr>
                            <w:lang w:val="ro-RO"/>
                          </w:rPr>
                        </w:pPr>
                        <w:r w:rsidRPr="003A1EA4">
                          <w:rPr>
                            <w:lang w:val="ro-RO"/>
                          </w:rPr>
                          <w:t>partea din proces care se bazează pe combustibilii lichizi și gazoși de origine nebiologică din surse regenerabile utilizați în transporturi și pe combustibilii pe bază de carbon reciclat, presupunând că altfel părțile procesului sunt identice.</w:t>
                        </w:r>
                      </w:p>
                    </w:tc>
                  </w:tr>
                </w:tbl>
                <w:p w14:paraId="48FE1760" w14:textId="77777777" w:rsidR="00B31FA1" w:rsidRPr="003A1EA4" w:rsidRDefault="00B31FA1" w:rsidP="00B31FA1">
                  <w:pPr>
                    <w:jc w:val="both"/>
                    <w:rPr>
                      <w:lang w:val="ro-RO"/>
                    </w:rPr>
                  </w:pPr>
                  <w:r w:rsidRPr="003A1EA4">
                    <w:rPr>
                      <w:lang w:val="ro-RO"/>
                    </w:rPr>
                    <w:t>Se aplică o distincție similară între procese în cazul în care combustibilii lichizi și gazoși de origine nebiologică din surse regenerabile utilizați în transporturi și combustibilii pe bază de carbon reciclat sunt prelucrați împreună cu biomasa.</w:t>
                  </w:r>
                </w:p>
                <w:p w14:paraId="56D3898D" w14:textId="77777777" w:rsidR="00B31FA1" w:rsidRPr="003A1EA4" w:rsidRDefault="00B31FA1" w:rsidP="00B31FA1">
                  <w:pPr>
                    <w:jc w:val="both"/>
                    <w:rPr>
                      <w:lang w:val="ro-RO"/>
                    </w:rPr>
                  </w:pPr>
                  <w:r w:rsidRPr="003A1EA4">
                    <w:rPr>
                      <w:lang w:val="ro-RO"/>
                    </w:rPr>
                    <w:t xml:space="preserve">Intensitatea emisiilor de gaze cu efect de seră poate fi calculată ca medie pentru întreaga producție de combustibili care are loc într-o perioadă de cel mult o lună calendaristică, dar poate fi calculată și pentru intervale de timp mai scurte. În cazul în care energia electrică care se califică drept energie electrică complet regenerabilă în </w:t>
                  </w:r>
                  <w:r w:rsidRPr="003A1EA4">
                    <w:rPr>
                      <w:lang w:val="ro-RO"/>
                    </w:rPr>
                    <w:lastRenderedPageBreak/>
                    <w:t>conformitate cu metodologia stabilită în Directiva (UE) 2018/2001 este utilizată ca intrare care sporește puterea calorifică a combustibilului sau a produselor intermediare, intervalul de timp trebuie să respecte cerințele aplicabile corelării temporale. După caz, valorile intensității emisiilor de gaze cu efect de seră calculate pentru intervale de timp individuale pot fi utilizate pentru a calcula intensitatea medie a emisiilor de gaze cu efect de seră pentru o perioadă de până la o lună, cu condiția ca valorile individuale calculate pentru fiecare perioadă de timp să respecte pragul minim de reducere de 70 %.</w:t>
                  </w:r>
                </w:p>
              </w:tc>
            </w:tr>
          </w:tbl>
          <w:p w14:paraId="1385993A"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1E7471" w14:paraId="52931D60" w14:textId="77777777">
              <w:tc>
                <w:tcPr>
                  <w:tcW w:w="0" w:type="auto"/>
                  <w:shd w:val="clear" w:color="auto" w:fill="FFFFFF"/>
                  <w:hideMark/>
                </w:tcPr>
                <w:p w14:paraId="0753F3DB" w14:textId="77777777" w:rsidR="00B31FA1" w:rsidRPr="003A1EA4" w:rsidRDefault="00B31FA1" w:rsidP="00B31FA1">
                  <w:pPr>
                    <w:jc w:val="both"/>
                    <w:rPr>
                      <w:lang w:val="ro-RO"/>
                    </w:rPr>
                  </w:pPr>
                </w:p>
              </w:tc>
              <w:tc>
                <w:tcPr>
                  <w:tcW w:w="0" w:type="auto"/>
                  <w:shd w:val="clear" w:color="auto" w:fill="FFFFFF"/>
                  <w:hideMark/>
                </w:tcPr>
                <w:p w14:paraId="3ABECB5C" w14:textId="77777777" w:rsidR="00B31FA1" w:rsidRPr="003A1EA4" w:rsidRDefault="00B31FA1" w:rsidP="00B31FA1">
                  <w:pPr>
                    <w:jc w:val="both"/>
                    <w:rPr>
                      <w:lang w:val="ro-RO"/>
                    </w:rPr>
                  </w:pPr>
                  <w:r w:rsidRPr="003A1EA4">
                    <w:rPr>
                      <w:lang w:val="ro-RO"/>
                    </w:rPr>
                    <w:t>2.</w:t>
                  </w:r>
                </w:p>
              </w:tc>
              <w:tc>
                <w:tcPr>
                  <w:tcW w:w="0" w:type="auto"/>
                  <w:shd w:val="clear" w:color="auto" w:fill="FFFFFF"/>
                  <w:hideMark/>
                </w:tcPr>
                <w:p w14:paraId="448C681B" w14:textId="77777777" w:rsidR="00B31FA1" w:rsidRPr="003A1EA4" w:rsidRDefault="00B31FA1" w:rsidP="00B31FA1">
                  <w:pPr>
                    <w:jc w:val="both"/>
                    <w:rPr>
                      <w:lang w:val="ro-RO"/>
                    </w:rPr>
                  </w:pPr>
                  <w:r w:rsidRPr="003A1EA4">
                    <w:rPr>
                      <w:lang w:val="ro-RO"/>
                    </w:rPr>
                    <w:t>Reducerile emisiilor de gaze cu efect de seră ale combustibililor lichizi și gazoși de origine nebiologică din surse regenerabile utilizați în transporturi sau ale combustibililor pe bază de carbon reciclat se calculează după cum urmează:</w:t>
                  </w:r>
                </w:p>
                <w:p w14:paraId="5982ABEC" w14:textId="77777777" w:rsidR="00B31FA1" w:rsidRPr="003A1EA4" w:rsidRDefault="00B31FA1" w:rsidP="00B31FA1">
                  <w:pPr>
                    <w:jc w:val="both"/>
                    <w:rPr>
                      <w:lang w:val="ro-RO"/>
                    </w:rPr>
                  </w:pPr>
                  <w:r w:rsidRPr="003A1EA4">
                    <w:rPr>
                      <w:lang w:val="ro-RO"/>
                    </w:rPr>
                    <w:t>Economii = (E </w:t>
                  </w:r>
                  <w:r w:rsidRPr="003A1EA4">
                    <w:rPr>
                      <w:vertAlign w:val="subscript"/>
                      <w:lang w:val="ro-RO"/>
                    </w:rPr>
                    <w:t>F</w:t>
                  </w:r>
                  <w:r w:rsidRPr="003A1EA4">
                    <w:rPr>
                      <w:lang w:val="ro-RO"/>
                    </w:rPr>
                    <w:t> – E)/E </w:t>
                  </w:r>
                  <w:r w:rsidRPr="003A1EA4">
                    <w:rPr>
                      <w:vertAlign w:val="subscript"/>
                      <w:lang w:val="ro-RO"/>
                    </w:rPr>
                    <w:t>F</w:t>
                  </w:r>
                </w:p>
                <w:p w14:paraId="050A6DF4" w14:textId="77777777" w:rsidR="00B31FA1" w:rsidRPr="003A1EA4" w:rsidRDefault="00B31FA1" w:rsidP="00B31FA1">
                  <w:pPr>
                    <w:jc w:val="both"/>
                    <w:rPr>
                      <w:lang w:val="ro-RO"/>
                    </w:rPr>
                  </w:pPr>
                  <w:r w:rsidRPr="003A1EA4">
                    <w:rPr>
                      <w:lang w:val="ro-RO"/>
                    </w:rPr>
                    <w:t>unde:</w:t>
                  </w:r>
                </w:p>
                <w:tbl>
                  <w:tblPr>
                    <w:tblW w:w="5000" w:type="pct"/>
                    <w:tblCellMar>
                      <w:left w:w="0" w:type="dxa"/>
                      <w:right w:w="0" w:type="dxa"/>
                    </w:tblCellMar>
                    <w:tblLook w:val="04A0" w:firstRow="1" w:lastRow="0" w:firstColumn="1" w:lastColumn="0" w:noHBand="0" w:noVBand="1"/>
                  </w:tblPr>
                  <w:tblGrid>
                    <w:gridCol w:w="268"/>
                    <w:gridCol w:w="125"/>
                    <w:gridCol w:w="5615"/>
                  </w:tblGrid>
                  <w:tr w:rsidR="00B31FA1" w:rsidRPr="001E7471" w14:paraId="5E837CB5" w14:textId="77777777">
                    <w:tc>
                      <w:tcPr>
                        <w:tcW w:w="0" w:type="auto"/>
                        <w:hideMark/>
                      </w:tcPr>
                      <w:p w14:paraId="7C28EEB9" w14:textId="77777777" w:rsidR="00B31FA1" w:rsidRPr="003A1EA4" w:rsidRDefault="00B31FA1" w:rsidP="00B31FA1">
                        <w:pPr>
                          <w:jc w:val="both"/>
                          <w:rPr>
                            <w:lang w:val="ro-RO"/>
                          </w:rPr>
                        </w:pPr>
                        <w:r w:rsidRPr="003A1EA4">
                          <w:rPr>
                            <w:lang w:val="ro-RO"/>
                          </w:rPr>
                          <w:t>E</w:t>
                        </w:r>
                      </w:p>
                    </w:tc>
                    <w:tc>
                      <w:tcPr>
                        <w:tcW w:w="0" w:type="auto"/>
                        <w:hideMark/>
                      </w:tcPr>
                      <w:p w14:paraId="495B1B2E" w14:textId="77777777" w:rsidR="00B31FA1" w:rsidRPr="003A1EA4" w:rsidRDefault="00B31FA1" w:rsidP="00B31FA1">
                        <w:pPr>
                          <w:jc w:val="both"/>
                          <w:rPr>
                            <w:lang w:val="ro-RO"/>
                          </w:rPr>
                        </w:pPr>
                        <w:r w:rsidRPr="003A1EA4">
                          <w:rPr>
                            <w:lang w:val="ro-RO"/>
                          </w:rPr>
                          <w:t>=</w:t>
                        </w:r>
                      </w:p>
                    </w:tc>
                    <w:tc>
                      <w:tcPr>
                        <w:tcW w:w="0" w:type="auto"/>
                        <w:hideMark/>
                      </w:tcPr>
                      <w:p w14:paraId="472E83CF" w14:textId="77777777" w:rsidR="00B31FA1" w:rsidRPr="003A1EA4" w:rsidRDefault="00B31FA1" w:rsidP="00B31FA1">
                        <w:pPr>
                          <w:jc w:val="both"/>
                          <w:rPr>
                            <w:lang w:val="ro-RO"/>
                          </w:rPr>
                        </w:pPr>
                        <w:r w:rsidRPr="003A1EA4">
                          <w:rPr>
                            <w:lang w:val="ro-RO"/>
                          </w:rPr>
                          <w:t>emisiile totale provenite din utilizarea combustibililor lichizi și gazoși de origine nebiologică din surse regenerabile utilizați în transporturi sau a combustibililor pe bază de carbon reciclat.</w:t>
                        </w:r>
                      </w:p>
                    </w:tc>
                  </w:tr>
                  <w:tr w:rsidR="00B31FA1" w:rsidRPr="001E7471" w14:paraId="32565272" w14:textId="77777777">
                    <w:tc>
                      <w:tcPr>
                        <w:tcW w:w="0" w:type="auto"/>
                        <w:hideMark/>
                      </w:tcPr>
                      <w:p w14:paraId="755403CB" w14:textId="77777777" w:rsidR="00B31FA1" w:rsidRPr="003A1EA4" w:rsidRDefault="00B31FA1" w:rsidP="00B31FA1">
                        <w:pPr>
                          <w:jc w:val="both"/>
                          <w:rPr>
                            <w:lang w:val="ro-RO"/>
                          </w:rPr>
                        </w:pPr>
                        <w:r w:rsidRPr="003A1EA4">
                          <w:rPr>
                            <w:lang w:val="ro-RO"/>
                          </w:rPr>
                          <w:t>E </w:t>
                        </w:r>
                        <w:r w:rsidRPr="003A1EA4">
                          <w:rPr>
                            <w:vertAlign w:val="subscript"/>
                            <w:lang w:val="ro-RO"/>
                          </w:rPr>
                          <w:t>F</w:t>
                        </w:r>
                      </w:p>
                    </w:tc>
                    <w:tc>
                      <w:tcPr>
                        <w:tcW w:w="0" w:type="auto"/>
                        <w:hideMark/>
                      </w:tcPr>
                      <w:p w14:paraId="33226CFF" w14:textId="77777777" w:rsidR="00B31FA1" w:rsidRPr="003A1EA4" w:rsidRDefault="00B31FA1" w:rsidP="00B31FA1">
                        <w:pPr>
                          <w:jc w:val="both"/>
                          <w:rPr>
                            <w:lang w:val="ro-RO"/>
                          </w:rPr>
                        </w:pPr>
                        <w:r w:rsidRPr="003A1EA4">
                          <w:rPr>
                            <w:lang w:val="ro-RO"/>
                          </w:rPr>
                          <w:t>=</w:t>
                        </w:r>
                      </w:p>
                    </w:tc>
                    <w:tc>
                      <w:tcPr>
                        <w:tcW w:w="0" w:type="auto"/>
                        <w:hideMark/>
                      </w:tcPr>
                      <w:p w14:paraId="4ABC3BFE" w14:textId="77777777" w:rsidR="00B31FA1" w:rsidRPr="003A1EA4" w:rsidRDefault="00B31FA1" w:rsidP="00B31FA1">
                        <w:pPr>
                          <w:jc w:val="both"/>
                          <w:rPr>
                            <w:lang w:val="ro-RO"/>
                          </w:rPr>
                        </w:pPr>
                        <w:r w:rsidRPr="003A1EA4">
                          <w:rPr>
                            <w:lang w:val="ro-RO"/>
                          </w:rPr>
                          <w:t>emisiile totale provenite de la carburantul fosil de referință.</w:t>
                        </w:r>
                      </w:p>
                    </w:tc>
                  </w:tr>
                </w:tbl>
                <w:p w14:paraId="34A5AAB8" w14:textId="77777777" w:rsidR="00B31FA1" w:rsidRPr="003A1EA4" w:rsidRDefault="00B31FA1" w:rsidP="00B31FA1">
                  <w:pPr>
                    <w:jc w:val="both"/>
                    <w:rPr>
                      <w:lang w:val="ro-RO"/>
                    </w:rPr>
                  </w:pPr>
                  <w:r w:rsidRPr="003A1EA4">
                    <w:rPr>
                      <w:lang w:val="ro-RO"/>
                    </w:rPr>
                    <w:t>Pentru toți combustibilii lichizi și gazoși de origine nebiologică din surse regenerabile utilizați în transporturi și pentru combustibilii pe bază de carbon reciclat, emisiile totale provenite de la carburantul fosil de referință sunt de 94 gCO</w:t>
                  </w:r>
                  <w:r w:rsidRPr="003A1EA4">
                    <w:rPr>
                      <w:vertAlign w:val="subscript"/>
                      <w:lang w:val="ro-RO"/>
                    </w:rPr>
                    <w:t>2</w:t>
                  </w:r>
                  <w:r w:rsidRPr="003A1EA4">
                    <w:rPr>
                      <w:lang w:val="ro-RO"/>
                    </w:rPr>
                    <w:t>eq/MJ.</w:t>
                  </w:r>
                </w:p>
              </w:tc>
            </w:tr>
          </w:tbl>
          <w:p w14:paraId="70DABF1E"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1E7471" w14:paraId="370EBB7A" w14:textId="77777777">
              <w:tc>
                <w:tcPr>
                  <w:tcW w:w="0" w:type="auto"/>
                  <w:shd w:val="clear" w:color="auto" w:fill="FFFFFF"/>
                  <w:hideMark/>
                </w:tcPr>
                <w:p w14:paraId="12E2DA89" w14:textId="77777777" w:rsidR="00B31FA1" w:rsidRPr="003A1EA4" w:rsidRDefault="00B31FA1" w:rsidP="00B31FA1">
                  <w:pPr>
                    <w:jc w:val="both"/>
                    <w:rPr>
                      <w:lang w:val="ro-RO"/>
                    </w:rPr>
                  </w:pPr>
                </w:p>
              </w:tc>
              <w:tc>
                <w:tcPr>
                  <w:tcW w:w="0" w:type="auto"/>
                  <w:shd w:val="clear" w:color="auto" w:fill="FFFFFF"/>
                  <w:hideMark/>
                </w:tcPr>
                <w:p w14:paraId="23E67E55" w14:textId="77777777" w:rsidR="00B31FA1" w:rsidRPr="003A1EA4" w:rsidRDefault="00B31FA1" w:rsidP="00B31FA1">
                  <w:pPr>
                    <w:jc w:val="both"/>
                    <w:rPr>
                      <w:lang w:val="ro-RO"/>
                    </w:rPr>
                  </w:pPr>
                  <w:r w:rsidRPr="003A1EA4">
                    <w:rPr>
                      <w:lang w:val="ro-RO"/>
                    </w:rPr>
                    <w:t>3.</w:t>
                  </w:r>
                </w:p>
              </w:tc>
              <w:tc>
                <w:tcPr>
                  <w:tcW w:w="0" w:type="auto"/>
                  <w:shd w:val="clear" w:color="auto" w:fill="FFFFFF"/>
                  <w:hideMark/>
                </w:tcPr>
                <w:p w14:paraId="5C893E12" w14:textId="77777777" w:rsidR="00B31FA1" w:rsidRPr="003A1EA4" w:rsidRDefault="00B31FA1" w:rsidP="00B31FA1">
                  <w:pPr>
                    <w:jc w:val="both"/>
                    <w:rPr>
                      <w:lang w:val="ro-RO"/>
                    </w:rPr>
                  </w:pPr>
                  <w:r w:rsidRPr="003A1EA4">
                    <w:rPr>
                      <w:lang w:val="ro-RO"/>
                    </w:rPr>
                    <w:t>În cazul în care rezultatul unui proces nu se califică pe deplin drept combustibili lichizi și gazoși de origine nebiologică din surse regenerabile utilizați în transporturi sau drept combustibili pe bază de carbon reciclat, ponderea lor în producția totală se determină după cum urmează:</w:t>
                  </w:r>
                </w:p>
                <w:tbl>
                  <w:tblPr>
                    <w:tblW w:w="5000" w:type="pct"/>
                    <w:tblCellMar>
                      <w:left w:w="0" w:type="dxa"/>
                      <w:right w:w="0" w:type="dxa"/>
                    </w:tblCellMar>
                    <w:tblLook w:val="04A0" w:firstRow="1" w:lastRow="0" w:firstColumn="1" w:lastColumn="0" w:noHBand="0" w:noVBand="1"/>
                  </w:tblPr>
                  <w:tblGrid>
                    <w:gridCol w:w="245"/>
                    <w:gridCol w:w="5763"/>
                  </w:tblGrid>
                  <w:tr w:rsidR="00B31FA1" w:rsidRPr="001E7471" w14:paraId="3C07A843" w14:textId="77777777">
                    <w:tc>
                      <w:tcPr>
                        <w:tcW w:w="0" w:type="auto"/>
                        <w:hideMark/>
                      </w:tcPr>
                      <w:p w14:paraId="181F256A" w14:textId="77777777" w:rsidR="00B31FA1" w:rsidRPr="003A1EA4" w:rsidRDefault="00B31FA1" w:rsidP="00B31FA1">
                        <w:pPr>
                          <w:jc w:val="both"/>
                          <w:rPr>
                            <w:lang w:val="ro-RO"/>
                          </w:rPr>
                        </w:pPr>
                        <w:r w:rsidRPr="003A1EA4">
                          <w:rPr>
                            <w:lang w:val="ro-RO"/>
                          </w:rPr>
                          <w:t>(a)</w:t>
                        </w:r>
                      </w:p>
                    </w:tc>
                    <w:tc>
                      <w:tcPr>
                        <w:tcW w:w="0" w:type="auto"/>
                        <w:hideMark/>
                      </w:tcPr>
                      <w:p w14:paraId="7DEB040F" w14:textId="77777777" w:rsidR="00B31FA1" w:rsidRPr="003A1EA4" w:rsidRDefault="00B31FA1" w:rsidP="00B31FA1">
                        <w:pPr>
                          <w:jc w:val="both"/>
                          <w:rPr>
                            <w:lang w:val="ro-RO"/>
                          </w:rPr>
                        </w:pPr>
                        <w:r w:rsidRPr="003A1EA4">
                          <w:rPr>
                            <w:lang w:val="ro-RO"/>
                          </w:rPr>
                          <w:t>fracțiunea de combustibili lichizi și gazoși de origine nebiologică din surse regenerabile utilizați în transporturi se determină împărțind intrarea relevantă de energie din surse regenerabile în proces la totalul intrărilor de energie relevante în proces;</w:t>
                        </w:r>
                      </w:p>
                    </w:tc>
                  </w:tr>
                </w:tbl>
                <w:p w14:paraId="0CCEF313"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751"/>
                  </w:tblGrid>
                  <w:tr w:rsidR="00B31FA1" w:rsidRPr="001E7471" w14:paraId="40129B3A" w14:textId="77777777">
                    <w:tc>
                      <w:tcPr>
                        <w:tcW w:w="0" w:type="auto"/>
                        <w:hideMark/>
                      </w:tcPr>
                      <w:p w14:paraId="7A4FE67B" w14:textId="77777777" w:rsidR="00B31FA1" w:rsidRPr="003A1EA4" w:rsidRDefault="00B31FA1" w:rsidP="00B31FA1">
                        <w:pPr>
                          <w:jc w:val="both"/>
                          <w:rPr>
                            <w:lang w:val="ro-RO"/>
                          </w:rPr>
                        </w:pPr>
                        <w:r w:rsidRPr="003A1EA4">
                          <w:rPr>
                            <w:lang w:val="ro-RO"/>
                          </w:rPr>
                          <w:t>(b)</w:t>
                        </w:r>
                      </w:p>
                    </w:tc>
                    <w:tc>
                      <w:tcPr>
                        <w:tcW w:w="0" w:type="auto"/>
                        <w:hideMark/>
                      </w:tcPr>
                      <w:p w14:paraId="664A00EE" w14:textId="77777777" w:rsidR="00B31FA1" w:rsidRPr="003A1EA4" w:rsidRDefault="00B31FA1" w:rsidP="00B31FA1">
                        <w:pPr>
                          <w:jc w:val="both"/>
                          <w:rPr>
                            <w:lang w:val="ro-RO"/>
                          </w:rPr>
                        </w:pPr>
                        <w:r w:rsidRPr="003A1EA4">
                          <w:rPr>
                            <w:lang w:val="ro-RO"/>
                          </w:rPr>
                          <w:t>fracțiunea de combustibil pe bază de carbon reciclat se determină prin împărțirea intrării relevante de energie care se califică drept sursă pentru producția de combustibili pe bază de carbon reciclat în proces la totalul intrărilor de energie relevante în proces.</w:t>
                        </w:r>
                      </w:p>
                    </w:tc>
                  </w:tr>
                </w:tbl>
                <w:p w14:paraId="24D9E813" w14:textId="77777777" w:rsidR="00B31FA1" w:rsidRPr="003A1EA4" w:rsidRDefault="00B31FA1" w:rsidP="00B31FA1">
                  <w:pPr>
                    <w:jc w:val="both"/>
                    <w:rPr>
                      <w:lang w:val="ro-RO"/>
                    </w:rPr>
                  </w:pPr>
                  <w:r w:rsidRPr="003A1EA4">
                    <w:rPr>
                      <w:lang w:val="ro-RO"/>
                    </w:rPr>
                    <w:lastRenderedPageBreak/>
                    <w:t>Energia relevantă pentru intrările de materiale este puterea calorifică inferioară a intrării de material care trece în structura moleculară a combustibilului </w:t>
                  </w:r>
                  <w:hyperlink r:id="rId11" w:anchor="ntr1-L_2023157RO.01002301-E0001" w:history="1">
                    <w:r w:rsidRPr="003A1EA4">
                      <w:rPr>
                        <w:rStyle w:val="Hyperlink"/>
                        <w:lang w:val="ro-RO"/>
                      </w:rPr>
                      <w:t>(</w:t>
                    </w:r>
                    <w:r w:rsidRPr="003A1EA4">
                      <w:rPr>
                        <w:rStyle w:val="Hyperlink"/>
                        <w:vertAlign w:val="superscript"/>
                        <w:lang w:val="ro-RO"/>
                      </w:rPr>
                      <w:t>1</w:t>
                    </w:r>
                    <w:r w:rsidRPr="003A1EA4">
                      <w:rPr>
                        <w:rStyle w:val="Hyperlink"/>
                        <w:lang w:val="ro-RO"/>
                      </w:rPr>
                      <w:t>)</w:t>
                    </w:r>
                  </w:hyperlink>
                  <w:r w:rsidRPr="003A1EA4">
                    <w:rPr>
                      <w:lang w:val="ro-RO"/>
                    </w:rPr>
                    <w:t>.</w:t>
                  </w:r>
                </w:p>
                <w:p w14:paraId="56A8D8DF" w14:textId="77777777" w:rsidR="00B31FA1" w:rsidRPr="003A1EA4" w:rsidRDefault="00B31FA1" w:rsidP="00B31FA1">
                  <w:pPr>
                    <w:jc w:val="both"/>
                    <w:rPr>
                      <w:lang w:val="ro-RO"/>
                    </w:rPr>
                  </w:pPr>
                  <w:r w:rsidRPr="003A1EA4">
                    <w:rPr>
                      <w:lang w:val="ro-RO"/>
                    </w:rPr>
                    <w:t>În cazul intrărilor de energie electrică utilizate pentru creșterea valorii calorifice a combustibilului sau a produselor intermediare, energia relevantă este energia electrică.</w:t>
                  </w:r>
                </w:p>
                <w:p w14:paraId="2694D727" w14:textId="77777777" w:rsidR="00B31FA1" w:rsidRPr="003A1EA4" w:rsidRDefault="00B31FA1" w:rsidP="00B31FA1">
                  <w:pPr>
                    <w:jc w:val="both"/>
                    <w:rPr>
                      <w:lang w:val="ro-RO"/>
                    </w:rPr>
                  </w:pPr>
                  <w:r w:rsidRPr="003A1EA4">
                    <w:rPr>
                      <w:lang w:val="ro-RO"/>
                    </w:rPr>
                    <w:t>Pentru gazele reziduale industriale, aceasta este energia din gazele reziduale bazată pe puterea calorifică inferioară a acestora. În cazul căldurii utilizate pentru a crește puterea calorifică a combustibilului sau a produsului intermediar, energia relevantă este energia utilă din căldura utilizată pentru sintetizarea combustibilului. Energia termică utilă este energia termică totală înmulțită cu randamentul ciclului Carnot, astfel cum este definit în partea C punctul 1 litera (b) din anexa V la Directiva (UE) 2018/2001. Alte intrări sunt luate în considerare numai atunci când se determină intensitatea emisiilor combustibilului.</w:t>
                  </w:r>
                </w:p>
              </w:tc>
            </w:tr>
          </w:tbl>
          <w:p w14:paraId="4B3AF5A9"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3A1EA4" w14:paraId="60800FBF" w14:textId="77777777">
              <w:tc>
                <w:tcPr>
                  <w:tcW w:w="0" w:type="auto"/>
                  <w:shd w:val="clear" w:color="auto" w:fill="FFFFFF"/>
                  <w:hideMark/>
                </w:tcPr>
                <w:p w14:paraId="2FEF3308" w14:textId="77777777" w:rsidR="00B31FA1" w:rsidRPr="003A1EA4" w:rsidRDefault="00B31FA1" w:rsidP="00B31FA1">
                  <w:pPr>
                    <w:jc w:val="both"/>
                    <w:rPr>
                      <w:lang w:val="ro-RO"/>
                    </w:rPr>
                  </w:pPr>
                </w:p>
              </w:tc>
              <w:tc>
                <w:tcPr>
                  <w:tcW w:w="0" w:type="auto"/>
                  <w:shd w:val="clear" w:color="auto" w:fill="FFFFFF"/>
                  <w:hideMark/>
                </w:tcPr>
                <w:p w14:paraId="06857D32" w14:textId="77777777" w:rsidR="00B31FA1" w:rsidRPr="003A1EA4" w:rsidRDefault="00B31FA1" w:rsidP="00B31FA1">
                  <w:pPr>
                    <w:jc w:val="both"/>
                    <w:rPr>
                      <w:lang w:val="ro-RO"/>
                    </w:rPr>
                  </w:pPr>
                  <w:r w:rsidRPr="003A1EA4">
                    <w:rPr>
                      <w:lang w:val="ro-RO"/>
                    </w:rPr>
                    <w:t>4.</w:t>
                  </w:r>
                </w:p>
              </w:tc>
              <w:tc>
                <w:tcPr>
                  <w:tcW w:w="0" w:type="auto"/>
                  <w:shd w:val="clear" w:color="auto" w:fill="FFFFFF"/>
                  <w:hideMark/>
                </w:tcPr>
                <w:p w14:paraId="4A209EFC" w14:textId="77777777" w:rsidR="00B31FA1" w:rsidRPr="003A1EA4" w:rsidRDefault="00B31FA1" w:rsidP="00B31FA1">
                  <w:pPr>
                    <w:jc w:val="both"/>
                    <w:rPr>
                      <w:lang w:val="ro-RO"/>
                    </w:rPr>
                  </w:pPr>
                  <w:r w:rsidRPr="003A1EA4">
                    <w:rPr>
                      <w:lang w:val="ro-RO"/>
                    </w:rPr>
                    <w:t>Atunci când se determină emisiile provenite din furnizarea de intrări, se face distincția între intrările elastice și intrările rigide. Intrările rigide sunt cele a căror furnizare nu poate fi extinsă pentru a satisface cererea suplimentară. Astfel, toate intrările care se califică drept sursă de carbon pentru producția de combustibili pe bază de carbon reciclat sunt rigide, precum și ieșirile produse în proporție fixă printr-un proces încorporat </w:t>
                  </w:r>
                  <w:hyperlink r:id="rId12" w:anchor="ntr2-L_2023157RO.01002301-E0002" w:history="1">
                    <w:r w:rsidRPr="003A1EA4">
                      <w:rPr>
                        <w:rStyle w:val="Hyperlink"/>
                        <w:lang w:val="ro-RO"/>
                      </w:rPr>
                      <w:t>(</w:t>
                    </w:r>
                    <w:r w:rsidRPr="003A1EA4">
                      <w:rPr>
                        <w:rStyle w:val="Hyperlink"/>
                        <w:vertAlign w:val="superscript"/>
                        <w:lang w:val="ro-RO"/>
                      </w:rPr>
                      <w:t>2</w:t>
                    </w:r>
                    <w:r w:rsidRPr="003A1EA4">
                      <w:rPr>
                        <w:rStyle w:val="Hyperlink"/>
                        <w:lang w:val="ro-RO"/>
                      </w:rPr>
                      <w:t>)</w:t>
                    </w:r>
                  </w:hyperlink>
                  <w:r w:rsidRPr="003A1EA4">
                    <w:rPr>
                      <w:lang w:val="ro-RO"/>
                    </w:rPr>
                    <w:t> și care reprezintă mai puțin de 10 % din valoarea economică a ieșirii. În cazul în care reprezintă cel puțin 10 % din valoarea economică, aceasta este considerată elastică. În principiu, intrările elastice sunt cele a căror furnizare poate fi extinsă pentru a satisface cererea suplimentară. Produsele petroliere provenite de la rafinării se încadrează în această categorie, deoarece rafinăriile pot modifica proporția produselor lor.</w:t>
                  </w:r>
                </w:p>
              </w:tc>
            </w:tr>
          </w:tbl>
          <w:p w14:paraId="2BE9094D"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1E7471" w14:paraId="508EEB38" w14:textId="77777777">
              <w:tc>
                <w:tcPr>
                  <w:tcW w:w="0" w:type="auto"/>
                  <w:shd w:val="clear" w:color="auto" w:fill="FFFFFF"/>
                  <w:hideMark/>
                </w:tcPr>
                <w:p w14:paraId="26168C91" w14:textId="77777777" w:rsidR="00B31FA1" w:rsidRPr="003A1EA4" w:rsidRDefault="00B31FA1" w:rsidP="00B31FA1">
                  <w:pPr>
                    <w:jc w:val="both"/>
                    <w:rPr>
                      <w:lang w:val="ro-RO"/>
                    </w:rPr>
                  </w:pPr>
                </w:p>
              </w:tc>
              <w:tc>
                <w:tcPr>
                  <w:tcW w:w="0" w:type="auto"/>
                  <w:shd w:val="clear" w:color="auto" w:fill="FFFFFF"/>
                  <w:hideMark/>
                </w:tcPr>
                <w:p w14:paraId="4A1B55FD" w14:textId="77777777" w:rsidR="00B31FA1" w:rsidRPr="003A1EA4" w:rsidRDefault="00B31FA1" w:rsidP="00B31FA1">
                  <w:pPr>
                    <w:jc w:val="both"/>
                    <w:rPr>
                      <w:lang w:val="ro-RO"/>
                    </w:rPr>
                  </w:pPr>
                  <w:r w:rsidRPr="003A1EA4">
                    <w:rPr>
                      <w:lang w:val="ro-RO"/>
                    </w:rPr>
                    <w:t>5.</w:t>
                  </w:r>
                </w:p>
              </w:tc>
              <w:tc>
                <w:tcPr>
                  <w:tcW w:w="0" w:type="auto"/>
                  <w:shd w:val="clear" w:color="auto" w:fill="FFFFFF"/>
                  <w:hideMark/>
                </w:tcPr>
                <w:p w14:paraId="15BEB769" w14:textId="77777777" w:rsidR="00B31FA1" w:rsidRPr="003A1EA4" w:rsidRDefault="00B31FA1" w:rsidP="00B31FA1">
                  <w:pPr>
                    <w:jc w:val="both"/>
                    <w:rPr>
                      <w:lang w:val="ro-RO"/>
                    </w:rPr>
                  </w:pPr>
                  <w:r w:rsidRPr="003A1EA4">
                    <w:rPr>
                      <w:lang w:val="ro-RO"/>
                    </w:rPr>
                    <w:t>Energiei electrice care se califică drept complet regenerabilă în conformitate cu articolul 27 alineatul (3) din Directiva (UE) 2018/2001 i se atribuie emisii de gaze cu efect de seră egale cu zero.</w:t>
                  </w:r>
                </w:p>
              </w:tc>
            </w:tr>
          </w:tbl>
          <w:p w14:paraId="15E2A667"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1E7471" w14:paraId="3F4EC290" w14:textId="77777777">
              <w:tc>
                <w:tcPr>
                  <w:tcW w:w="0" w:type="auto"/>
                  <w:shd w:val="clear" w:color="auto" w:fill="FFFFFF"/>
                  <w:hideMark/>
                </w:tcPr>
                <w:p w14:paraId="331675D7" w14:textId="77777777" w:rsidR="00B31FA1" w:rsidRPr="003A1EA4" w:rsidRDefault="00B31FA1" w:rsidP="00B31FA1">
                  <w:pPr>
                    <w:jc w:val="both"/>
                    <w:rPr>
                      <w:lang w:val="ro-RO"/>
                    </w:rPr>
                  </w:pPr>
                </w:p>
              </w:tc>
              <w:tc>
                <w:tcPr>
                  <w:tcW w:w="0" w:type="auto"/>
                  <w:shd w:val="clear" w:color="auto" w:fill="FFFFFF"/>
                  <w:hideMark/>
                </w:tcPr>
                <w:p w14:paraId="7FB38A53" w14:textId="77777777" w:rsidR="00B31FA1" w:rsidRPr="003A1EA4" w:rsidRDefault="00B31FA1" w:rsidP="00B31FA1">
                  <w:pPr>
                    <w:jc w:val="both"/>
                    <w:rPr>
                      <w:lang w:val="ro-RO"/>
                    </w:rPr>
                  </w:pPr>
                  <w:r w:rsidRPr="003A1EA4">
                    <w:rPr>
                      <w:lang w:val="ro-RO"/>
                    </w:rPr>
                    <w:t>6.</w:t>
                  </w:r>
                </w:p>
              </w:tc>
              <w:tc>
                <w:tcPr>
                  <w:tcW w:w="0" w:type="auto"/>
                  <w:shd w:val="clear" w:color="auto" w:fill="FFFFFF"/>
                  <w:hideMark/>
                </w:tcPr>
                <w:p w14:paraId="25CE8E76" w14:textId="77777777" w:rsidR="00B31FA1" w:rsidRPr="003A1EA4" w:rsidRDefault="00B31FA1" w:rsidP="00B31FA1">
                  <w:pPr>
                    <w:jc w:val="both"/>
                    <w:rPr>
                      <w:lang w:val="ro-RO"/>
                    </w:rPr>
                  </w:pPr>
                  <w:r w:rsidRPr="003A1EA4">
                    <w:rPr>
                      <w:lang w:val="ro-RO"/>
                    </w:rPr>
                    <w:t xml:space="preserve">În fiecare an calendaristic se aplică una dintre cele trei metode alternative de mai jos pentru a atribui valorile emisiilor de gaze cu efect de seră energiei electrice preluate din rețea care nu se califică drept complet regenerabilă în conformitate cu articolul 27 alineatul (3) din Directiva (UE) 2018/2001 și care este utilizată pentru a produce combustibili lichizi și gazoși de origine nebiologică din </w:t>
                  </w:r>
                  <w:r w:rsidRPr="003A1EA4">
                    <w:rPr>
                      <w:lang w:val="ro-RO"/>
                    </w:rPr>
                    <w:lastRenderedPageBreak/>
                    <w:t>surse regenerabile utilizați în transporturi și combustibili pe bază de carbon reciclat:</w:t>
                  </w:r>
                </w:p>
                <w:tbl>
                  <w:tblPr>
                    <w:tblW w:w="5000" w:type="pct"/>
                    <w:tblCellMar>
                      <w:left w:w="0" w:type="dxa"/>
                      <w:right w:w="0" w:type="dxa"/>
                    </w:tblCellMar>
                    <w:tblLook w:val="04A0" w:firstRow="1" w:lastRow="0" w:firstColumn="1" w:lastColumn="0" w:noHBand="0" w:noVBand="1"/>
                  </w:tblPr>
                  <w:tblGrid>
                    <w:gridCol w:w="245"/>
                    <w:gridCol w:w="5763"/>
                  </w:tblGrid>
                  <w:tr w:rsidR="00B31FA1" w:rsidRPr="003A1EA4" w14:paraId="1D544EBA" w14:textId="77777777">
                    <w:tc>
                      <w:tcPr>
                        <w:tcW w:w="0" w:type="auto"/>
                        <w:hideMark/>
                      </w:tcPr>
                      <w:p w14:paraId="003C0589" w14:textId="77777777" w:rsidR="00B31FA1" w:rsidRPr="003A1EA4" w:rsidRDefault="00B31FA1" w:rsidP="00B31FA1">
                        <w:pPr>
                          <w:jc w:val="both"/>
                          <w:rPr>
                            <w:lang w:val="ro-RO"/>
                          </w:rPr>
                        </w:pPr>
                        <w:r w:rsidRPr="003A1EA4">
                          <w:rPr>
                            <w:lang w:val="ro-RO"/>
                          </w:rPr>
                          <w:t>(a)</w:t>
                        </w:r>
                      </w:p>
                    </w:tc>
                    <w:tc>
                      <w:tcPr>
                        <w:tcW w:w="0" w:type="auto"/>
                        <w:hideMark/>
                      </w:tcPr>
                      <w:p w14:paraId="19AD02E2" w14:textId="77777777" w:rsidR="00B31FA1" w:rsidRPr="003A1EA4" w:rsidRDefault="00B31FA1" w:rsidP="00B31FA1">
                        <w:pPr>
                          <w:jc w:val="both"/>
                          <w:rPr>
                            <w:lang w:val="ro-RO"/>
                          </w:rPr>
                        </w:pPr>
                        <w:r w:rsidRPr="003A1EA4">
                          <w:rPr>
                            <w:lang w:val="ro-RO"/>
                          </w:rPr>
                          <w:t>valorile emisiilor de gaze cu efect de seră se atribuie în conformitate cu partea C din prezenta anexă. Acest lucru nu aduce atingere evaluării în temeiul normelor privind ajutoarele de stat;</w:t>
                        </w:r>
                      </w:p>
                    </w:tc>
                  </w:tr>
                </w:tbl>
                <w:p w14:paraId="465D0760"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751"/>
                  </w:tblGrid>
                  <w:tr w:rsidR="00B31FA1" w:rsidRPr="001E7471" w14:paraId="236C9174" w14:textId="77777777">
                    <w:tc>
                      <w:tcPr>
                        <w:tcW w:w="0" w:type="auto"/>
                        <w:hideMark/>
                      </w:tcPr>
                      <w:p w14:paraId="79F0B6B4" w14:textId="77777777" w:rsidR="00B31FA1" w:rsidRPr="003A1EA4" w:rsidRDefault="00B31FA1" w:rsidP="00B31FA1">
                        <w:pPr>
                          <w:jc w:val="both"/>
                          <w:rPr>
                            <w:lang w:val="ro-RO"/>
                          </w:rPr>
                        </w:pPr>
                        <w:r w:rsidRPr="003A1EA4">
                          <w:rPr>
                            <w:lang w:val="ro-RO"/>
                          </w:rPr>
                          <w:t>(b)</w:t>
                        </w:r>
                      </w:p>
                    </w:tc>
                    <w:tc>
                      <w:tcPr>
                        <w:tcW w:w="0" w:type="auto"/>
                        <w:hideMark/>
                      </w:tcPr>
                      <w:p w14:paraId="229E0683" w14:textId="77777777" w:rsidR="00B31FA1" w:rsidRPr="003A1EA4" w:rsidRDefault="00B31FA1" w:rsidP="00B31FA1">
                        <w:pPr>
                          <w:jc w:val="both"/>
                          <w:rPr>
                            <w:lang w:val="ro-RO"/>
                          </w:rPr>
                        </w:pPr>
                        <w:r w:rsidRPr="003A1EA4">
                          <w:rPr>
                            <w:lang w:val="ro-RO"/>
                          </w:rPr>
                          <w:t>valorile emisiilor de gaze cu efect de seră se atribuie în funcție de numărul de ore la sarcină maximă în care funcționează instalația care produce combustibili lichizi și gazoși de origine nebiologică din surse regenerabile utilizați în transporturi și combustibili pe bază de carbon reciclat. În cazul în care numărul de ore la sarcină maximă este mai mic sau egal cu numărul de ore în care a fost stabilit prețul marginal al energiei electrice de către instalațiile care produc energie electrică din surse regenerabile sau centrale nucleare în anul calendaristic precedent pentru care sunt disponibile date fiabile, energiei electrice din rețea, utilizată în procesul de producție a combustibililor lichizi și gazoși de origine nebiologică din surse regenerabile utilizați în transporturi și a combustibililor pe bază de carbon reciclat, i se atribuie o valoare a emisiilor de gaze cu efect de seră egală cu zero gCO</w:t>
                        </w:r>
                        <w:r w:rsidRPr="003A1EA4">
                          <w:rPr>
                            <w:vertAlign w:val="subscript"/>
                            <w:lang w:val="ro-RO"/>
                          </w:rPr>
                          <w:t>2</w:t>
                        </w:r>
                        <w:r w:rsidRPr="003A1EA4">
                          <w:rPr>
                            <w:lang w:val="ro-RO"/>
                          </w:rPr>
                          <w:t>eq/MJ. În cazul în care acest număr de ore la sarcină maximă este depășit, energiei electrice din rețea, utilizată în procesul de producție a combustibililor lichizi și gazoși de origine nebiologică din surse regenerabile utilizați în transporturi și a combustibililor pe bază de carbon reciclat, i se atribuie o valoare a emisiilor de gaze cu efect de seră de 183 gCO</w:t>
                        </w:r>
                        <w:r w:rsidRPr="003A1EA4">
                          <w:rPr>
                            <w:vertAlign w:val="subscript"/>
                            <w:lang w:val="ro-RO"/>
                          </w:rPr>
                          <w:t>2</w:t>
                        </w:r>
                        <w:r w:rsidRPr="003A1EA4">
                          <w:rPr>
                            <w:lang w:val="ro-RO"/>
                          </w:rPr>
                          <w:t>eq/MJ; sau</w:t>
                        </w:r>
                      </w:p>
                    </w:tc>
                  </w:tr>
                </w:tbl>
                <w:p w14:paraId="1714DC05"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763"/>
                  </w:tblGrid>
                  <w:tr w:rsidR="00B31FA1" w:rsidRPr="001E7471" w14:paraId="2FE8AD6D" w14:textId="77777777">
                    <w:tc>
                      <w:tcPr>
                        <w:tcW w:w="0" w:type="auto"/>
                        <w:hideMark/>
                      </w:tcPr>
                      <w:p w14:paraId="16496D3B" w14:textId="77777777" w:rsidR="00B31FA1" w:rsidRPr="003A1EA4" w:rsidRDefault="00B31FA1" w:rsidP="00B31FA1">
                        <w:pPr>
                          <w:jc w:val="both"/>
                          <w:rPr>
                            <w:lang w:val="ro-RO"/>
                          </w:rPr>
                        </w:pPr>
                        <w:r w:rsidRPr="003A1EA4">
                          <w:rPr>
                            <w:lang w:val="ro-RO"/>
                          </w:rPr>
                          <w:t>(c)</w:t>
                        </w:r>
                      </w:p>
                    </w:tc>
                    <w:tc>
                      <w:tcPr>
                        <w:tcW w:w="0" w:type="auto"/>
                        <w:hideMark/>
                      </w:tcPr>
                      <w:p w14:paraId="19F039DE" w14:textId="77777777" w:rsidR="00B31FA1" w:rsidRPr="003A1EA4" w:rsidRDefault="00B31FA1" w:rsidP="00B31FA1">
                        <w:pPr>
                          <w:jc w:val="both"/>
                          <w:rPr>
                            <w:lang w:val="ro-RO"/>
                          </w:rPr>
                        </w:pPr>
                        <w:r w:rsidRPr="003A1EA4">
                          <w:rPr>
                            <w:lang w:val="ro-RO"/>
                          </w:rPr>
                          <w:t>valoarea emisiilor de gaze cu efect de seră ale unității marginale care produce energie electrică în momentul producerii combustibililor lichizi și gazoși de origine nebiologică din surse regenerabile utilizați în transporturi în zona de ofertare, dacă aceste informații sunt puse la dispoziția publicului de către operatorul național de transport și de sistem.</w:t>
                        </w:r>
                      </w:p>
                    </w:tc>
                  </w:tr>
                </w:tbl>
                <w:p w14:paraId="0C51F5C8" w14:textId="77777777" w:rsidR="00B31FA1" w:rsidRPr="003A1EA4" w:rsidRDefault="00B31FA1" w:rsidP="00B31FA1">
                  <w:pPr>
                    <w:jc w:val="both"/>
                    <w:rPr>
                      <w:lang w:val="ro-RO"/>
                    </w:rPr>
                  </w:pPr>
                  <w:r w:rsidRPr="003A1EA4">
                    <w:rPr>
                      <w:lang w:val="ro-RO"/>
                    </w:rPr>
                    <w:t>Dacă se utilizează metoda stabilită la litera (b), aceasta se aplică și energiei electrice care este utilizată pentru a produce combustibili lichizi și gazoși de origine nebiologică din surse regenerabile utilizați în transporturi și combustibili pe bază de carbon reciclat și care se califică drept energie provenită integral din surse regenerabile în conformitate cu articolul 27 alineatul (3) din Directiva (UE) 2018/2001.</w:t>
                  </w:r>
                </w:p>
              </w:tc>
            </w:tr>
          </w:tbl>
          <w:p w14:paraId="4B8ADE09"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1E7471" w14:paraId="53063CBD" w14:textId="77777777">
              <w:tc>
                <w:tcPr>
                  <w:tcW w:w="0" w:type="auto"/>
                  <w:shd w:val="clear" w:color="auto" w:fill="FFFFFF"/>
                  <w:hideMark/>
                </w:tcPr>
                <w:p w14:paraId="2974E34D" w14:textId="77777777" w:rsidR="00B31FA1" w:rsidRPr="003A1EA4" w:rsidRDefault="00B31FA1" w:rsidP="00B31FA1">
                  <w:pPr>
                    <w:jc w:val="both"/>
                    <w:rPr>
                      <w:lang w:val="ro-RO"/>
                    </w:rPr>
                  </w:pPr>
                </w:p>
              </w:tc>
              <w:tc>
                <w:tcPr>
                  <w:tcW w:w="0" w:type="auto"/>
                  <w:shd w:val="clear" w:color="auto" w:fill="FFFFFF"/>
                  <w:hideMark/>
                </w:tcPr>
                <w:p w14:paraId="0440C742" w14:textId="77777777" w:rsidR="00B31FA1" w:rsidRPr="003A1EA4" w:rsidRDefault="00B31FA1" w:rsidP="00B31FA1">
                  <w:pPr>
                    <w:jc w:val="both"/>
                    <w:rPr>
                      <w:lang w:val="ro-RO"/>
                    </w:rPr>
                  </w:pPr>
                  <w:r w:rsidRPr="003A1EA4">
                    <w:rPr>
                      <w:lang w:val="ro-RO"/>
                    </w:rPr>
                    <w:t>7.</w:t>
                  </w:r>
                </w:p>
              </w:tc>
              <w:tc>
                <w:tcPr>
                  <w:tcW w:w="0" w:type="auto"/>
                  <w:shd w:val="clear" w:color="auto" w:fill="FFFFFF"/>
                  <w:hideMark/>
                </w:tcPr>
                <w:p w14:paraId="4428F0FD" w14:textId="77777777" w:rsidR="00B31FA1" w:rsidRPr="003A1EA4" w:rsidRDefault="00B31FA1" w:rsidP="00B31FA1">
                  <w:pPr>
                    <w:jc w:val="both"/>
                    <w:rPr>
                      <w:lang w:val="ro-RO"/>
                    </w:rPr>
                  </w:pPr>
                  <w:r w:rsidRPr="003A1EA4">
                    <w:rPr>
                      <w:lang w:val="ro-RO"/>
                    </w:rPr>
                    <w:t>Emisiile de GES ale intrărilor elastice care sunt obținute printr-un proces încorporat se determină pe baza datelor din procesul lor real de producție. Aceste emisii includ toate emisiile generate de producția lor de-a lungul întregului lanț de aprovizionare (inclusiv emisiile rezultate din extracția energiei primare necesare pentru producerea intrării, prelucrarea intrării și transportul intrării). Aceste emisii nu includ emisiile de ardere legate de conținutul de carbon al intrărilor de combustibil </w:t>
                  </w:r>
                  <w:hyperlink r:id="rId13" w:anchor="ntr3-L_2023157RO.01002301-E0003" w:history="1">
                    <w:r w:rsidRPr="003A1EA4">
                      <w:rPr>
                        <w:rStyle w:val="Hyperlink"/>
                        <w:lang w:val="ro-RO"/>
                      </w:rPr>
                      <w:t>(</w:t>
                    </w:r>
                    <w:r w:rsidRPr="003A1EA4">
                      <w:rPr>
                        <w:rStyle w:val="Hyperlink"/>
                        <w:vertAlign w:val="superscript"/>
                        <w:lang w:val="ro-RO"/>
                      </w:rPr>
                      <w:t>3</w:t>
                    </w:r>
                    <w:r w:rsidRPr="003A1EA4">
                      <w:rPr>
                        <w:rStyle w:val="Hyperlink"/>
                        <w:lang w:val="ro-RO"/>
                      </w:rPr>
                      <w:t>)</w:t>
                    </w:r>
                  </w:hyperlink>
                  <w:r w:rsidRPr="003A1EA4">
                    <w:rPr>
                      <w:lang w:val="ro-RO"/>
                    </w:rPr>
                    <w:t>.</w:t>
                  </w:r>
                </w:p>
                <w:p w14:paraId="71B1F4B8" w14:textId="77777777" w:rsidR="00B31FA1" w:rsidRPr="003A1EA4" w:rsidRDefault="00B31FA1" w:rsidP="00B31FA1">
                  <w:pPr>
                    <w:jc w:val="both"/>
                    <w:rPr>
                      <w:lang w:val="ro-RO"/>
                    </w:rPr>
                  </w:pPr>
                  <w:r w:rsidRPr="003A1EA4">
                    <w:rPr>
                      <w:lang w:val="ro-RO"/>
                    </w:rPr>
                    <w:t>Cu toate acestea, emisiile de GES provenite de la intrările elastice care nu sunt obținute printr-un proces încorporat se determină pe baza valorilor incluse în partea B a prezentei anexe. În cazul în care datele nu sunt incluse în listă, informațiile privind intensitatea emisiilor pot fi extrase din cea mai recentă versiune a raportului JEC-WTW, din baza de date ECOINVENT, din surse oficiale precum IPCC, AIE sau surse guvernamentale, precum și din alte surse revizuite, cum ar fi baza de date E3 și GEMIS și publicațiile evaluate </w:t>
                  </w:r>
                  <w:r w:rsidRPr="003A1EA4">
                    <w:rPr>
                      <w:i/>
                      <w:iCs/>
                      <w:lang w:val="ro-RO"/>
                    </w:rPr>
                    <w:t>inter pares</w:t>
                  </w:r>
                  <w:r w:rsidRPr="003A1EA4">
                    <w:rPr>
                      <w:lang w:val="ro-RO"/>
                    </w:rPr>
                    <w:t>.</w:t>
                  </w:r>
                </w:p>
              </w:tc>
            </w:tr>
          </w:tbl>
          <w:p w14:paraId="31550F47"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1E7471" w14:paraId="45AE6F5F" w14:textId="77777777">
              <w:tc>
                <w:tcPr>
                  <w:tcW w:w="0" w:type="auto"/>
                  <w:shd w:val="clear" w:color="auto" w:fill="FFFFFF"/>
                  <w:hideMark/>
                </w:tcPr>
                <w:p w14:paraId="2737F0DC" w14:textId="77777777" w:rsidR="00B31FA1" w:rsidRPr="003A1EA4" w:rsidRDefault="00B31FA1" w:rsidP="00B31FA1">
                  <w:pPr>
                    <w:jc w:val="both"/>
                    <w:rPr>
                      <w:lang w:val="ro-RO"/>
                    </w:rPr>
                  </w:pPr>
                </w:p>
              </w:tc>
              <w:tc>
                <w:tcPr>
                  <w:tcW w:w="0" w:type="auto"/>
                  <w:shd w:val="clear" w:color="auto" w:fill="FFFFFF"/>
                  <w:hideMark/>
                </w:tcPr>
                <w:p w14:paraId="281FE823" w14:textId="77777777" w:rsidR="00B31FA1" w:rsidRPr="003A1EA4" w:rsidRDefault="00B31FA1" w:rsidP="00B31FA1">
                  <w:pPr>
                    <w:jc w:val="both"/>
                    <w:rPr>
                      <w:lang w:val="ro-RO"/>
                    </w:rPr>
                  </w:pPr>
                  <w:r w:rsidRPr="003A1EA4">
                    <w:rPr>
                      <w:lang w:val="ro-RO"/>
                    </w:rPr>
                    <w:t>8.</w:t>
                  </w:r>
                </w:p>
              </w:tc>
              <w:tc>
                <w:tcPr>
                  <w:tcW w:w="0" w:type="auto"/>
                  <w:shd w:val="clear" w:color="auto" w:fill="FFFFFF"/>
                  <w:hideMark/>
                </w:tcPr>
                <w:p w14:paraId="6B1953BD" w14:textId="77777777" w:rsidR="00B31FA1" w:rsidRPr="003A1EA4" w:rsidRDefault="00B31FA1" w:rsidP="00B31FA1">
                  <w:pPr>
                    <w:jc w:val="both"/>
                    <w:rPr>
                      <w:lang w:val="ro-RO"/>
                    </w:rPr>
                  </w:pPr>
                  <w:r w:rsidRPr="003A1EA4">
                    <w:rPr>
                      <w:lang w:val="ro-RO"/>
                    </w:rPr>
                    <w:t>Furnizorul fiecărei intrări, cu excepția celor pentru care valorile sunt preluate din partea B a prezentei anexe, calculează intensitatea emisiilor </w:t>
                  </w:r>
                  <w:hyperlink r:id="rId14" w:anchor="ntr4-L_2023157RO.01002301-E0004" w:history="1">
                    <w:r w:rsidRPr="003A1EA4">
                      <w:rPr>
                        <w:rStyle w:val="Hyperlink"/>
                        <w:lang w:val="ro-RO"/>
                      </w:rPr>
                      <w:t>(</w:t>
                    </w:r>
                    <w:r w:rsidRPr="003A1EA4">
                      <w:rPr>
                        <w:rStyle w:val="Hyperlink"/>
                        <w:vertAlign w:val="superscript"/>
                        <w:lang w:val="ro-RO"/>
                      </w:rPr>
                      <w:t>4</w:t>
                    </w:r>
                    <w:r w:rsidRPr="003A1EA4">
                      <w:rPr>
                        <w:rStyle w:val="Hyperlink"/>
                        <w:lang w:val="ro-RO"/>
                      </w:rPr>
                      <w:t>)</w:t>
                    </w:r>
                  </w:hyperlink>
                  <w:r w:rsidRPr="003A1EA4">
                    <w:rPr>
                      <w:lang w:val="ro-RO"/>
                    </w:rPr>
                    <w:t> intrării în conformitate cu procedurile din prezentul document și raportează valoarea următoarei etape de producție sau producătorului de combustibil final. Aceeași regulă se aplică furnizorilor de intrări aflați mai în spate în lanțul de aprovizionare.</w:t>
                  </w:r>
                </w:p>
              </w:tc>
            </w:tr>
          </w:tbl>
          <w:p w14:paraId="4FF37723"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165"/>
              <w:gridCol w:w="6008"/>
            </w:tblGrid>
            <w:tr w:rsidR="00B31FA1" w:rsidRPr="001E7471" w14:paraId="288064EA" w14:textId="77777777">
              <w:tc>
                <w:tcPr>
                  <w:tcW w:w="0" w:type="auto"/>
                  <w:shd w:val="clear" w:color="auto" w:fill="FFFFFF"/>
                  <w:hideMark/>
                </w:tcPr>
                <w:p w14:paraId="4A2E5B92" w14:textId="77777777" w:rsidR="00B31FA1" w:rsidRPr="003A1EA4" w:rsidRDefault="00B31FA1" w:rsidP="00B31FA1">
                  <w:pPr>
                    <w:jc w:val="both"/>
                    <w:rPr>
                      <w:lang w:val="ro-RO"/>
                    </w:rPr>
                  </w:pPr>
                </w:p>
              </w:tc>
              <w:tc>
                <w:tcPr>
                  <w:tcW w:w="0" w:type="auto"/>
                  <w:shd w:val="clear" w:color="auto" w:fill="FFFFFF"/>
                  <w:hideMark/>
                </w:tcPr>
                <w:p w14:paraId="6F7BD26B" w14:textId="77777777" w:rsidR="00B31FA1" w:rsidRPr="003A1EA4" w:rsidRDefault="00B31FA1" w:rsidP="00B31FA1">
                  <w:pPr>
                    <w:jc w:val="both"/>
                    <w:rPr>
                      <w:lang w:val="ro-RO"/>
                    </w:rPr>
                  </w:pPr>
                  <w:r w:rsidRPr="003A1EA4">
                    <w:rPr>
                      <w:lang w:val="ro-RO"/>
                    </w:rPr>
                    <w:t>9.</w:t>
                  </w:r>
                </w:p>
              </w:tc>
              <w:tc>
                <w:tcPr>
                  <w:tcW w:w="0" w:type="auto"/>
                  <w:shd w:val="clear" w:color="auto" w:fill="FFFFFF"/>
                  <w:hideMark/>
                </w:tcPr>
                <w:p w14:paraId="7C443FAA" w14:textId="77777777" w:rsidR="00B31FA1" w:rsidRPr="003A1EA4" w:rsidRDefault="00B31FA1" w:rsidP="00B31FA1">
                  <w:pPr>
                    <w:jc w:val="both"/>
                    <w:rPr>
                      <w:lang w:val="ro-RO"/>
                    </w:rPr>
                  </w:pPr>
                  <w:r w:rsidRPr="003A1EA4">
                    <w:rPr>
                      <w:lang w:val="ro-RO"/>
                    </w:rPr>
                    <w:t>Emisiile provenite de la intrările rigide includ emisiile care rezultă din devierea acestor intrări de la o utilizare anterioară sau alternativă. Aceste emisii țin seama de pierderea producției de energie electrică, de energie termică sau de produse generate anterior utilizând materia primă, precum și de orice emisii datorate tratamentului suplimentar al intrării și al transportului. Se aplică următoarele reguli:</w:t>
                  </w:r>
                </w:p>
                <w:tbl>
                  <w:tblPr>
                    <w:tblW w:w="5000" w:type="pct"/>
                    <w:tblCellMar>
                      <w:left w:w="0" w:type="dxa"/>
                      <w:right w:w="0" w:type="dxa"/>
                    </w:tblCellMar>
                    <w:tblLook w:val="04A0" w:firstRow="1" w:lastRow="0" w:firstColumn="1" w:lastColumn="0" w:noHBand="0" w:noVBand="1"/>
                  </w:tblPr>
                  <w:tblGrid>
                    <w:gridCol w:w="245"/>
                    <w:gridCol w:w="5763"/>
                  </w:tblGrid>
                  <w:tr w:rsidR="00B31FA1" w:rsidRPr="001E7471" w14:paraId="2AE06E54" w14:textId="77777777">
                    <w:tc>
                      <w:tcPr>
                        <w:tcW w:w="0" w:type="auto"/>
                        <w:hideMark/>
                      </w:tcPr>
                      <w:p w14:paraId="614B5311" w14:textId="77777777" w:rsidR="00B31FA1" w:rsidRPr="003A1EA4" w:rsidRDefault="00B31FA1" w:rsidP="00B31FA1">
                        <w:pPr>
                          <w:jc w:val="both"/>
                          <w:rPr>
                            <w:lang w:val="ro-RO"/>
                          </w:rPr>
                        </w:pPr>
                        <w:r w:rsidRPr="003A1EA4">
                          <w:rPr>
                            <w:lang w:val="ro-RO"/>
                          </w:rPr>
                          <w:t>(a)</w:t>
                        </w:r>
                      </w:p>
                    </w:tc>
                    <w:tc>
                      <w:tcPr>
                        <w:tcW w:w="0" w:type="auto"/>
                        <w:hideMark/>
                      </w:tcPr>
                      <w:p w14:paraId="21BEAC30" w14:textId="77777777" w:rsidR="00B31FA1" w:rsidRPr="003A1EA4" w:rsidRDefault="00B31FA1" w:rsidP="00B31FA1">
                        <w:pPr>
                          <w:jc w:val="both"/>
                          <w:rPr>
                            <w:lang w:val="ro-RO"/>
                          </w:rPr>
                        </w:pPr>
                        <w:r w:rsidRPr="003A1EA4">
                          <w:rPr>
                            <w:lang w:val="ro-RO"/>
                          </w:rPr>
                          <w:t xml:space="preserve">emisiile atribuite furnizării de intrări rigide se determină înmulțind pierderea producției de energie electrică, de energie termică sau de alte produse cu factorul de emisie relevant. În cazul pierderii producției de energie electrică, factorii de emisie care trebuie luați în considerare sunt cei aferenți producerii de energie electrică în rețea în țara în care a avut loc deplasarea, determinați în conformitate cu metodologia corespunzătoare prevăzută la punctele 5 sau 6. În cazul materialelor deturnate, emisiile care urmează să fie atribuite materialului de înlocuire se calculează ca pentru intrările de materiale în conformitate cu prezenta </w:t>
                        </w:r>
                        <w:r w:rsidRPr="003A1EA4">
                          <w:rPr>
                            <w:lang w:val="ro-RO"/>
                          </w:rPr>
                          <w:lastRenderedPageBreak/>
                          <w:t>metodologie. În primii 20 ani de la începerea producției de combustibili lichizi și gazoși de origine nebiologică din surse regenerabile utilizați în transporturi sau de combustibili pe bază de carbon reciclat, pierderea producției de energie electrică, de energie termică și de materiale se determină pe baza cantității medii de energie electrică și termică care a fost produsă din intrarea rigidă în ultimii trei ani înainte de începerea producției de combustibili lichizi și gazoși de origine nebiologică din surse regenerabile utilizați în transporturi sau de combustibili pe bază de carbon reciclat. După 20 ani de producție, pierderea producției de energie electrică, de energie termică sau de alte produse se determină pe baza standardelor minime de performanță energetică asumate în concluziile relevante privind cele mai bune tehnologii disponibile (BAT). În cazul în care procesul nu este acoperit de BAT, estimarea pierderilor de producție se bazează pe un proces comparabil care aplică tehnologia de ultimă generație;</w:t>
                        </w:r>
                      </w:p>
                    </w:tc>
                  </w:tr>
                </w:tbl>
                <w:p w14:paraId="7EF54B87"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751"/>
                  </w:tblGrid>
                  <w:tr w:rsidR="00B31FA1" w:rsidRPr="001E7471" w14:paraId="0D382ACA" w14:textId="77777777">
                    <w:tc>
                      <w:tcPr>
                        <w:tcW w:w="0" w:type="auto"/>
                        <w:hideMark/>
                      </w:tcPr>
                      <w:p w14:paraId="235F7108" w14:textId="77777777" w:rsidR="00B31FA1" w:rsidRPr="003A1EA4" w:rsidRDefault="00B31FA1" w:rsidP="00B31FA1">
                        <w:pPr>
                          <w:jc w:val="both"/>
                          <w:rPr>
                            <w:lang w:val="ro-RO"/>
                          </w:rPr>
                        </w:pPr>
                        <w:r w:rsidRPr="003A1EA4">
                          <w:rPr>
                            <w:lang w:val="ro-RO"/>
                          </w:rPr>
                          <w:t>(b)</w:t>
                        </w:r>
                      </w:p>
                    </w:tc>
                    <w:tc>
                      <w:tcPr>
                        <w:tcW w:w="0" w:type="auto"/>
                        <w:hideMark/>
                      </w:tcPr>
                      <w:p w14:paraId="1F800478" w14:textId="77777777" w:rsidR="00B31FA1" w:rsidRPr="003A1EA4" w:rsidRDefault="00B31FA1" w:rsidP="00B31FA1">
                        <w:pPr>
                          <w:jc w:val="both"/>
                          <w:rPr>
                            <w:lang w:val="ro-RO"/>
                          </w:rPr>
                        </w:pPr>
                        <w:r w:rsidRPr="003A1EA4">
                          <w:rPr>
                            <w:lang w:val="ro-RO"/>
                          </w:rPr>
                          <w:t>în cazul intrărilor rigide care sunt fluxuri intermediare în procesele industriale, cum ar fi gazul de cocserie, gazul de furnal din oțelării sau gazul de rafinărie din rafinăriile de petrol, dacă efectul devierii acestuia pentru producția de combustibil nu poate fi măsurat direct, emisiile datorate devierii intrărilor se determină pe baza simulărilor funcționării instalației înainte și după modificarea acesteia pentru a produce combustibili pe bază de carbon reciclat. În cazul în care modificarea instalației a cauzat o reducere a ieșirii anumitor produse, emisiile atribuite intrărilor rigide includ emisiile asociate înlocuirii produselor pierdute;</w:t>
                        </w:r>
                      </w:p>
                    </w:tc>
                  </w:tr>
                </w:tbl>
                <w:p w14:paraId="3ECE4DE4"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763"/>
                  </w:tblGrid>
                  <w:tr w:rsidR="00B31FA1" w:rsidRPr="001E7471" w14:paraId="473BD566" w14:textId="77777777">
                    <w:tc>
                      <w:tcPr>
                        <w:tcW w:w="0" w:type="auto"/>
                        <w:hideMark/>
                      </w:tcPr>
                      <w:p w14:paraId="0B8EFAC0" w14:textId="77777777" w:rsidR="00B31FA1" w:rsidRPr="003A1EA4" w:rsidRDefault="00B31FA1" w:rsidP="00B31FA1">
                        <w:pPr>
                          <w:jc w:val="both"/>
                          <w:rPr>
                            <w:lang w:val="ro-RO"/>
                          </w:rPr>
                        </w:pPr>
                        <w:r w:rsidRPr="003A1EA4">
                          <w:rPr>
                            <w:lang w:val="ro-RO"/>
                          </w:rPr>
                          <w:t>(c)</w:t>
                        </w:r>
                      </w:p>
                    </w:tc>
                    <w:tc>
                      <w:tcPr>
                        <w:tcW w:w="0" w:type="auto"/>
                        <w:hideMark/>
                      </w:tcPr>
                      <w:p w14:paraId="07363FD7" w14:textId="77777777" w:rsidR="00B31FA1" w:rsidRPr="003A1EA4" w:rsidRDefault="00B31FA1" w:rsidP="00B31FA1">
                        <w:pPr>
                          <w:jc w:val="both"/>
                          <w:rPr>
                            <w:lang w:val="ro-RO"/>
                          </w:rPr>
                        </w:pPr>
                        <w:r w:rsidRPr="003A1EA4">
                          <w:rPr>
                            <w:lang w:val="ro-RO"/>
                          </w:rPr>
                          <w:t>în cazul în care procesul utilizează intrări rigide de la instalații noi, cum ar fi o nouă oțelărie care utilizează gazul de furnal înalt pentru a produce combustibili pe bază de carbon reciclat, se ia în considerare impactul devierii intrării de la utilizarea alternativă cea mai economică. Apoi, implicațiile emisiilor sunt calculate în conformitate cu standardele minime de performanță energetică prevăzute în concluziile relevante privind BAT. Pentru procesele industriale care nu sunt acoperite de BAT, economiile de emisii se calculează pe baza procesului comparabil care aplică tehnologia de ultimă generație.</w:t>
                        </w:r>
                      </w:p>
                    </w:tc>
                  </w:tr>
                </w:tbl>
                <w:p w14:paraId="5D769008" w14:textId="77777777" w:rsidR="00B31FA1" w:rsidRPr="003A1EA4" w:rsidRDefault="00B31FA1" w:rsidP="00B31FA1">
                  <w:pPr>
                    <w:jc w:val="both"/>
                    <w:rPr>
                      <w:lang w:val="ro-RO"/>
                    </w:rPr>
                  </w:pPr>
                </w:p>
              </w:tc>
            </w:tr>
          </w:tbl>
          <w:p w14:paraId="60AC2EF6"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275"/>
              <w:gridCol w:w="5898"/>
            </w:tblGrid>
            <w:tr w:rsidR="00B31FA1" w:rsidRPr="001E7471" w14:paraId="3CF18961" w14:textId="77777777">
              <w:tc>
                <w:tcPr>
                  <w:tcW w:w="0" w:type="auto"/>
                  <w:shd w:val="clear" w:color="auto" w:fill="FFFFFF"/>
                  <w:hideMark/>
                </w:tcPr>
                <w:p w14:paraId="489277EC" w14:textId="77777777" w:rsidR="00B31FA1" w:rsidRPr="003A1EA4" w:rsidRDefault="00B31FA1" w:rsidP="00B31FA1">
                  <w:pPr>
                    <w:jc w:val="both"/>
                    <w:rPr>
                      <w:lang w:val="ro-RO"/>
                    </w:rPr>
                  </w:pPr>
                </w:p>
              </w:tc>
              <w:tc>
                <w:tcPr>
                  <w:tcW w:w="0" w:type="auto"/>
                  <w:shd w:val="clear" w:color="auto" w:fill="FFFFFF"/>
                  <w:hideMark/>
                </w:tcPr>
                <w:p w14:paraId="360F696F" w14:textId="77777777" w:rsidR="00B31FA1" w:rsidRPr="003A1EA4" w:rsidRDefault="00B31FA1" w:rsidP="00B31FA1">
                  <w:pPr>
                    <w:jc w:val="both"/>
                    <w:rPr>
                      <w:lang w:val="ro-RO"/>
                    </w:rPr>
                  </w:pPr>
                  <w:r w:rsidRPr="003A1EA4">
                    <w:rPr>
                      <w:lang w:val="ro-RO"/>
                    </w:rPr>
                    <w:t>10.</w:t>
                  </w:r>
                </w:p>
              </w:tc>
              <w:tc>
                <w:tcPr>
                  <w:tcW w:w="0" w:type="auto"/>
                  <w:shd w:val="clear" w:color="auto" w:fill="FFFFFF"/>
                  <w:hideMark/>
                </w:tcPr>
                <w:p w14:paraId="084C92DB" w14:textId="77777777" w:rsidR="00B31FA1" w:rsidRPr="003A1EA4" w:rsidRDefault="00B31FA1" w:rsidP="00B31FA1">
                  <w:pPr>
                    <w:jc w:val="both"/>
                    <w:rPr>
                      <w:lang w:val="ro-RO"/>
                    </w:rPr>
                  </w:pPr>
                  <w:r w:rsidRPr="003A1EA4">
                    <w:rPr>
                      <w:lang w:val="ro-RO"/>
                    </w:rPr>
                    <w:t xml:space="preserve">Emisiile provenite din utilizarea sau evoluția existentă includ toate emisiile din utilizarea sau din evoluția existentă a intrării, care sunt evitate atunci când intrarea este utilizată pentru producția de </w:t>
                  </w:r>
                  <w:r w:rsidRPr="003A1EA4">
                    <w:rPr>
                      <w:lang w:val="ro-RO"/>
                    </w:rPr>
                    <w:lastRenderedPageBreak/>
                    <w:t>combustibil. Aceste emisii includ echivalentul CO</w:t>
                  </w:r>
                  <w:r w:rsidRPr="003A1EA4">
                    <w:rPr>
                      <w:vertAlign w:val="subscript"/>
                      <w:lang w:val="ro-RO"/>
                    </w:rPr>
                    <w:t>2</w:t>
                  </w:r>
                  <w:r w:rsidRPr="003A1EA4">
                    <w:rPr>
                      <w:lang w:val="ro-RO"/>
                    </w:rPr>
                    <w:t> al carbonului încorporat în compoziția chimică a combustibilului care altfel ar fi fost emis în atmosferă sub formă de CO</w:t>
                  </w:r>
                  <w:r w:rsidRPr="003A1EA4">
                    <w:rPr>
                      <w:vertAlign w:val="subscript"/>
                      <w:lang w:val="ro-RO"/>
                    </w:rPr>
                    <w:t>2</w:t>
                  </w:r>
                  <w:r w:rsidRPr="003A1EA4">
                    <w:rPr>
                      <w:lang w:val="ro-RO"/>
                    </w:rPr>
                    <w:t>. Se include de asemenea CO</w:t>
                  </w:r>
                  <w:r w:rsidRPr="003A1EA4">
                    <w:rPr>
                      <w:vertAlign w:val="subscript"/>
                      <w:lang w:val="ro-RO"/>
                    </w:rPr>
                    <w:t>2</w:t>
                  </w:r>
                  <w:r w:rsidRPr="003A1EA4">
                    <w:rPr>
                      <w:lang w:val="ro-RO"/>
                    </w:rPr>
                    <w:t> care a fost captat și încorporat în combustibil, cu condiția să fie îndeplinită cel puțin una dintre următoarele condiții:</w:t>
                  </w:r>
                </w:p>
                <w:tbl>
                  <w:tblPr>
                    <w:tblW w:w="5000" w:type="pct"/>
                    <w:tblCellMar>
                      <w:left w:w="0" w:type="dxa"/>
                      <w:right w:w="0" w:type="dxa"/>
                    </w:tblCellMar>
                    <w:tblLook w:val="04A0" w:firstRow="1" w:lastRow="0" w:firstColumn="1" w:lastColumn="0" w:noHBand="0" w:noVBand="1"/>
                  </w:tblPr>
                  <w:tblGrid>
                    <w:gridCol w:w="245"/>
                    <w:gridCol w:w="5653"/>
                  </w:tblGrid>
                  <w:tr w:rsidR="00B31FA1" w:rsidRPr="001E7471" w14:paraId="35435AD8" w14:textId="77777777">
                    <w:tc>
                      <w:tcPr>
                        <w:tcW w:w="0" w:type="auto"/>
                        <w:hideMark/>
                      </w:tcPr>
                      <w:p w14:paraId="7CAA92A1" w14:textId="77777777" w:rsidR="00B31FA1" w:rsidRPr="003A1EA4" w:rsidRDefault="00B31FA1" w:rsidP="00B31FA1">
                        <w:pPr>
                          <w:jc w:val="both"/>
                          <w:rPr>
                            <w:lang w:val="ro-RO"/>
                          </w:rPr>
                        </w:pPr>
                        <w:r w:rsidRPr="003A1EA4">
                          <w:rPr>
                            <w:lang w:val="ro-RO"/>
                          </w:rPr>
                          <w:t>(a)</w:t>
                        </w:r>
                      </w:p>
                    </w:tc>
                    <w:tc>
                      <w:tcPr>
                        <w:tcW w:w="0" w:type="auto"/>
                        <w:hideMark/>
                      </w:tcPr>
                      <w:p w14:paraId="36C817BC" w14:textId="77777777" w:rsidR="00B31FA1" w:rsidRPr="003A1EA4" w:rsidRDefault="00B31FA1" w:rsidP="00B31FA1">
                        <w:pPr>
                          <w:jc w:val="both"/>
                          <w:rPr>
                            <w:lang w:val="ro-RO"/>
                          </w:rPr>
                        </w:pPr>
                        <w:r w:rsidRPr="003A1EA4">
                          <w:rPr>
                            <w:lang w:val="ro-RO"/>
                          </w:rPr>
                          <w:t>CO</w:t>
                        </w:r>
                        <w:r w:rsidRPr="003A1EA4">
                          <w:rPr>
                            <w:vertAlign w:val="subscript"/>
                            <w:lang w:val="ro-RO"/>
                          </w:rPr>
                          <w:t>2</w:t>
                        </w:r>
                        <w:r w:rsidRPr="003A1EA4">
                          <w:rPr>
                            <w:lang w:val="ro-RO"/>
                          </w:rPr>
                          <w:t> a fost captat în urma unei activități enumerate în anexa I la Directiva 2003/87/CE și a fost luat în considerare în amonte într-un sistem eficace de tarifare a carbonului și este încorporat în compoziția chimică a combustibilului înainte de 2036. Această dată se prelungește până în 2041 în alte cazuri decât CO</w:t>
                        </w:r>
                        <w:r w:rsidRPr="003A1EA4">
                          <w:rPr>
                            <w:vertAlign w:val="subscript"/>
                            <w:lang w:val="ro-RO"/>
                          </w:rPr>
                          <w:t>2</w:t>
                        </w:r>
                        <w:r w:rsidRPr="003A1EA4">
                          <w:rPr>
                            <w:lang w:val="ro-RO"/>
                          </w:rPr>
                          <w:t> rezultat din arderea combustibililor pentru producerea de energie electrică; sau</w:t>
                        </w:r>
                      </w:p>
                    </w:tc>
                  </w:tr>
                </w:tbl>
                <w:p w14:paraId="7400D83F"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538"/>
                    <w:gridCol w:w="5360"/>
                  </w:tblGrid>
                  <w:tr w:rsidR="00B31FA1" w:rsidRPr="003A1EA4" w14:paraId="0987E627" w14:textId="77777777">
                    <w:tc>
                      <w:tcPr>
                        <w:tcW w:w="0" w:type="auto"/>
                        <w:hideMark/>
                      </w:tcPr>
                      <w:p w14:paraId="5F74E989" w14:textId="77777777" w:rsidR="00B31FA1" w:rsidRPr="003A1EA4" w:rsidRDefault="00B31FA1" w:rsidP="00B31FA1">
                        <w:pPr>
                          <w:jc w:val="both"/>
                          <w:rPr>
                            <w:lang w:val="ro-RO"/>
                          </w:rPr>
                        </w:pPr>
                        <w:r w:rsidRPr="003A1EA4">
                          <w:rPr>
                            <w:lang w:val="ro-RO"/>
                          </w:rPr>
                          <w:t>(b)</w:t>
                        </w:r>
                      </w:p>
                    </w:tc>
                    <w:tc>
                      <w:tcPr>
                        <w:tcW w:w="0" w:type="auto"/>
                        <w:hideMark/>
                      </w:tcPr>
                      <w:p w14:paraId="23302854" w14:textId="77777777" w:rsidR="00B31FA1" w:rsidRPr="003A1EA4" w:rsidRDefault="00B31FA1" w:rsidP="00B31FA1">
                        <w:pPr>
                          <w:jc w:val="both"/>
                          <w:rPr>
                            <w:lang w:val="ro-RO"/>
                          </w:rPr>
                        </w:pPr>
                        <w:r w:rsidRPr="003A1EA4">
                          <w:rPr>
                            <w:lang w:val="ro-RO"/>
                          </w:rPr>
                          <w:t>CO</w:t>
                        </w:r>
                        <w:r w:rsidRPr="003A1EA4">
                          <w:rPr>
                            <w:vertAlign w:val="subscript"/>
                            <w:lang w:val="ro-RO"/>
                          </w:rPr>
                          <w:t>2</w:t>
                        </w:r>
                        <w:r w:rsidRPr="003A1EA4">
                          <w:rPr>
                            <w:lang w:val="ro-RO"/>
                          </w:rPr>
                          <w:t> a fost captat din aer; sau</w:t>
                        </w:r>
                      </w:p>
                    </w:tc>
                  </w:tr>
                </w:tbl>
                <w:p w14:paraId="3D950C28"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653"/>
                  </w:tblGrid>
                  <w:tr w:rsidR="00B31FA1" w:rsidRPr="001E7471" w14:paraId="13763F54" w14:textId="77777777">
                    <w:tc>
                      <w:tcPr>
                        <w:tcW w:w="0" w:type="auto"/>
                        <w:hideMark/>
                      </w:tcPr>
                      <w:p w14:paraId="1A0037E5" w14:textId="77777777" w:rsidR="00B31FA1" w:rsidRPr="003A1EA4" w:rsidRDefault="00B31FA1" w:rsidP="00B31FA1">
                        <w:pPr>
                          <w:jc w:val="both"/>
                          <w:rPr>
                            <w:lang w:val="ro-RO"/>
                          </w:rPr>
                        </w:pPr>
                        <w:r w:rsidRPr="003A1EA4">
                          <w:rPr>
                            <w:lang w:val="ro-RO"/>
                          </w:rPr>
                          <w:t>(c)</w:t>
                        </w:r>
                      </w:p>
                    </w:tc>
                    <w:tc>
                      <w:tcPr>
                        <w:tcW w:w="0" w:type="auto"/>
                        <w:hideMark/>
                      </w:tcPr>
                      <w:p w14:paraId="156D0C1C" w14:textId="77777777" w:rsidR="00B31FA1" w:rsidRPr="003A1EA4" w:rsidRDefault="00B31FA1" w:rsidP="00B31FA1">
                        <w:pPr>
                          <w:jc w:val="both"/>
                          <w:rPr>
                            <w:lang w:val="ro-RO"/>
                          </w:rPr>
                        </w:pPr>
                        <w:r w:rsidRPr="003A1EA4">
                          <w:rPr>
                            <w:lang w:val="ro-RO"/>
                          </w:rPr>
                          <w:t>CO</w:t>
                        </w:r>
                        <w:r w:rsidRPr="003A1EA4">
                          <w:rPr>
                            <w:vertAlign w:val="subscript"/>
                            <w:lang w:val="ro-RO"/>
                          </w:rPr>
                          <w:t>2</w:t>
                        </w:r>
                        <w:r w:rsidRPr="003A1EA4">
                          <w:rPr>
                            <w:lang w:val="ro-RO"/>
                          </w:rPr>
                          <w:t> captat provine din producția sau din arderea biocombustibililor, a biolichidelor sau a combustibililor pe bază de biomasă care respectă criteriile de reducere a gazelor cu efect de seră și captarea de CO</w:t>
                        </w:r>
                        <w:r w:rsidRPr="003A1EA4">
                          <w:rPr>
                            <w:vertAlign w:val="subscript"/>
                            <w:lang w:val="ro-RO"/>
                          </w:rPr>
                          <w:t>2</w:t>
                        </w:r>
                        <w:r w:rsidRPr="003A1EA4">
                          <w:rPr>
                            <w:lang w:val="ro-RO"/>
                          </w:rPr>
                          <w:t> nu a beneficiat de credite pentru reduceri ale emisiilor din captarea și din înlocuirea CO</w:t>
                        </w:r>
                        <w:r w:rsidRPr="003A1EA4">
                          <w:rPr>
                            <w:vertAlign w:val="subscript"/>
                            <w:lang w:val="ro-RO"/>
                          </w:rPr>
                          <w:t>2</w:t>
                        </w:r>
                        <w:r w:rsidRPr="003A1EA4">
                          <w:rPr>
                            <w:lang w:val="ro-RO"/>
                          </w:rPr>
                          <w:t>, stabilite în anexele V și VI la Directiva (UE) 2018/2001; sau</w:t>
                        </w:r>
                      </w:p>
                    </w:tc>
                  </w:tr>
                </w:tbl>
                <w:p w14:paraId="3A6832FC"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641"/>
                  </w:tblGrid>
                  <w:tr w:rsidR="00B31FA1" w:rsidRPr="001E7471" w14:paraId="628F9CC8" w14:textId="77777777">
                    <w:tc>
                      <w:tcPr>
                        <w:tcW w:w="0" w:type="auto"/>
                        <w:hideMark/>
                      </w:tcPr>
                      <w:p w14:paraId="4A78D399" w14:textId="77777777" w:rsidR="00B31FA1" w:rsidRPr="003A1EA4" w:rsidRDefault="00B31FA1" w:rsidP="00B31FA1">
                        <w:pPr>
                          <w:jc w:val="both"/>
                          <w:rPr>
                            <w:lang w:val="ro-RO"/>
                          </w:rPr>
                        </w:pPr>
                        <w:r w:rsidRPr="003A1EA4">
                          <w:rPr>
                            <w:lang w:val="ro-RO"/>
                          </w:rPr>
                          <w:t>(d)</w:t>
                        </w:r>
                      </w:p>
                    </w:tc>
                    <w:tc>
                      <w:tcPr>
                        <w:tcW w:w="0" w:type="auto"/>
                        <w:hideMark/>
                      </w:tcPr>
                      <w:p w14:paraId="185A7D8F" w14:textId="77777777" w:rsidR="00B31FA1" w:rsidRPr="003A1EA4" w:rsidRDefault="00B31FA1" w:rsidP="00B31FA1">
                        <w:pPr>
                          <w:jc w:val="both"/>
                          <w:rPr>
                            <w:lang w:val="ro-RO"/>
                          </w:rPr>
                        </w:pPr>
                        <w:r w:rsidRPr="003A1EA4">
                          <w:rPr>
                            <w:lang w:val="ro-RO"/>
                          </w:rPr>
                          <w:t>CO</w:t>
                        </w:r>
                        <w:r w:rsidRPr="003A1EA4">
                          <w:rPr>
                            <w:vertAlign w:val="subscript"/>
                            <w:lang w:val="ro-RO"/>
                          </w:rPr>
                          <w:t>2</w:t>
                        </w:r>
                        <w:r w:rsidRPr="003A1EA4">
                          <w:rPr>
                            <w:lang w:val="ro-RO"/>
                          </w:rPr>
                          <w:t> captat provine din arderea combustibililor lichizi și gazoși de origine nebiologică din surse regenerabile utilizați în transporturi sau a combustibililor pe bază de carbon reciclat care respectă criteriile de reducere a emisiilor de gaze cu efect de seră prevăzute la articolul 25 alineatul (2) și la articolul 28 alineatul (5) din Directiva (UE) 2018/2001 și în prezentul regulament; sau</w:t>
                        </w:r>
                      </w:p>
                    </w:tc>
                  </w:tr>
                </w:tbl>
                <w:p w14:paraId="3A7E8996"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653"/>
                  </w:tblGrid>
                  <w:tr w:rsidR="00B31FA1" w:rsidRPr="001E7471" w14:paraId="6C444A16" w14:textId="77777777">
                    <w:tc>
                      <w:tcPr>
                        <w:tcW w:w="0" w:type="auto"/>
                        <w:hideMark/>
                      </w:tcPr>
                      <w:p w14:paraId="23710CAC" w14:textId="77777777" w:rsidR="00B31FA1" w:rsidRPr="003A1EA4" w:rsidRDefault="00B31FA1" w:rsidP="00B31FA1">
                        <w:pPr>
                          <w:jc w:val="both"/>
                          <w:rPr>
                            <w:lang w:val="ro-RO"/>
                          </w:rPr>
                        </w:pPr>
                        <w:r w:rsidRPr="003A1EA4">
                          <w:rPr>
                            <w:lang w:val="ro-RO"/>
                          </w:rPr>
                          <w:t>(e)</w:t>
                        </w:r>
                      </w:p>
                    </w:tc>
                    <w:tc>
                      <w:tcPr>
                        <w:tcW w:w="0" w:type="auto"/>
                        <w:hideMark/>
                      </w:tcPr>
                      <w:p w14:paraId="42FFD968" w14:textId="77777777" w:rsidR="00B31FA1" w:rsidRPr="003A1EA4" w:rsidRDefault="00B31FA1" w:rsidP="00B31FA1">
                        <w:pPr>
                          <w:jc w:val="both"/>
                          <w:rPr>
                            <w:lang w:val="ro-RO"/>
                          </w:rPr>
                        </w:pPr>
                        <w:r w:rsidRPr="003A1EA4">
                          <w:rPr>
                            <w:lang w:val="ro-RO"/>
                          </w:rPr>
                          <w:t>CO</w:t>
                        </w:r>
                        <w:r w:rsidRPr="003A1EA4">
                          <w:rPr>
                            <w:vertAlign w:val="subscript"/>
                            <w:lang w:val="ro-RO"/>
                          </w:rPr>
                          <w:t>2</w:t>
                        </w:r>
                        <w:r w:rsidRPr="003A1EA4">
                          <w:rPr>
                            <w:lang w:val="ro-RO"/>
                          </w:rPr>
                          <w:t> captat provine dintr-o sursă geologică de CO</w:t>
                        </w:r>
                        <w:r w:rsidRPr="003A1EA4">
                          <w:rPr>
                            <w:vertAlign w:val="subscript"/>
                            <w:lang w:val="ro-RO"/>
                          </w:rPr>
                          <w:t>2</w:t>
                        </w:r>
                        <w:r w:rsidRPr="003A1EA4">
                          <w:rPr>
                            <w:lang w:val="ro-RO"/>
                          </w:rPr>
                          <w:t> și a fost eliberat anterior în mod natural.</w:t>
                        </w:r>
                      </w:p>
                    </w:tc>
                  </w:tr>
                </w:tbl>
                <w:p w14:paraId="12DB2FFF" w14:textId="77777777" w:rsidR="00B31FA1" w:rsidRPr="003A1EA4" w:rsidRDefault="00B31FA1" w:rsidP="00B31FA1">
                  <w:pPr>
                    <w:jc w:val="both"/>
                    <w:rPr>
                      <w:lang w:val="ro-RO"/>
                    </w:rPr>
                  </w:pPr>
                  <w:r w:rsidRPr="003A1EA4">
                    <w:rPr>
                      <w:lang w:val="ro-RO"/>
                    </w:rPr>
                    <w:t>Nu se include CO</w:t>
                  </w:r>
                  <w:r w:rsidRPr="003A1EA4">
                    <w:rPr>
                      <w:vertAlign w:val="subscript"/>
                      <w:lang w:val="ro-RO"/>
                    </w:rPr>
                    <w:t>2</w:t>
                  </w:r>
                  <w:r w:rsidRPr="003A1EA4">
                    <w:rPr>
                      <w:lang w:val="ro-RO"/>
                    </w:rPr>
                    <w:t> captat provenit dintr-un combustibil ars în mod deliberat în scopul specific de a produce CO</w:t>
                  </w:r>
                  <w:r w:rsidRPr="003A1EA4">
                    <w:rPr>
                      <w:vertAlign w:val="subscript"/>
                      <w:lang w:val="ro-RO"/>
                    </w:rPr>
                    <w:t>2</w:t>
                  </w:r>
                  <w:r w:rsidRPr="003A1EA4">
                    <w:rPr>
                      <w:lang w:val="ro-RO"/>
                    </w:rPr>
                    <w:t> și nici CO</w:t>
                  </w:r>
                  <w:r w:rsidRPr="003A1EA4">
                    <w:rPr>
                      <w:vertAlign w:val="subscript"/>
                      <w:lang w:val="ro-RO"/>
                    </w:rPr>
                    <w:t>2</w:t>
                  </w:r>
                  <w:r w:rsidRPr="003A1EA4">
                    <w:rPr>
                      <w:lang w:val="ro-RO"/>
                    </w:rPr>
                    <w:t> a cărui captare a beneficiat de un credit de emisii în temeiul altor dispoziții legale.</w:t>
                  </w:r>
                </w:p>
                <w:p w14:paraId="7DCD02CE" w14:textId="77777777" w:rsidR="00B31FA1" w:rsidRPr="003A1EA4" w:rsidRDefault="00B31FA1" w:rsidP="00B31FA1">
                  <w:pPr>
                    <w:jc w:val="both"/>
                    <w:rPr>
                      <w:lang w:val="ro-RO"/>
                    </w:rPr>
                  </w:pPr>
                  <w:r w:rsidRPr="003A1EA4">
                    <w:rPr>
                      <w:lang w:val="ro-RO"/>
                    </w:rPr>
                    <w:t>Emisiile asociate intrărilor, cum ar fi energia electrică și termică și materialele consumabile utilizate în procesul de captare a CO</w:t>
                  </w:r>
                  <w:r w:rsidRPr="003A1EA4">
                    <w:rPr>
                      <w:vertAlign w:val="subscript"/>
                      <w:lang w:val="ro-RO"/>
                    </w:rPr>
                    <w:t>2</w:t>
                  </w:r>
                  <w:r w:rsidRPr="003A1EA4">
                    <w:rPr>
                      <w:lang w:val="ro-RO"/>
                    </w:rPr>
                    <w:t>, se includ în calculul emisiilor atribuite intrărilor.</w:t>
                  </w:r>
                </w:p>
              </w:tc>
            </w:tr>
          </w:tbl>
          <w:p w14:paraId="1930217C"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275"/>
              <w:gridCol w:w="5898"/>
            </w:tblGrid>
            <w:tr w:rsidR="00B31FA1" w:rsidRPr="001E7471" w14:paraId="35FB0A8E" w14:textId="77777777">
              <w:tc>
                <w:tcPr>
                  <w:tcW w:w="0" w:type="auto"/>
                  <w:shd w:val="clear" w:color="auto" w:fill="FFFFFF"/>
                  <w:hideMark/>
                </w:tcPr>
                <w:p w14:paraId="66816451" w14:textId="77777777" w:rsidR="00B31FA1" w:rsidRPr="003A1EA4" w:rsidRDefault="00B31FA1" w:rsidP="00B31FA1">
                  <w:pPr>
                    <w:jc w:val="both"/>
                    <w:rPr>
                      <w:lang w:val="ro-RO"/>
                    </w:rPr>
                  </w:pPr>
                </w:p>
              </w:tc>
              <w:tc>
                <w:tcPr>
                  <w:tcW w:w="0" w:type="auto"/>
                  <w:shd w:val="clear" w:color="auto" w:fill="FFFFFF"/>
                  <w:hideMark/>
                </w:tcPr>
                <w:p w14:paraId="0CF26234" w14:textId="77777777" w:rsidR="00B31FA1" w:rsidRPr="003A1EA4" w:rsidRDefault="00B31FA1" w:rsidP="00B31FA1">
                  <w:pPr>
                    <w:jc w:val="both"/>
                    <w:rPr>
                      <w:lang w:val="ro-RO"/>
                    </w:rPr>
                  </w:pPr>
                  <w:r w:rsidRPr="003A1EA4">
                    <w:rPr>
                      <w:lang w:val="ro-RO"/>
                    </w:rPr>
                    <w:t>11.</w:t>
                  </w:r>
                </w:p>
              </w:tc>
              <w:tc>
                <w:tcPr>
                  <w:tcW w:w="0" w:type="auto"/>
                  <w:shd w:val="clear" w:color="auto" w:fill="FFFFFF"/>
                  <w:hideMark/>
                </w:tcPr>
                <w:p w14:paraId="49AE1226" w14:textId="77777777" w:rsidR="00B31FA1" w:rsidRPr="003A1EA4" w:rsidRDefault="00B31FA1" w:rsidP="00B31FA1">
                  <w:pPr>
                    <w:jc w:val="both"/>
                    <w:rPr>
                      <w:lang w:val="ro-RO"/>
                    </w:rPr>
                  </w:pPr>
                  <w:r w:rsidRPr="003A1EA4">
                    <w:rPr>
                      <w:lang w:val="ro-RO"/>
                    </w:rPr>
                    <w:t>Datele stabilite la punctul 10 litera (a) vor face obiectul unei revizuiri din perspectiva punerii în aplicare, în sectoarele reglementate de Directiva 2003/87/CE, a obiectivului climatic la nivelul Uniunii pentru 2040, stabilit în conformitate cu articolul 4 alineatul (3) din Regulamentul (UE) 2021/1119.</w:t>
                  </w:r>
                </w:p>
              </w:tc>
            </w:tr>
          </w:tbl>
          <w:p w14:paraId="7AD0BFC0"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275"/>
              <w:gridCol w:w="5898"/>
            </w:tblGrid>
            <w:tr w:rsidR="00B31FA1" w:rsidRPr="001E7471" w14:paraId="6901E67E" w14:textId="77777777">
              <w:tc>
                <w:tcPr>
                  <w:tcW w:w="0" w:type="auto"/>
                  <w:shd w:val="clear" w:color="auto" w:fill="FFFFFF"/>
                  <w:hideMark/>
                </w:tcPr>
                <w:p w14:paraId="3559249C" w14:textId="77777777" w:rsidR="00B31FA1" w:rsidRPr="003A1EA4" w:rsidRDefault="00B31FA1" w:rsidP="00B31FA1">
                  <w:pPr>
                    <w:jc w:val="both"/>
                    <w:rPr>
                      <w:lang w:val="ro-RO"/>
                    </w:rPr>
                  </w:pPr>
                </w:p>
              </w:tc>
              <w:tc>
                <w:tcPr>
                  <w:tcW w:w="0" w:type="auto"/>
                  <w:shd w:val="clear" w:color="auto" w:fill="FFFFFF"/>
                  <w:hideMark/>
                </w:tcPr>
                <w:p w14:paraId="37DE31E4" w14:textId="77777777" w:rsidR="00B31FA1" w:rsidRPr="003A1EA4" w:rsidRDefault="00B31FA1" w:rsidP="00B31FA1">
                  <w:pPr>
                    <w:jc w:val="both"/>
                    <w:rPr>
                      <w:lang w:val="ro-RO"/>
                    </w:rPr>
                  </w:pPr>
                  <w:r w:rsidRPr="003A1EA4">
                    <w:rPr>
                      <w:lang w:val="ro-RO"/>
                    </w:rPr>
                    <w:t>12.</w:t>
                  </w:r>
                </w:p>
              </w:tc>
              <w:tc>
                <w:tcPr>
                  <w:tcW w:w="0" w:type="auto"/>
                  <w:shd w:val="clear" w:color="auto" w:fill="FFFFFF"/>
                  <w:hideMark/>
                </w:tcPr>
                <w:p w14:paraId="622CBAAA" w14:textId="77777777" w:rsidR="00B31FA1" w:rsidRPr="003A1EA4" w:rsidRDefault="00B31FA1" w:rsidP="00B31FA1">
                  <w:pPr>
                    <w:jc w:val="both"/>
                    <w:rPr>
                      <w:lang w:val="ro-RO"/>
                    </w:rPr>
                  </w:pPr>
                  <w:r w:rsidRPr="003A1EA4">
                    <w:rPr>
                      <w:lang w:val="ro-RO"/>
                    </w:rPr>
                    <w:t>Emisiile provenite din prelucrare includ emisiile atmosferice directe provenite din prelucrarea propriu-zisă, din tratarea deșeurilor și din scurgeri.</w:t>
                  </w:r>
                </w:p>
              </w:tc>
            </w:tr>
          </w:tbl>
          <w:p w14:paraId="08F46EB5"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275"/>
              <w:gridCol w:w="5898"/>
            </w:tblGrid>
            <w:tr w:rsidR="00B31FA1" w:rsidRPr="001E7471" w14:paraId="4483029A" w14:textId="77777777">
              <w:tc>
                <w:tcPr>
                  <w:tcW w:w="0" w:type="auto"/>
                  <w:shd w:val="clear" w:color="auto" w:fill="FFFFFF"/>
                  <w:hideMark/>
                </w:tcPr>
                <w:p w14:paraId="2447BDB1" w14:textId="77777777" w:rsidR="00B31FA1" w:rsidRPr="003A1EA4" w:rsidRDefault="00B31FA1" w:rsidP="00B31FA1">
                  <w:pPr>
                    <w:jc w:val="both"/>
                    <w:rPr>
                      <w:lang w:val="ro-RO"/>
                    </w:rPr>
                  </w:pPr>
                </w:p>
              </w:tc>
              <w:tc>
                <w:tcPr>
                  <w:tcW w:w="0" w:type="auto"/>
                  <w:shd w:val="clear" w:color="auto" w:fill="FFFFFF"/>
                  <w:hideMark/>
                </w:tcPr>
                <w:p w14:paraId="6F450205" w14:textId="77777777" w:rsidR="00B31FA1" w:rsidRPr="003A1EA4" w:rsidRDefault="00B31FA1" w:rsidP="00B31FA1">
                  <w:pPr>
                    <w:jc w:val="both"/>
                    <w:rPr>
                      <w:lang w:val="ro-RO"/>
                    </w:rPr>
                  </w:pPr>
                  <w:r w:rsidRPr="003A1EA4">
                    <w:rPr>
                      <w:lang w:val="ro-RO"/>
                    </w:rPr>
                    <w:t>13.</w:t>
                  </w:r>
                </w:p>
              </w:tc>
              <w:tc>
                <w:tcPr>
                  <w:tcW w:w="0" w:type="auto"/>
                  <w:shd w:val="clear" w:color="auto" w:fill="FFFFFF"/>
                  <w:hideMark/>
                </w:tcPr>
                <w:p w14:paraId="456B6809" w14:textId="77777777" w:rsidR="00B31FA1" w:rsidRPr="003A1EA4" w:rsidRDefault="00B31FA1" w:rsidP="00B31FA1">
                  <w:pPr>
                    <w:jc w:val="both"/>
                    <w:rPr>
                      <w:lang w:val="ro-RO"/>
                    </w:rPr>
                  </w:pPr>
                  <w:r w:rsidRPr="003A1EA4">
                    <w:rPr>
                      <w:lang w:val="ro-RO"/>
                    </w:rPr>
                    <w:t>Emisiile provenite din arderea combustibilului se referă la emisiile totale de ardere ale combustibilului utilizat.</w:t>
                  </w:r>
                </w:p>
              </w:tc>
            </w:tr>
          </w:tbl>
          <w:p w14:paraId="7107A5E9"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275"/>
              <w:gridCol w:w="5898"/>
            </w:tblGrid>
            <w:tr w:rsidR="00B31FA1" w:rsidRPr="001E7471" w14:paraId="7A478A75" w14:textId="77777777">
              <w:tc>
                <w:tcPr>
                  <w:tcW w:w="0" w:type="auto"/>
                  <w:shd w:val="clear" w:color="auto" w:fill="FFFFFF"/>
                  <w:hideMark/>
                </w:tcPr>
                <w:p w14:paraId="4D74BEED" w14:textId="77777777" w:rsidR="00B31FA1" w:rsidRPr="003A1EA4" w:rsidRDefault="00B31FA1" w:rsidP="00B31FA1">
                  <w:pPr>
                    <w:jc w:val="both"/>
                    <w:rPr>
                      <w:lang w:val="ro-RO"/>
                    </w:rPr>
                  </w:pPr>
                </w:p>
              </w:tc>
              <w:tc>
                <w:tcPr>
                  <w:tcW w:w="0" w:type="auto"/>
                  <w:shd w:val="clear" w:color="auto" w:fill="FFFFFF"/>
                  <w:hideMark/>
                </w:tcPr>
                <w:p w14:paraId="12CD5780" w14:textId="77777777" w:rsidR="00B31FA1" w:rsidRPr="003A1EA4" w:rsidRDefault="00B31FA1" w:rsidP="00B31FA1">
                  <w:pPr>
                    <w:jc w:val="both"/>
                    <w:rPr>
                      <w:lang w:val="ro-RO"/>
                    </w:rPr>
                  </w:pPr>
                  <w:r w:rsidRPr="003A1EA4">
                    <w:rPr>
                      <w:lang w:val="ro-RO"/>
                    </w:rPr>
                    <w:t>14.</w:t>
                  </w:r>
                </w:p>
              </w:tc>
              <w:tc>
                <w:tcPr>
                  <w:tcW w:w="0" w:type="auto"/>
                  <w:shd w:val="clear" w:color="auto" w:fill="FFFFFF"/>
                  <w:hideMark/>
                </w:tcPr>
                <w:p w14:paraId="6AA29553" w14:textId="77777777" w:rsidR="00B31FA1" w:rsidRPr="003A1EA4" w:rsidRDefault="00B31FA1" w:rsidP="00B31FA1">
                  <w:pPr>
                    <w:jc w:val="both"/>
                    <w:rPr>
                      <w:lang w:val="ro-RO"/>
                    </w:rPr>
                  </w:pPr>
                  <w:r w:rsidRPr="003A1EA4">
                    <w:rPr>
                      <w:lang w:val="ro-RO"/>
                    </w:rPr>
                    <w:t>Gazele cu efect de seră luate în considerare în calculul emisiilor și echivalentele lor în dioxid de carbon sunt aceleași cu cele specificate în partea C punctul 4 din anexa V la Directiva (UE) 2018/2001.</w:t>
                  </w:r>
                </w:p>
              </w:tc>
            </w:tr>
          </w:tbl>
          <w:p w14:paraId="2597ADA1"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275"/>
              <w:gridCol w:w="5898"/>
            </w:tblGrid>
            <w:tr w:rsidR="00B31FA1" w:rsidRPr="001E7471" w14:paraId="08F4FAE6" w14:textId="77777777">
              <w:tc>
                <w:tcPr>
                  <w:tcW w:w="0" w:type="auto"/>
                  <w:shd w:val="clear" w:color="auto" w:fill="FFFFFF"/>
                  <w:hideMark/>
                </w:tcPr>
                <w:p w14:paraId="46ECCE88" w14:textId="77777777" w:rsidR="00B31FA1" w:rsidRPr="003A1EA4" w:rsidRDefault="00B31FA1" w:rsidP="00B31FA1">
                  <w:pPr>
                    <w:jc w:val="both"/>
                    <w:rPr>
                      <w:lang w:val="ro-RO"/>
                    </w:rPr>
                  </w:pPr>
                </w:p>
              </w:tc>
              <w:tc>
                <w:tcPr>
                  <w:tcW w:w="0" w:type="auto"/>
                  <w:shd w:val="clear" w:color="auto" w:fill="FFFFFF"/>
                  <w:hideMark/>
                </w:tcPr>
                <w:p w14:paraId="05BC1778" w14:textId="77777777" w:rsidR="00B31FA1" w:rsidRPr="003A1EA4" w:rsidRDefault="00B31FA1" w:rsidP="00B31FA1">
                  <w:pPr>
                    <w:jc w:val="both"/>
                    <w:rPr>
                      <w:lang w:val="ro-RO"/>
                    </w:rPr>
                  </w:pPr>
                  <w:r w:rsidRPr="003A1EA4">
                    <w:rPr>
                      <w:lang w:val="ro-RO"/>
                    </w:rPr>
                    <w:t>15.</w:t>
                  </w:r>
                </w:p>
              </w:tc>
              <w:tc>
                <w:tcPr>
                  <w:tcW w:w="0" w:type="auto"/>
                  <w:shd w:val="clear" w:color="auto" w:fill="FFFFFF"/>
                  <w:hideMark/>
                </w:tcPr>
                <w:p w14:paraId="1BDD04D4" w14:textId="77777777" w:rsidR="00B31FA1" w:rsidRPr="003A1EA4" w:rsidRDefault="00B31FA1" w:rsidP="00B31FA1">
                  <w:pPr>
                    <w:jc w:val="both"/>
                    <w:rPr>
                      <w:lang w:val="ro-RO"/>
                    </w:rPr>
                  </w:pPr>
                  <w:r w:rsidRPr="003A1EA4">
                    <w:rPr>
                      <w:lang w:val="ro-RO"/>
                    </w:rPr>
                    <w:t>În cazul în care un proces produce mai multe coproduse, cum ar fi combustibili sau substanțe chimice, precum și coproduse energetice, cum ar fi căldura, energia electrică sau energia mecanică exportată din instalație, emisiile de gaze cu efect de seră se alocă acestor coproduse după cum urmează:</w:t>
                  </w:r>
                </w:p>
                <w:tbl>
                  <w:tblPr>
                    <w:tblW w:w="5000" w:type="pct"/>
                    <w:tblCellMar>
                      <w:left w:w="0" w:type="dxa"/>
                      <w:right w:w="0" w:type="dxa"/>
                    </w:tblCellMar>
                    <w:tblLook w:val="04A0" w:firstRow="1" w:lastRow="0" w:firstColumn="1" w:lastColumn="0" w:noHBand="0" w:noVBand="1"/>
                  </w:tblPr>
                  <w:tblGrid>
                    <w:gridCol w:w="245"/>
                    <w:gridCol w:w="5653"/>
                  </w:tblGrid>
                  <w:tr w:rsidR="00B31FA1" w:rsidRPr="001E7471" w14:paraId="4F548FC2" w14:textId="77777777">
                    <w:tc>
                      <w:tcPr>
                        <w:tcW w:w="0" w:type="auto"/>
                        <w:hideMark/>
                      </w:tcPr>
                      <w:p w14:paraId="090EEF44" w14:textId="77777777" w:rsidR="00B31FA1" w:rsidRPr="003A1EA4" w:rsidRDefault="00B31FA1" w:rsidP="00B31FA1">
                        <w:pPr>
                          <w:jc w:val="both"/>
                          <w:rPr>
                            <w:lang w:val="ro-RO"/>
                          </w:rPr>
                        </w:pPr>
                        <w:r w:rsidRPr="003A1EA4">
                          <w:rPr>
                            <w:lang w:val="ro-RO"/>
                          </w:rPr>
                          <w:t>(a)</w:t>
                        </w:r>
                      </w:p>
                    </w:tc>
                    <w:tc>
                      <w:tcPr>
                        <w:tcW w:w="0" w:type="auto"/>
                        <w:hideMark/>
                      </w:tcPr>
                      <w:p w14:paraId="1CFDCAAA" w14:textId="77777777" w:rsidR="00B31FA1" w:rsidRPr="003A1EA4" w:rsidRDefault="00B31FA1" w:rsidP="00B31FA1">
                        <w:pPr>
                          <w:jc w:val="both"/>
                          <w:rPr>
                            <w:lang w:val="ro-RO"/>
                          </w:rPr>
                        </w:pPr>
                        <w:r w:rsidRPr="003A1EA4">
                          <w:rPr>
                            <w:lang w:val="ro-RO"/>
                          </w:rPr>
                          <w:t>alocarea se efectuează la sfârșitul procesului care produce coprodusele. Emisiile alocate includ emisiile provenite din procesul în sine, precum și emisiile atribuite intrărilor în proces;</w:t>
                        </w:r>
                      </w:p>
                    </w:tc>
                  </w:tr>
                </w:tbl>
                <w:p w14:paraId="7A1BE18F"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641"/>
                  </w:tblGrid>
                  <w:tr w:rsidR="00B31FA1" w:rsidRPr="001E7471" w14:paraId="3DE44644" w14:textId="77777777">
                    <w:tc>
                      <w:tcPr>
                        <w:tcW w:w="0" w:type="auto"/>
                        <w:hideMark/>
                      </w:tcPr>
                      <w:p w14:paraId="1AA93438" w14:textId="77777777" w:rsidR="00B31FA1" w:rsidRPr="003A1EA4" w:rsidRDefault="00B31FA1" w:rsidP="00B31FA1">
                        <w:pPr>
                          <w:jc w:val="both"/>
                          <w:rPr>
                            <w:lang w:val="ro-RO"/>
                          </w:rPr>
                        </w:pPr>
                        <w:r w:rsidRPr="003A1EA4">
                          <w:rPr>
                            <w:lang w:val="ro-RO"/>
                          </w:rPr>
                          <w:t>(b)</w:t>
                        </w:r>
                      </w:p>
                    </w:tc>
                    <w:tc>
                      <w:tcPr>
                        <w:tcW w:w="0" w:type="auto"/>
                        <w:hideMark/>
                      </w:tcPr>
                      <w:p w14:paraId="68451930" w14:textId="77777777" w:rsidR="00B31FA1" w:rsidRPr="003A1EA4" w:rsidRDefault="00B31FA1" w:rsidP="00B31FA1">
                        <w:pPr>
                          <w:jc w:val="both"/>
                          <w:rPr>
                            <w:lang w:val="ro-RO"/>
                          </w:rPr>
                        </w:pPr>
                        <w:r w:rsidRPr="003A1EA4">
                          <w:rPr>
                            <w:lang w:val="ro-RO"/>
                          </w:rPr>
                          <w:t>emisiile care urmează să fie alocate sunt </w:t>
                        </w:r>
                        <w:r w:rsidRPr="003A1EA4">
                          <w:rPr>
                            <w:i/>
                            <w:iCs/>
                            <w:lang w:val="ro-RO"/>
                          </w:rPr>
                          <w:t>e i</w:t>
                        </w:r>
                        <w:r w:rsidRPr="003A1EA4">
                          <w:rPr>
                            <w:lang w:val="ro-RO"/>
                          </w:rPr>
                          <w:t> plus orice fracții de </w:t>
                        </w:r>
                        <w:r w:rsidRPr="003A1EA4">
                          <w:rPr>
                            <w:i/>
                            <w:iCs/>
                            <w:lang w:val="ro-RO"/>
                          </w:rPr>
                          <w:t>e </w:t>
                        </w:r>
                        <w:r w:rsidRPr="003A1EA4">
                          <w:rPr>
                            <w:i/>
                            <w:iCs/>
                            <w:vertAlign w:val="subscript"/>
                            <w:lang w:val="ro-RO"/>
                          </w:rPr>
                          <w:t>p</w:t>
                        </w:r>
                        <w:r w:rsidRPr="003A1EA4">
                          <w:rPr>
                            <w:i/>
                            <w:iCs/>
                            <w:lang w:val="ro-RO"/>
                          </w:rPr>
                          <w:t>, e </w:t>
                        </w:r>
                        <w:r w:rsidRPr="003A1EA4">
                          <w:rPr>
                            <w:i/>
                            <w:iCs/>
                            <w:vertAlign w:val="subscript"/>
                            <w:lang w:val="ro-RO"/>
                          </w:rPr>
                          <w:t>td</w:t>
                        </w:r>
                        <w:r w:rsidRPr="003A1EA4">
                          <w:rPr>
                            <w:i/>
                            <w:iCs/>
                            <w:lang w:val="ro-RO"/>
                          </w:rPr>
                          <w:t> </w:t>
                        </w:r>
                        <w:r w:rsidRPr="003A1EA4">
                          <w:rPr>
                            <w:lang w:val="ro-RO"/>
                          </w:rPr>
                          <w:t>și </w:t>
                        </w:r>
                        <w:r w:rsidRPr="003A1EA4">
                          <w:rPr>
                            <w:i/>
                            <w:iCs/>
                            <w:lang w:val="ro-RO"/>
                          </w:rPr>
                          <w:t>e </w:t>
                        </w:r>
                        <w:r w:rsidRPr="003A1EA4">
                          <w:rPr>
                            <w:i/>
                            <w:iCs/>
                            <w:vertAlign w:val="subscript"/>
                            <w:lang w:val="ro-RO"/>
                          </w:rPr>
                          <w:t>ccs</w:t>
                        </w:r>
                        <w:r w:rsidRPr="003A1EA4">
                          <w:rPr>
                            <w:i/>
                            <w:iCs/>
                            <w:lang w:val="ro-RO"/>
                          </w:rPr>
                          <w:t> </w:t>
                        </w:r>
                        <w:r w:rsidRPr="003A1EA4">
                          <w:rPr>
                            <w:lang w:val="ro-RO"/>
                          </w:rPr>
                          <w:t>care au loc până la și inclusiv în etapa de producție a coproduselor. În cazul în care o intrare în proces este ea însăși un coprodus al unui alt proces, alocarea în cadrul celuilalt proces se efectuează mai întâi pentru a stabili emisiile care urmează să fie atribuite intrării;</w:t>
                        </w:r>
                      </w:p>
                    </w:tc>
                  </w:tr>
                </w:tbl>
                <w:p w14:paraId="796873E5"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653"/>
                  </w:tblGrid>
                  <w:tr w:rsidR="00B31FA1" w:rsidRPr="001E7471" w14:paraId="6579C1BE" w14:textId="77777777">
                    <w:tc>
                      <w:tcPr>
                        <w:tcW w:w="0" w:type="auto"/>
                        <w:hideMark/>
                      </w:tcPr>
                      <w:p w14:paraId="37330630" w14:textId="77777777" w:rsidR="00B31FA1" w:rsidRPr="003A1EA4" w:rsidRDefault="00B31FA1" w:rsidP="00B31FA1">
                        <w:pPr>
                          <w:jc w:val="both"/>
                          <w:rPr>
                            <w:lang w:val="ro-RO"/>
                          </w:rPr>
                        </w:pPr>
                        <w:r w:rsidRPr="003A1EA4">
                          <w:rPr>
                            <w:lang w:val="ro-RO"/>
                          </w:rPr>
                          <w:t>(c)</w:t>
                        </w:r>
                      </w:p>
                    </w:tc>
                    <w:tc>
                      <w:tcPr>
                        <w:tcW w:w="0" w:type="auto"/>
                        <w:hideMark/>
                      </w:tcPr>
                      <w:p w14:paraId="3B812BCA" w14:textId="77777777" w:rsidR="00B31FA1" w:rsidRPr="003A1EA4" w:rsidRDefault="00B31FA1" w:rsidP="00B31FA1">
                        <w:pPr>
                          <w:jc w:val="both"/>
                          <w:rPr>
                            <w:lang w:val="ro-RO"/>
                          </w:rPr>
                        </w:pPr>
                        <w:r w:rsidRPr="003A1EA4">
                          <w:rPr>
                            <w:lang w:val="ro-RO"/>
                          </w:rPr>
                          <w:t>în cazul în care o instalație situată în interiorul limitelor proiectului tratează doar unul dintre coprodusele proiectului, atunci emisiile instalației respective se atribuie în întregime respectivului coprodus;</w:t>
                        </w:r>
                      </w:p>
                    </w:tc>
                  </w:tr>
                </w:tbl>
                <w:p w14:paraId="0B0A7C4E"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641"/>
                  </w:tblGrid>
                  <w:tr w:rsidR="00B31FA1" w:rsidRPr="001E7471" w14:paraId="67691493" w14:textId="77777777">
                    <w:tc>
                      <w:tcPr>
                        <w:tcW w:w="0" w:type="auto"/>
                        <w:hideMark/>
                      </w:tcPr>
                      <w:p w14:paraId="2C4F6D7E" w14:textId="77777777" w:rsidR="00B31FA1" w:rsidRPr="003A1EA4" w:rsidRDefault="00B31FA1" w:rsidP="00B31FA1">
                        <w:pPr>
                          <w:jc w:val="both"/>
                          <w:rPr>
                            <w:lang w:val="ro-RO"/>
                          </w:rPr>
                        </w:pPr>
                        <w:r w:rsidRPr="003A1EA4">
                          <w:rPr>
                            <w:lang w:val="ro-RO"/>
                          </w:rPr>
                          <w:t>(d)</w:t>
                        </w:r>
                      </w:p>
                    </w:tc>
                    <w:tc>
                      <w:tcPr>
                        <w:tcW w:w="0" w:type="auto"/>
                        <w:hideMark/>
                      </w:tcPr>
                      <w:p w14:paraId="7E28343D" w14:textId="77777777" w:rsidR="00B31FA1" w:rsidRPr="003A1EA4" w:rsidRDefault="00B31FA1" w:rsidP="00B31FA1">
                        <w:pPr>
                          <w:jc w:val="both"/>
                          <w:rPr>
                            <w:lang w:val="ro-RO"/>
                          </w:rPr>
                        </w:pPr>
                        <w:r w:rsidRPr="003A1EA4">
                          <w:rPr>
                            <w:lang w:val="ro-RO"/>
                          </w:rPr>
                          <w:t>în cazul în care procesul permite modificarea raportului dintre coprodusele generate, alocarea se face pe baza cauzalității fizice prin determinarea efectului asupra emisiilor de proces al creșterii ieșirii unui singur coprodus, menținând totodată constante celelalte ieșiri;</w:t>
                        </w:r>
                      </w:p>
                    </w:tc>
                  </w:tr>
                </w:tbl>
                <w:p w14:paraId="45473487"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653"/>
                  </w:tblGrid>
                  <w:tr w:rsidR="00B31FA1" w:rsidRPr="001E7471" w14:paraId="00934F2E" w14:textId="77777777">
                    <w:tc>
                      <w:tcPr>
                        <w:tcW w:w="0" w:type="auto"/>
                        <w:hideMark/>
                      </w:tcPr>
                      <w:p w14:paraId="57B6F2D0" w14:textId="77777777" w:rsidR="00B31FA1" w:rsidRPr="003A1EA4" w:rsidRDefault="00B31FA1" w:rsidP="00B31FA1">
                        <w:pPr>
                          <w:jc w:val="both"/>
                          <w:rPr>
                            <w:lang w:val="ro-RO"/>
                          </w:rPr>
                        </w:pPr>
                        <w:r w:rsidRPr="003A1EA4">
                          <w:rPr>
                            <w:lang w:val="ro-RO"/>
                          </w:rPr>
                          <w:t>(e)</w:t>
                        </w:r>
                      </w:p>
                    </w:tc>
                    <w:tc>
                      <w:tcPr>
                        <w:tcW w:w="0" w:type="auto"/>
                        <w:hideMark/>
                      </w:tcPr>
                      <w:p w14:paraId="208DF240" w14:textId="77777777" w:rsidR="00B31FA1" w:rsidRPr="003A1EA4" w:rsidRDefault="00B31FA1" w:rsidP="00B31FA1">
                        <w:pPr>
                          <w:jc w:val="both"/>
                          <w:rPr>
                            <w:lang w:val="ro-RO"/>
                          </w:rPr>
                        </w:pPr>
                        <w:r w:rsidRPr="003A1EA4">
                          <w:rPr>
                            <w:lang w:val="ro-RO"/>
                          </w:rPr>
                          <w:t>în cazul în care raportul dintre produse este fix, iar coprodusele sunt toate combustibili, energie electrică sau energie termică, alocarea se face în funcție de conținutul energetic. Dacă alocarea se referă la energia termică exportată pe baza conținutului energetic, se poate lua în considerare numai partea utilă a energiei termice, astfel cum este definită în partea C punctul 16 din anexa V la Directiva (UE) 2018/2001;</w:t>
                        </w:r>
                      </w:p>
                    </w:tc>
                  </w:tr>
                </w:tbl>
                <w:p w14:paraId="2E514797"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220"/>
                    <w:gridCol w:w="5678"/>
                  </w:tblGrid>
                  <w:tr w:rsidR="00B31FA1" w:rsidRPr="001E7471" w14:paraId="5C7B6610" w14:textId="77777777">
                    <w:tc>
                      <w:tcPr>
                        <w:tcW w:w="0" w:type="auto"/>
                        <w:hideMark/>
                      </w:tcPr>
                      <w:p w14:paraId="7F344851" w14:textId="77777777" w:rsidR="00B31FA1" w:rsidRPr="003A1EA4" w:rsidRDefault="00B31FA1" w:rsidP="00B31FA1">
                        <w:pPr>
                          <w:jc w:val="both"/>
                          <w:rPr>
                            <w:lang w:val="ro-RO"/>
                          </w:rPr>
                        </w:pPr>
                        <w:r w:rsidRPr="003A1EA4">
                          <w:rPr>
                            <w:lang w:val="ro-RO"/>
                          </w:rPr>
                          <w:lastRenderedPageBreak/>
                          <w:t>(f)</w:t>
                        </w:r>
                      </w:p>
                    </w:tc>
                    <w:tc>
                      <w:tcPr>
                        <w:tcW w:w="0" w:type="auto"/>
                        <w:hideMark/>
                      </w:tcPr>
                      <w:p w14:paraId="13C73650" w14:textId="77777777" w:rsidR="00B31FA1" w:rsidRPr="003A1EA4" w:rsidRDefault="00B31FA1" w:rsidP="00B31FA1">
                        <w:pPr>
                          <w:jc w:val="both"/>
                          <w:rPr>
                            <w:lang w:val="ro-RO"/>
                          </w:rPr>
                        </w:pPr>
                        <w:r w:rsidRPr="003A1EA4">
                          <w:rPr>
                            <w:lang w:val="ro-RO"/>
                          </w:rPr>
                          <w:t>în cazul în care raportul dintre produse este fix și unele coproduse sunt materiale fără conținut energetic, alocarea se face în funcție de valoarea economică a coproduselor. Valoarea economică luată în considerare este valoarea medie la poarta fabricii a produselor din ultimii trei ani. În cazul în care astfel de date nu sunt disponibile, valoarea se estimează pe baza prețurilor materiilor prime minus costurile de transport și depozitare </w:t>
                        </w:r>
                        <w:hyperlink r:id="rId15" w:anchor="ntr5-L_2023157RO.01002301-E0005" w:history="1">
                          <w:r w:rsidRPr="003A1EA4">
                            <w:rPr>
                              <w:rStyle w:val="Hyperlink"/>
                              <w:lang w:val="ro-RO"/>
                            </w:rPr>
                            <w:t>(</w:t>
                          </w:r>
                          <w:r w:rsidRPr="003A1EA4">
                            <w:rPr>
                              <w:rStyle w:val="Hyperlink"/>
                              <w:vertAlign w:val="superscript"/>
                              <w:lang w:val="ro-RO"/>
                            </w:rPr>
                            <w:t>5</w:t>
                          </w:r>
                          <w:r w:rsidRPr="003A1EA4">
                            <w:rPr>
                              <w:rStyle w:val="Hyperlink"/>
                              <w:lang w:val="ro-RO"/>
                            </w:rPr>
                            <w:t>)</w:t>
                          </w:r>
                        </w:hyperlink>
                        <w:r w:rsidRPr="003A1EA4">
                          <w:rPr>
                            <w:lang w:val="ro-RO"/>
                          </w:rPr>
                          <w:t>.</w:t>
                        </w:r>
                      </w:p>
                    </w:tc>
                  </w:tr>
                </w:tbl>
                <w:p w14:paraId="05076D33" w14:textId="77777777" w:rsidR="00B31FA1" w:rsidRPr="003A1EA4" w:rsidRDefault="00B31FA1" w:rsidP="00B31FA1">
                  <w:pPr>
                    <w:jc w:val="both"/>
                    <w:rPr>
                      <w:lang w:val="ro-RO"/>
                    </w:rPr>
                  </w:pPr>
                </w:p>
              </w:tc>
            </w:tr>
          </w:tbl>
          <w:p w14:paraId="3949F3F7"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275"/>
              <w:gridCol w:w="5898"/>
            </w:tblGrid>
            <w:tr w:rsidR="00B31FA1" w:rsidRPr="001E7471" w14:paraId="6D844E94" w14:textId="77777777">
              <w:tc>
                <w:tcPr>
                  <w:tcW w:w="0" w:type="auto"/>
                  <w:shd w:val="clear" w:color="auto" w:fill="FFFFFF"/>
                  <w:hideMark/>
                </w:tcPr>
                <w:p w14:paraId="65211D39" w14:textId="77777777" w:rsidR="00B31FA1" w:rsidRPr="003A1EA4" w:rsidRDefault="00B31FA1" w:rsidP="00B31FA1">
                  <w:pPr>
                    <w:jc w:val="both"/>
                    <w:rPr>
                      <w:lang w:val="ro-RO"/>
                    </w:rPr>
                  </w:pPr>
                </w:p>
              </w:tc>
              <w:tc>
                <w:tcPr>
                  <w:tcW w:w="0" w:type="auto"/>
                  <w:shd w:val="clear" w:color="auto" w:fill="FFFFFF"/>
                  <w:hideMark/>
                </w:tcPr>
                <w:p w14:paraId="426B1363" w14:textId="77777777" w:rsidR="00B31FA1" w:rsidRPr="003A1EA4" w:rsidRDefault="00B31FA1" w:rsidP="00B31FA1">
                  <w:pPr>
                    <w:jc w:val="both"/>
                    <w:rPr>
                      <w:lang w:val="ro-RO"/>
                    </w:rPr>
                  </w:pPr>
                  <w:r w:rsidRPr="003A1EA4">
                    <w:rPr>
                      <w:lang w:val="ro-RO"/>
                    </w:rPr>
                    <w:t>16.</w:t>
                  </w:r>
                </w:p>
              </w:tc>
              <w:tc>
                <w:tcPr>
                  <w:tcW w:w="0" w:type="auto"/>
                  <w:shd w:val="clear" w:color="auto" w:fill="FFFFFF"/>
                  <w:hideMark/>
                </w:tcPr>
                <w:p w14:paraId="20D38439" w14:textId="77777777" w:rsidR="00B31FA1" w:rsidRPr="003A1EA4" w:rsidRDefault="00B31FA1" w:rsidP="00B31FA1">
                  <w:pPr>
                    <w:jc w:val="both"/>
                    <w:rPr>
                      <w:lang w:val="ro-RO"/>
                    </w:rPr>
                  </w:pPr>
                  <w:r w:rsidRPr="003A1EA4">
                    <w:rPr>
                      <w:lang w:val="ro-RO"/>
                    </w:rPr>
                    <w:t>Emisiile provenite din transport și distribuție includ emisiile provenite din depozitarea și distribuția combustibililor finiți. Emisiile atribuite intrărilor </w:t>
                  </w:r>
                  <w:r w:rsidRPr="003A1EA4">
                    <w:rPr>
                      <w:i/>
                      <w:iCs/>
                      <w:lang w:val="ro-RO"/>
                    </w:rPr>
                    <w:t>e </w:t>
                  </w:r>
                  <w:r w:rsidRPr="003A1EA4">
                    <w:rPr>
                      <w:i/>
                      <w:iCs/>
                      <w:vertAlign w:val="subscript"/>
                      <w:lang w:val="ro-RO"/>
                    </w:rPr>
                    <w:t>i</w:t>
                  </w:r>
                  <w:r w:rsidRPr="003A1EA4">
                    <w:rPr>
                      <w:i/>
                      <w:iCs/>
                      <w:lang w:val="ro-RO"/>
                    </w:rPr>
                    <w:t> </w:t>
                  </w:r>
                  <w:r w:rsidRPr="003A1EA4">
                    <w:rPr>
                      <w:lang w:val="ro-RO"/>
                    </w:rPr>
                    <w:t>includ emisiile provenite din transportul și depozitarea asociate acestora.</w:t>
                  </w:r>
                </w:p>
              </w:tc>
            </w:tr>
          </w:tbl>
          <w:p w14:paraId="07C775BC" w14:textId="77777777" w:rsidR="00B31FA1" w:rsidRPr="003A1EA4" w:rsidRDefault="00B31FA1" w:rsidP="00B31FA1">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
              <w:gridCol w:w="275"/>
              <w:gridCol w:w="5898"/>
            </w:tblGrid>
            <w:tr w:rsidR="00B31FA1" w:rsidRPr="001E7471" w14:paraId="133C4C43" w14:textId="77777777">
              <w:tc>
                <w:tcPr>
                  <w:tcW w:w="0" w:type="auto"/>
                  <w:shd w:val="clear" w:color="auto" w:fill="FFFFFF"/>
                  <w:hideMark/>
                </w:tcPr>
                <w:p w14:paraId="09FC6B6B" w14:textId="77777777" w:rsidR="00B31FA1" w:rsidRPr="003A1EA4" w:rsidRDefault="00B31FA1" w:rsidP="00B31FA1">
                  <w:pPr>
                    <w:jc w:val="both"/>
                    <w:rPr>
                      <w:lang w:val="ro-RO"/>
                    </w:rPr>
                  </w:pPr>
                </w:p>
              </w:tc>
              <w:tc>
                <w:tcPr>
                  <w:tcW w:w="0" w:type="auto"/>
                  <w:shd w:val="clear" w:color="auto" w:fill="FFFFFF"/>
                  <w:hideMark/>
                </w:tcPr>
                <w:p w14:paraId="33B18B3D" w14:textId="77777777" w:rsidR="00B31FA1" w:rsidRPr="003A1EA4" w:rsidRDefault="00B31FA1" w:rsidP="00B31FA1">
                  <w:pPr>
                    <w:jc w:val="both"/>
                    <w:rPr>
                      <w:lang w:val="ro-RO"/>
                    </w:rPr>
                  </w:pPr>
                  <w:r w:rsidRPr="003A1EA4">
                    <w:rPr>
                      <w:lang w:val="ro-RO"/>
                    </w:rPr>
                    <w:t>17.</w:t>
                  </w:r>
                </w:p>
              </w:tc>
              <w:tc>
                <w:tcPr>
                  <w:tcW w:w="0" w:type="auto"/>
                  <w:shd w:val="clear" w:color="auto" w:fill="FFFFFF"/>
                  <w:hideMark/>
                </w:tcPr>
                <w:p w14:paraId="3D3772CF" w14:textId="77777777" w:rsidR="00B31FA1" w:rsidRPr="003A1EA4" w:rsidRDefault="00B31FA1" w:rsidP="00B31FA1">
                  <w:pPr>
                    <w:jc w:val="both"/>
                    <w:rPr>
                      <w:lang w:val="ro-RO"/>
                    </w:rPr>
                  </w:pPr>
                  <w:r w:rsidRPr="003A1EA4">
                    <w:rPr>
                      <w:lang w:val="ro-RO"/>
                    </w:rPr>
                    <w:t>În cazul în care un proces de fabricare a combustibililor lichizi și gazoși de origine nebiologică din surse regenerabile utilizați în transporturi sau a combustibililor pe bază de carbon reciclat produce emisii de carbon care sunt stocate permanent în conformitate cu Directiva 2009/31/CE privind stocarea geologică a dioxidului de carbon, acest lucru poate fi creditat către produsele procesului ca o reducere a emisiilor în conformitate cu </w:t>
                  </w:r>
                  <w:r w:rsidRPr="003A1EA4">
                    <w:rPr>
                      <w:i/>
                      <w:iCs/>
                      <w:lang w:val="ro-RO"/>
                    </w:rPr>
                    <w:t>e </w:t>
                  </w:r>
                  <w:r w:rsidRPr="003A1EA4">
                    <w:rPr>
                      <w:i/>
                      <w:iCs/>
                      <w:vertAlign w:val="subscript"/>
                      <w:lang w:val="ro-RO"/>
                    </w:rPr>
                    <w:t>ccs</w:t>
                  </w:r>
                  <w:r w:rsidRPr="003A1EA4">
                    <w:rPr>
                      <w:i/>
                      <w:iCs/>
                      <w:lang w:val="ro-RO"/>
                    </w:rPr>
                    <w:t> </w:t>
                  </w:r>
                  <w:r w:rsidRPr="003A1EA4">
                    <w:rPr>
                      <w:lang w:val="ro-RO"/>
                    </w:rPr>
                    <w:t>. Emisiile generate de operațiunea de stocare (inclusiv transportul dioxidului de carbon) vor trebui, de asemenea, să fie luate în considerare la punctul </w:t>
                  </w:r>
                  <w:r w:rsidRPr="003A1EA4">
                    <w:rPr>
                      <w:i/>
                      <w:iCs/>
                      <w:lang w:val="ro-RO"/>
                    </w:rPr>
                    <w:t>e </w:t>
                  </w:r>
                  <w:r w:rsidRPr="003A1EA4">
                    <w:rPr>
                      <w:i/>
                      <w:iCs/>
                      <w:vertAlign w:val="subscript"/>
                      <w:lang w:val="ro-RO"/>
                    </w:rPr>
                    <w:t>p</w:t>
                  </w:r>
                  <w:r w:rsidRPr="003A1EA4">
                    <w:rPr>
                      <w:i/>
                      <w:iCs/>
                      <w:lang w:val="ro-RO"/>
                    </w:rPr>
                    <w:t> </w:t>
                  </w:r>
                  <w:r w:rsidRPr="003A1EA4">
                    <w:rPr>
                      <w:lang w:val="ro-RO"/>
                    </w:rPr>
                    <w:t>.</w:t>
                  </w:r>
                </w:p>
              </w:tc>
            </w:tr>
          </w:tbl>
          <w:p w14:paraId="0B4670BF" w14:textId="77777777" w:rsidR="00B31FA1" w:rsidRPr="003A1EA4" w:rsidRDefault="00B31FA1" w:rsidP="00B31FA1">
            <w:pPr>
              <w:jc w:val="both"/>
              <w:rPr>
                <w:b/>
                <w:bCs/>
                <w:lang w:val="ro-RO"/>
              </w:rPr>
            </w:pPr>
            <w:r w:rsidRPr="003A1EA4">
              <w:rPr>
                <w:b/>
                <w:bCs/>
                <w:lang w:val="ro-RO"/>
              </w:rPr>
              <w:t>B.   „VALORI STANDARD” PENTRU INTENSITĂȚILE EMISIILOR DE GAZE CU EFECT DE SERĂ ALE INTRĂRILOR ELASTICE</w:t>
            </w:r>
          </w:p>
          <w:p w14:paraId="28601107" w14:textId="77777777" w:rsidR="00B31FA1" w:rsidRPr="003A1EA4" w:rsidRDefault="00B31FA1" w:rsidP="00B31FA1">
            <w:pPr>
              <w:jc w:val="both"/>
              <w:rPr>
                <w:lang w:val="ro-RO"/>
              </w:rPr>
            </w:pPr>
            <w:r w:rsidRPr="003A1EA4">
              <w:rPr>
                <w:lang w:val="ro-RO"/>
              </w:rPr>
              <w:t>Intensitățile GES ale intrărilor, altele decât energia electrică, sunt prezentate în tabelul de mai jos: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04"/>
              <w:gridCol w:w="1248"/>
              <w:gridCol w:w="1675"/>
              <w:gridCol w:w="1636"/>
            </w:tblGrid>
            <w:tr w:rsidR="00B31FA1" w:rsidRPr="001E7471" w14:paraId="1341B13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79F185"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3322BA" w14:textId="77777777" w:rsidR="00B31FA1" w:rsidRPr="003A1EA4" w:rsidRDefault="00B31FA1" w:rsidP="00B31FA1">
                  <w:pPr>
                    <w:jc w:val="both"/>
                    <w:rPr>
                      <w:b/>
                      <w:bCs/>
                      <w:lang w:val="ro-RO"/>
                    </w:rPr>
                  </w:pPr>
                  <w:r w:rsidRPr="003A1EA4">
                    <w:rPr>
                      <w:b/>
                      <w:bCs/>
                      <w:lang w:val="ro-RO"/>
                    </w:rPr>
                    <w:t>Emisii totale</w:t>
                  </w:r>
                </w:p>
                <w:p w14:paraId="49C8283D" w14:textId="77777777" w:rsidR="00B31FA1" w:rsidRPr="003A1EA4" w:rsidRDefault="00B31FA1" w:rsidP="00B31FA1">
                  <w:pPr>
                    <w:jc w:val="both"/>
                    <w:rPr>
                      <w:b/>
                      <w:bCs/>
                      <w:lang w:val="ro-RO"/>
                    </w:rPr>
                  </w:pPr>
                  <w:r w:rsidRPr="003A1EA4">
                    <w:rPr>
                      <w:b/>
                      <w:bCs/>
                      <w:lang w:val="ro-RO"/>
                    </w:rPr>
                    <w:t>gCO</w:t>
                  </w:r>
                  <w:r w:rsidRPr="003A1EA4">
                    <w:rPr>
                      <w:b/>
                      <w:bCs/>
                      <w:vertAlign w:val="subscript"/>
                      <w:lang w:val="ro-RO"/>
                    </w:rPr>
                    <w:t>2</w:t>
                  </w:r>
                  <w:r w:rsidRPr="003A1EA4">
                    <w:rPr>
                      <w:b/>
                      <w:bCs/>
                      <w:lang w:val="ro-RO"/>
                    </w:rPr>
                    <w:t>eq/MJ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BC90DE" w14:textId="77777777" w:rsidR="00B31FA1" w:rsidRPr="003A1EA4" w:rsidRDefault="00B31FA1" w:rsidP="00B31FA1">
                  <w:pPr>
                    <w:jc w:val="both"/>
                    <w:rPr>
                      <w:b/>
                      <w:bCs/>
                      <w:lang w:val="ro-RO"/>
                    </w:rPr>
                  </w:pPr>
                  <w:r w:rsidRPr="003A1EA4">
                    <w:rPr>
                      <w:b/>
                      <w:bCs/>
                      <w:lang w:val="ro-RO"/>
                    </w:rPr>
                    <w:t>Emisii în amonte</w:t>
                  </w:r>
                </w:p>
                <w:p w14:paraId="430E4CEB" w14:textId="77777777" w:rsidR="00B31FA1" w:rsidRPr="003A1EA4" w:rsidRDefault="00B31FA1" w:rsidP="00B31FA1">
                  <w:pPr>
                    <w:jc w:val="both"/>
                    <w:rPr>
                      <w:b/>
                      <w:bCs/>
                      <w:lang w:val="ro-RO"/>
                    </w:rPr>
                  </w:pPr>
                  <w:r w:rsidRPr="003A1EA4">
                    <w:rPr>
                      <w:b/>
                      <w:bCs/>
                      <w:lang w:val="ro-RO"/>
                    </w:rPr>
                    <w:t>gCO</w:t>
                  </w:r>
                  <w:r w:rsidRPr="003A1EA4">
                    <w:rPr>
                      <w:b/>
                      <w:bCs/>
                      <w:vertAlign w:val="subscript"/>
                      <w:lang w:val="ro-RO"/>
                    </w:rPr>
                    <w:t>2</w:t>
                  </w:r>
                  <w:r w:rsidRPr="003A1EA4">
                    <w:rPr>
                      <w:b/>
                      <w:bCs/>
                      <w:lang w:val="ro-RO"/>
                    </w:rPr>
                    <w:t>eq/MJ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A9BD06" w14:textId="77777777" w:rsidR="00B31FA1" w:rsidRPr="003A1EA4" w:rsidRDefault="00B31FA1" w:rsidP="00B31FA1">
                  <w:pPr>
                    <w:jc w:val="both"/>
                    <w:rPr>
                      <w:b/>
                      <w:bCs/>
                      <w:lang w:val="ro-RO"/>
                    </w:rPr>
                  </w:pPr>
                  <w:r w:rsidRPr="003A1EA4">
                    <w:rPr>
                      <w:b/>
                      <w:bCs/>
                      <w:lang w:val="ro-RO"/>
                    </w:rPr>
                    <w:t>Emisii de ardere</w:t>
                  </w:r>
                </w:p>
                <w:p w14:paraId="08C54701" w14:textId="77777777" w:rsidR="00B31FA1" w:rsidRPr="003A1EA4" w:rsidRDefault="00B31FA1" w:rsidP="00B31FA1">
                  <w:pPr>
                    <w:jc w:val="both"/>
                    <w:rPr>
                      <w:b/>
                      <w:bCs/>
                      <w:lang w:val="ro-RO"/>
                    </w:rPr>
                  </w:pPr>
                  <w:r w:rsidRPr="003A1EA4">
                    <w:rPr>
                      <w:b/>
                      <w:bCs/>
                      <w:lang w:val="ro-RO"/>
                    </w:rPr>
                    <w:t>gCO</w:t>
                  </w:r>
                  <w:r w:rsidRPr="003A1EA4">
                    <w:rPr>
                      <w:b/>
                      <w:bCs/>
                      <w:vertAlign w:val="subscript"/>
                      <w:lang w:val="ro-RO"/>
                    </w:rPr>
                    <w:t>2</w:t>
                  </w:r>
                  <w:r w:rsidRPr="003A1EA4">
                    <w:rPr>
                      <w:b/>
                      <w:bCs/>
                      <w:lang w:val="ro-RO"/>
                    </w:rPr>
                    <w:t>eq/MJ</w:t>
                  </w:r>
                </w:p>
              </w:tc>
            </w:tr>
            <w:tr w:rsidR="00B31FA1" w:rsidRPr="003A1EA4" w14:paraId="313A939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37E870" w14:textId="77777777" w:rsidR="00B31FA1" w:rsidRPr="003A1EA4" w:rsidRDefault="00B31FA1" w:rsidP="00B31FA1">
                  <w:pPr>
                    <w:jc w:val="both"/>
                    <w:rPr>
                      <w:lang w:val="ro-RO"/>
                    </w:rPr>
                  </w:pPr>
                  <w:r w:rsidRPr="003A1EA4">
                    <w:rPr>
                      <w:lang w:val="ro-RO"/>
                    </w:rPr>
                    <w:t>Gaze naturale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DCF4A5" w14:textId="77777777" w:rsidR="00B31FA1" w:rsidRPr="003A1EA4" w:rsidRDefault="00B31FA1" w:rsidP="00B31FA1">
                  <w:pPr>
                    <w:jc w:val="both"/>
                    <w:rPr>
                      <w:lang w:val="ro-RO"/>
                    </w:rPr>
                  </w:pPr>
                  <w:r w:rsidRPr="003A1EA4">
                    <w:rPr>
                      <w:lang w:val="ro-RO"/>
                    </w:rPr>
                    <w:t>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A21D42" w14:textId="77777777" w:rsidR="00B31FA1" w:rsidRPr="003A1EA4" w:rsidRDefault="00B31FA1" w:rsidP="00B31FA1">
                  <w:pPr>
                    <w:jc w:val="both"/>
                    <w:rPr>
                      <w:lang w:val="ro-RO"/>
                    </w:rPr>
                  </w:pPr>
                  <w:r w:rsidRPr="003A1EA4">
                    <w:rPr>
                      <w:lang w:val="ro-RO"/>
                    </w:rPr>
                    <w:t>9,7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49331C" w14:textId="77777777" w:rsidR="00B31FA1" w:rsidRPr="003A1EA4" w:rsidRDefault="00B31FA1" w:rsidP="00B31FA1">
                  <w:pPr>
                    <w:jc w:val="both"/>
                    <w:rPr>
                      <w:lang w:val="ro-RO"/>
                    </w:rPr>
                  </w:pPr>
                  <w:r w:rsidRPr="003A1EA4">
                    <w:rPr>
                      <w:lang w:val="ro-RO"/>
                    </w:rPr>
                    <w:t>56,2</w:t>
                  </w:r>
                </w:p>
              </w:tc>
            </w:tr>
            <w:tr w:rsidR="00B31FA1" w:rsidRPr="003A1EA4" w14:paraId="66C85A1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DAABA" w14:textId="77777777" w:rsidR="00B31FA1" w:rsidRPr="003A1EA4" w:rsidRDefault="00B31FA1" w:rsidP="00B31FA1">
                  <w:pPr>
                    <w:jc w:val="both"/>
                    <w:rPr>
                      <w:lang w:val="ro-RO"/>
                    </w:rPr>
                  </w:pPr>
                  <w:r w:rsidRPr="003A1EA4">
                    <w:rPr>
                      <w:lang w:val="ro-RO"/>
                    </w:rPr>
                    <w:t>Motorină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CB805A" w14:textId="77777777" w:rsidR="00B31FA1" w:rsidRPr="003A1EA4" w:rsidRDefault="00B31FA1" w:rsidP="00B31FA1">
                  <w:pPr>
                    <w:jc w:val="both"/>
                    <w:rPr>
                      <w:lang w:val="ro-RO"/>
                    </w:rPr>
                  </w:pPr>
                  <w:r w:rsidRPr="003A1EA4">
                    <w:rPr>
                      <w:lang w:val="ro-RO"/>
                    </w:rPr>
                    <w:t>95,1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07F447" w14:textId="77777777" w:rsidR="00B31FA1" w:rsidRPr="003A1EA4" w:rsidRDefault="00B31FA1" w:rsidP="00B31FA1">
                  <w:pPr>
                    <w:jc w:val="both"/>
                    <w:rPr>
                      <w:lang w:val="ro-RO"/>
                    </w:rPr>
                  </w:pPr>
                  <w:r w:rsidRPr="003A1EA4">
                    <w:rPr>
                      <w:lang w:val="ro-RO"/>
                    </w:rPr>
                    <w:t>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334419" w14:textId="77777777" w:rsidR="00B31FA1" w:rsidRPr="003A1EA4" w:rsidRDefault="00B31FA1" w:rsidP="00B31FA1">
                  <w:pPr>
                    <w:jc w:val="both"/>
                    <w:rPr>
                      <w:lang w:val="ro-RO"/>
                    </w:rPr>
                  </w:pPr>
                  <w:r w:rsidRPr="003A1EA4">
                    <w:rPr>
                      <w:lang w:val="ro-RO"/>
                    </w:rPr>
                    <w:t>73,2</w:t>
                  </w:r>
                </w:p>
              </w:tc>
            </w:tr>
            <w:tr w:rsidR="00B31FA1" w:rsidRPr="003A1EA4" w14:paraId="17FE7B0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5B4A5" w14:textId="77777777" w:rsidR="00B31FA1" w:rsidRPr="003A1EA4" w:rsidRDefault="00B31FA1" w:rsidP="00B31FA1">
                  <w:pPr>
                    <w:jc w:val="both"/>
                    <w:rPr>
                      <w:lang w:val="ro-RO"/>
                    </w:rPr>
                  </w:pPr>
                  <w:r w:rsidRPr="003A1EA4">
                    <w:rPr>
                      <w:lang w:val="ro-RO"/>
                    </w:rPr>
                    <w:t>Benzină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5FFAEE" w14:textId="77777777" w:rsidR="00B31FA1" w:rsidRPr="003A1EA4" w:rsidRDefault="00B31FA1" w:rsidP="00B31FA1">
                  <w:pPr>
                    <w:jc w:val="both"/>
                    <w:rPr>
                      <w:lang w:val="ro-RO"/>
                    </w:rPr>
                  </w:pPr>
                  <w:r w:rsidRPr="003A1EA4">
                    <w:rPr>
                      <w:lang w:val="ro-RO"/>
                    </w:rPr>
                    <w:t>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2A3FE6" w14:textId="77777777" w:rsidR="00B31FA1" w:rsidRPr="003A1EA4" w:rsidRDefault="00B31FA1" w:rsidP="00B31FA1">
                  <w:pPr>
                    <w:jc w:val="both"/>
                    <w:rPr>
                      <w:lang w:val="ro-RO"/>
                    </w:rPr>
                  </w:pPr>
                  <w:r w:rsidRPr="003A1EA4">
                    <w:rPr>
                      <w:lang w:val="ro-RO"/>
                    </w:rPr>
                    <w:t>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E22050" w14:textId="77777777" w:rsidR="00B31FA1" w:rsidRPr="003A1EA4" w:rsidRDefault="00B31FA1" w:rsidP="00B31FA1">
                  <w:pPr>
                    <w:jc w:val="both"/>
                    <w:rPr>
                      <w:lang w:val="ro-RO"/>
                    </w:rPr>
                  </w:pPr>
                  <w:r w:rsidRPr="003A1EA4">
                    <w:rPr>
                      <w:lang w:val="ro-RO"/>
                    </w:rPr>
                    <w:t>73,4</w:t>
                  </w:r>
                </w:p>
              </w:tc>
            </w:tr>
            <w:tr w:rsidR="00B31FA1" w:rsidRPr="003A1EA4" w14:paraId="793EEC9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C2667B" w14:textId="77777777" w:rsidR="00B31FA1" w:rsidRPr="003A1EA4" w:rsidRDefault="00B31FA1" w:rsidP="00B31FA1">
                  <w:pPr>
                    <w:jc w:val="both"/>
                    <w:rPr>
                      <w:lang w:val="ro-RO"/>
                    </w:rPr>
                  </w:pPr>
                  <w:r w:rsidRPr="003A1EA4">
                    <w:rPr>
                      <w:lang w:val="ro-RO"/>
                    </w:rPr>
                    <w:t>Păcură grea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E2333A" w14:textId="77777777" w:rsidR="00B31FA1" w:rsidRPr="003A1EA4" w:rsidRDefault="00B31FA1" w:rsidP="00B31FA1">
                  <w:pPr>
                    <w:jc w:val="both"/>
                    <w:rPr>
                      <w:lang w:val="ro-RO"/>
                    </w:rPr>
                  </w:pPr>
                  <w:r w:rsidRPr="003A1EA4">
                    <w:rPr>
                      <w:lang w:val="ro-RO"/>
                    </w:rPr>
                    <w:t>94,2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D44144" w14:textId="77777777" w:rsidR="00B31FA1" w:rsidRPr="003A1EA4" w:rsidRDefault="00B31FA1" w:rsidP="00B31FA1">
                  <w:pPr>
                    <w:jc w:val="both"/>
                    <w:rPr>
                      <w:lang w:val="ro-RO"/>
                    </w:rPr>
                  </w:pPr>
                  <w:r w:rsidRPr="003A1EA4">
                    <w:rPr>
                      <w:lang w:val="ro-RO"/>
                    </w:rPr>
                    <w:t>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D897A7" w14:textId="77777777" w:rsidR="00B31FA1" w:rsidRPr="003A1EA4" w:rsidRDefault="00B31FA1" w:rsidP="00B31FA1">
                  <w:pPr>
                    <w:jc w:val="both"/>
                    <w:rPr>
                      <w:lang w:val="ro-RO"/>
                    </w:rPr>
                  </w:pPr>
                  <w:r w:rsidRPr="003A1EA4">
                    <w:rPr>
                      <w:lang w:val="ro-RO"/>
                    </w:rPr>
                    <w:t>80,6</w:t>
                  </w:r>
                </w:p>
              </w:tc>
            </w:tr>
            <w:tr w:rsidR="00B31FA1" w:rsidRPr="003A1EA4" w14:paraId="5EFB7CC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070756" w14:textId="77777777" w:rsidR="00B31FA1" w:rsidRPr="003A1EA4" w:rsidRDefault="00B31FA1" w:rsidP="00B31FA1">
                  <w:pPr>
                    <w:jc w:val="both"/>
                    <w:rPr>
                      <w:lang w:val="ro-RO"/>
                    </w:rPr>
                  </w:pPr>
                  <w:r w:rsidRPr="003A1EA4">
                    <w:rPr>
                      <w:lang w:val="ro-RO"/>
                    </w:rPr>
                    <w:t>Metanol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B16E24" w14:textId="77777777" w:rsidR="00B31FA1" w:rsidRPr="003A1EA4" w:rsidRDefault="00B31FA1" w:rsidP="00B31FA1">
                  <w:pPr>
                    <w:jc w:val="both"/>
                    <w:rPr>
                      <w:lang w:val="ro-RO"/>
                    </w:rPr>
                  </w:pPr>
                  <w:r w:rsidRPr="003A1EA4">
                    <w:rPr>
                      <w:lang w:val="ro-RO"/>
                    </w:rPr>
                    <w:t>97,1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DB5DAE" w14:textId="77777777" w:rsidR="00B31FA1" w:rsidRPr="003A1EA4" w:rsidRDefault="00B31FA1" w:rsidP="00B31FA1">
                  <w:pPr>
                    <w:jc w:val="both"/>
                    <w:rPr>
                      <w:lang w:val="ro-RO"/>
                    </w:rPr>
                  </w:pPr>
                  <w:r w:rsidRPr="003A1EA4">
                    <w:rPr>
                      <w:lang w:val="ro-RO"/>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A5A6C4" w14:textId="77777777" w:rsidR="00B31FA1" w:rsidRPr="003A1EA4" w:rsidRDefault="00B31FA1" w:rsidP="00B31FA1">
                  <w:pPr>
                    <w:jc w:val="both"/>
                    <w:rPr>
                      <w:lang w:val="ro-RO"/>
                    </w:rPr>
                  </w:pPr>
                  <w:r w:rsidRPr="003A1EA4">
                    <w:rPr>
                      <w:lang w:val="ro-RO"/>
                    </w:rPr>
                    <w:t>68,9</w:t>
                  </w:r>
                </w:p>
              </w:tc>
            </w:tr>
            <w:tr w:rsidR="00B31FA1" w:rsidRPr="003A1EA4" w14:paraId="5924400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EEB462" w14:textId="77777777" w:rsidR="00B31FA1" w:rsidRPr="003A1EA4" w:rsidRDefault="00B31FA1" w:rsidP="00B31FA1">
                  <w:pPr>
                    <w:jc w:val="both"/>
                    <w:rPr>
                      <w:lang w:val="ro-RO"/>
                    </w:rPr>
                  </w:pPr>
                  <w:r w:rsidRPr="003A1EA4">
                    <w:rPr>
                      <w:lang w:val="ro-RO"/>
                    </w:rPr>
                    <w:t>Cărbune superior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8B087E" w14:textId="77777777" w:rsidR="00B31FA1" w:rsidRPr="003A1EA4" w:rsidRDefault="00B31FA1" w:rsidP="00B31FA1">
                  <w:pPr>
                    <w:jc w:val="both"/>
                    <w:rPr>
                      <w:lang w:val="ro-RO"/>
                    </w:rPr>
                  </w:pPr>
                  <w:r w:rsidRPr="003A1EA4">
                    <w:rPr>
                      <w:lang w:val="ro-RO"/>
                    </w:rPr>
                    <w:t>112,3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D18B09" w14:textId="77777777" w:rsidR="00B31FA1" w:rsidRPr="003A1EA4" w:rsidRDefault="00B31FA1" w:rsidP="00B31FA1">
                  <w:pPr>
                    <w:jc w:val="both"/>
                    <w:rPr>
                      <w:lang w:val="ro-RO"/>
                    </w:rPr>
                  </w:pPr>
                  <w:r w:rsidRPr="003A1EA4">
                    <w:rPr>
                      <w:lang w:val="ro-RO"/>
                    </w:rPr>
                    <w:t>16,2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CFBA20" w14:textId="77777777" w:rsidR="00B31FA1" w:rsidRPr="003A1EA4" w:rsidRDefault="00B31FA1" w:rsidP="00B31FA1">
                  <w:pPr>
                    <w:jc w:val="both"/>
                    <w:rPr>
                      <w:lang w:val="ro-RO"/>
                    </w:rPr>
                  </w:pPr>
                  <w:r w:rsidRPr="003A1EA4">
                    <w:rPr>
                      <w:lang w:val="ro-RO"/>
                    </w:rPr>
                    <w:t>96,1</w:t>
                  </w:r>
                </w:p>
              </w:tc>
            </w:tr>
            <w:tr w:rsidR="00B31FA1" w:rsidRPr="003A1EA4" w14:paraId="240A7D8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B85328" w14:textId="77777777" w:rsidR="00B31FA1" w:rsidRPr="003A1EA4" w:rsidRDefault="00B31FA1" w:rsidP="00B31FA1">
                  <w:pPr>
                    <w:jc w:val="both"/>
                    <w:rPr>
                      <w:lang w:val="ro-RO"/>
                    </w:rPr>
                  </w:pPr>
                  <w:r w:rsidRPr="003A1EA4">
                    <w:rPr>
                      <w:lang w:val="ro-RO"/>
                    </w:rPr>
                    <w:t>Lignit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5B1BD7" w14:textId="77777777" w:rsidR="00B31FA1" w:rsidRPr="003A1EA4" w:rsidRDefault="00B31FA1" w:rsidP="00B31FA1">
                  <w:pPr>
                    <w:jc w:val="both"/>
                    <w:rPr>
                      <w:lang w:val="ro-RO"/>
                    </w:rPr>
                  </w:pPr>
                  <w:r w:rsidRPr="003A1EA4">
                    <w:rPr>
                      <w:lang w:val="ro-RO"/>
                    </w:rPr>
                    <w:t>116,7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48000B" w14:textId="77777777" w:rsidR="00B31FA1" w:rsidRPr="003A1EA4" w:rsidRDefault="00B31FA1" w:rsidP="00B31FA1">
                  <w:pPr>
                    <w:jc w:val="both"/>
                    <w:rPr>
                      <w:lang w:val="ro-RO"/>
                    </w:rPr>
                  </w:pPr>
                  <w:r w:rsidRPr="003A1EA4">
                    <w:rPr>
                      <w:lang w:val="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365FEB" w14:textId="77777777" w:rsidR="00B31FA1" w:rsidRPr="003A1EA4" w:rsidRDefault="00B31FA1" w:rsidP="00B31FA1">
                  <w:pPr>
                    <w:jc w:val="both"/>
                    <w:rPr>
                      <w:lang w:val="ro-RO"/>
                    </w:rPr>
                  </w:pPr>
                  <w:r w:rsidRPr="003A1EA4">
                    <w:rPr>
                      <w:lang w:val="ro-RO"/>
                    </w:rPr>
                    <w:t>115,0</w:t>
                  </w:r>
                </w:p>
              </w:tc>
            </w:tr>
          </w:tbl>
          <w:p w14:paraId="417DB47A" w14:textId="77777777" w:rsidR="00B31FA1" w:rsidRPr="003A1EA4" w:rsidRDefault="00B31FA1" w:rsidP="00B31FA1">
            <w:pPr>
              <w:jc w:val="both"/>
              <w:rPr>
                <w:lang w:val="ro-RO"/>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45"/>
              <w:gridCol w:w="1618"/>
            </w:tblGrid>
            <w:tr w:rsidR="00B31FA1" w:rsidRPr="003A1EA4" w14:paraId="27FA1FF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817468"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5B6338" w14:textId="77777777" w:rsidR="00B31FA1" w:rsidRPr="003A1EA4" w:rsidRDefault="00B31FA1" w:rsidP="00B31FA1">
                  <w:pPr>
                    <w:jc w:val="both"/>
                    <w:rPr>
                      <w:b/>
                      <w:bCs/>
                      <w:lang w:val="ro-RO"/>
                    </w:rPr>
                  </w:pPr>
                  <w:r w:rsidRPr="003A1EA4">
                    <w:rPr>
                      <w:b/>
                      <w:bCs/>
                      <w:lang w:val="ro-RO"/>
                    </w:rPr>
                    <w:t>gCO</w:t>
                  </w:r>
                  <w:r w:rsidRPr="003A1EA4">
                    <w:rPr>
                      <w:b/>
                      <w:bCs/>
                      <w:vertAlign w:val="subscript"/>
                      <w:lang w:val="ro-RO"/>
                    </w:rPr>
                    <w:t>2eq</w:t>
                  </w:r>
                  <w:r w:rsidRPr="003A1EA4">
                    <w:rPr>
                      <w:b/>
                      <w:bCs/>
                      <w:lang w:val="ro-RO"/>
                    </w:rPr>
                    <w:t>/kg</w:t>
                  </w:r>
                </w:p>
              </w:tc>
            </w:tr>
            <w:tr w:rsidR="00B31FA1" w:rsidRPr="003A1EA4" w14:paraId="7BFD542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A9A258" w14:textId="77777777" w:rsidR="00B31FA1" w:rsidRPr="003A1EA4" w:rsidRDefault="00B31FA1" w:rsidP="00B31FA1">
                  <w:pPr>
                    <w:jc w:val="both"/>
                    <w:rPr>
                      <w:lang w:val="ro-RO"/>
                    </w:rPr>
                  </w:pPr>
                  <w:r w:rsidRPr="003A1EA4">
                    <w:rPr>
                      <w:lang w:val="ro-RO"/>
                    </w:rPr>
                    <w:t>Amoniac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C5F2B8" w14:textId="77777777" w:rsidR="00B31FA1" w:rsidRPr="003A1EA4" w:rsidRDefault="00B31FA1" w:rsidP="00B31FA1">
                  <w:pPr>
                    <w:jc w:val="both"/>
                    <w:rPr>
                      <w:lang w:val="ro-RO"/>
                    </w:rPr>
                  </w:pPr>
                  <w:r w:rsidRPr="003A1EA4">
                    <w:rPr>
                      <w:lang w:val="ro-RO"/>
                    </w:rPr>
                    <w:t>2 351,3</w:t>
                  </w:r>
                </w:p>
              </w:tc>
            </w:tr>
            <w:tr w:rsidR="00B31FA1" w:rsidRPr="003A1EA4" w14:paraId="63F2FE1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918DA5" w14:textId="77777777" w:rsidR="00B31FA1" w:rsidRPr="003A1EA4" w:rsidRDefault="00B31FA1" w:rsidP="00B31FA1">
                  <w:pPr>
                    <w:jc w:val="both"/>
                    <w:rPr>
                      <w:lang w:val="ro-RO"/>
                    </w:rPr>
                  </w:pPr>
                  <w:r w:rsidRPr="003A1EA4">
                    <w:rPr>
                      <w:lang w:val="ro-RO"/>
                    </w:rPr>
                    <w:lastRenderedPageBreak/>
                    <w:t>Clorură de calciu (CaCl</w:t>
                  </w:r>
                  <w:r w:rsidRPr="003A1EA4">
                    <w:rPr>
                      <w:vertAlign w:val="subscript"/>
                      <w:lang w:val="ro-RO"/>
                    </w:rPr>
                    <w:t>2</w:t>
                  </w:r>
                  <w:r w:rsidRPr="003A1EA4">
                    <w:rPr>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F3BEFF" w14:textId="77777777" w:rsidR="00B31FA1" w:rsidRPr="003A1EA4" w:rsidRDefault="00B31FA1" w:rsidP="00B31FA1">
                  <w:pPr>
                    <w:jc w:val="both"/>
                    <w:rPr>
                      <w:lang w:val="ro-RO"/>
                    </w:rPr>
                  </w:pPr>
                  <w:r w:rsidRPr="003A1EA4">
                    <w:rPr>
                      <w:lang w:val="ro-RO"/>
                    </w:rPr>
                    <w:t>38,8</w:t>
                  </w:r>
                </w:p>
              </w:tc>
            </w:tr>
            <w:tr w:rsidR="00B31FA1" w:rsidRPr="003A1EA4" w14:paraId="42282A1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0BE205" w14:textId="77777777" w:rsidR="00B31FA1" w:rsidRPr="003A1EA4" w:rsidRDefault="00B31FA1" w:rsidP="00B31FA1">
                  <w:pPr>
                    <w:jc w:val="both"/>
                    <w:rPr>
                      <w:lang w:val="ro-RO"/>
                    </w:rPr>
                  </w:pPr>
                  <w:r w:rsidRPr="003A1EA4">
                    <w:rPr>
                      <w:lang w:val="ro-RO"/>
                    </w:rPr>
                    <w:t>Ciclohexan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EAD632" w14:textId="77777777" w:rsidR="00B31FA1" w:rsidRPr="003A1EA4" w:rsidRDefault="00B31FA1" w:rsidP="00B31FA1">
                  <w:pPr>
                    <w:jc w:val="both"/>
                    <w:rPr>
                      <w:lang w:val="ro-RO"/>
                    </w:rPr>
                  </w:pPr>
                  <w:r w:rsidRPr="003A1EA4">
                    <w:rPr>
                      <w:lang w:val="ro-RO"/>
                    </w:rPr>
                    <w:t>723,0</w:t>
                  </w:r>
                </w:p>
              </w:tc>
            </w:tr>
            <w:tr w:rsidR="00B31FA1" w:rsidRPr="003A1EA4" w14:paraId="0323D1D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E35374" w14:textId="77777777" w:rsidR="00B31FA1" w:rsidRPr="003A1EA4" w:rsidRDefault="00B31FA1" w:rsidP="00B31FA1">
                  <w:pPr>
                    <w:jc w:val="both"/>
                    <w:rPr>
                      <w:lang w:val="ro-RO"/>
                    </w:rPr>
                  </w:pPr>
                  <w:r w:rsidRPr="003A1EA4">
                    <w:rPr>
                      <w:lang w:val="ro-RO"/>
                    </w:rPr>
                    <w:t>Acid clorhidric (HCl)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054B3A" w14:textId="77777777" w:rsidR="00B31FA1" w:rsidRPr="003A1EA4" w:rsidRDefault="00B31FA1" w:rsidP="00B31FA1">
                  <w:pPr>
                    <w:jc w:val="both"/>
                    <w:rPr>
                      <w:lang w:val="ro-RO"/>
                    </w:rPr>
                  </w:pPr>
                  <w:r w:rsidRPr="003A1EA4">
                    <w:rPr>
                      <w:lang w:val="ro-RO"/>
                    </w:rPr>
                    <w:t>1 061,1</w:t>
                  </w:r>
                </w:p>
              </w:tc>
            </w:tr>
            <w:tr w:rsidR="00B31FA1" w:rsidRPr="003A1EA4" w14:paraId="104281A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36739C" w14:textId="77777777" w:rsidR="00B31FA1" w:rsidRPr="003A1EA4" w:rsidRDefault="00B31FA1" w:rsidP="00B31FA1">
                  <w:pPr>
                    <w:jc w:val="both"/>
                    <w:rPr>
                      <w:lang w:val="ro-RO"/>
                    </w:rPr>
                  </w:pPr>
                  <w:r w:rsidRPr="003A1EA4">
                    <w:rPr>
                      <w:lang w:val="ro-RO"/>
                    </w:rPr>
                    <w:t>Lubrifianți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FDF23B" w14:textId="77777777" w:rsidR="00B31FA1" w:rsidRPr="003A1EA4" w:rsidRDefault="00B31FA1" w:rsidP="00B31FA1">
                  <w:pPr>
                    <w:jc w:val="both"/>
                    <w:rPr>
                      <w:lang w:val="ro-RO"/>
                    </w:rPr>
                  </w:pPr>
                  <w:r w:rsidRPr="003A1EA4">
                    <w:rPr>
                      <w:lang w:val="ro-RO"/>
                    </w:rPr>
                    <w:t>947,0</w:t>
                  </w:r>
                </w:p>
              </w:tc>
            </w:tr>
            <w:tr w:rsidR="00B31FA1" w:rsidRPr="003A1EA4" w14:paraId="0B87CEA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748A54" w14:textId="77777777" w:rsidR="00B31FA1" w:rsidRPr="003A1EA4" w:rsidRDefault="00B31FA1" w:rsidP="00B31FA1">
                  <w:pPr>
                    <w:jc w:val="both"/>
                    <w:rPr>
                      <w:lang w:val="ro-RO"/>
                    </w:rPr>
                  </w:pPr>
                  <w:r w:rsidRPr="003A1EA4">
                    <w:rPr>
                      <w:lang w:val="ro-RO"/>
                    </w:rPr>
                    <w:t>Sulfat de magneziu (MgSO</w:t>
                  </w:r>
                  <w:r w:rsidRPr="003A1EA4">
                    <w:rPr>
                      <w:vertAlign w:val="subscript"/>
                      <w:lang w:val="ro-RO"/>
                    </w:rPr>
                    <w:t>4</w:t>
                  </w:r>
                  <w:r w:rsidRPr="003A1EA4">
                    <w:rPr>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EBAE3B" w14:textId="77777777" w:rsidR="00B31FA1" w:rsidRPr="003A1EA4" w:rsidRDefault="00B31FA1" w:rsidP="00B31FA1">
                  <w:pPr>
                    <w:jc w:val="both"/>
                    <w:rPr>
                      <w:lang w:val="ro-RO"/>
                    </w:rPr>
                  </w:pPr>
                  <w:r w:rsidRPr="003A1EA4">
                    <w:rPr>
                      <w:lang w:val="ro-RO"/>
                    </w:rPr>
                    <w:t>191,8</w:t>
                  </w:r>
                </w:p>
              </w:tc>
            </w:tr>
            <w:tr w:rsidR="00B31FA1" w:rsidRPr="003A1EA4" w14:paraId="66225D4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0E84A6" w14:textId="77777777" w:rsidR="00B31FA1" w:rsidRPr="003A1EA4" w:rsidRDefault="00B31FA1" w:rsidP="00B31FA1">
                  <w:pPr>
                    <w:jc w:val="both"/>
                    <w:rPr>
                      <w:lang w:val="ro-RO"/>
                    </w:rPr>
                  </w:pPr>
                  <w:r w:rsidRPr="003A1EA4">
                    <w:rPr>
                      <w:lang w:val="ro-RO"/>
                    </w:rPr>
                    <w:t>Azot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03BACE" w14:textId="77777777" w:rsidR="00B31FA1" w:rsidRPr="003A1EA4" w:rsidRDefault="00B31FA1" w:rsidP="00B31FA1">
                  <w:pPr>
                    <w:jc w:val="both"/>
                    <w:rPr>
                      <w:lang w:val="ro-RO"/>
                    </w:rPr>
                  </w:pPr>
                  <w:r w:rsidRPr="003A1EA4">
                    <w:rPr>
                      <w:lang w:val="ro-RO"/>
                    </w:rPr>
                    <w:t>56,4</w:t>
                  </w:r>
                </w:p>
              </w:tc>
            </w:tr>
            <w:tr w:rsidR="00B31FA1" w:rsidRPr="003A1EA4" w14:paraId="67FAF52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608085" w14:textId="77777777" w:rsidR="00B31FA1" w:rsidRPr="003A1EA4" w:rsidRDefault="00B31FA1" w:rsidP="00B31FA1">
                  <w:pPr>
                    <w:jc w:val="both"/>
                    <w:rPr>
                      <w:lang w:val="ro-RO"/>
                    </w:rPr>
                  </w:pPr>
                  <w:r w:rsidRPr="003A1EA4">
                    <w:rPr>
                      <w:lang w:val="ro-RO"/>
                    </w:rPr>
                    <w:t>Acid fosforic (H</w:t>
                  </w:r>
                  <w:r w:rsidRPr="003A1EA4">
                    <w:rPr>
                      <w:vertAlign w:val="subscript"/>
                      <w:lang w:val="ro-RO"/>
                    </w:rPr>
                    <w:t>3</w:t>
                  </w:r>
                  <w:r w:rsidRPr="003A1EA4">
                    <w:rPr>
                      <w:lang w:val="ro-RO"/>
                    </w:rPr>
                    <w:t>PO</w:t>
                  </w:r>
                  <w:r w:rsidRPr="003A1EA4">
                    <w:rPr>
                      <w:vertAlign w:val="subscript"/>
                      <w:lang w:val="ro-RO"/>
                    </w:rPr>
                    <w:t>4</w:t>
                  </w:r>
                  <w:r w:rsidRPr="003A1EA4">
                    <w:rPr>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2F5C76" w14:textId="77777777" w:rsidR="00B31FA1" w:rsidRPr="003A1EA4" w:rsidRDefault="00B31FA1" w:rsidP="00B31FA1">
                  <w:pPr>
                    <w:jc w:val="both"/>
                    <w:rPr>
                      <w:lang w:val="ro-RO"/>
                    </w:rPr>
                  </w:pPr>
                  <w:r w:rsidRPr="003A1EA4">
                    <w:rPr>
                      <w:lang w:val="ro-RO"/>
                    </w:rPr>
                    <w:t>3 124,7</w:t>
                  </w:r>
                </w:p>
              </w:tc>
            </w:tr>
            <w:tr w:rsidR="00B31FA1" w:rsidRPr="003A1EA4" w14:paraId="2E3A4C5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9BD4A7" w14:textId="77777777" w:rsidR="00B31FA1" w:rsidRPr="003A1EA4" w:rsidRDefault="00B31FA1" w:rsidP="00B31FA1">
                  <w:pPr>
                    <w:jc w:val="both"/>
                    <w:rPr>
                      <w:lang w:val="ro-RO"/>
                    </w:rPr>
                  </w:pPr>
                  <w:r w:rsidRPr="003A1EA4">
                    <w:rPr>
                      <w:lang w:val="ro-RO"/>
                    </w:rPr>
                    <w:t>Hidroxid de potasiu (KOH)</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39CB54" w14:textId="77777777" w:rsidR="00B31FA1" w:rsidRPr="003A1EA4" w:rsidRDefault="00B31FA1" w:rsidP="00B31FA1">
                  <w:pPr>
                    <w:jc w:val="both"/>
                    <w:rPr>
                      <w:lang w:val="ro-RO"/>
                    </w:rPr>
                  </w:pPr>
                  <w:r w:rsidRPr="003A1EA4">
                    <w:rPr>
                      <w:lang w:val="ro-RO"/>
                    </w:rPr>
                    <w:t>419,1</w:t>
                  </w:r>
                </w:p>
              </w:tc>
            </w:tr>
            <w:tr w:rsidR="00B31FA1" w:rsidRPr="003A1EA4" w14:paraId="573A52A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8FF5D6" w14:textId="77777777" w:rsidR="00B31FA1" w:rsidRPr="003A1EA4" w:rsidRDefault="00B31FA1" w:rsidP="00B31FA1">
                  <w:pPr>
                    <w:jc w:val="both"/>
                    <w:rPr>
                      <w:lang w:val="ro-RO"/>
                    </w:rPr>
                  </w:pPr>
                  <w:r w:rsidRPr="003A1EA4">
                    <w:rPr>
                      <w:lang w:val="ro-RO"/>
                    </w:rPr>
                    <w:t>CaO pur pentru procese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D6BDC0" w14:textId="77777777" w:rsidR="00B31FA1" w:rsidRPr="003A1EA4" w:rsidRDefault="00B31FA1" w:rsidP="00B31FA1">
                  <w:pPr>
                    <w:jc w:val="both"/>
                    <w:rPr>
                      <w:lang w:val="ro-RO"/>
                    </w:rPr>
                  </w:pPr>
                  <w:r w:rsidRPr="003A1EA4">
                    <w:rPr>
                      <w:lang w:val="ro-RO"/>
                    </w:rPr>
                    <w:t>1 193,2</w:t>
                  </w:r>
                </w:p>
              </w:tc>
            </w:tr>
            <w:tr w:rsidR="00B31FA1" w:rsidRPr="003A1EA4" w14:paraId="356D99C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80C932" w14:textId="77777777" w:rsidR="00B31FA1" w:rsidRPr="003A1EA4" w:rsidRDefault="00B31FA1" w:rsidP="00B31FA1">
                  <w:pPr>
                    <w:jc w:val="both"/>
                    <w:rPr>
                      <w:lang w:val="ro-RO"/>
                    </w:rPr>
                  </w:pPr>
                  <w:r w:rsidRPr="003A1EA4">
                    <w:rPr>
                      <w:lang w:val="ro-RO"/>
                    </w:rPr>
                    <w:t>Carbonat de sodiu (Na</w:t>
                  </w:r>
                  <w:r w:rsidRPr="003A1EA4">
                    <w:rPr>
                      <w:vertAlign w:val="subscript"/>
                      <w:lang w:val="ro-RO"/>
                    </w:rPr>
                    <w:t>2</w:t>
                  </w:r>
                  <w:r w:rsidRPr="003A1EA4">
                    <w:rPr>
                      <w:lang w:val="ro-RO"/>
                    </w:rPr>
                    <w:t>CO</w:t>
                  </w:r>
                  <w:r w:rsidRPr="003A1EA4">
                    <w:rPr>
                      <w:vertAlign w:val="subscript"/>
                      <w:lang w:val="ro-RO"/>
                    </w:rPr>
                    <w:t>3</w:t>
                  </w:r>
                  <w:r w:rsidRPr="003A1EA4">
                    <w:rPr>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B373C8" w14:textId="77777777" w:rsidR="00B31FA1" w:rsidRPr="003A1EA4" w:rsidRDefault="00B31FA1" w:rsidP="00B31FA1">
                  <w:pPr>
                    <w:jc w:val="both"/>
                    <w:rPr>
                      <w:lang w:val="ro-RO"/>
                    </w:rPr>
                  </w:pPr>
                  <w:r w:rsidRPr="003A1EA4">
                    <w:rPr>
                      <w:lang w:val="ro-RO"/>
                    </w:rPr>
                    <w:t>1 245,1</w:t>
                  </w:r>
                </w:p>
              </w:tc>
            </w:tr>
            <w:tr w:rsidR="00B31FA1" w:rsidRPr="003A1EA4" w14:paraId="061AB3E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B1EE4B" w14:textId="77777777" w:rsidR="00B31FA1" w:rsidRPr="003A1EA4" w:rsidRDefault="00B31FA1" w:rsidP="00B31FA1">
                  <w:pPr>
                    <w:jc w:val="both"/>
                    <w:rPr>
                      <w:lang w:val="ro-RO"/>
                    </w:rPr>
                  </w:pPr>
                  <w:r w:rsidRPr="003A1EA4">
                    <w:rPr>
                      <w:lang w:val="ro-RO"/>
                    </w:rPr>
                    <w:t>Clorură de sodiu (NaCl)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0F7C26" w14:textId="77777777" w:rsidR="00B31FA1" w:rsidRPr="003A1EA4" w:rsidRDefault="00B31FA1" w:rsidP="00B31FA1">
                  <w:pPr>
                    <w:jc w:val="both"/>
                    <w:rPr>
                      <w:lang w:val="ro-RO"/>
                    </w:rPr>
                  </w:pPr>
                  <w:r w:rsidRPr="003A1EA4">
                    <w:rPr>
                      <w:lang w:val="ro-RO"/>
                    </w:rPr>
                    <w:t>13,3</w:t>
                  </w:r>
                </w:p>
              </w:tc>
            </w:tr>
            <w:tr w:rsidR="00B31FA1" w:rsidRPr="003A1EA4" w14:paraId="4F8C364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7415DB" w14:textId="77777777" w:rsidR="00B31FA1" w:rsidRPr="003A1EA4" w:rsidRDefault="00B31FA1" w:rsidP="00B31FA1">
                  <w:pPr>
                    <w:jc w:val="both"/>
                    <w:rPr>
                      <w:lang w:val="ro-RO"/>
                    </w:rPr>
                  </w:pPr>
                  <w:r w:rsidRPr="003A1EA4">
                    <w:rPr>
                      <w:lang w:val="ro-RO"/>
                    </w:rPr>
                    <w:t>Hidroxid de sodiu (NaOH)</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75F35" w14:textId="77777777" w:rsidR="00B31FA1" w:rsidRPr="003A1EA4" w:rsidRDefault="00B31FA1" w:rsidP="00B31FA1">
                  <w:pPr>
                    <w:jc w:val="both"/>
                    <w:rPr>
                      <w:lang w:val="ro-RO"/>
                    </w:rPr>
                  </w:pPr>
                  <w:r w:rsidRPr="003A1EA4">
                    <w:rPr>
                      <w:lang w:val="ro-RO"/>
                    </w:rPr>
                    <w:t>529,7</w:t>
                  </w:r>
                </w:p>
              </w:tc>
            </w:tr>
            <w:tr w:rsidR="00B31FA1" w:rsidRPr="003A1EA4" w14:paraId="65E9E19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0AA984" w14:textId="77777777" w:rsidR="00B31FA1" w:rsidRPr="003A1EA4" w:rsidRDefault="00B31FA1" w:rsidP="00B31FA1">
                  <w:pPr>
                    <w:jc w:val="both"/>
                    <w:rPr>
                      <w:lang w:val="ro-RO"/>
                    </w:rPr>
                  </w:pPr>
                  <w:r w:rsidRPr="003A1EA4">
                    <w:rPr>
                      <w:lang w:val="ro-RO"/>
                    </w:rPr>
                    <w:t>Metoxid de sodiu [Na(CH</w:t>
                  </w:r>
                  <w:r w:rsidRPr="003A1EA4">
                    <w:rPr>
                      <w:vertAlign w:val="subscript"/>
                      <w:lang w:val="ro-RO"/>
                    </w:rPr>
                    <w:t>3</w:t>
                  </w:r>
                  <w:r w:rsidRPr="003A1EA4">
                    <w:rPr>
                      <w:lang w:val="ro-RO"/>
                    </w:rPr>
                    <w:t>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160C7D" w14:textId="77777777" w:rsidR="00B31FA1" w:rsidRPr="003A1EA4" w:rsidRDefault="00B31FA1" w:rsidP="00B31FA1">
                  <w:pPr>
                    <w:jc w:val="both"/>
                    <w:rPr>
                      <w:lang w:val="ro-RO"/>
                    </w:rPr>
                  </w:pPr>
                  <w:r w:rsidRPr="003A1EA4">
                    <w:rPr>
                      <w:lang w:val="ro-RO"/>
                    </w:rPr>
                    <w:t>2 425,5</w:t>
                  </w:r>
                </w:p>
              </w:tc>
            </w:tr>
            <w:tr w:rsidR="00B31FA1" w:rsidRPr="003A1EA4" w14:paraId="3EAB777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8030F3" w14:textId="77777777" w:rsidR="00B31FA1" w:rsidRPr="003A1EA4" w:rsidRDefault="00B31FA1" w:rsidP="00B31FA1">
                  <w:pPr>
                    <w:jc w:val="both"/>
                    <w:rPr>
                      <w:lang w:val="ro-RO"/>
                    </w:rPr>
                  </w:pPr>
                  <w:r w:rsidRPr="003A1EA4">
                    <w:rPr>
                      <w:lang w:val="ro-RO"/>
                    </w:rPr>
                    <w:t>SO</w:t>
                  </w:r>
                  <w:r w:rsidRPr="003A1EA4">
                    <w:rPr>
                      <w:vertAlign w:val="subscript"/>
                      <w:lang w:val="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E2C4FA" w14:textId="77777777" w:rsidR="00B31FA1" w:rsidRPr="003A1EA4" w:rsidRDefault="00B31FA1" w:rsidP="00B31FA1">
                  <w:pPr>
                    <w:jc w:val="both"/>
                    <w:rPr>
                      <w:lang w:val="ro-RO"/>
                    </w:rPr>
                  </w:pPr>
                  <w:r w:rsidRPr="003A1EA4">
                    <w:rPr>
                      <w:lang w:val="ro-RO"/>
                    </w:rPr>
                    <w:t>53,3</w:t>
                  </w:r>
                </w:p>
              </w:tc>
            </w:tr>
            <w:tr w:rsidR="00B31FA1" w:rsidRPr="003A1EA4" w14:paraId="0DFEB73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132FD4" w14:textId="77777777" w:rsidR="00B31FA1" w:rsidRPr="003A1EA4" w:rsidRDefault="00B31FA1" w:rsidP="00B31FA1">
                  <w:pPr>
                    <w:jc w:val="both"/>
                    <w:rPr>
                      <w:lang w:val="ro-RO"/>
                    </w:rPr>
                  </w:pPr>
                  <w:r w:rsidRPr="003A1EA4">
                    <w:rPr>
                      <w:lang w:val="ro-RO"/>
                    </w:rPr>
                    <w:t>Acid sulfuric (H</w:t>
                  </w:r>
                  <w:r w:rsidRPr="003A1EA4">
                    <w:rPr>
                      <w:vertAlign w:val="subscript"/>
                      <w:lang w:val="ro-RO"/>
                    </w:rPr>
                    <w:t>2</w:t>
                  </w:r>
                  <w:r w:rsidRPr="003A1EA4">
                    <w:rPr>
                      <w:lang w:val="ro-RO"/>
                    </w:rPr>
                    <w:t>SO</w:t>
                  </w:r>
                  <w:r w:rsidRPr="003A1EA4">
                    <w:rPr>
                      <w:vertAlign w:val="subscript"/>
                      <w:lang w:val="ro-RO"/>
                    </w:rPr>
                    <w:t>4</w:t>
                  </w:r>
                  <w:r w:rsidRPr="003A1EA4">
                    <w:rPr>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1EADD0" w14:textId="77777777" w:rsidR="00B31FA1" w:rsidRPr="003A1EA4" w:rsidRDefault="00B31FA1" w:rsidP="00B31FA1">
                  <w:pPr>
                    <w:jc w:val="both"/>
                    <w:rPr>
                      <w:lang w:val="ro-RO"/>
                    </w:rPr>
                  </w:pPr>
                  <w:r w:rsidRPr="003A1EA4">
                    <w:rPr>
                      <w:lang w:val="ro-RO"/>
                    </w:rPr>
                    <w:t>217,5</w:t>
                  </w:r>
                </w:p>
              </w:tc>
            </w:tr>
            <w:tr w:rsidR="00B31FA1" w:rsidRPr="003A1EA4" w14:paraId="1FE531B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C78AB9" w14:textId="77777777" w:rsidR="00B31FA1" w:rsidRPr="003A1EA4" w:rsidRDefault="00B31FA1" w:rsidP="00B31FA1">
                  <w:pPr>
                    <w:jc w:val="both"/>
                    <w:rPr>
                      <w:lang w:val="ro-RO"/>
                    </w:rPr>
                  </w:pPr>
                  <w:r w:rsidRPr="003A1EA4">
                    <w:rPr>
                      <w:lang w:val="ro-RO"/>
                    </w:rPr>
                    <w:t>Uree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21E1EE" w14:textId="77777777" w:rsidR="00B31FA1" w:rsidRPr="003A1EA4" w:rsidRDefault="00B31FA1" w:rsidP="00B31FA1">
                  <w:pPr>
                    <w:jc w:val="both"/>
                    <w:rPr>
                      <w:lang w:val="ro-RO"/>
                    </w:rPr>
                  </w:pPr>
                  <w:r w:rsidRPr="003A1EA4">
                    <w:rPr>
                      <w:lang w:val="ro-RO"/>
                    </w:rPr>
                    <w:t>1 846,6</w:t>
                  </w:r>
                </w:p>
              </w:tc>
            </w:tr>
          </w:tbl>
          <w:p w14:paraId="36B1138C" w14:textId="77777777" w:rsidR="00B31FA1" w:rsidRPr="003A1EA4" w:rsidRDefault="00B31FA1" w:rsidP="00B31FA1">
            <w:pPr>
              <w:jc w:val="both"/>
              <w:rPr>
                <w:b/>
                <w:bCs/>
                <w:lang w:val="ro-RO"/>
              </w:rPr>
            </w:pPr>
            <w:r w:rsidRPr="003A1EA4">
              <w:rPr>
                <w:b/>
                <w:bCs/>
                <w:lang w:val="ro-RO"/>
              </w:rPr>
              <w:t>C.   INTENSITATEA EMISIILOR DE GES DATORATE ENERGIEI ELECTRICE</w:t>
            </w:r>
          </w:p>
          <w:p w14:paraId="4247A213" w14:textId="77777777" w:rsidR="00B31FA1" w:rsidRPr="003A1EA4" w:rsidRDefault="00B31FA1" w:rsidP="00B31FA1">
            <w:pPr>
              <w:jc w:val="both"/>
              <w:rPr>
                <w:lang w:val="ro-RO"/>
              </w:rPr>
            </w:pPr>
            <w:r w:rsidRPr="003A1EA4">
              <w:rPr>
                <w:lang w:val="ro-RO"/>
              </w:rPr>
              <w:t>Intensitatea emisiilor de gaze cu efect de seră generate de energia electrică se determină la nivelul țărilor sau la nivelul zonelor de ofertare. Intensitatea emisiilor de gaze cu efect de seră generate de energia electrică poate fi determinată numai la nivelul zonelor de ofertare, dacă datele necesare sunt disponibile public. Calculul intensității carbonului în cazul energiei electrice, exprimat în gCO</w:t>
            </w:r>
            <w:r w:rsidRPr="003A1EA4">
              <w:rPr>
                <w:vertAlign w:val="subscript"/>
                <w:lang w:val="ro-RO"/>
              </w:rPr>
              <w:t>2eq</w:t>
            </w:r>
            <w:r w:rsidRPr="003A1EA4">
              <w:rPr>
                <w:lang w:val="ro-RO"/>
              </w:rPr>
              <w:t>/kWh de energie electrică, ia în considerare toate sursele de energie primară potențiale pentru generarea de energie electrică, tipul de centrală, eficiența conversiei și consumul propriu de energie electrică în centrala electrică.</w:t>
            </w:r>
          </w:p>
          <w:p w14:paraId="51217FEE" w14:textId="77777777" w:rsidR="00B31FA1" w:rsidRPr="003A1EA4" w:rsidRDefault="00B31FA1" w:rsidP="00B31FA1">
            <w:pPr>
              <w:jc w:val="both"/>
              <w:rPr>
                <w:lang w:val="ro-RO"/>
              </w:rPr>
            </w:pPr>
            <w:r w:rsidRPr="003A1EA4">
              <w:rPr>
                <w:lang w:val="ro-RO"/>
              </w:rPr>
              <w:t>Calculul ia în considerare toate emisiile de carbon echivalente asociate arderii și furnizării combustibililor utilizați pentru producerea de energie electrică. Aceasta se bazează pe cantitatea de diferiți combustibili utilizați în instalațiile de producție a energiei electrice, pe factorii de emisie de la arderea combustibililor și pe factorii de emisie ai combustibililor din amonte.</w:t>
            </w:r>
          </w:p>
          <w:p w14:paraId="0D359CD0" w14:textId="77777777" w:rsidR="00B31FA1" w:rsidRPr="003A1EA4" w:rsidRDefault="00B31FA1" w:rsidP="00B31FA1">
            <w:pPr>
              <w:jc w:val="both"/>
              <w:rPr>
                <w:lang w:val="ro-RO"/>
              </w:rPr>
            </w:pPr>
            <w:r w:rsidRPr="003A1EA4">
              <w:rPr>
                <w:lang w:val="ro-RO"/>
              </w:rPr>
              <w:t>Gazele cu efect de seră altele decât CO</w:t>
            </w:r>
            <w:r w:rsidRPr="003A1EA4">
              <w:rPr>
                <w:vertAlign w:val="subscript"/>
                <w:lang w:val="ro-RO"/>
              </w:rPr>
              <w:t>2</w:t>
            </w:r>
            <w:r w:rsidRPr="003A1EA4">
              <w:rPr>
                <w:lang w:val="ro-RO"/>
              </w:rPr>
              <w:t> se vor converti în CO</w:t>
            </w:r>
            <w:r w:rsidRPr="003A1EA4">
              <w:rPr>
                <w:vertAlign w:val="subscript"/>
                <w:lang w:val="ro-RO"/>
              </w:rPr>
              <w:t>2eq</w:t>
            </w:r>
            <w:r w:rsidRPr="003A1EA4">
              <w:rPr>
                <w:lang w:val="ro-RO"/>
              </w:rPr>
              <w:t> prin înmulțirea potențialului lor de încălzire globală (GWP) referitor la CO</w:t>
            </w:r>
            <w:r w:rsidRPr="003A1EA4">
              <w:rPr>
                <w:vertAlign w:val="subscript"/>
                <w:lang w:val="ro-RO"/>
              </w:rPr>
              <w:t>2</w:t>
            </w:r>
            <w:r w:rsidRPr="003A1EA4">
              <w:rPr>
                <w:lang w:val="ro-RO"/>
              </w:rPr>
              <w:t xml:space="preserve"> într-un orizont de timp astfel cum este prevăzut în partea C punctul 4 din anexa V la Directiva (UE) 2018/2001. Datorită originii </w:t>
            </w:r>
            <w:r w:rsidRPr="003A1EA4">
              <w:rPr>
                <w:lang w:val="ro-RO"/>
              </w:rPr>
              <w:lastRenderedPageBreak/>
              <w:t>lor biogene, emisiile de CO</w:t>
            </w:r>
            <w:r w:rsidRPr="003A1EA4">
              <w:rPr>
                <w:vertAlign w:val="subscript"/>
                <w:lang w:val="ro-RO"/>
              </w:rPr>
              <w:t>2</w:t>
            </w:r>
            <w:r w:rsidRPr="003A1EA4">
              <w:rPr>
                <w:lang w:val="ro-RO"/>
              </w:rPr>
              <w:t> din arderea combustibililor pe bază de biomasă nu se contabilizează, spre deosebire de emisiile de CH</w:t>
            </w:r>
            <w:r w:rsidRPr="003A1EA4">
              <w:rPr>
                <w:vertAlign w:val="subscript"/>
                <w:lang w:val="ro-RO"/>
              </w:rPr>
              <w:t>4</w:t>
            </w:r>
            <w:r w:rsidRPr="003A1EA4">
              <w:rPr>
                <w:lang w:val="ro-RO"/>
              </w:rPr>
              <w:t> și N</w:t>
            </w:r>
            <w:r w:rsidRPr="003A1EA4">
              <w:rPr>
                <w:vertAlign w:val="subscript"/>
                <w:lang w:val="ro-RO"/>
              </w:rPr>
              <w:t>2</w:t>
            </w:r>
            <w:r w:rsidRPr="003A1EA4">
              <w:rPr>
                <w:lang w:val="ro-RO"/>
              </w:rPr>
              <w:t>O.</w:t>
            </w:r>
          </w:p>
          <w:p w14:paraId="5CCD98C0" w14:textId="77777777" w:rsidR="00B31FA1" w:rsidRPr="003A1EA4" w:rsidRDefault="00B31FA1" w:rsidP="00B31FA1">
            <w:pPr>
              <w:jc w:val="both"/>
              <w:rPr>
                <w:lang w:val="ro-RO"/>
              </w:rPr>
            </w:pPr>
            <w:r w:rsidRPr="003A1EA4">
              <w:rPr>
                <w:lang w:val="ro-RO"/>
              </w:rPr>
              <w:t>Pentru calculul emisiilor de GES din arderea combustibililor, se utilizează factorii de emisie impliciți ai IPCC pentru arderea staționară în industriile energetice (IPCC 2006). Emisiile din amonte includ emisiile din toate procesele și fazele necesare pentru ca combustibilul să fie pregătit să alimenteze producția de energie electrică; acestea rezultă din extracția, rafinarea și transportul combustibilului utilizat pentru producerea de energie electrică.</w:t>
            </w:r>
          </w:p>
          <w:p w14:paraId="5669D8A3" w14:textId="77777777" w:rsidR="00B31FA1" w:rsidRPr="003A1EA4" w:rsidRDefault="00B31FA1" w:rsidP="00B31FA1">
            <w:pPr>
              <w:jc w:val="both"/>
              <w:rPr>
                <w:lang w:val="ro-RO"/>
              </w:rPr>
            </w:pPr>
            <w:r w:rsidRPr="003A1EA4">
              <w:rPr>
                <w:lang w:val="ro-RO"/>
              </w:rPr>
              <w:t>În plus, se iau în considerare toate emisiile din amonte provenite din cultivarea, recoltarea, colectarea, prelucrarea și transportul biomasei. Turba și componentele deșeurilor din combustibili fosili sunt tratate drept combustibil fosil.</w:t>
            </w:r>
          </w:p>
          <w:p w14:paraId="35A8CBB8" w14:textId="77777777" w:rsidR="00B31FA1" w:rsidRPr="003A1EA4" w:rsidRDefault="00B31FA1" w:rsidP="00B31FA1">
            <w:pPr>
              <w:jc w:val="both"/>
              <w:rPr>
                <w:lang w:val="ro-RO"/>
              </w:rPr>
            </w:pPr>
            <w:r w:rsidRPr="003A1EA4">
              <w:rPr>
                <w:lang w:val="ro-RO"/>
              </w:rPr>
              <w:t>Combustibilii utilizați pentru producția brută de energie electrică în centralele exclusiv electrice se determină pe baza producției de energie electrică și a eficienței conversiei în energie electrică. În cazul cogenerării (CHP), combustibilii utilizați pentru energia termică produsă în cogenerare se calculează luând în considerare producția de energie termică alternativă cu randamente globale medii de 85 %, iar restul se atribuie producției de energie electrică.</w:t>
            </w:r>
          </w:p>
          <w:p w14:paraId="279C17E7" w14:textId="77777777" w:rsidR="00B31FA1" w:rsidRPr="003A1EA4" w:rsidRDefault="00B31FA1" w:rsidP="00B31FA1">
            <w:pPr>
              <w:jc w:val="both"/>
              <w:rPr>
                <w:lang w:val="ro-RO"/>
              </w:rPr>
            </w:pPr>
            <w:r w:rsidRPr="003A1EA4">
              <w:rPr>
                <w:lang w:val="ro-RO"/>
              </w:rPr>
              <w:t>În cazul centralelor nucleare, eficiența conversiei energiei termice nucleare se presupune a fi de 33 % sau se utilizează datele furnizate de Eurostat sau de o sursă acreditată similară.</w:t>
            </w:r>
          </w:p>
          <w:p w14:paraId="2A4DCC64" w14:textId="77777777" w:rsidR="00B31FA1" w:rsidRPr="003A1EA4" w:rsidRDefault="00B31FA1" w:rsidP="00B31FA1">
            <w:pPr>
              <w:jc w:val="both"/>
              <w:rPr>
                <w:lang w:val="ro-RO"/>
              </w:rPr>
            </w:pPr>
            <w:r w:rsidRPr="003A1EA4">
              <w:rPr>
                <w:lang w:val="ro-RO"/>
              </w:rPr>
              <w:t>Niciun combustibil nu este asociat producției de energie electrică din surse regenerabile care include hidroenergia, energia solară, eoliană și geotermică. Emisiile generate de construirea și dezafectarea instalațiilor de producere a energiei electrice și de gestionarea deșeurilor aferente acestora nu sunt luate în considerare. Astfel, emisiile de carbon echivalente asociate producției de energie electrică din surse regenerabile (energie eoliană, solară, hidroenergie și energie geotermică) sunt considerate a fi egale cu zero.</w:t>
            </w:r>
          </w:p>
          <w:p w14:paraId="05A6D925" w14:textId="77777777" w:rsidR="00B31FA1" w:rsidRPr="003A1EA4" w:rsidRDefault="00B31FA1" w:rsidP="00B31FA1">
            <w:pPr>
              <w:jc w:val="both"/>
              <w:rPr>
                <w:lang w:val="ro-RO"/>
              </w:rPr>
            </w:pPr>
            <w:r w:rsidRPr="003A1EA4">
              <w:rPr>
                <w:lang w:val="ro-RO"/>
              </w:rPr>
              <w:t>Emisiile de echivalent CO</w:t>
            </w:r>
            <w:r w:rsidRPr="003A1EA4">
              <w:rPr>
                <w:vertAlign w:val="subscript"/>
                <w:lang w:val="ro-RO"/>
              </w:rPr>
              <w:t>2</w:t>
            </w:r>
            <w:r w:rsidRPr="003A1EA4">
              <w:rPr>
                <w:lang w:val="ro-RO"/>
              </w:rPr>
              <w:t xml:space="preserve"> provenite din producția brută de energie electrică includ emisiile generate în amonte din JEC WTW v5 (Prussi et al, 2020) enumerate în tabelul 3 și factorii de emisie impliciți pentru arderea staționară din Orientările IPCC pentru inventarele naționale ale gazelor cu efect de seră (IPCC 2006) enumerați în tabelele 1 și 2. Emisiile în amonte pentru furnizarea combustibilului utilizat se </w:t>
            </w:r>
            <w:r w:rsidRPr="003A1EA4">
              <w:rPr>
                <w:lang w:val="ro-RO"/>
              </w:rPr>
              <w:lastRenderedPageBreak/>
              <w:t>calculează aplicând factorii de emisie din amonte JEC WTW v5 (Prussi et al, 2020).</w:t>
            </w:r>
          </w:p>
          <w:p w14:paraId="6CE5187C" w14:textId="77777777" w:rsidR="00B31FA1" w:rsidRPr="003A1EA4" w:rsidRDefault="00B31FA1" w:rsidP="00B31FA1">
            <w:pPr>
              <w:jc w:val="both"/>
              <w:rPr>
                <w:lang w:val="ro-RO"/>
              </w:rPr>
            </w:pPr>
            <w:r w:rsidRPr="003A1EA4">
              <w:rPr>
                <w:lang w:val="ro-RO"/>
              </w:rPr>
              <w:t>Calculul intensității carbonului generat de energia electrică se efectuează cu ajutorul formulei:</w:t>
            </w:r>
          </w:p>
          <w:p w14:paraId="2BE94828" w14:textId="540E4B2F" w:rsidR="00B31FA1" w:rsidRPr="003A1EA4" w:rsidRDefault="00B31FA1" w:rsidP="00B31FA1">
            <w:pPr>
              <w:jc w:val="both"/>
              <w:rPr>
                <w:lang w:val="ro-RO"/>
              </w:rPr>
            </w:pPr>
            <w:r w:rsidRPr="003A1EA4">
              <w:rPr>
                <w:noProof/>
                <w:lang w:val="ro-RO"/>
              </w:rPr>
              <w:drawing>
                <wp:inline distT="0" distB="0" distL="0" distR="0" wp14:anchorId="0D16D0FC" wp14:editId="7CF8136E">
                  <wp:extent cx="3457575" cy="685800"/>
                  <wp:effectExtent l="0" t="0" r="9525" b="0"/>
                  <wp:docPr id="1831085403" name="Picture 3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7575" cy="68580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1410"/>
              <w:gridCol w:w="791"/>
              <w:gridCol w:w="2487"/>
              <w:gridCol w:w="1491"/>
            </w:tblGrid>
            <w:tr w:rsidR="00B31FA1" w:rsidRPr="003A1EA4" w14:paraId="3D82CBE6" w14:textId="77777777">
              <w:tc>
                <w:tcPr>
                  <w:tcW w:w="0" w:type="auto"/>
                  <w:shd w:val="clear" w:color="auto" w:fill="FFFFFF"/>
                  <w:hideMark/>
                </w:tcPr>
                <w:p w14:paraId="2F81EACB" w14:textId="77777777" w:rsidR="00B31FA1" w:rsidRPr="003A1EA4" w:rsidRDefault="00B31FA1" w:rsidP="00B31FA1">
                  <w:pPr>
                    <w:jc w:val="both"/>
                    <w:rPr>
                      <w:lang w:val="ro-RO"/>
                    </w:rPr>
                  </w:pPr>
                  <w:r w:rsidRPr="003A1EA4">
                    <w:rPr>
                      <w:lang w:val="ro-RO"/>
                    </w:rPr>
                    <w:t>unde:</w:t>
                  </w:r>
                </w:p>
              </w:tc>
              <w:tc>
                <w:tcPr>
                  <w:tcW w:w="0" w:type="auto"/>
                  <w:shd w:val="clear" w:color="auto" w:fill="FFFFFF"/>
                  <w:hideMark/>
                </w:tcPr>
                <w:p w14:paraId="2619336E" w14:textId="77777777" w:rsidR="00B31FA1" w:rsidRPr="003A1EA4" w:rsidRDefault="00B31FA1" w:rsidP="00B31FA1">
                  <w:pPr>
                    <w:jc w:val="both"/>
                    <w:rPr>
                      <w:lang w:val="ro-RO"/>
                    </w:rPr>
                  </w:pPr>
                  <w:r w:rsidRPr="003A1EA4">
                    <w:rPr>
                      <w:i/>
                      <w:iCs/>
                      <w:lang w:val="ro-RO"/>
                    </w:rPr>
                    <w:t>e</w:t>
                  </w:r>
                  <w:r w:rsidRPr="003A1EA4">
                    <w:rPr>
                      <w:lang w:val="ro-RO"/>
                    </w:rPr>
                    <w:t> </w:t>
                  </w:r>
                  <w:r w:rsidRPr="003A1EA4">
                    <w:rPr>
                      <w:i/>
                      <w:iCs/>
                      <w:vertAlign w:val="subscript"/>
                      <w:lang w:val="ro-RO"/>
                    </w:rPr>
                    <w:t>gross_prod</w:t>
                  </w:r>
                </w:p>
              </w:tc>
              <w:tc>
                <w:tcPr>
                  <w:tcW w:w="0" w:type="auto"/>
                  <w:shd w:val="clear" w:color="auto" w:fill="FFFFFF"/>
                  <w:hideMark/>
                </w:tcPr>
                <w:p w14:paraId="2FD6D9F4"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60743B0F" w14:textId="77777777" w:rsidR="00B31FA1" w:rsidRPr="003A1EA4" w:rsidRDefault="00B31FA1" w:rsidP="00B31FA1">
                  <w:pPr>
                    <w:jc w:val="both"/>
                    <w:rPr>
                      <w:lang w:val="ro-RO"/>
                    </w:rPr>
                  </w:pPr>
                  <w:r w:rsidRPr="003A1EA4">
                    <w:rPr>
                      <w:lang w:val="ro-RO"/>
                    </w:rPr>
                    <w:t>emisii în echivalent CO</w:t>
                  </w:r>
                  <w:r w:rsidRPr="003A1EA4">
                    <w:rPr>
                      <w:vertAlign w:val="subscript"/>
                      <w:lang w:val="ro-RO"/>
                    </w:rPr>
                    <w:t>2</w:t>
                  </w:r>
                </w:p>
                <w:p w14:paraId="660A8AFC" w14:textId="0606C0C3" w:rsidR="00B31FA1" w:rsidRPr="003A1EA4" w:rsidRDefault="00B31FA1" w:rsidP="00B31FA1">
                  <w:pPr>
                    <w:jc w:val="both"/>
                    <w:rPr>
                      <w:lang w:val="ro-RO"/>
                    </w:rPr>
                  </w:pPr>
                  <w:r w:rsidRPr="003A1EA4">
                    <w:rPr>
                      <w:noProof/>
                      <w:lang w:val="ro-RO"/>
                    </w:rPr>
                    <w:drawing>
                      <wp:inline distT="0" distB="0" distL="0" distR="0" wp14:anchorId="3F5C109D" wp14:editId="757E36BC">
                        <wp:extent cx="800100" cy="304800"/>
                        <wp:effectExtent l="0" t="0" r="0" b="0"/>
                        <wp:docPr id="1580735487" name="Picture 2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tc>
            </w:tr>
            <w:tr w:rsidR="00B31FA1" w:rsidRPr="003A1EA4" w14:paraId="061082B6" w14:textId="77777777">
              <w:tc>
                <w:tcPr>
                  <w:tcW w:w="0" w:type="auto"/>
                  <w:shd w:val="clear" w:color="auto" w:fill="FFFFFF"/>
                  <w:hideMark/>
                </w:tcPr>
                <w:p w14:paraId="5DD5150A" w14:textId="212A6F23" w:rsidR="00B31FA1" w:rsidRPr="003A1EA4" w:rsidRDefault="00B31FA1" w:rsidP="00B31FA1">
                  <w:pPr>
                    <w:jc w:val="both"/>
                    <w:rPr>
                      <w:lang w:val="ro-RO"/>
                    </w:rPr>
                  </w:pPr>
                  <w:r w:rsidRPr="003A1EA4">
                    <w:rPr>
                      <w:noProof/>
                      <w:lang w:val="ro-RO"/>
                    </w:rPr>
                    <w:drawing>
                      <wp:inline distT="0" distB="0" distL="0" distR="0" wp14:anchorId="49F6324C" wp14:editId="7E01ABD8">
                        <wp:extent cx="600075" cy="247650"/>
                        <wp:effectExtent l="0" t="0" r="9525" b="0"/>
                        <wp:docPr id="367195671" name="Picture 2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ormu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p>
              </w:tc>
              <w:tc>
                <w:tcPr>
                  <w:tcW w:w="0" w:type="auto"/>
                  <w:shd w:val="clear" w:color="auto" w:fill="FFFFFF"/>
                  <w:hideMark/>
                </w:tcPr>
                <w:p w14:paraId="5294FC58"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38A1A266" w14:textId="77777777" w:rsidR="00B31FA1" w:rsidRPr="003A1EA4" w:rsidRDefault="00B31FA1" w:rsidP="00B31FA1">
                  <w:pPr>
                    <w:jc w:val="both"/>
                    <w:rPr>
                      <w:lang w:val="ro-RO"/>
                    </w:rPr>
                  </w:pPr>
                  <w:r w:rsidRPr="003A1EA4">
                    <w:rPr>
                      <w:lang w:val="ro-RO"/>
                    </w:rPr>
                    <w:t>factori de emisii în echivalent CO</w:t>
                  </w:r>
                  <w:r w:rsidRPr="003A1EA4">
                    <w:rPr>
                      <w:vertAlign w:val="subscript"/>
                      <w:lang w:val="ro-RO"/>
                    </w:rPr>
                    <w:t>2</w:t>
                  </w:r>
                  <w:r w:rsidRPr="003A1EA4">
                    <w:rPr>
                      <w:lang w:val="ro-RO"/>
                    </w:rPr>
                    <w:t> în amonte</w:t>
                  </w:r>
                </w:p>
                <w:p w14:paraId="2BDFE225" w14:textId="35954B59" w:rsidR="00B31FA1" w:rsidRPr="003A1EA4" w:rsidRDefault="00B31FA1" w:rsidP="00B31FA1">
                  <w:pPr>
                    <w:jc w:val="both"/>
                    <w:rPr>
                      <w:lang w:val="ro-RO"/>
                    </w:rPr>
                  </w:pPr>
                  <w:r w:rsidRPr="003A1EA4">
                    <w:rPr>
                      <w:noProof/>
                      <w:lang w:val="ro-RO"/>
                    </w:rPr>
                    <w:drawing>
                      <wp:inline distT="0" distB="0" distL="0" distR="0" wp14:anchorId="04F47098" wp14:editId="2E84BEB7">
                        <wp:extent cx="904875" cy="581025"/>
                        <wp:effectExtent l="0" t="0" r="9525" b="9525"/>
                        <wp:docPr id="594478767" name="Picture 2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4875" cy="581025"/>
                                </a:xfrm>
                                <a:prstGeom prst="rect">
                                  <a:avLst/>
                                </a:prstGeom>
                                <a:noFill/>
                                <a:ln>
                                  <a:noFill/>
                                </a:ln>
                              </pic:spPr>
                            </pic:pic>
                          </a:graphicData>
                        </a:graphic>
                      </wp:inline>
                    </w:drawing>
                  </w:r>
                </w:p>
              </w:tc>
              <w:tc>
                <w:tcPr>
                  <w:tcW w:w="0" w:type="auto"/>
                  <w:shd w:val="clear" w:color="auto" w:fill="FFFFFF"/>
                  <w:vAlign w:val="center"/>
                  <w:hideMark/>
                </w:tcPr>
                <w:p w14:paraId="46F37D08" w14:textId="77777777" w:rsidR="00B31FA1" w:rsidRPr="003A1EA4" w:rsidRDefault="00B31FA1" w:rsidP="00B31FA1">
                  <w:pPr>
                    <w:jc w:val="both"/>
                    <w:rPr>
                      <w:lang w:val="ro-RO"/>
                    </w:rPr>
                  </w:pPr>
                </w:p>
              </w:tc>
            </w:tr>
            <w:tr w:rsidR="00B31FA1" w:rsidRPr="003A1EA4" w14:paraId="305A929F" w14:textId="77777777">
              <w:tc>
                <w:tcPr>
                  <w:tcW w:w="0" w:type="auto"/>
                  <w:shd w:val="clear" w:color="auto" w:fill="FFFFFF"/>
                  <w:hideMark/>
                </w:tcPr>
                <w:p w14:paraId="42733BAF" w14:textId="4519D20A" w:rsidR="00B31FA1" w:rsidRPr="003A1EA4" w:rsidRDefault="00B31FA1" w:rsidP="00B31FA1">
                  <w:pPr>
                    <w:jc w:val="both"/>
                    <w:rPr>
                      <w:lang w:val="ro-RO"/>
                    </w:rPr>
                  </w:pPr>
                  <w:r w:rsidRPr="003A1EA4">
                    <w:rPr>
                      <w:noProof/>
                      <w:lang w:val="ro-RO"/>
                    </w:rPr>
                    <w:drawing>
                      <wp:inline distT="0" distB="0" distL="0" distR="0" wp14:anchorId="309028AC" wp14:editId="092AAC1F">
                        <wp:extent cx="723900" cy="228600"/>
                        <wp:effectExtent l="0" t="0" r="0" b="0"/>
                        <wp:docPr id="1269949422" name="Picture 2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p>
              </w:tc>
              <w:tc>
                <w:tcPr>
                  <w:tcW w:w="0" w:type="auto"/>
                  <w:shd w:val="clear" w:color="auto" w:fill="FFFFFF"/>
                  <w:hideMark/>
                </w:tcPr>
                <w:p w14:paraId="59C591EC"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0B7BF36A" w14:textId="77777777" w:rsidR="00B31FA1" w:rsidRPr="003A1EA4" w:rsidRDefault="00B31FA1" w:rsidP="00B31FA1">
                  <w:pPr>
                    <w:jc w:val="both"/>
                    <w:rPr>
                      <w:lang w:val="ro-RO"/>
                    </w:rPr>
                  </w:pPr>
                  <w:r w:rsidRPr="003A1EA4">
                    <w:rPr>
                      <w:lang w:val="ro-RO"/>
                    </w:rPr>
                    <w:t>factori de emisii în echivalent CO</w:t>
                  </w:r>
                  <w:r w:rsidRPr="003A1EA4">
                    <w:rPr>
                      <w:vertAlign w:val="subscript"/>
                      <w:lang w:val="ro-RO"/>
                    </w:rPr>
                    <w:t>2</w:t>
                  </w:r>
                  <w:r w:rsidRPr="003A1EA4">
                    <w:rPr>
                      <w:lang w:val="ro-RO"/>
                    </w:rPr>
                    <w:t> din arderea combustibililor</w:t>
                  </w:r>
                </w:p>
                <w:p w14:paraId="2D35D378" w14:textId="0EA3339C" w:rsidR="00B31FA1" w:rsidRPr="003A1EA4" w:rsidRDefault="00B31FA1" w:rsidP="00B31FA1">
                  <w:pPr>
                    <w:jc w:val="both"/>
                    <w:rPr>
                      <w:lang w:val="ro-RO"/>
                    </w:rPr>
                  </w:pPr>
                  <w:r w:rsidRPr="003A1EA4">
                    <w:rPr>
                      <w:noProof/>
                      <w:lang w:val="ro-RO"/>
                    </w:rPr>
                    <w:drawing>
                      <wp:inline distT="0" distB="0" distL="0" distR="0" wp14:anchorId="257523D4" wp14:editId="4A6137B7">
                        <wp:extent cx="904875" cy="581025"/>
                        <wp:effectExtent l="0" t="0" r="9525" b="9525"/>
                        <wp:docPr id="1090183387" name="Picture 2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4875" cy="581025"/>
                                </a:xfrm>
                                <a:prstGeom prst="rect">
                                  <a:avLst/>
                                </a:prstGeom>
                                <a:noFill/>
                                <a:ln>
                                  <a:noFill/>
                                </a:ln>
                              </pic:spPr>
                            </pic:pic>
                          </a:graphicData>
                        </a:graphic>
                      </wp:inline>
                    </w:drawing>
                  </w:r>
                </w:p>
              </w:tc>
              <w:tc>
                <w:tcPr>
                  <w:tcW w:w="0" w:type="auto"/>
                  <w:shd w:val="clear" w:color="auto" w:fill="FFFFFF"/>
                  <w:vAlign w:val="center"/>
                  <w:hideMark/>
                </w:tcPr>
                <w:p w14:paraId="04FE71A6" w14:textId="77777777" w:rsidR="00B31FA1" w:rsidRPr="003A1EA4" w:rsidRDefault="00B31FA1" w:rsidP="00B31FA1">
                  <w:pPr>
                    <w:jc w:val="both"/>
                    <w:rPr>
                      <w:lang w:val="ro-RO"/>
                    </w:rPr>
                  </w:pPr>
                </w:p>
              </w:tc>
            </w:tr>
            <w:tr w:rsidR="00B31FA1" w:rsidRPr="003A1EA4" w14:paraId="10E55E96" w14:textId="77777777">
              <w:tc>
                <w:tcPr>
                  <w:tcW w:w="0" w:type="auto"/>
                  <w:shd w:val="clear" w:color="auto" w:fill="FFFFFF"/>
                  <w:hideMark/>
                </w:tcPr>
                <w:p w14:paraId="1DB7A2C6" w14:textId="77777777" w:rsidR="00B31FA1" w:rsidRPr="003A1EA4" w:rsidRDefault="00B31FA1" w:rsidP="00B31FA1">
                  <w:pPr>
                    <w:jc w:val="both"/>
                    <w:rPr>
                      <w:lang w:val="ro-RO"/>
                    </w:rPr>
                  </w:pPr>
                  <w:r w:rsidRPr="003A1EA4">
                    <w:rPr>
                      <w:i/>
                      <w:iCs/>
                      <w:lang w:val="ro-RO"/>
                    </w:rPr>
                    <w:t>B</w:t>
                  </w:r>
                  <w:r w:rsidRPr="003A1EA4">
                    <w:rPr>
                      <w:lang w:val="ro-RO"/>
                    </w:rPr>
                    <w:t> </w:t>
                  </w:r>
                  <w:r w:rsidRPr="003A1EA4">
                    <w:rPr>
                      <w:i/>
                      <w:iCs/>
                      <w:vertAlign w:val="subscript"/>
                      <w:lang w:val="ro-RO"/>
                    </w:rPr>
                    <w:t>i</w:t>
                  </w:r>
                </w:p>
              </w:tc>
              <w:tc>
                <w:tcPr>
                  <w:tcW w:w="0" w:type="auto"/>
                  <w:shd w:val="clear" w:color="auto" w:fill="FFFFFF"/>
                  <w:hideMark/>
                </w:tcPr>
                <w:p w14:paraId="28EC4492"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0B0F6930" w14:textId="77777777" w:rsidR="00B31FA1" w:rsidRPr="003A1EA4" w:rsidRDefault="00B31FA1" w:rsidP="00B31FA1">
                  <w:pPr>
                    <w:jc w:val="both"/>
                    <w:rPr>
                      <w:lang w:val="ro-RO"/>
                    </w:rPr>
                  </w:pPr>
                  <w:r w:rsidRPr="003A1EA4">
                    <w:rPr>
                      <w:lang w:val="ro-RO"/>
                    </w:rPr>
                    <w:t>consum de combustibil pentru generarea de energie electrică</w:t>
                  </w:r>
                </w:p>
                <w:p w14:paraId="6943093D" w14:textId="3C51C033" w:rsidR="00B31FA1" w:rsidRPr="003A1EA4" w:rsidRDefault="00B31FA1" w:rsidP="00B31FA1">
                  <w:pPr>
                    <w:jc w:val="both"/>
                    <w:rPr>
                      <w:lang w:val="ro-RO"/>
                    </w:rPr>
                  </w:pPr>
                  <w:r w:rsidRPr="003A1EA4">
                    <w:rPr>
                      <w:noProof/>
                      <w:lang w:val="ro-RO"/>
                    </w:rPr>
                    <w:drawing>
                      <wp:inline distT="0" distB="0" distL="0" distR="0" wp14:anchorId="19EC5196" wp14:editId="6A222E29">
                        <wp:extent cx="447675" cy="295275"/>
                        <wp:effectExtent l="0" t="0" r="9525" b="9525"/>
                        <wp:docPr id="2083846264" name="Picture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tc>
              <w:tc>
                <w:tcPr>
                  <w:tcW w:w="0" w:type="auto"/>
                  <w:shd w:val="clear" w:color="auto" w:fill="FFFFFF"/>
                  <w:vAlign w:val="center"/>
                  <w:hideMark/>
                </w:tcPr>
                <w:p w14:paraId="4BC648D8" w14:textId="77777777" w:rsidR="00B31FA1" w:rsidRPr="003A1EA4" w:rsidRDefault="00B31FA1" w:rsidP="00B31FA1">
                  <w:pPr>
                    <w:jc w:val="both"/>
                    <w:rPr>
                      <w:lang w:val="ro-RO"/>
                    </w:rPr>
                  </w:pPr>
                </w:p>
              </w:tc>
            </w:tr>
            <w:tr w:rsidR="00B31FA1" w:rsidRPr="001E7471" w14:paraId="77F4FF29" w14:textId="77777777">
              <w:tc>
                <w:tcPr>
                  <w:tcW w:w="0" w:type="auto"/>
                  <w:shd w:val="clear" w:color="auto" w:fill="FFFFFF"/>
                  <w:hideMark/>
                </w:tcPr>
                <w:p w14:paraId="4A6A6B58" w14:textId="1A294C30" w:rsidR="00B31FA1" w:rsidRPr="003A1EA4" w:rsidRDefault="00B31FA1" w:rsidP="00B31FA1">
                  <w:pPr>
                    <w:jc w:val="both"/>
                    <w:rPr>
                      <w:lang w:val="ro-RO"/>
                    </w:rPr>
                  </w:pPr>
                  <w:r w:rsidRPr="003A1EA4">
                    <w:rPr>
                      <w:noProof/>
                      <w:lang w:val="ro-RO"/>
                    </w:rPr>
                    <w:drawing>
                      <wp:inline distT="0" distB="0" distL="0" distR="0" wp14:anchorId="1A02AB9B" wp14:editId="2F70EC63">
                        <wp:extent cx="885825" cy="238125"/>
                        <wp:effectExtent l="0" t="0" r="9525" b="9525"/>
                        <wp:docPr id="1238039543"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p>
              </w:tc>
              <w:tc>
                <w:tcPr>
                  <w:tcW w:w="0" w:type="auto"/>
                  <w:shd w:val="clear" w:color="auto" w:fill="FFFFFF"/>
                  <w:hideMark/>
                </w:tcPr>
                <w:p w14:paraId="6FA4FA6A"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2727A07B" w14:textId="77777777" w:rsidR="00B31FA1" w:rsidRPr="003A1EA4" w:rsidRDefault="00B31FA1" w:rsidP="00B31FA1">
                  <w:pPr>
                    <w:jc w:val="both"/>
                    <w:rPr>
                      <w:lang w:val="ro-RO"/>
                    </w:rPr>
                  </w:pPr>
                  <w:r w:rsidRPr="003A1EA4">
                    <w:rPr>
                      <w:lang w:val="ro-RO"/>
                    </w:rPr>
                    <w:t>combustibili utilizați în producția de energie electrică</w:t>
                  </w:r>
                </w:p>
              </w:tc>
              <w:tc>
                <w:tcPr>
                  <w:tcW w:w="0" w:type="auto"/>
                  <w:shd w:val="clear" w:color="auto" w:fill="FFFFFF"/>
                  <w:vAlign w:val="center"/>
                  <w:hideMark/>
                </w:tcPr>
                <w:p w14:paraId="36445EC8" w14:textId="77777777" w:rsidR="00B31FA1" w:rsidRPr="003A1EA4" w:rsidRDefault="00B31FA1" w:rsidP="00B31FA1">
                  <w:pPr>
                    <w:jc w:val="both"/>
                    <w:rPr>
                      <w:lang w:val="ro-RO"/>
                    </w:rPr>
                  </w:pPr>
                </w:p>
              </w:tc>
            </w:tr>
          </w:tbl>
          <w:p w14:paraId="0CEDC64D" w14:textId="77777777" w:rsidR="00B31FA1" w:rsidRPr="003A1EA4" w:rsidRDefault="00B31FA1" w:rsidP="00B31FA1">
            <w:pPr>
              <w:jc w:val="both"/>
              <w:rPr>
                <w:lang w:val="ro-RO"/>
              </w:rPr>
            </w:pPr>
            <w:r w:rsidRPr="003A1EA4">
              <w:rPr>
                <w:lang w:val="ro-RO"/>
              </w:rPr>
              <w:t>Cantitatea producției nete de energie electrică este determinată de producția brută de energie electrică, de consumul propriu de energie electrică al centralei electrice și de pierderile de energie electrică din instalațiile de stocare prin pompare.</w:t>
            </w:r>
          </w:p>
          <w:p w14:paraId="18DD3BEF" w14:textId="0876D59C" w:rsidR="00B31FA1" w:rsidRPr="003A1EA4" w:rsidRDefault="00B31FA1" w:rsidP="00B31FA1">
            <w:pPr>
              <w:jc w:val="both"/>
              <w:rPr>
                <w:lang w:val="ro-RO"/>
              </w:rPr>
            </w:pPr>
            <w:r w:rsidRPr="003A1EA4">
              <w:rPr>
                <w:noProof/>
                <w:lang w:val="ro-RO"/>
              </w:rPr>
              <w:drawing>
                <wp:inline distT="0" distB="0" distL="0" distR="0" wp14:anchorId="737E110D" wp14:editId="41CD9FC3">
                  <wp:extent cx="2514600" cy="295275"/>
                  <wp:effectExtent l="0" t="0" r="0" b="9525"/>
                  <wp:docPr id="797476798"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ormu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4600" cy="295275"/>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501"/>
              <w:gridCol w:w="361"/>
              <w:gridCol w:w="3386"/>
              <w:gridCol w:w="1931"/>
            </w:tblGrid>
            <w:tr w:rsidR="00B31FA1" w:rsidRPr="003A1EA4" w14:paraId="4C9A28A9" w14:textId="77777777">
              <w:tc>
                <w:tcPr>
                  <w:tcW w:w="0" w:type="auto"/>
                  <w:shd w:val="clear" w:color="auto" w:fill="FFFFFF"/>
                  <w:hideMark/>
                </w:tcPr>
                <w:p w14:paraId="7A510FFF" w14:textId="77777777" w:rsidR="00B31FA1" w:rsidRPr="003A1EA4" w:rsidRDefault="00B31FA1" w:rsidP="00B31FA1">
                  <w:pPr>
                    <w:jc w:val="both"/>
                    <w:rPr>
                      <w:lang w:val="ro-RO"/>
                    </w:rPr>
                  </w:pPr>
                  <w:r w:rsidRPr="003A1EA4">
                    <w:rPr>
                      <w:lang w:val="ro-RO"/>
                    </w:rPr>
                    <w:lastRenderedPageBreak/>
                    <w:t>unde:</w:t>
                  </w:r>
                </w:p>
              </w:tc>
              <w:tc>
                <w:tcPr>
                  <w:tcW w:w="0" w:type="auto"/>
                  <w:shd w:val="clear" w:color="auto" w:fill="FFFFFF"/>
                  <w:hideMark/>
                </w:tcPr>
                <w:p w14:paraId="12DF911E" w14:textId="77777777" w:rsidR="00B31FA1" w:rsidRPr="003A1EA4" w:rsidRDefault="00B31FA1" w:rsidP="00B31FA1">
                  <w:pPr>
                    <w:jc w:val="both"/>
                    <w:rPr>
                      <w:lang w:val="ro-RO"/>
                    </w:rPr>
                  </w:pPr>
                  <w:r w:rsidRPr="003A1EA4">
                    <w:rPr>
                      <w:i/>
                      <w:iCs/>
                      <w:lang w:val="ro-RO"/>
                    </w:rPr>
                    <w:t>E</w:t>
                  </w:r>
                  <w:r w:rsidRPr="003A1EA4">
                    <w:rPr>
                      <w:lang w:val="ro-RO"/>
                    </w:rPr>
                    <w:t> </w:t>
                  </w:r>
                  <w:r w:rsidRPr="003A1EA4">
                    <w:rPr>
                      <w:i/>
                      <w:iCs/>
                      <w:vertAlign w:val="subscript"/>
                      <w:lang w:val="ro-RO"/>
                    </w:rPr>
                    <w:t>net</w:t>
                  </w:r>
                </w:p>
              </w:tc>
              <w:tc>
                <w:tcPr>
                  <w:tcW w:w="0" w:type="auto"/>
                  <w:shd w:val="clear" w:color="auto" w:fill="FFFFFF"/>
                  <w:hideMark/>
                </w:tcPr>
                <w:p w14:paraId="25CED988"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0B7C01A3" w14:textId="77777777" w:rsidR="00B31FA1" w:rsidRPr="003A1EA4" w:rsidRDefault="00B31FA1" w:rsidP="00B31FA1">
                  <w:pPr>
                    <w:jc w:val="both"/>
                    <w:rPr>
                      <w:lang w:val="ro-RO"/>
                    </w:rPr>
                  </w:pPr>
                  <w:r w:rsidRPr="003A1EA4">
                    <w:rPr>
                      <w:lang w:val="ro-RO"/>
                    </w:rPr>
                    <w:t>producția netă de energie electrică</w:t>
                  </w:r>
                </w:p>
                <w:p w14:paraId="2F578BC7" w14:textId="4A6BC53D" w:rsidR="00B31FA1" w:rsidRPr="003A1EA4" w:rsidRDefault="00B31FA1" w:rsidP="00B31FA1">
                  <w:pPr>
                    <w:jc w:val="both"/>
                    <w:rPr>
                      <w:lang w:val="ro-RO"/>
                    </w:rPr>
                  </w:pPr>
                  <w:r w:rsidRPr="003A1EA4">
                    <w:rPr>
                      <w:noProof/>
                      <w:lang w:val="ro-RO"/>
                    </w:rPr>
                    <w:drawing>
                      <wp:inline distT="0" distB="0" distL="0" distR="0" wp14:anchorId="46612552" wp14:editId="18D1F9E0">
                        <wp:extent cx="447675" cy="295275"/>
                        <wp:effectExtent l="0" t="0" r="9525" b="9525"/>
                        <wp:docPr id="1342456965" name="Picture 2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tc>
            </w:tr>
            <w:tr w:rsidR="00B31FA1" w:rsidRPr="003A1EA4" w14:paraId="7B33634D" w14:textId="77777777">
              <w:tc>
                <w:tcPr>
                  <w:tcW w:w="0" w:type="auto"/>
                  <w:shd w:val="clear" w:color="auto" w:fill="FFFFFF"/>
                  <w:hideMark/>
                </w:tcPr>
                <w:p w14:paraId="5116AD4A" w14:textId="77777777" w:rsidR="00B31FA1" w:rsidRPr="003A1EA4" w:rsidRDefault="00B31FA1" w:rsidP="00B31FA1">
                  <w:pPr>
                    <w:jc w:val="both"/>
                    <w:rPr>
                      <w:lang w:val="ro-RO"/>
                    </w:rPr>
                  </w:pPr>
                  <w:r w:rsidRPr="003A1EA4">
                    <w:rPr>
                      <w:i/>
                      <w:iCs/>
                      <w:lang w:val="ro-RO"/>
                    </w:rPr>
                    <w:t>E</w:t>
                  </w:r>
                  <w:r w:rsidRPr="003A1EA4">
                    <w:rPr>
                      <w:lang w:val="ro-RO"/>
                    </w:rPr>
                    <w:t> </w:t>
                  </w:r>
                  <w:r w:rsidRPr="003A1EA4">
                    <w:rPr>
                      <w:i/>
                      <w:iCs/>
                      <w:vertAlign w:val="subscript"/>
                      <w:lang w:val="ro-RO"/>
                    </w:rPr>
                    <w:t>gross</w:t>
                  </w:r>
                </w:p>
              </w:tc>
              <w:tc>
                <w:tcPr>
                  <w:tcW w:w="0" w:type="auto"/>
                  <w:shd w:val="clear" w:color="auto" w:fill="FFFFFF"/>
                  <w:hideMark/>
                </w:tcPr>
                <w:p w14:paraId="6E02DE2D"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7F124C92" w14:textId="77777777" w:rsidR="00B31FA1" w:rsidRPr="003A1EA4" w:rsidRDefault="00B31FA1" w:rsidP="00B31FA1">
                  <w:pPr>
                    <w:jc w:val="both"/>
                    <w:rPr>
                      <w:lang w:val="ro-RO"/>
                    </w:rPr>
                  </w:pPr>
                  <w:r w:rsidRPr="003A1EA4">
                    <w:rPr>
                      <w:lang w:val="ro-RO"/>
                    </w:rPr>
                    <w:t>producția brută de energie electrică</w:t>
                  </w:r>
                </w:p>
                <w:p w14:paraId="7C10705A" w14:textId="55E55E5C" w:rsidR="00B31FA1" w:rsidRPr="003A1EA4" w:rsidRDefault="00B31FA1" w:rsidP="00B31FA1">
                  <w:pPr>
                    <w:jc w:val="both"/>
                    <w:rPr>
                      <w:lang w:val="ro-RO"/>
                    </w:rPr>
                  </w:pPr>
                  <w:r w:rsidRPr="003A1EA4">
                    <w:rPr>
                      <w:noProof/>
                      <w:lang w:val="ro-RO"/>
                    </w:rPr>
                    <w:drawing>
                      <wp:inline distT="0" distB="0" distL="0" distR="0" wp14:anchorId="17E18F89" wp14:editId="6F4219D1">
                        <wp:extent cx="447675" cy="295275"/>
                        <wp:effectExtent l="0" t="0" r="9525" b="9525"/>
                        <wp:docPr id="1806849753" name="Picture 2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tc>
              <w:tc>
                <w:tcPr>
                  <w:tcW w:w="0" w:type="auto"/>
                  <w:shd w:val="clear" w:color="auto" w:fill="FFFFFF"/>
                  <w:vAlign w:val="center"/>
                  <w:hideMark/>
                </w:tcPr>
                <w:p w14:paraId="1DB31B84" w14:textId="77777777" w:rsidR="00B31FA1" w:rsidRPr="003A1EA4" w:rsidRDefault="00B31FA1" w:rsidP="00B31FA1">
                  <w:pPr>
                    <w:jc w:val="both"/>
                    <w:rPr>
                      <w:lang w:val="ro-RO"/>
                    </w:rPr>
                  </w:pPr>
                </w:p>
              </w:tc>
            </w:tr>
            <w:tr w:rsidR="00B31FA1" w:rsidRPr="003A1EA4" w14:paraId="62EBDF35" w14:textId="77777777">
              <w:tc>
                <w:tcPr>
                  <w:tcW w:w="0" w:type="auto"/>
                  <w:shd w:val="clear" w:color="auto" w:fill="FFFFFF"/>
                  <w:hideMark/>
                </w:tcPr>
                <w:p w14:paraId="7D7584B1" w14:textId="77777777" w:rsidR="00B31FA1" w:rsidRPr="003A1EA4" w:rsidRDefault="00B31FA1" w:rsidP="00B31FA1">
                  <w:pPr>
                    <w:jc w:val="both"/>
                    <w:rPr>
                      <w:lang w:val="ro-RO"/>
                    </w:rPr>
                  </w:pPr>
                  <w:r w:rsidRPr="003A1EA4">
                    <w:rPr>
                      <w:i/>
                      <w:iCs/>
                      <w:lang w:val="ro-RO"/>
                    </w:rPr>
                    <w:t>E</w:t>
                  </w:r>
                  <w:r w:rsidRPr="003A1EA4">
                    <w:rPr>
                      <w:lang w:val="ro-RO"/>
                    </w:rPr>
                    <w:t> </w:t>
                  </w:r>
                  <w:r w:rsidRPr="003A1EA4">
                    <w:rPr>
                      <w:i/>
                      <w:iCs/>
                      <w:vertAlign w:val="subscript"/>
                      <w:lang w:val="ro-RO"/>
                    </w:rPr>
                    <w:t>own</w:t>
                  </w:r>
                </w:p>
              </w:tc>
              <w:tc>
                <w:tcPr>
                  <w:tcW w:w="0" w:type="auto"/>
                  <w:shd w:val="clear" w:color="auto" w:fill="FFFFFF"/>
                  <w:hideMark/>
                </w:tcPr>
                <w:p w14:paraId="20708718"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17FB62E3" w14:textId="77777777" w:rsidR="00B31FA1" w:rsidRPr="003A1EA4" w:rsidRDefault="00B31FA1" w:rsidP="00B31FA1">
                  <w:pPr>
                    <w:jc w:val="both"/>
                    <w:rPr>
                      <w:lang w:val="ro-RO"/>
                    </w:rPr>
                  </w:pPr>
                  <w:r w:rsidRPr="003A1EA4">
                    <w:rPr>
                      <w:lang w:val="ro-RO"/>
                    </w:rPr>
                    <w:t>consumul intern propriu de energie electrică al centralei electrice</w:t>
                  </w:r>
                </w:p>
                <w:p w14:paraId="220D56AA" w14:textId="2B4820B8" w:rsidR="00B31FA1" w:rsidRPr="003A1EA4" w:rsidRDefault="00B31FA1" w:rsidP="00B31FA1">
                  <w:pPr>
                    <w:jc w:val="both"/>
                    <w:rPr>
                      <w:lang w:val="ro-RO"/>
                    </w:rPr>
                  </w:pPr>
                  <w:r w:rsidRPr="003A1EA4">
                    <w:rPr>
                      <w:noProof/>
                      <w:lang w:val="ro-RO"/>
                    </w:rPr>
                    <w:drawing>
                      <wp:inline distT="0" distB="0" distL="0" distR="0" wp14:anchorId="434C3EF4" wp14:editId="5662E716">
                        <wp:extent cx="447675" cy="295275"/>
                        <wp:effectExtent l="0" t="0" r="9525" b="9525"/>
                        <wp:docPr id="671108810" name="Picture 1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tc>
              <w:tc>
                <w:tcPr>
                  <w:tcW w:w="0" w:type="auto"/>
                  <w:shd w:val="clear" w:color="auto" w:fill="FFFFFF"/>
                  <w:vAlign w:val="center"/>
                  <w:hideMark/>
                </w:tcPr>
                <w:p w14:paraId="74C27412" w14:textId="77777777" w:rsidR="00B31FA1" w:rsidRPr="003A1EA4" w:rsidRDefault="00B31FA1" w:rsidP="00B31FA1">
                  <w:pPr>
                    <w:jc w:val="both"/>
                    <w:rPr>
                      <w:lang w:val="ro-RO"/>
                    </w:rPr>
                  </w:pPr>
                </w:p>
              </w:tc>
            </w:tr>
            <w:tr w:rsidR="00B31FA1" w:rsidRPr="003A1EA4" w14:paraId="40343241" w14:textId="77777777">
              <w:tc>
                <w:tcPr>
                  <w:tcW w:w="0" w:type="auto"/>
                  <w:shd w:val="clear" w:color="auto" w:fill="FFFFFF"/>
                  <w:hideMark/>
                </w:tcPr>
                <w:p w14:paraId="0DDEDA16" w14:textId="77777777" w:rsidR="00B31FA1" w:rsidRPr="003A1EA4" w:rsidRDefault="00B31FA1" w:rsidP="00B31FA1">
                  <w:pPr>
                    <w:jc w:val="both"/>
                    <w:rPr>
                      <w:lang w:val="ro-RO"/>
                    </w:rPr>
                  </w:pPr>
                  <w:r w:rsidRPr="003A1EA4">
                    <w:rPr>
                      <w:i/>
                      <w:iCs/>
                      <w:lang w:val="ro-RO"/>
                    </w:rPr>
                    <w:t>E</w:t>
                  </w:r>
                  <w:r w:rsidRPr="003A1EA4">
                    <w:rPr>
                      <w:lang w:val="ro-RO"/>
                    </w:rPr>
                    <w:t> </w:t>
                  </w:r>
                  <w:r w:rsidRPr="003A1EA4">
                    <w:rPr>
                      <w:i/>
                      <w:iCs/>
                      <w:vertAlign w:val="subscript"/>
                      <w:lang w:val="ro-RO"/>
                    </w:rPr>
                    <w:t>pump</w:t>
                  </w:r>
                </w:p>
              </w:tc>
              <w:tc>
                <w:tcPr>
                  <w:tcW w:w="0" w:type="auto"/>
                  <w:shd w:val="clear" w:color="auto" w:fill="FFFFFF"/>
                  <w:hideMark/>
                </w:tcPr>
                <w:p w14:paraId="39612BB3" w14:textId="77777777" w:rsidR="00B31FA1" w:rsidRPr="003A1EA4" w:rsidRDefault="00B31FA1" w:rsidP="00B31FA1">
                  <w:pPr>
                    <w:jc w:val="both"/>
                    <w:rPr>
                      <w:lang w:val="ro-RO"/>
                    </w:rPr>
                  </w:pPr>
                  <w:r w:rsidRPr="003A1EA4">
                    <w:rPr>
                      <w:lang w:val="ro-RO"/>
                    </w:rPr>
                    <w:t>=</w:t>
                  </w:r>
                </w:p>
              </w:tc>
              <w:tc>
                <w:tcPr>
                  <w:tcW w:w="0" w:type="auto"/>
                  <w:shd w:val="clear" w:color="auto" w:fill="FFFFFF"/>
                  <w:hideMark/>
                </w:tcPr>
                <w:p w14:paraId="5FD64439" w14:textId="77777777" w:rsidR="00B31FA1" w:rsidRPr="003A1EA4" w:rsidRDefault="00B31FA1" w:rsidP="00B31FA1">
                  <w:pPr>
                    <w:jc w:val="both"/>
                    <w:rPr>
                      <w:lang w:val="ro-RO"/>
                    </w:rPr>
                  </w:pPr>
                  <w:r w:rsidRPr="003A1EA4">
                    <w:rPr>
                      <w:lang w:val="ro-RO"/>
                    </w:rPr>
                    <w:t>electricitate pentru pompare</w:t>
                  </w:r>
                </w:p>
                <w:p w14:paraId="3A042283" w14:textId="66749067" w:rsidR="00B31FA1" w:rsidRPr="003A1EA4" w:rsidRDefault="00B31FA1" w:rsidP="00B31FA1">
                  <w:pPr>
                    <w:jc w:val="both"/>
                    <w:rPr>
                      <w:lang w:val="ro-RO"/>
                    </w:rPr>
                  </w:pPr>
                  <w:r w:rsidRPr="003A1EA4">
                    <w:rPr>
                      <w:noProof/>
                      <w:lang w:val="ro-RO"/>
                    </w:rPr>
                    <w:drawing>
                      <wp:inline distT="0" distB="0" distL="0" distR="0" wp14:anchorId="5F17FBB8" wp14:editId="74B5330E">
                        <wp:extent cx="447675" cy="295275"/>
                        <wp:effectExtent l="0" t="0" r="9525" b="9525"/>
                        <wp:docPr id="1654847904" name="Picture 1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tc>
              <w:tc>
                <w:tcPr>
                  <w:tcW w:w="0" w:type="auto"/>
                  <w:shd w:val="clear" w:color="auto" w:fill="FFFFFF"/>
                  <w:vAlign w:val="center"/>
                  <w:hideMark/>
                </w:tcPr>
                <w:p w14:paraId="4BACD355" w14:textId="77777777" w:rsidR="00B31FA1" w:rsidRPr="003A1EA4" w:rsidRDefault="00B31FA1" w:rsidP="00B31FA1">
                  <w:pPr>
                    <w:jc w:val="both"/>
                    <w:rPr>
                      <w:lang w:val="ro-RO"/>
                    </w:rPr>
                  </w:pPr>
                </w:p>
              </w:tc>
            </w:tr>
          </w:tbl>
          <w:p w14:paraId="2D78C14E" w14:textId="77777777" w:rsidR="00B31FA1" w:rsidRPr="003A1EA4" w:rsidRDefault="00B31FA1" w:rsidP="00B31FA1">
            <w:pPr>
              <w:jc w:val="both"/>
              <w:rPr>
                <w:lang w:val="ro-RO"/>
              </w:rPr>
            </w:pPr>
            <w:r w:rsidRPr="003A1EA4">
              <w:rPr>
                <w:lang w:val="ro-RO"/>
              </w:rPr>
              <w:t>Intensitatea carbonului la energia electrică produsă netă este totalul emisiilor brute de GES emise pentru producerea sau utilizarea energiei electrice nete:</w:t>
            </w:r>
          </w:p>
          <w:p w14:paraId="0C9C9113" w14:textId="665324D3" w:rsidR="00B31FA1" w:rsidRPr="003A1EA4" w:rsidRDefault="00B31FA1" w:rsidP="00B31FA1">
            <w:pPr>
              <w:jc w:val="both"/>
              <w:rPr>
                <w:lang w:val="ro-RO"/>
              </w:rPr>
            </w:pPr>
            <w:r w:rsidRPr="003A1EA4">
              <w:rPr>
                <w:noProof/>
                <w:lang w:val="ro-RO"/>
              </w:rPr>
              <w:drawing>
                <wp:inline distT="0" distB="0" distL="0" distR="0" wp14:anchorId="36209CF5" wp14:editId="79FFD31E">
                  <wp:extent cx="1485900" cy="504825"/>
                  <wp:effectExtent l="0" t="0" r="0" b="9525"/>
                  <wp:docPr id="1697995297" name="Picture 1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ormul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5900" cy="504825"/>
                          </a:xfrm>
                          <a:prstGeom prst="rect">
                            <a:avLst/>
                          </a:prstGeom>
                          <a:noFill/>
                          <a:ln>
                            <a:noFill/>
                          </a:ln>
                        </pic:spPr>
                      </pic:pic>
                    </a:graphicData>
                  </a:graphic>
                </wp:inline>
              </w:drawing>
            </w:r>
          </w:p>
          <w:p w14:paraId="6D76412B" w14:textId="77777777" w:rsidR="00B31FA1" w:rsidRPr="003A1EA4" w:rsidRDefault="00B31FA1" w:rsidP="00B31FA1">
            <w:pPr>
              <w:jc w:val="both"/>
              <w:rPr>
                <w:lang w:val="ro-RO"/>
              </w:rPr>
            </w:pPr>
            <w:r w:rsidRPr="003A1EA4">
              <w:rPr>
                <w:lang w:val="ro-RO"/>
              </w:rPr>
              <w:t>unde: </w:t>
            </w:r>
            <w:r w:rsidRPr="003A1EA4">
              <w:rPr>
                <w:i/>
                <w:iCs/>
                <w:lang w:val="ro-RO"/>
              </w:rPr>
              <w:t>CI</w:t>
            </w:r>
            <w:r w:rsidRPr="003A1EA4">
              <w:rPr>
                <w:lang w:val="ro-RO"/>
              </w:rPr>
              <w:t> = Emisiile în echivalent CO</w:t>
            </w:r>
            <w:r w:rsidRPr="003A1EA4">
              <w:rPr>
                <w:vertAlign w:val="subscript"/>
                <w:lang w:val="ro-RO"/>
              </w:rPr>
              <w:t>2</w:t>
            </w:r>
            <w:r w:rsidRPr="003A1EA4">
              <w:rPr>
                <w:lang w:val="ro-RO"/>
              </w:rPr>
              <w:t> provenite din producția de energie electrică</w:t>
            </w:r>
          </w:p>
          <w:p w14:paraId="6CAF0275" w14:textId="1C539B51" w:rsidR="00B31FA1" w:rsidRPr="003A1EA4" w:rsidRDefault="00B31FA1" w:rsidP="00B31FA1">
            <w:pPr>
              <w:jc w:val="both"/>
              <w:rPr>
                <w:lang w:val="ro-RO"/>
              </w:rPr>
            </w:pPr>
            <w:r w:rsidRPr="003A1EA4">
              <w:rPr>
                <w:noProof/>
                <w:lang w:val="ro-RO"/>
              </w:rPr>
              <w:drawing>
                <wp:inline distT="0" distB="0" distL="0" distR="0" wp14:anchorId="1C32380D" wp14:editId="12A34325">
                  <wp:extent cx="904875" cy="581025"/>
                  <wp:effectExtent l="0" t="0" r="9525" b="9525"/>
                  <wp:docPr id="1708178480"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4875" cy="581025"/>
                          </a:xfrm>
                          <a:prstGeom prst="rect">
                            <a:avLst/>
                          </a:prstGeom>
                          <a:noFill/>
                          <a:ln>
                            <a:noFill/>
                          </a:ln>
                        </pic:spPr>
                      </pic:pic>
                    </a:graphicData>
                  </a:graphic>
                </wp:inline>
              </w:drawing>
            </w:r>
          </w:p>
          <w:p w14:paraId="10FE3BD1" w14:textId="77777777" w:rsidR="00B31FA1" w:rsidRPr="003A1EA4" w:rsidRDefault="00B31FA1" w:rsidP="00B31FA1">
            <w:pPr>
              <w:jc w:val="both"/>
              <w:rPr>
                <w:b/>
                <w:bCs/>
                <w:lang w:val="ro-RO"/>
              </w:rPr>
            </w:pPr>
            <w:r w:rsidRPr="003A1EA4">
              <w:rPr>
                <w:b/>
                <w:bCs/>
                <w:lang w:val="ro-RO"/>
              </w:rPr>
              <w:t>Date privind producția de energie electrică și consumul de combustibil</w:t>
            </w:r>
          </w:p>
          <w:p w14:paraId="04497767" w14:textId="77777777" w:rsidR="00B31FA1" w:rsidRPr="003A1EA4" w:rsidRDefault="00B31FA1" w:rsidP="00B31FA1">
            <w:pPr>
              <w:jc w:val="both"/>
              <w:rPr>
                <w:lang w:val="ro-RO"/>
              </w:rPr>
            </w:pPr>
            <w:r w:rsidRPr="003A1EA4">
              <w:rPr>
                <w:lang w:val="ro-RO"/>
              </w:rPr>
              <w:t>Datele privind producția de energie electrică și consumul de combustibil se obțin din datele și statisticile AIE care furnizează date privind bilanțurile energetice și energia electrică produsă utilizând diverși combustibili, de exemplu de pe site-ul AIE, secțiunea Date și statistici („Energy Statistics Data Browser”) </w:t>
            </w:r>
            <w:hyperlink r:id="rId25" w:anchor="ntr6-L_2023157RO.01002301-E0006" w:history="1">
              <w:r w:rsidRPr="003A1EA4">
                <w:rPr>
                  <w:rStyle w:val="Hyperlink"/>
                  <w:lang w:val="ro-RO"/>
                </w:rPr>
                <w:t>(</w:t>
              </w:r>
              <w:r w:rsidRPr="003A1EA4">
                <w:rPr>
                  <w:rStyle w:val="Hyperlink"/>
                  <w:vertAlign w:val="superscript"/>
                  <w:lang w:val="ro-RO"/>
                </w:rPr>
                <w:t>6</w:t>
              </w:r>
              <w:r w:rsidRPr="003A1EA4">
                <w:rPr>
                  <w:rStyle w:val="Hyperlink"/>
                  <w:lang w:val="ro-RO"/>
                </w:rPr>
                <w:t>)</w:t>
              </w:r>
            </w:hyperlink>
            <w:r w:rsidRPr="003A1EA4">
              <w:rPr>
                <w:lang w:val="ro-RO"/>
              </w:rPr>
              <w:t>.</w:t>
            </w:r>
          </w:p>
          <w:p w14:paraId="11765FEC" w14:textId="77777777" w:rsidR="00B31FA1" w:rsidRPr="003A1EA4" w:rsidRDefault="00B31FA1" w:rsidP="00B31FA1">
            <w:pPr>
              <w:jc w:val="both"/>
              <w:rPr>
                <w:lang w:val="ro-RO"/>
              </w:rPr>
            </w:pPr>
            <w:r w:rsidRPr="003A1EA4">
              <w:rPr>
                <w:lang w:val="ro-RO"/>
              </w:rPr>
              <w:t xml:space="preserve">Pentru statele membre ale UE, datele Eurostat sunt mai detaliate și pot fi în locul datelor AIE. În cazul în care intensitatea emisiilor de gaze cu efect de seră este stabilită la nivelul zonelor de ofertare, se utilizează date din statisticile naționale oficiale de același nivel de detaliere ca datele AIE. Datele privind consumul de combustibil trebuie să includă datele disponibile la cel mai înalt nivel de detaliere, disponibile din </w:t>
            </w:r>
            <w:r w:rsidRPr="003A1EA4">
              <w:rPr>
                <w:lang w:val="ro-RO"/>
              </w:rPr>
              <w:lastRenderedPageBreak/>
              <w:t>statisticile naționale: combustibili fosili solizi, gaze artificiale, turbă și produse din turbă, șisturi bituminoase și nisipuri bituminoase, petrol și produse petroliere, gaze naturale, surse regenerabile de energie și biocombustibili, deșeuri neregenerabile și nucleare. Din categoria energie din surse regenerabile și biocombustibili fac parte biocombustibilii, deșeurile municipale regenerabile, hidroenergia, energia oceanelor, energia geotermică, eoliană, solară și pompele de căldură.</w:t>
            </w:r>
          </w:p>
          <w:p w14:paraId="054A8860" w14:textId="77777777" w:rsidR="00B31FA1" w:rsidRPr="003A1EA4" w:rsidRDefault="00B31FA1" w:rsidP="00B31FA1">
            <w:pPr>
              <w:jc w:val="both"/>
              <w:rPr>
                <w:b/>
                <w:bCs/>
                <w:lang w:val="ro-RO"/>
              </w:rPr>
            </w:pPr>
            <w:r w:rsidRPr="003A1EA4">
              <w:rPr>
                <w:b/>
                <w:bCs/>
                <w:lang w:val="ro-RO"/>
              </w:rPr>
              <w:t>Date de intrare având ca sursă literatura de specialitate</w:t>
            </w:r>
          </w:p>
          <w:p w14:paraId="175E81BA" w14:textId="77777777" w:rsidR="00B31FA1" w:rsidRPr="003A1EA4" w:rsidRDefault="00B31FA1" w:rsidP="00B31FA1">
            <w:pPr>
              <w:jc w:val="both"/>
              <w:rPr>
                <w:lang w:val="ro-RO"/>
              </w:rPr>
            </w:pPr>
            <w:r w:rsidRPr="003A1EA4">
              <w:rPr>
                <w:i/>
                <w:iCs/>
                <w:lang w:val="ro-RO"/>
              </w:rPr>
              <w:t>Tabelul 1</w:t>
            </w:r>
          </w:p>
          <w:p w14:paraId="1FA36E8D" w14:textId="77777777" w:rsidR="00B31FA1" w:rsidRPr="003A1EA4" w:rsidRDefault="00B31FA1" w:rsidP="00B31FA1">
            <w:pPr>
              <w:jc w:val="both"/>
              <w:rPr>
                <w:lang w:val="ro-RO"/>
              </w:rPr>
            </w:pPr>
            <w:r w:rsidRPr="003A1EA4">
              <w:rPr>
                <w:b/>
                <w:bCs/>
                <w:lang w:val="ro-RO"/>
              </w:rPr>
              <w:t>Factorii de emisii impliciți pentru arderea staționară [g/MJ combustibil la o putere calorifică netă]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73"/>
              <w:gridCol w:w="588"/>
              <w:gridCol w:w="723"/>
              <w:gridCol w:w="879"/>
            </w:tblGrid>
            <w:tr w:rsidR="00B31FA1" w:rsidRPr="003A1EA4" w14:paraId="3A1E45F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D4D09E" w14:textId="77777777" w:rsidR="00B31FA1" w:rsidRPr="003A1EA4" w:rsidRDefault="00B31FA1" w:rsidP="00B31FA1">
                  <w:pPr>
                    <w:jc w:val="both"/>
                    <w:rPr>
                      <w:b/>
                      <w:bCs/>
                      <w:lang w:val="ro-RO"/>
                    </w:rPr>
                  </w:pPr>
                  <w:r w:rsidRPr="003A1EA4">
                    <w:rPr>
                      <w:b/>
                      <w:bCs/>
                      <w:lang w:val="ro-RO"/>
                    </w:rPr>
                    <w:t>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541C7C" w14:textId="77777777" w:rsidR="00B31FA1" w:rsidRPr="003A1EA4" w:rsidRDefault="00B31FA1" w:rsidP="00B31FA1">
                  <w:pPr>
                    <w:jc w:val="both"/>
                    <w:rPr>
                      <w:b/>
                      <w:bCs/>
                      <w:lang w:val="ro-RO"/>
                    </w:rPr>
                  </w:pPr>
                  <w:r w:rsidRPr="003A1EA4">
                    <w:rPr>
                      <w:b/>
                      <w:bCs/>
                      <w:lang w:val="ro-RO"/>
                    </w:rPr>
                    <w:t>CO</w:t>
                  </w:r>
                  <w:r w:rsidRPr="003A1EA4">
                    <w:rPr>
                      <w:b/>
                      <w:bCs/>
                      <w:vertAlign w:val="subscript"/>
                      <w:lang w:val="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D587C7" w14:textId="77777777" w:rsidR="00B31FA1" w:rsidRPr="003A1EA4" w:rsidRDefault="00B31FA1" w:rsidP="00B31FA1">
                  <w:pPr>
                    <w:jc w:val="both"/>
                    <w:rPr>
                      <w:b/>
                      <w:bCs/>
                      <w:lang w:val="ro-RO"/>
                    </w:rPr>
                  </w:pPr>
                  <w:r w:rsidRPr="003A1EA4">
                    <w:rPr>
                      <w:b/>
                      <w:bCs/>
                      <w:lang w:val="ro-RO"/>
                    </w:rPr>
                    <w:t>CH</w:t>
                  </w:r>
                  <w:r w:rsidRPr="003A1EA4">
                    <w:rPr>
                      <w:b/>
                      <w:bCs/>
                      <w:vertAlign w:val="subscript"/>
                      <w:lang w:val="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C6C91D" w14:textId="77777777" w:rsidR="00B31FA1" w:rsidRPr="003A1EA4" w:rsidRDefault="00B31FA1" w:rsidP="00B31FA1">
                  <w:pPr>
                    <w:jc w:val="both"/>
                    <w:rPr>
                      <w:b/>
                      <w:bCs/>
                      <w:lang w:val="ro-RO"/>
                    </w:rPr>
                  </w:pPr>
                  <w:r w:rsidRPr="003A1EA4">
                    <w:rPr>
                      <w:b/>
                      <w:bCs/>
                      <w:lang w:val="ro-RO"/>
                    </w:rPr>
                    <w:t>N</w:t>
                  </w:r>
                  <w:r w:rsidRPr="003A1EA4">
                    <w:rPr>
                      <w:b/>
                      <w:bCs/>
                      <w:vertAlign w:val="subscript"/>
                      <w:lang w:val="ro-RO"/>
                    </w:rPr>
                    <w:t>2</w:t>
                  </w:r>
                  <w:r w:rsidRPr="003A1EA4">
                    <w:rPr>
                      <w:b/>
                      <w:bCs/>
                      <w:lang w:val="ro-RO"/>
                    </w:rPr>
                    <w:t>O</w:t>
                  </w:r>
                </w:p>
              </w:tc>
            </w:tr>
            <w:tr w:rsidR="00B31FA1" w:rsidRPr="003A1EA4" w14:paraId="05278F8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6FB654" w14:textId="77777777" w:rsidR="00B31FA1" w:rsidRPr="003A1EA4" w:rsidRDefault="00B31FA1" w:rsidP="00B31FA1">
                  <w:pPr>
                    <w:jc w:val="both"/>
                    <w:rPr>
                      <w:lang w:val="ro-RO"/>
                    </w:rPr>
                  </w:pPr>
                  <w:r w:rsidRPr="003A1EA4">
                    <w:rPr>
                      <w:b/>
                      <w:bCs/>
                      <w:i/>
                      <w:iCs/>
                      <w:lang w:val="ro-RO"/>
                    </w:rPr>
                    <w:t>Combustibili fosili solizi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B28FED"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486804"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CB311A" w14:textId="77777777" w:rsidR="00B31FA1" w:rsidRPr="003A1EA4" w:rsidRDefault="00B31FA1" w:rsidP="00B31FA1">
                  <w:pPr>
                    <w:jc w:val="both"/>
                    <w:rPr>
                      <w:lang w:val="ro-RO"/>
                    </w:rPr>
                  </w:pPr>
                  <w:r w:rsidRPr="003A1EA4">
                    <w:rPr>
                      <w:lang w:val="ro-RO"/>
                    </w:rPr>
                    <w:t> </w:t>
                  </w:r>
                </w:p>
              </w:tc>
            </w:tr>
            <w:tr w:rsidR="00B31FA1" w:rsidRPr="003A1EA4" w14:paraId="39C9ADB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B938A1" w14:textId="77777777" w:rsidR="00B31FA1" w:rsidRPr="003A1EA4" w:rsidRDefault="00B31FA1" w:rsidP="00B31FA1">
                  <w:pPr>
                    <w:jc w:val="both"/>
                    <w:rPr>
                      <w:lang w:val="ro-RO"/>
                    </w:rPr>
                  </w:pPr>
                  <w:r w:rsidRPr="003A1EA4">
                    <w:rPr>
                      <w:lang w:val="ro-RO"/>
                    </w:rPr>
                    <w:t>Antracit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BE607D" w14:textId="77777777" w:rsidR="00B31FA1" w:rsidRPr="003A1EA4" w:rsidRDefault="00B31FA1" w:rsidP="00B31FA1">
                  <w:pPr>
                    <w:jc w:val="both"/>
                    <w:rPr>
                      <w:lang w:val="ro-RO"/>
                    </w:rPr>
                  </w:pPr>
                  <w:r w:rsidRPr="003A1EA4">
                    <w:rPr>
                      <w:lang w:val="ro-RO"/>
                    </w:rPr>
                    <w:t>98,3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8879BE"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B36229" w14:textId="77777777" w:rsidR="00B31FA1" w:rsidRPr="003A1EA4" w:rsidRDefault="00B31FA1" w:rsidP="00B31FA1">
                  <w:pPr>
                    <w:jc w:val="both"/>
                    <w:rPr>
                      <w:lang w:val="ro-RO"/>
                    </w:rPr>
                  </w:pPr>
                  <w:r w:rsidRPr="003A1EA4">
                    <w:rPr>
                      <w:lang w:val="ro-RO"/>
                    </w:rPr>
                    <w:t>0,0015</w:t>
                  </w:r>
                </w:p>
              </w:tc>
            </w:tr>
            <w:tr w:rsidR="00B31FA1" w:rsidRPr="003A1EA4" w14:paraId="24C998D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1A11C3" w14:textId="77777777" w:rsidR="00B31FA1" w:rsidRPr="003A1EA4" w:rsidRDefault="00B31FA1" w:rsidP="00B31FA1">
                  <w:pPr>
                    <w:jc w:val="both"/>
                    <w:rPr>
                      <w:lang w:val="ro-RO"/>
                    </w:rPr>
                  </w:pPr>
                  <w:r w:rsidRPr="003A1EA4">
                    <w:rPr>
                      <w:lang w:val="ro-RO"/>
                    </w:rPr>
                    <w:t>Huilă de cocs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2815DE" w14:textId="77777777" w:rsidR="00B31FA1" w:rsidRPr="003A1EA4" w:rsidRDefault="00B31FA1" w:rsidP="00B31FA1">
                  <w:pPr>
                    <w:jc w:val="both"/>
                    <w:rPr>
                      <w:lang w:val="ro-RO"/>
                    </w:rPr>
                  </w:pPr>
                  <w:r w:rsidRPr="003A1EA4">
                    <w:rPr>
                      <w:lang w:val="ro-RO"/>
                    </w:rPr>
                    <w:t>94,6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DBD00C"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C93380" w14:textId="77777777" w:rsidR="00B31FA1" w:rsidRPr="003A1EA4" w:rsidRDefault="00B31FA1" w:rsidP="00B31FA1">
                  <w:pPr>
                    <w:jc w:val="both"/>
                    <w:rPr>
                      <w:lang w:val="ro-RO"/>
                    </w:rPr>
                  </w:pPr>
                  <w:r w:rsidRPr="003A1EA4">
                    <w:rPr>
                      <w:lang w:val="ro-RO"/>
                    </w:rPr>
                    <w:t>0,0015</w:t>
                  </w:r>
                </w:p>
              </w:tc>
            </w:tr>
            <w:tr w:rsidR="00B31FA1" w:rsidRPr="003A1EA4" w14:paraId="6016BDA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F9DDDA" w14:textId="77777777" w:rsidR="00B31FA1" w:rsidRPr="003A1EA4" w:rsidRDefault="00B31FA1" w:rsidP="00B31FA1">
                  <w:pPr>
                    <w:jc w:val="both"/>
                    <w:rPr>
                      <w:lang w:val="ro-RO"/>
                    </w:rPr>
                  </w:pPr>
                  <w:r w:rsidRPr="003A1EA4">
                    <w:rPr>
                      <w:lang w:val="ro-RO"/>
                    </w:rPr>
                    <w:t>Alți cărbuni bituminoși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0DB4C" w14:textId="77777777" w:rsidR="00B31FA1" w:rsidRPr="003A1EA4" w:rsidRDefault="00B31FA1" w:rsidP="00B31FA1">
                  <w:pPr>
                    <w:jc w:val="both"/>
                    <w:rPr>
                      <w:lang w:val="ro-RO"/>
                    </w:rPr>
                  </w:pPr>
                  <w:r w:rsidRPr="003A1EA4">
                    <w:rPr>
                      <w:lang w:val="ro-RO"/>
                    </w:rPr>
                    <w:t>94,6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A9CA0D"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B92D96" w14:textId="77777777" w:rsidR="00B31FA1" w:rsidRPr="003A1EA4" w:rsidRDefault="00B31FA1" w:rsidP="00B31FA1">
                  <w:pPr>
                    <w:jc w:val="both"/>
                    <w:rPr>
                      <w:lang w:val="ro-RO"/>
                    </w:rPr>
                  </w:pPr>
                  <w:r w:rsidRPr="003A1EA4">
                    <w:rPr>
                      <w:lang w:val="ro-RO"/>
                    </w:rPr>
                    <w:t>0,0015</w:t>
                  </w:r>
                </w:p>
              </w:tc>
            </w:tr>
            <w:tr w:rsidR="00B31FA1" w:rsidRPr="003A1EA4" w14:paraId="057FD24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770B5B" w14:textId="77777777" w:rsidR="00B31FA1" w:rsidRPr="003A1EA4" w:rsidRDefault="00B31FA1" w:rsidP="00B31FA1">
                  <w:pPr>
                    <w:jc w:val="both"/>
                    <w:rPr>
                      <w:lang w:val="ro-RO"/>
                    </w:rPr>
                  </w:pPr>
                  <w:r w:rsidRPr="003A1EA4">
                    <w:rPr>
                      <w:lang w:val="ro-RO"/>
                    </w:rPr>
                    <w:t>Cărbune subbituminos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FB91C6" w14:textId="77777777" w:rsidR="00B31FA1" w:rsidRPr="003A1EA4" w:rsidRDefault="00B31FA1" w:rsidP="00B31FA1">
                  <w:pPr>
                    <w:jc w:val="both"/>
                    <w:rPr>
                      <w:lang w:val="ro-RO"/>
                    </w:rPr>
                  </w:pPr>
                  <w:r w:rsidRPr="003A1EA4">
                    <w:rPr>
                      <w:lang w:val="ro-RO"/>
                    </w:rPr>
                    <w:t>96,1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145277"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AC6A89" w14:textId="77777777" w:rsidR="00B31FA1" w:rsidRPr="003A1EA4" w:rsidRDefault="00B31FA1" w:rsidP="00B31FA1">
                  <w:pPr>
                    <w:jc w:val="both"/>
                    <w:rPr>
                      <w:lang w:val="ro-RO"/>
                    </w:rPr>
                  </w:pPr>
                  <w:r w:rsidRPr="003A1EA4">
                    <w:rPr>
                      <w:lang w:val="ro-RO"/>
                    </w:rPr>
                    <w:t>0,0015</w:t>
                  </w:r>
                </w:p>
              </w:tc>
            </w:tr>
            <w:tr w:rsidR="00B31FA1" w:rsidRPr="003A1EA4" w14:paraId="5BACBCE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B3A739" w14:textId="77777777" w:rsidR="00B31FA1" w:rsidRPr="003A1EA4" w:rsidRDefault="00B31FA1" w:rsidP="00B31FA1">
                  <w:pPr>
                    <w:jc w:val="both"/>
                    <w:rPr>
                      <w:lang w:val="ro-RO"/>
                    </w:rPr>
                  </w:pPr>
                  <w:r w:rsidRPr="003A1EA4">
                    <w:rPr>
                      <w:lang w:val="ro-RO"/>
                    </w:rPr>
                    <w:t>Lignit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22E19D" w14:textId="77777777" w:rsidR="00B31FA1" w:rsidRPr="003A1EA4" w:rsidRDefault="00B31FA1" w:rsidP="00B31FA1">
                  <w:pPr>
                    <w:jc w:val="both"/>
                    <w:rPr>
                      <w:lang w:val="ro-RO"/>
                    </w:rPr>
                  </w:pPr>
                  <w:r w:rsidRPr="003A1EA4">
                    <w:rPr>
                      <w:lang w:val="ro-RO"/>
                    </w:rPr>
                    <w:t>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362ECF"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AE8EE4" w14:textId="77777777" w:rsidR="00B31FA1" w:rsidRPr="003A1EA4" w:rsidRDefault="00B31FA1" w:rsidP="00B31FA1">
                  <w:pPr>
                    <w:jc w:val="both"/>
                    <w:rPr>
                      <w:lang w:val="ro-RO"/>
                    </w:rPr>
                  </w:pPr>
                  <w:r w:rsidRPr="003A1EA4">
                    <w:rPr>
                      <w:lang w:val="ro-RO"/>
                    </w:rPr>
                    <w:t>0,0015</w:t>
                  </w:r>
                </w:p>
              </w:tc>
            </w:tr>
            <w:tr w:rsidR="00B31FA1" w:rsidRPr="003A1EA4" w14:paraId="4784298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D808B2" w14:textId="77777777" w:rsidR="00B31FA1" w:rsidRPr="003A1EA4" w:rsidRDefault="00B31FA1" w:rsidP="00B31FA1">
                  <w:pPr>
                    <w:jc w:val="both"/>
                    <w:rPr>
                      <w:lang w:val="ro-RO"/>
                    </w:rPr>
                  </w:pPr>
                  <w:r w:rsidRPr="003A1EA4">
                    <w:rPr>
                      <w:lang w:val="ro-RO"/>
                    </w:rPr>
                    <w:t>Combustibil brichetat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D2442B" w14:textId="77777777" w:rsidR="00B31FA1" w:rsidRPr="003A1EA4" w:rsidRDefault="00B31FA1" w:rsidP="00B31FA1">
                  <w:pPr>
                    <w:jc w:val="both"/>
                    <w:rPr>
                      <w:lang w:val="ro-RO"/>
                    </w:rPr>
                  </w:pPr>
                  <w:r w:rsidRPr="003A1EA4">
                    <w:rPr>
                      <w:lang w:val="ro-RO"/>
                    </w:rPr>
                    <w:t>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8E059A"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79D8EE" w14:textId="77777777" w:rsidR="00B31FA1" w:rsidRPr="003A1EA4" w:rsidRDefault="00B31FA1" w:rsidP="00B31FA1">
                  <w:pPr>
                    <w:jc w:val="both"/>
                    <w:rPr>
                      <w:lang w:val="ro-RO"/>
                    </w:rPr>
                  </w:pPr>
                  <w:r w:rsidRPr="003A1EA4">
                    <w:rPr>
                      <w:lang w:val="ro-RO"/>
                    </w:rPr>
                    <w:t>0,0015</w:t>
                  </w:r>
                </w:p>
              </w:tc>
            </w:tr>
            <w:tr w:rsidR="00B31FA1" w:rsidRPr="003A1EA4" w14:paraId="6111C72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3B199C" w14:textId="77777777" w:rsidR="00B31FA1" w:rsidRPr="003A1EA4" w:rsidRDefault="00B31FA1" w:rsidP="00B31FA1">
                  <w:pPr>
                    <w:jc w:val="both"/>
                    <w:rPr>
                      <w:lang w:val="ro-RO"/>
                    </w:rPr>
                  </w:pPr>
                  <w:r w:rsidRPr="003A1EA4">
                    <w:rPr>
                      <w:lang w:val="ro-RO"/>
                    </w:rPr>
                    <w:t>Cocs de cocserie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523429" w14:textId="77777777" w:rsidR="00B31FA1" w:rsidRPr="003A1EA4" w:rsidRDefault="00B31FA1" w:rsidP="00B31FA1">
                  <w:pPr>
                    <w:jc w:val="both"/>
                    <w:rPr>
                      <w:lang w:val="ro-RO"/>
                    </w:rPr>
                  </w:pPr>
                  <w:r w:rsidRPr="003A1EA4">
                    <w:rPr>
                      <w:lang w:val="ro-RO"/>
                    </w:rPr>
                    <w:t>107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A7F578"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80B7A4" w14:textId="77777777" w:rsidR="00B31FA1" w:rsidRPr="003A1EA4" w:rsidRDefault="00B31FA1" w:rsidP="00B31FA1">
                  <w:pPr>
                    <w:jc w:val="both"/>
                    <w:rPr>
                      <w:lang w:val="ro-RO"/>
                    </w:rPr>
                  </w:pPr>
                  <w:r w:rsidRPr="003A1EA4">
                    <w:rPr>
                      <w:lang w:val="ro-RO"/>
                    </w:rPr>
                    <w:t>0,0015</w:t>
                  </w:r>
                </w:p>
              </w:tc>
            </w:tr>
            <w:tr w:rsidR="00B31FA1" w:rsidRPr="003A1EA4" w14:paraId="776EF3E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11DBF8" w14:textId="77777777" w:rsidR="00B31FA1" w:rsidRPr="003A1EA4" w:rsidRDefault="00B31FA1" w:rsidP="00B31FA1">
                  <w:pPr>
                    <w:jc w:val="both"/>
                    <w:rPr>
                      <w:lang w:val="ro-RO"/>
                    </w:rPr>
                  </w:pPr>
                  <w:r w:rsidRPr="003A1EA4">
                    <w:rPr>
                      <w:lang w:val="ro-RO"/>
                    </w:rPr>
                    <w:t>Gaz de cocserie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30606F" w14:textId="77777777" w:rsidR="00B31FA1" w:rsidRPr="003A1EA4" w:rsidRDefault="00B31FA1" w:rsidP="00B31FA1">
                  <w:pPr>
                    <w:jc w:val="both"/>
                    <w:rPr>
                      <w:lang w:val="ro-RO"/>
                    </w:rPr>
                  </w:pPr>
                  <w:r w:rsidRPr="003A1EA4">
                    <w:rPr>
                      <w:lang w:val="ro-RO"/>
                    </w:rPr>
                    <w:t>107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F043AB"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60AA37" w14:textId="77777777" w:rsidR="00B31FA1" w:rsidRPr="003A1EA4" w:rsidRDefault="00B31FA1" w:rsidP="00B31FA1">
                  <w:pPr>
                    <w:jc w:val="both"/>
                    <w:rPr>
                      <w:lang w:val="ro-RO"/>
                    </w:rPr>
                  </w:pPr>
                  <w:r w:rsidRPr="003A1EA4">
                    <w:rPr>
                      <w:lang w:val="ro-RO"/>
                    </w:rPr>
                    <w:t>0,0001</w:t>
                  </w:r>
                </w:p>
              </w:tc>
            </w:tr>
            <w:tr w:rsidR="00B31FA1" w:rsidRPr="003A1EA4" w14:paraId="22B4DCD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9029E7" w14:textId="77777777" w:rsidR="00B31FA1" w:rsidRPr="003A1EA4" w:rsidRDefault="00B31FA1" w:rsidP="00B31FA1">
                  <w:pPr>
                    <w:jc w:val="both"/>
                    <w:rPr>
                      <w:lang w:val="ro-RO"/>
                    </w:rPr>
                  </w:pPr>
                  <w:r w:rsidRPr="003A1EA4">
                    <w:rPr>
                      <w:lang w:val="ro-RO"/>
                    </w:rPr>
                    <w:t>Gudron de cărbune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A4714A" w14:textId="77777777" w:rsidR="00B31FA1" w:rsidRPr="003A1EA4" w:rsidRDefault="00B31FA1" w:rsidP="00B31FA1">
                  <w:pPr>
                    <w:jc w:val="both"/>
                    <w:rPr>
                      <w:lang w:val="ro-RO"/>
                    </w:rPr>
                  </w:pPr>
                  <w:r w:rsidRPr="003A1EA4">
                    <w:rPr>
                      <w:lang w:val="ro-RO"/>
                    </w:rPr>
                    <w:t>80,7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9AECCA"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7AD11C" w14:textId="77777777" w:rsidR="00B31FA1" w:rsidRPr="003A1EA4" w:rsidRDefault="00B31FA1" w:rsidP="00B31FA1">
                  <w:pPr>
                    <w:jc w:val="both"/>
                    <w:rPr>
                      <w:lang w:val="ro-RO"/>
                    </w:rPr>
                  </w:pPr>
                  <w:r w:rsidRPr="003A1EA4">
                    <w:rPr>
                      <w:lang w:val="ro-RO"/>
                    </w:rPr>
                    <w:t>0,0015</w:t>
                  </w:r>
                </w:p>
              </w:tc>
            </w:tr>
            <w:tr w:rsidR="00B31FA1" w:rsidRPr="003A1EA4" w14:paraId="129C6C0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88EA64" w14:textId="77777777" w:rsidR="00B31FA1" w:rsidRPr="003A1EA4" w:rsidRDefault="00B31FA1" w:rsidP="00B31FA1">
                  <w:pPr>
                    <w:jc w:val="both"/>
                    <w:rPr>
                      <w:lang w:val="ro-RO"/>
                    </w:rPr>
                  </w:pPr>
                  <w:r w:rsidRPr="003A1EA4">
                    <w:rPr>
                      <w:lang w:val="ro-RO"/>
                    </w:rPr>
                    <w:t>Brichete de cărbune brun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94C058" w14:textId="77777777" w:rsidR="00B31FA1" w:rsidRPr="003A1EA4" w:rsidRDefault="00B31FA1" w:rsidP="00B31FA1">
                  <w:pPr>
                    <w:jc w:val="both"/>
                    <w:rPr>
                      <w:lang w:val="ro-RO"/>
                    </w:rPr>
                  </w:pPr>
                  <w:r w:rsidRPr="003A1EA4">
                    <w:rPr>
                      <w:lang w:val="ro-RO"/>
                    </w:rPr>
                    <w:t>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A3A46A"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E77C67" w14:textId="77777777" w:rsidR="00B31FA1" w:rsidRPr="003A1EA4" w:rsidRDefault="00B31FA1" w:rsidP="00B31FA1">
                  <w:pPr>
                    <w:jc w:val="both"/>
                    <w:rPr>
                      <w:lang w:val="ro-RO"/>
                    </w:rPr>
                  </w:pPr>
                  <w:r w:rsidRPr="003A1EA4">
                    <w:rPr>
                      <w:lang w:val="ro-RO"/>
                    </w:rPr>
                    <w:t>0,0015</w:t>
                  </w:r>
                </w:p>
              </w:tc>
            </w:tr>
            <w:tr w:rsidR="00B31FA1" w:rsidRPr="003A1EA4" w14:paraId="1B9FA60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E96F69" w14:textId="77777777" w:rsidR="00B31FA1" w:rsidRPr="003A1EA4" w:rsidRDefault="00B31FA1" w:rsidP="00B31FA1">
                  <w:pPr>
                    <w:jc w:val="both"/>
                    <w:rPr>
                      <w:lang w:val="ro-RO"/>
                    </w:rPr>
                  </w:pPr>
                  <w:r w:rsidRPr="003A1EA4">
                    <w:rPr>
                      <w:b/>
                      <w:bCs/>
                      <w:i/>
                      <w:iCs/>
                      <w:lang w:val="ro-RO"/>
                    </w:rPr>
                    <w:t>Gaze artificiale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63D654"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221D6D"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CF87F6" w14:textId="77777777" w:rsidR="00B31FA1" w:rsidRPr="003A1EA4" w:rsidRDefault="00B31FA1" w:rsidP="00B31FA1">
                  <w:pPr>
                    <w:jc w:val="both"/>
                    <w:rPr>
                      <w:lang w:val="ro-RO"/>
                    </w:rPr>
                  </w:pPr>
                  <w:r w:rsidRPr="003A1EA4">
                    <w:rPr>
                      <w:lang w:val="ro-RO"/>
                    </w:rPr>
                    <w:t> </w:t>
                  </w:r>
                </w:p>
              </w:tc>
            </w:tr>
            <w:tr w:rsidR="00B31FA1" w:rsidRPr="003A1EA4" w14:paraId="61B5673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B16D8D" w14:textId="77777777" w:rsidR="00B31FA1" w:rsidRPr="003A1EA4" w:rsidRDefault="00B31FA1" w:rsidP="00B31FA1">
                  <w:pPr>
                    <w:jc w:val="both"/>
                    <w:rPr>
                      <w:lang w:val="ro-RO"/>
                    </w:rPr>
                  </w:pPr>
                  <w:r w:rsidRPr="003A1EA4">
                    <w:rPr>
                      <w:lang w:val="ro-RO"/>
                    </w:rPr>
                    <w:t>Gaz de uzină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C4A298" w14:textId="77777777" w:rsidR="00B31FA1" w:rsidRPr="003A1EA4" w:rsidRDefault="00B31FA1" w:rsidP="00B31FA1">
                  <w:pPr>
                    <w:jc w:val="both"/>
                    <w:rPr>
                      <w:lang w:val="ro-RO"/>
                    </w:rPr>
                  </w:pPr>
                  <w:r w:rsidRPr="003A1EA4">
                    <w:rPr>
                      <w:lang w:val="ro-RO"/>
                    </w:rPr>
                    <w:t>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9EA265"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C8DC3A" w14:textId="77777777" w:rsidR="00B31FA1" w:rsidRPr="003A1EA4" w:rsidRDefault="00B31FA1" w:rsidP="00B31FA1">
                  <w:pPr>
                    <w:jc w:val="both"/>
                    <w:rPr>
                      <w:lang w:val="ro-RO"/>
                    </w:rPr>
                  </w:pPr>
                  <w:r w:rsidRPr="003A1EA4">
                    <w:rPr>
                      <w:lang w:val="ro-RO"/>
                    </w:rPr>
                    <w:t>0,0001</w:t>
                  </w:r>
                </w:p>
              </w:tc>
            </w:tr>
            <w:tr w:rsidR="00B31FA1" w:rsidRPr="003A1EA4" w14:paraId="758F874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46D559" w14:textId="77777777" w:rsidR="00B31FA1" w:rsidRPr="003A1EA4" w:rsidRDefault="00B31FA1" w:rsidP="00B31FA1">
                  <w:pPr>
                    <w:jc w:val="both"/>
                    <w:rPr>
                      <w:lang w:val="ro-RO"/>
                    </w:rPr>
                  </w:pPr>
                  <w:r w:rsidRPr="003A1EA4">
                    <w:rPr>
                      <w:lang w:val="ro-RO"/>
                    </w:rPr>
                    <w:t>Gaz de cocserie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737BAB" w14:textId="77777777" w:rsidR="00B31FA1" w:rsidRPr="003A1EA4" w:rsidRDefault="00B31FA1" w:rsidP="00B31FA1">
                  <w:pPr>
                    <w:jc w:val="both"/>
                    <w:rPr>
                      <w:lang w:val="ro-RO"/>
                    </w:rPr>
                  </w:pPr>
                  <w:r w:rsidRPr="003A1EA4">
                    <w:rPr>
                      <w:lang w:val="ro-RO"/>
                    </w:rPr>
                    <w:t>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5C1BC6"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A24DCD" w14:textId="77777777" w:rsidR="00B31FA1" w:rsidRPr="003A1EA4" w:rsidRDefault="00B31FA1" w:rsidP="00B31FA1">
                  <w:pPr>
                    <w:jc w:val="both"/>
                    <w:rPr>
                      <w:lang w:val="ro-RO"/>
                    </w:rPr>
                  </w:pPr>
                  <w:r w:rsidRPr="003A1EA4">
                    <w:rPr>
                      <w:lang w:val="ro-RO"/>
                    </w:rPr>
                    <w:t>0,0001</w:t>
                  </w:r>
                </w:p>
              </w:tc>
            </w:tr>
            <w:tr w:rsidR="00B31FA1" w:rsidRPr="003A1EA4" w14:paraId="585C911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4514B8" w14:textId="77777777" w:rsidR="00B31FA1" w:rsidRPr="003A1EA4" w:rsidRDefault="00B31FA1" w:rsidP="00B31FA1">
                  <w:pPr>
                    <w:jc w:val="both"/>
                    <w:rPr>
                      <w:lang w:val="ro-RO"/>
                    </w:rPr>
                  </w:pPr>
                  <w:r w:rsidRPr="003A1EA4">
                    <w:rPr>
                      <w:lang w:val="ro-RO"/>
                    </w:rPr>
                    <w:t>Gaz de furnal înalt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38A897" w14:textId="77777777" w:rsidR="00B31FA1" w:rsidRPr="003A1EA4" w:rsidRDefault="00B31FA1" w:rsidP="00B31FA1">
                  <w:pPr>
                    <w:jc w:val="both"/>
                    <w:rPr>
                      <w:lang w:val="ro-RO"/>
                    </w:rPr>
                  </w:pPr>
                  <w:r w:rsidRPr="003A1EA4">
                    <w:rPr>
                      <w:lang w:val="ro-RO"/>
                    </w:rPr>
                    <w:t>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A88937"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A4CD17" w14:textId="77777777" w:rsidR="00B31FA1" w:rsidRPr="003A1EA4" w:rsidRDefault="00B31FA1" w:rsidP="00B31FA1">
                  <w:pPr>
                    <w:jc w:val="both"/>
                    <w:rPr>
                      <w:lang w:val="ro-RO"/>
                    </w:rPr>
                  </w:pPr>
                  <w:r w:rsidRPr="003A1EA4">
                    <w:rPr>
                      <w:lang w:val="ro-RO"/>
                    </w:rPr>
                    <w:t>0,0001</w:t>
                  </w:r>
                </w:p>
              </w:tc>
            </w:tr>
            <w:tr w:rsidR="00B31FA1" w:rsidRPr="003A1EA4" w14:paraId="54FB4C0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381AB7" w14:textId="77777777" w:rsidR="00B31FA1" w:rsidRPr="003A1EA4" w:rsidRDefault="00B31FA1" w:rsidP="00B31FA1">
                  <w:pPr>
                    <w:jc w:val="both"/>
                    <w:rPr>
                      <w:lang w:val="ro-RO"/>
                    </w:rPr>
                  </w:pPr>
                  <w:r w:rsidRPr="003A1EA4">
                    <w:rPr>
                      <w:lang w:val="ro-RO"/>
                    </w:rPr>
                    <w:t>Alte gaze recuperate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65D11E" w14:textId="77777777" w:rsidR="00B31FA1" w:rsidRPr="003A1EA4" w:rsidRDefault="00B31FA1" w:rsidP="00B31FA1">
                  <w:pPr>
                    <w:jc w:val="both"/>
                    <w:rPr>
                      <w:lang w:val="ro-RO"/>
                    </w:rPr>
                  </w:pPr>
                  <w:r w:rsidRPr="003A1EA4">
                    <w:rPr>
                      <w:lang w:val="ro-RO"/>
                    </w:rPr>
                    <w:t>182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1468CD"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0578E3" w14:textId="77777777" w:rsidR="00B31FA1" w:rsidRPr="003A1EA4" w:rsidRDefault="00B31FA1" w:rsidP="00B31FA1">
                  <w:pPr>
                    <w:jc w:val="both"/>
                    <w:rPr>
                      <w:lang w:val="ro-RO"/>
                    </w:rPr>
                  </w:pPr>
                  <w:r w:rsidRPr="003A1EA4">
                    <w:rPr>
                      <w:lang w:val="ro-RO"/>
                    </w:rPr>
                    <w:t>0,0001</w:t>
                  </w:r>
                </w:p>
              </w:tc>
            </w:tr>
            <w:tr w:rsidR="00B31FA1" w:rsidRPr="003A1EA4" w14:paraId="6AC25BF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A128F3" w14:textId="77777777" w:rsidR="00B31FA1" w:rsidRPr="003A1EA4" w:rsidRDefault="00B31FA1" w:rsidP="00B31FA1">
                  <w:pPr>
                    <w:jc w:val="both"/>
                    <w:rPr>
                      <w:lang w:val="ro-RO"/>
                    </w:rPr>
                  </w:pPr>
                  <w:r w:rsidRPr="003A1EA4">
                    <w:rPr>
                      <w:b/>
                      <w:bCs/>
                      <w:lang w:val="ro-RO"/>
                    </w:rPr>
                    <w:t>Turbă și produse din turbă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ACBBC9" w14:textId="77777777" w:rsidR="00B31FA1" w:rsidRPr="003A1EA4" w:rsidRDefault="00B31FA1" w:rsidP="00B31FA1">
                  <w:pPr>
                    <w:jc w:val="both"/>
                    <w:rPr>
                      <w:lang w:val="ro-RO"/>
                    </w:rPr>
                  </w:pPr>
                  <w:r w:rsidRPr="003A1EA4">
                    <w:rPr>
                      <w:lang w:val="ro-RO"/>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ACC8C3"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9ECA43" w14:textId="77777777" w:rsidR="00B31FA1" w:rsidRPr="003A1EA4" w:rsidRDefault="00B31FA1" w:rsidP="00B31FA1">
                  <w:pPr>
                    <w:jc w:val="both"/>
                    <w:rPr>
                      <w:lang w:val="ro-RO"/>
                    </w:rPr>
                  </w:pPr>
                  <w:r w:rsidRPr="003A1EA4">
                    <w:rPr>
                      <w:lang w:val="ro-RO"/>
                    </w:rPr>
                    <w:t>0,0015</w:t>
                  </w:r>
                </w:p>
              </w:tc>
            </w:tr>
            <w:tr w:rsidR="00B31FA1" w:rsidRPr="003A1EA4" w14:paraId="0C42C38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4F9EC0" w14:textId="77777777" w:rsidR="00B31FA1" w:rsidRPr="003A1EA4" w:rsidRDefault="00B31FA1" w:rsidP="00B31FA1">
                  <w:pPr>
                    <w:jc w:val="both"/>
                    <w:rPr>
                      <w:lang w:val="ro-RO"/>
                    </w:rPr>
                  </w:pPr>
                  <w:r w:rsidRPr="003A1EA4">
                    <w:rPr>
                      <w:b/>
                      <w:bCs/>
                      <w:lang w:val="ro-RO"/>
                    </w:rPr>
                    <w:t>Șisturi și nisipuri bituminoase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89FB2D"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75B580"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C0ECA2" w14:textId="77777777" w:rsidR="00B31FA1" w:rsidRPr="003A1EA4" w:rsidRDefault="00B31FA1" w:rsidP="00B31FA1">
                  <w:pPr>
                    <w:jc w:val="both"/>
                    <w:rPr>
                      <w:lang w:val="ro-RO"/>
                    </w:rPr>
                  </w:pPr>
                  <w:r w:rsidRPr="003A1EA4">
                    <w:rPr>
                      <w:lang w:val="ro-RO"/>
                    </w:rPr>
                    <w:t>0,0006</w:t>
                  </w:r>
                </w:p>
              </w:tc>
            </w:tr>
            <w:tr w:rsidR="00B31FA1" w:rsidRPr="003A1EA4" w14:paraId="2AB0DA3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36F6C" w14:textId="77777777" w:rsidR="00B31FA1" w:rsidRPr="003A1EA4" w:rsidRDefault="00B31FA1" w:rsidP="00B31FA1">
                  <w:pPr>
                    <w:jc w:val="both"/>
                    <w:rPr>
                      <w:lang w:val="ro-RO"/>
                    </w:rPr>
                  </w:pPr>
                  <w:r w:rsidRPr="003A1EA4">
                    <w:rPr>
                      <w:b/>
                      <w:bCs/>
                      <w:i/>
                      <w:iCs/>
                      <w:lang w:val="ro-RO"/>
                    </w:rPr>
                    <w:t>Petrol și produse petroliere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E68596"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9F8F01"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3DE617" w14:textId="77777777" w:rsidR="00B31FA1" w:rsidRPr="003A1EA4" w:rsidRDefault="00B31FA1" w:rsidP="00B31FA1">
                  <w:pPr>
                    <w:jc w:val="both"/>
                    <w:rPr>
                      <w:lang w:val="ro-RO"/>
                    </w:rPr>
                  </w:pPr>
                  <w:r w:rsidRPr="003A1EA4">
                    <w:rPr>
                      <w:lang w:val="ro-RO"/>
                    </w:rPr>
                    <w:t> </w:t>
                  </w:r>
                </w:p>
              </w:tc>
            </w:tr>
            <w:tr w:rsidR="00B31FA1" w:rsidRPr="003A1EA4" w14:paraId="434EAD4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AF81D6" w14:textId="77777777" w:rsidR="00B31FA1" w:rsidRPr="003A1EA4" w:rsidRDefault="00B31FA1" w:rsidP="00B31FA1">
                  <w:pPr>
                    <w:jc w:val="both"/>
                    <w:rPr>
                      <w:lang w:val="ro-RO"/>
                    </w:rPr>
                  </w:pPr>
                  <w:r w:rsidRPr="003A1EA4">
                    <w:rPr>
                      <w:lang w:val="ro-RO"/>
                    </w:rPr>
                    <w:t>Țiței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14C822"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4E8E95"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C08F85" w14:textId="77777777" w:rsidR="00B31FA1" w:rsidRPr="003A1EA4" w:rsidRDefault="00B31FA1" w:rsidP="00B31FA1">
                  <w:pPr>
                    <w:jc w:val="both"/>
                    <w:rPr>
                      <w:lang w:val="ro-RO"/>
                    </w:rPr>
                  </w:pPr>
                  <w:r w:rsidRPr="003A1EA4">
                    <w:rPr>
                      <w:lang w:val="ro-RO"/>
                    </w:rPr>
                    <w:t>0,0006</w:t>
                  </w:r>
                </w:p>
              </w:tc>
            </w:tr>
            <w:tr w:rsidR="00B31FA1" w:rsidRPr="003A1EA4" w14:paraId="09FA3F5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5AF721" w14:textId="77777777" w:rsidR="00B31FA1" w:rsidRPr="003A1EA4" w:rsidRDefault="00B31FA1" w:rsidP="00B31FA1">
                  <w:pPr>
                    <w:jc w:val="both"/>
                    <w:rPr>
                      <w:lang w:val="ro-RO"/>
                    </w:rPr>
                  </w:pPr>
                  <w:r w:rsidRPr="003A1EA4">
                    <w:rPr>
                      <w:lang w:val="ro-RO"/>
                    </w:rPr>
                    <w:t>Produse lichide de la extracția gazelor naturale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C78183" w14:textId="77777777" w:rsidR="00B31FA1" w:rsidRPr="003A1EA4" w:rsidRDefault="00B31FA1" w:rsidP="00B31FA1">
                  <w:pPr>
                    <w:jc w:val="both"/>
                    <w:rPr>
                      <w:lang w:val="ro-RO"/>
                    </w:rPr>
                  </w:pPr>
                  <w:r w:rsidRPr="003A1EA4">
                    <w:rPr>
                      <w:lang w:val="ro-RO"/>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C02DDE"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AC8F17" w14:textId="77777777" w:rsidR="00B31FA1" w:rsidRPr="003A1EA4" w:rsidRDefault="00B31FA1" w:rsidP="00B31FA1">
                  <w:pPr>
                    <w:jc w:val="both"/>
                    <w:rPr>
                      <w:lang w:val="ro-RO"/>
                    </w:rPr>
                  </w:pPr>
                  <w:r w:rsidRPr="003A1EA4">
                    <w:rPr>
                      <w:lang w:val="ro-RO"/>
                    </w:rPr>
                    <w:t>0,0006</w:t>
                  </w:r>
                </w:p>
              </w:tc>
            </w:tr>
            <w:tr w:rsidR="00B31FA1" w:rsidRPr="003A1EA4" w14:paraId="1739B42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5CF293" w14:textId="77777777" w:rsidR="00B31FA1" w:rsidRPr="003A1EA4" w:rsidRDefault="00B31FA1" w:rsidP="00B31FA1">
                  <w:pPr>
                    <w:jc w:val="both"/>
                    <w:rPr>
                      <w:lang w:val="ro-RO"/>
                    </w:rPr>
                  </w:pPr>
                  <w:r w:rsidRPr="003A1EA4">
                    <w:rPr>
                      <w:lang w:val="ro-RO"/>
                    </w:rPr>
                    <w:t>Materii prime de rafinărie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D2E8E9"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3E27FB"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90B342" w14:textId="77777777" w:rsidR="00B31FA1" w:rsidRPr="003A1EA4" w:rsidRDefault="00B31FA1" w:rsidP="00B31FA1">
                  <w:pPr>
                    <w:jc w:val="both"/>
                    <w:rPr>
                      <w:lang w:val="ro-RO"/>
                    </w:rPr>
                  </w:pPr>
                  <w:r w:rsidRPr="003A1EA4">
                    <w:rPr>
                      <w:lang w:val="ro-RO"/>
                    </w:rPr>
                    <w:t>0,0006</w:t>
                  </w:r>
                </w:p>
              </w:tc>
            </w:tr>
            <w:tr w:rsidR="00B31FA1" w:rsidRPr="003A1EA4" w14:paraId="58C0A14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C2344F" w14:textId="77777777" w:rsidR="00B31FA1" w:rsidRPr="003A1EA4" w:rsidRDefault="00B31FA1" w:rsidP="00B31FA1">
                  <w:pPr>
                    <w:jc w:val="both"/>
                    <w:rPr>
                      <w:lang w:val="ro-RO"/>
                    </w:rPr>
                  </w:pPr>
                  <w:r w:rsidRPr="003A1EA4">
                    <w:rPr>
                      <w:lang w:val="ro-RO"/>
                    </w:rPr>
                    <w:t>Aditivi și compuși oxigenați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5D8E40"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26CEAC"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D35069" w14:textId="77777777" w:rsidR="00B31FA1" w:rsidRPr="003A1EA4" w:rsidRDefault="00B31FA1" w:rsidP="00B31FA1">
                  <w:pPr>
                    <w:jc w:val="both"/>
                    <w:rPr>
                      <w:lang w:val="ro-RO"/>
                    </w:rPr>
                  </w:pPr>
                  <w:r w:rsidRPr="003A1EA4">
                    <w:rPr>
                      <w:lang w:val="ro-RO"/>
                    </w:rPr>
                    <w:t>0,0006</w:t>
                  </w:r>
                </w:p>
              </w:tc>
            </w:tr>
            <w:tr w:rsidR="00B31FA1" w:rsidRPr="003A1EA4" w14:paraId="5A450BF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F76E5D" w14:textId="77777777" w:rsidR="00B31FA1" w:rsidRPr="003A1EA4" w:rsidRDefault="00B31FA1" w:rsidP="00B31FA1">
                  <w:pPr>
                    <w:jc w:val="both"/>
                    <w:rPr>
                      <w:lang w:val="ro-RO"/>
                    </w:rPr>
                  </w:pPr>
                  <w:r w:rsidRPr="003A1EA4">
                    <w:rPr>
                      <w:lang w:val="ro-RO"/>
                    </w:rPr>
                    <w:lastRenderedPageBreak/>
                    <w:t>Alte hidrocarburi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51DC9F"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899CE5"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54F4ED" w14:textId="77777777" w:rsidR="00B31FA1" w:rsidRPr="003A1EA4" w:rsidRDefault="00B31FA1" w:rsidP="00B31FA1">
                  <w:pPr>
                    <w:jc w:val="both"/>
                    <w:rPr>
                      <w:lang w:val="ro-RO"/>
                    </w:rPr>
                  </w:pPr>
                  <w:r w:rsidRPr="003A1EA4">
                    <w:rPr>
                      <w:lang w:val="ro-RO"/>
                    </w:rPr>
                    <w:t>0,0006</w:t>
                  </w:r>
                </w:p>
              </w:tc>
            </w:tr>
            <w:tr w:rsidR="00B31FA1" w:rsidRPr="003A1EA4" w14:paraId="435205A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E95488" w14:textId="77777777" w:rsidR="00B31FA1" w:rsidRPr="003A1EA4" w:rsidRDefault="00B31FA1" w:rsidP="00B31FA1">
                  <w:pPr>
                    <w:jc w:val="both"/>
                    <w:rPr>
                      <w:lang w:val="ro-RO"/>
                    </w:rPr>
                  </w:pPr>
                  <w:r w:rsidRPr="003A1EA4">
                    <w:rPr>
                      <w:lang w:val="ro-RO"/>
                    </w:rPr>
                    <w:t>Gaz de rafinărie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5CAFAA" w14:textId="77777777" w:rsidR="00B31FA1" w:rsidRPr="003A1EA4" w:rsidRDefault="00B31FA1" w:rsidP="00B31FA1">
                  <w:pPr>
                    <w:jc w:val="both"/>
                    <w:rPr>
                      <w:lang w:val="ro-RO"/>
                    </w:rPr>
                  </w:pPr>
                  <w:r w:rsidRPr="003A1EA4">
                    <w:rPr>
                      <w:lang w:val="ro-RO"/>
                    </w:rPr>
                    <w:t>57,6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CBC076"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A32F15" w14:textId="77777777" w:rsidR="00B31FA1" w:rsidRPr="003A1EA4" w:rsidRDefault="00B31FA1" w:rsidP="00B31FA1">
                  <w:pPr>
                    <w:jc w:val="both"/>
                    <w:rPr>
                      <w:lang w:val="ro-RO"/>
                    </w:rPr>
                  </w:pPr>
                  <w:r w:rsidRPr="003A1EA4">
                    <w:rPr>
                      <w:lang w:val="ro-RO"/>
                    </w:rPr>
                    <w:t>0,0001</w:t>
                  </w:r>
                </w:p>
              </w:tc>
            </w:tr>
            <w:tr w:rsidR="00B31FA1" w:rsidRPr="003A1EA4" w14:paraId="1F287D1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AFCD61" w14:textId="77777777" w:rsidR="00B31FA1" w:rsidRPr="003A1EA4" w:rsidRDefault="00B31FA1" w:rsidP="00B31FA1">
                  <w:pPr>
                    <w:jc w:val="both"/>
                    <w:rPr>
                      <w:lang w:val="ro-RO"/>
                    </w:rPr>
                  </w:pPr>
                  <w:r w:rsidRPr="003A1EA4">
                    <w:rPr>
                      <w:lang w:val="ro-RO"/>
                    </w:rPr>
                    <w:t>Etan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66E9CA" w14:textId="77777777" w:rsidR="00B31FA1" w:rsidRPr="003A1EA4" w:rsidRDefault="00B31FA1" w:rsidP="00B31FA1">
                  <w:pPr>
                    <w:jc w:val="both"/>
                    <w:rPr>
                      <w:lang w:val="ro-RO"/>
                    </w:rPr>
                  </w:pPr>
                  <w:r w:rsidRPr="003A1EA4">
                    <w:rPr>
                      <w:lang w:val="ro-RO"/>
                    </w:rPr>
                    <w:t>61,6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23C545"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53CE91" w14:textId="77777777" w:rsidR="00B31FA1" w:rsidRPr="003A1EA4" w:rsidRDefault="00B31FA1" w:rsidP="00B31FA1">
                  <w:pPr>
                    <w:jc w:val="both"/>
                    <w:rPr>
                      <w:lang w:val="ro-RO"/>
                    </w:rPr>
                  </w:pPr>
                  <w:r w:rsidRPr="003A1EA4">
                    <w:rPr>
                      <w:lang w:val="ro-RO"/>
                    </w:rPr>
                    <w:t>0,0001</w:t>
                  </w:r>
                </w:p>
              </w:tc>
            </w:tr>
            <w:tr w:rsidR="00B31FA1" w:rsidRPr="003A1EA4" w14:paraId="53F5FD2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53FBA0" w14:textId="77777777" w:rsidR="00B31FA1" w:rsidRPr="003A1EA4" w:rsidRDefault="00B31FA1" w:rsidP="00B31FA1">
                  <w:pPr>
                    <w:jc w:val="both"/>
                    <w:rPr>
                      <w:lang w:val="ro-RO"/>
                    </w:rPr>
                  </w:pPr>
                  <w:r w:rsidRPr="003A1EA4">
                    <w:rPr>
                      <w:lang w:val="ro-RO"/>
                    </w:rPr>
                    <w:t>Gaze petroliere lichefiate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E91746" w14:textId="77777777" w:rsidR="00B31FA1" w:rsidRPr="003A1EA4" w:rsidRDefault="00B31FA1" w:rsidP="00B31FA1">
                  <w:pPr>
                    <w:jc w:val="both"/>
                    <w:rPr>
                      <w:lang w:val="ro-RO"/>
                    </w:rPr>
                  </w:pPr>
                  <w:r w:rsidRPr="003A1EA4">
                    <w:rPr>
                      <w:lang w:val="ro-RO"/>
                    </w:rPr>
                    <w:t>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2E8C82"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D113EB" w14:textId="77777777" w:rsidR="00B31FA1" w:rsidRPr="003A1EA4" w:rsidRDefault="00B31FA1" w:rsidP="00B31FA1">
                  <w:pPr>
                    <w:jc w:val="both"/>
                    <w:rPr>
                      <w:lang w:val="ro-RO"/>
                    </w:rPr>
                  </w:pPr>
                  <w:r w:rsidRPr="003A1EA4">
                    <w:rPr>
                      <w:lang w:val="ro-RO"/>
                    </w:rPr>
                    <w:t>0,0001</w:t>
                  </w:r>
                </w:p>
              </w:tc>
            </w:tr>
            <w:tr w:rsidR="00B31FA1" w:rsidRPr="003A1EA4" w14:paraId="4F6BA6D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FDB8C2" w14:textId="77777777" w:rsidR="00B31FA1" w:rsidRPr="003A1EA4" w:rsidRDefault="00B31FA1" w:rsidP="00B31FA1">
                  <w:pPr>
                    <w:jc w:val="both"/>
                    <w:rPr>
                      <w:lang w:val="ro-RO"/>
                    </w:rPr>
                  </w:pPr>
                  <w:r w:rsidRPr="003A1EA4">
                    <w:rPr>
                      <w:lang w:val="ro-RO"/>
                    </w:rPr>
                    <w:t>Benzină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A59A0F" w14:textId="77777777" w:rsidR="00B31FA1" w:rsidRPr="003A1EA4" w:rsidRDefault="00B31FA1" w:rsidP="00B31FA1">
                  <w:pPr>
                    <w:jc w:val="both"/>
                    <w:rPr>
                      <w:lang w:val="ro-RO"/>
                    </w:rPr>
                  </w:pPr>
                  <w:r w:rsidRPr="003A1EA4">
                    <w:rPr>
                      <w:lang w:val="ro-RO"/>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13F20A"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393324" w14:textId="77777777" w:rsidR="00B31FA1" w:rsidRPr="003A1EA4" w:rsidRDefault="00B31FA1" w:rsidP="00B31FA1">
                  <w:pPr>
                    <w:jc w:val="both"/>
                    <w:rPr>
                      <w:lang w:val="ro-RO"/>
                    </w:rPr>
                  </w:pPr>
                  <w:r w:rsidRPr="003A1EA4">
                    <w:rPr>
                      <w:lang w:val="ro-RO"/>
                    </w:rPr>
                    <w:t>0,0006</w:t>
                  </w:r>
                </w:p>
              </w:tc>
            </w:tr>
            <w:tr w:rsidR="00B31FA1" w:rsidRPr="003A1EA4" w14:paraId="38FB212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EBAFB6" w14:textId="77777777" w:rsidR="00B31FA1" w:rsidRPr="003A1EA4" w:rsidRDefault="00B31FA1" w:rsidP="00B31FA1">
                  <w:pPr>
                    <w:jc w:val="both"/>
                    <w:rPr>
                      <w:lang w:val="ro-RO"/>
                    </w:rPr>
                  </w:pPr>
                  <w:r w:rsidRPr="003A1EA4">
                    <w:rPr>
                      <w:lang w:val="ro-RO"/>
                    </w:rPr>
                    <w:t>Benzină pentru aviație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C0C8C3" w14:textId="77777777" w:rsidR="00B31FA1" w:rsidRPr="003A1EA4" w:rsidRDefault="00B31FA1" w:rsidP="00B31FA1">
                  <w:pPr>
                    <w:jc w:val="both"/>
                    <w:rPr>
                      <w:lang w:val="ro-RO"/>
                    </w:rPr>
                  </w:pPr>
                  <w:r w:rsidRPr="003A1EA4">
                    <w:rPr>
                      <w:lang w:val="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E2AD31"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1B0E29" w14:textId="77777777" w:rsidR="00B31FA1" w:rsidRPr="003A1EA4" w:rsidRDefault="00B31FA1" w:rsidP="00B31FA1">
                  <w:pPr>
                    <w:jc w:val="both"/>
                    <w:rPr>
                      <w:lang w:val="ro-RO"/>
                    </w:rPr>
                  </w:pPr>
                  <w:r w:rsidRPr="003A1EA4">
                    <w:rPr>
                      <w:lang w:val="ro-RO"/>
                    </w:rPr>
                    <w:t>0,0006</w:t>
                  </w:r>
                </w:p>
              </w:tc>
            </w:tr>
            <w:tr w:rsidR="00B31FA1" w:rsidRPr="003A1EA4" w14:paraId="471F998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346C81" w14:textId="77777777" w:rsidR="00B31FA1" w:rsidRPr="003A1EA4" w:rsidRDefault="00B31FA1" w:rsidP="00B31FA1">
                  <w:pPr>
                    <w:jc w:val="both"/>
                    <w:rPr>
                      <w:lang w:val="ro-RO"/>
                    </w:rPr>
                  </w:pPr>
                  <w:r w:rsidRPr="003A1EA4">
                    <w:rPr>
                      <w:lang w:val="ro-RO"/>
                    </w:rPr>
                    <w:t>Carburant turboreactor tip benzină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334A56" w14:textId="77777777" w:rsidR="00B31FA1" w:rsidRPr="003A1EA4" w:rsidRDefault="00B31FA1" w:rsidP="00B31FA1">
                  <w:pPr>
                    <w:jc w:val="both"/>
                    <w:rPr>
                      <w:lang w:val="ro-RO"/>
                    </w:rPr>
                  </w:pPr>
                  <w:r w:rsidRPr="003A1EA4">
                    <w:rPr>
                      <w:lang w:val="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B784EF"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738770" w14:textId="77777777" w:rsidR="00B31FA1" w:rsidRPr="003A1EA4" w:rsidRDefault="00B31FA1" w:rsidP="00B31FA1">
                  <w:pPr>
                    <w:jc w:val="both"/>
                    <w:rPr>
                      <w:lang w:val="ro-RO"/>
                    </w:rPr>
                  </w:pPr>
                  <w:r w:rsidRPr="003A1EA4">
                    <w:rPr>
                      <w:lang w:val="ro-RO"/>
                    </w:rPr>
                    <w:t>0,0006</w:t>
                  </w:r>
                </w:p>
              </w:tc>
            </w:tr>
            <w:tr w:rsidR="00B31FA1" w:rsidRPr="003A1EA4" w14:paraId="2F38F6F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51683F" w14:textId="77777777" w:rsidR="00B31FA1" w:rsidRPr="003A1EA4" w:rsidRDefault="00B31FA1" w:rsidP="00B31FA1">
                  <w:pPr>
                    <w:jc w:val="both"/>
                    <w:rPr>
                      <w:lang w:val="ro-RO"/>
                    </w:rPr>
                  </w:pPr>
                  <w:r w:rsidRPr="003A1EA4">
                    <w:rPr>
                      <w:lang w:val="ro-RO"/>
                    </w:rPr>
                    <w:t>Carburant turboreactor tip kerosen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190611" w14:textId="77777777" w:rsidR="00B31FA1" w:rsidRPr="003A1EA4" w:rsidRDefault="00B31FA1" w:rsidP="00B31FA1">
                  <w:pPr>
                    <w:jc w:val="both"/>
                    <w:rPr>
                      <w:lang w:val="ro-RO"/>
                    </w:rPr>
                  </w:pPr>
                  <w:r w:rsidRPr="003A1EA4">
                    <w:rPr>
                      <w:lang w:val="ro-RO"/>
                    </w:rPr>
                    <w:t>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0A7119"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A1AB65" w14:textId="77777777" w:rsidR="00B31FA1" w:rsidRPr="003A1EA4" w:rsidRDefault="00B31FA1" w:rsidP="00B31FA1">
                  <w:pPr>
                    <w:jc w:val="both"/>
                    <w:rPr>
                      <w:lang w:val="ro-RO"/>
                    </w:rPr>
                  </w:pPr>
                  <w:r w:rsidRPr="003A1EA4">
                    <w:rPr>
                      <w:lang w:val="ro-RO"/>
                    </w:rPr>
                    <w:t>0,0006</w:t>
                  </w:r>
                </w:p>
              </w:tc>
            </w:tr>
            <w:tr w:rsidR="00B31FA1" w:rsidRPr="003A1EA4" w14:paraId="40F2C79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674131" w14:textId="77777777" w:rsidR="00B31FA1" w:rsidRPr="003A1EA4" w:rsidRDefault="00B31FA1" w:rsidP="00B31FA1">
                  <w:pPr>
                    <w:jc w:val="both"/>
                    <w:rPr>
                      <w:lang w:val="ro-RO"/>
                    </w:rPr>
                  </w:pPr>
                  <w:r w:rsidRPr="003A1EA4">
                    <w:rPr>
                      <w:lang w:val="ro-RO"/>
                    </w:rPr>
                    <w:t>Alte tipuri de kerosen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3CB804" w14:textId="77777777" w:rsidR="00B31FA1" w:rsidRPr="003A1EA4" w:rsidRDefault="00B31FA1" w:rsidP="00B31FA1">
                  <w:pPr>
                    <w:jc w:val="both"/>
                    <w:rPr>
                      <w:lang w:val="ro-RO"/>
                    </w:rPr>
                  </w:pPr>
                  <w:r w:rsidRPr="003A1EA4">
                    <w:rPr>
                      <w:lang w:val="ro-RO"/>
                    </w:rPr>
                    <w:t>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6C224F"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6CF4A8" w14:textId="77777777" w:rsidR="00B31FA1" w:rsidRPr="003A1EA4" w:rsidRDefault="00B31FA1" w:rsidP="00B31FA1">
                  <w:pPr>
                    <w:jc w:val="both"/>
                    <w:rPr>
                      <w:lang w:val="ro-RO"/>
                    </w:rPr>
                  </w:pPr>
                  <w:r w:rsidRPr="003A1EA4">
                    <w:rPr>
                      <w:lang w:val="ro-RO"/>
                    </w:rPr>
                    <w:t>0,0006</w:t>
                  </w:r>
                </w:p>
              </w:tc>
            </w:tr>
            <w:tr w:rsidR="00B31FA1" w:rsidRPr="003A1EA4" w14:paraId="5451B15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DEED4D" w14:textId="77777777" w:rsidR="00B31FA1" w:rsidRPr="003A1EA4" w:rsidRDefault="00B31FA1" w:rsidP="00B31FA1">
                  <w:pPr>
                    <w:jc w:val="both"/>
                    <w:rPr>
                      <w:lang w:val="ro-RO"/>
                    </w:rPr>
                  </w:pPr>
                  <w:r w:rsidRPr="003A1EA4">
                    <w:rPr>
                      <w:lang w:val="ro-RO"/>
                    </w:rPr>
                    <w:t>Naftă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4284D4"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EE9B65"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CC5E7C" w14:textId="77777777" w:rsidR="00B31FA1" w:rsidRPr="003A1EA4" w:rsidRDefault="00B31FA1" w:rsidP="00B31FA1">
                  <w:pPr>
                    <w:jc w:val="both"/>
                    <w:rPr>
                      <w:lang w:val="ro-RO"/>
                    </w:rPr>
                  </w:pPr>
                  <w:r w:rsidRPr="003A1EA4">
                    <w:rPr>
                      <w:lang w:val="ro-RO"/>
                    </w:rPr>
                    <w:t>0,0006</w:t>
                  </w:r>
                </w:p>
              </w:tc>
            </w:tr>
            <w:tr w:rsidR="00B31FA1" w:rsidRPr="003A1EA4" w14:paraId="29F286D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0DE911" w14:textId="77777777" w:rsidR="00B31FA1" w:rsidRPr="003A1EA4" w:rsidRDefault="00B31FA1" w:rsidP="00B31FA1">
                  <w:pPr>
                    <w:jc w:val="both"/>
                    <w:rPr>
                      <w:lang w:val="ro-RO"/>
                    </w:rPr>
                  </w:pPr>
                  <w:r w:rsidRPr="003A1EA4">
                    <w:rPr>
                      <w:lang w:val="ro-RO"/>
                    </w:rPr>
                    <w:t>Motorină și diesel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B3186C" w14:textId="77777777" w:rsidR="00B31FA1" w:rsidRPr="003A1EA4" w:rsidRDefault="00B31FA1" w:rsidP="00B31FA1">
                  <w:pPr>
                    <w:jc w:val="both"/>
                    <w:rPr>
                      <w:lang w:val="ro-RO"/>
                    </w:rPr>
                  </w:pPr>
                  <w:r w:rsidRPr="003A1EA4">
                    <w:rPr>
                      <w:lang w:val="ro-RO"/>
                    </w:rPr>
                    <w:t>74,1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BCF2F9"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C23184" w14:textId="77777777" w:rsidR="00B31FA1" w:rsidRPr="003A1EA4" w:rsidRDefault="00B31FA1" w:rsidP="00B31FA1">
                  <w:pPr>
                    <w:jc w:val="both"/>
                    <w:rPr>
                      <w:lang w:val="ro-RO"/>
                    </w:rPr>
                  </w:pPr>
                  <w:r w:rsidRPr="003A1EA4">
                    <w:rPr>
                      <w:lang w:val="ro-RO"/>
                    </w:rPr>
                    <w:t>0,0006</w:t>
                  </w:r>
                </w:p>
              </w:tc>
            </w:tr>
            <w:tr w:rsidR="00B31FA1" w:rsidRPr="003A1EA4" w14:paraId="5D5D7FE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2BE9E7" w14:textId="77777777" w:rsidR="00B31FA1" w:rsidRPr="003A1EA4" w:rsidRDefault="00B31FA1" w:rsidP="00B31FA1">
                  <w:pPr>
                    <w:jc w:val="both"/>
                    <w:rPr>
                      <w:lang w:val="ro-RO"/>
                    </w:rPr>
                  </w:pPr>
                  <w:r w:rsidRPr="003A1EA4">
                    <w:rPr>
                      <w:lang w:val="ro-RO"/>
                    </w:rPr>
                    <w:t>Păcură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B9302A" w14:textId="77777777" w:rsidR="00B31FA1" w:rsidRPr="003A1EA4" w:rsidRDefault="00B31FA1" w:rsidP="00B31FA1">
                  <w:pPr>
                    <w:jc w:val="both"/>
                    <w:rPr>
                      <w:lang w:val="ro-RO"/>
                    </w:rPr>
                  </w:pPr>
                  <w:r w:rsidRPr="003A1EA4">
                    <w:rPr>
                      <w:lang w:val="ro-RO"/>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798EA8"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627CE1" w14:textId="77777777" w:rsidR="00B31FA1" w:rsidRPr="003A1EA4" w:rsidRDefault="00B31FA1" w:rsidP="00B31FA1">
                  <w:pPr>
                    <w:jc w:val="both"/>
                    <w:rPr>
                      <w:lang w:val="ro-RO"/>
                    </w:rPr>
                  </w:pPr>
                  <w:r w:rsidRPr="003A1EA4">
                    <w:rPr>
                      <w:lang w:val="ro-RO"/>
                    </w:rPr>
                    <w:t>0,0006</w:t>
                  </w:r>
                </w:p>
              </w:tc>
            </w:tr>
            <w:tr w:rsidR="00B31FA1" w:rsidRPr="003A1EA4" w14:paraId="36642F0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00BBA6" w14:textId="77777777" w:rsidR="00B31FA1" w:rsidRPr="003A1EA4" w:rsidRDefault="00B31FA1" w:rsidP="00B31FA1">
                  <w:pPr>
                    <w:jc w:val="both"/>
                    <w:rPr>
                      <w:lang w:val="ro-RO"/>
                    </w:rPr>
                  </w:pPr>
                  <w:r w:rsidRPr="003A1EA4">
                    <w:rPr>
                      <w:lang w:val="ro-RO"/>
                    </w:rPr>
                    <w:t>White spirit și SPB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2BCBC3"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34C65E"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AAC569" w14:textId="77777777" w:rsidR="00B31FA1" w:rsidRPr="003A1EA4" w:rsidRDefault="00B31FA1" w:rsidP="00B31FA1">
                  <w:pPr>
                    <w:jc w:val="both"/>
                    <w:rPr>
                      <w:lang w:val="ro-RO"/>
                    </w:rPr>
                  </w:pPr>
                  <w:r w:rsidRPr="003A1EA4">
                    <w:rPr>
                      <w:lang w:val="ro-RO"/>
                    </w:rPr>
                    <w:t>0,0006</w:t>
                  </w:r>
                </w:p>
              </w:tc>
            </w:tr>
            <w:tr w:rsidR="00B31FA1" w:rsidRPr="003A1EA4" w14:paraId="02BB137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6BF562" w14:textId="77777777" w:rsidR="00B31FA1" w:rsidRPr="003A1EA4" w:rsidRDefault="00B31FA1" w:rsidP="00B31FA1">
                  <w:pPr>
                    <w:jc w:val="both"/>
                    <w:rPr>
                      <w:lang w:val="ro-RO"/>
                    </w:rPr>
                  </w:pPr>
                  <w:r w:rsidRPr="003A1EA4">
                    <w:rPr>
                      <w:lang w:val="ro-RO"/>
                    </w:rPr>
                    <w:t>Lubrifianți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B1770A"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06437"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818AEB" w14:textId="77777777" w:rsidR="00B31FA1" w:rsidRPr="003A1EA4" w:rsidRDefault="00B31FA1" w:rsidP="00B31FA1">
                  <w:pPr>
                    <w:jc w:val="both"/>
                    <w:rPr>
                      <w:lang w:val="ro-RO"/>
                    </w:rPr>
                  </w:pPr>
                  <w:r w:rsidRPr="003A1EA4">
                    <w:rPr>
                      <w:lang w:val="ro-RO"/>
                    </w:rPr>
                    <w:t>0,0006</w:t>
                  </w:r>
                </w:p>
              </w:tc>
            </w:tr>
            <w:tr w:rsidR="00B31FA1" w:rsidRPr="003A1EA4" w14:paraId="380C324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E5A71F" w14:textId="77777777" w:rsidR="00B31FA1" w:rsidRPr="003A1EA4" w:rsidRDefault="00B31FA1" w:rsidP="00B31FA1">
                  <w:pPr>
                    <w:jc w:val="both"/>
                    <w:rPr>
                      <w:lang w:val="ro-RO"/>
                    </w:rPr>
                  </w:pPr>
                  <w:r w:rsidRPr="003A1EA4">
                    <w:rPr>
                      <w:lang w:val="ro-RO"/>
                    </w:rPr>
                    <w:t>Bitum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493EA2" w14:textId="77777777" w:rsidR="00B31FA1" w:rsidRPr="003A1EA4" w:rsidRDefault="00B31FA1" w:rsidP="00B31FA1">
                  <w:pPr>
                    <w:jc w:val="both"/>
                    <w:rPr>
                      <w:lang w:val="ro-RO"/>
                    </w:rPr>
                  </w:pPr>
                  <w:r w:rsidRPr="003A1EA4">
                    <w:rPr>
                      <w:lang w:val="ro-RO"/>
                    </w:rPr>
                    <w:t>80,7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F4ACAF"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919BA0" w14:textId="77777777" w:rsidR="00B31FA1" w:rsidRPr="003A1EA4" w:rsidRDefault="00B31FA1" w:rsidP="00B31FA1">
                  <w:pPr>
                    <w:jc w:val="both"/>
                    <w:rPr>
                      <w:lang w:val="ro-RO"/>
                    </w:rPr>
                  </w:pPr>
                  <w:r w:rsidRPr="003A1EA4">
                    <w:rPr>
                      <w:lang w:val="ro-RO"/>
                    </w:rPr>
                    <w:t>0,0006</w:t>
                  </w:r>
                </w:p>
              </w:tc>
            </w:tr>
            <w:tr w:rsidR="00B31FA1" w:rsidRPr="003A1EA4" w14:paraId="56A508A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F09505" w14:textId="77777777" w:rsidR="00B31FA1" w:rsidRPr="003A1EA4" w:rsidRDefault="00B31FA1" w:rsidP="00B31FA1">
                  <w:pPr>
                    <w:jc w:val="both"/>
                    <w:rPr>
                      <w:lang w:val="ro-RO"/>
                    </w:rPr>
                  </w:pPr>
                  <w:r w:rsidRPr="003A1EA4">
                    <w:rPr>
                      <w:lang w:val="ro-RO"/>
                    </w:rPr>
                    <w:t>Cocs de petrol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91BD81" w14:textId="77777777" w:rsidR="00B31FA1" w:rsidRPr="003A1EA4" w:rsidRDefault="00B31FA1" w:rsidP="00B31FA1">
                  <w:pPr>
                    <w:jc w:val="both"/>
                    <w:rPr>
                      <w:lang w:val="ro-RO"/>
                    </w:rPr>
                  </w:pPr>
                  <w:r w:rsidRPr="003A1EA4">
                    <w:rPr>
                      <w:lang w:val="ro-RO"/>
                    </w:rPr>
                    <w:t>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1FCBC9"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D9DAA1" w14:textId="77777777" w:rsidR="00B31FA1" w:rsidRPr="003A1EA4" w:rsidRDefault="00B31FA1" w:rsidP="00B31FA1">
                  <w:pPr>
                    <w:jc w:val="both"/>
                    <w:rPr>
                      <w:lang w:val="ro-RO"/>
                    </w:rPr>
                  </w:pPr>
                  <w:r w:rsidRPr="003A1EA4">
                    <w:rPr>
                      <w:lang w:val="ro-RO"/>
                    </w:rPr>
                    <w:t>0,0006</w:t>
                  </w:r>
                </w:p>
              </w:tc>
            </w:tr>
            <w:tr w:rsidR="00B31FA1" w:rsidRPr="003A1EA4" w14:paraId="37C7474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4A21C0" w14:textId="77777777" w:rsidR="00B31FA1" w:rsidRPr="003A1EA4" w:rsidRDefault="00B31FA1" w:rsidP="00B31FA1">
                  <w:pPr>
                    <w:jc w:val="both"/>
                    <w:rPr>
                      <w:lang w:val="ro-RO"/>
                    </w:rPr>
                  </w:pPr>
                  <w:r w:rsidRPr="003A1EA4">
                    <w:rPr>
                      <w:lang w:val="ro-RO"/>
                    </w:rPr>
                    <w:t>Ceară de parafină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FD7ADE"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5F98B9"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72D7A3" w14:textId="77777777" w:rsidR="00B31FA1" w:rsidRPr="003A1EA4" w:rsidRDefault="00B31FA1" w:rsidP="00B31FA1">
                  <w:pPr>
                    <w:jc w:val="both"/>
                    <w:rPr>
                      <w:lang w:val="ro-RO"/>
                    </w:rPr>
                  </w:pPr>
                  <w:r w:rsidRPr="003A1EA4">
                    <w:rPr>
                      <w:lang w:val="ro-RO"/>
                    </w:rPr>
                    <w:t>0,0006</w:t>
                  </w:r>
                </w:p>
              </w:tc>
            </w:tr>
            <w:tr w:rsidR="00B31FA1" w:rsidRPr="003A1EA4" w14:paraId="29DF963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0752ED" w14:textId="77777777" w:rsidR="00B31FA1" w:rsidRPr="003A1EA4" w:rsidRDefault="00B31FA1" w:rsidP="00B31FA1">
                  <w:pPr>
                    <w:jc w:val="both"/>
                    <w:rPr>
                      <w:lang w:val="ro-RO"/>
                    </w:rPr>
                  </w:pPr>
                  <w:r w:rsidRPr="003A1EA4">
                    <w:rPr>
                      <w:lang w:val="ro-RO"/>
                    </w:rPr>
                    <w:t>Alte produse petroliere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534E5" w14:textId="77777777" w:rsidR="00B31FA1" w:rsidRPr="003A1EA4" w:rsidRDefault="00B31FA1" w:rsidP="00B31FA1">
                  <w:pPr>
                    <w:jc w:val="both"/>
                    <w:rPr>
                      <w:lang w:val="ro-RO"/>
                    </w:rPr>
                  </w:pPr>
                  <w:r w:rsidRPr="003A1EA4">
                    <w:rPr>
                      <w:lang w:val="ro-RO"/>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CB3D7D"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02A779" w14:textId="77777777" w:rsidR="00B31FA1" w:rsidRPr="003A1EA4" w:rsidRDefault="00B31FA1" w:rsidP="00B31FA1">
                  <w:pPr>
                    <w:jc w:val="both"/>
                    <w:rPr>
                      <w:lang w:val="ro-RO"/>
                    </w:rPr>
                  </w:pPr>
                  <w:r w:rsidRPr="003A1EA4">
                    <w:rPr>
                      <w:lang w:val="ro-RO"/>
                    </w:rPr>
                    <w:t>0,0006</w:t>
                  </w:r>
                </w:p>
              </w:tc>
            </w:tr>
            <w:tr w:rsidR="00B31FA1" w:rsidRPr="003A1EA4" w14:paraId="0C00A9B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936E5E" w14:textId="77777777" w:rsidR="00B31FA1" w:rsidRPr="003A1EA4" w:rsidRDefault="00B31FA1" w:rsidP="00B31FA1">
                  <w:pPr>
                    <w:jc w:val="both"/>
                    <w:rPr>
                      <w:lang w:val="ro-RO"/>
                    </w:rPr>
                  </w:pPr>
                  <w:r w:rsidRPr="003A1EA4">
                    <w:rPr>
                      <w:lang w:val="ro-RO"/>
                    </w:rPr>
                    <w:t>Gaze naturale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FDB536" w14:textId="77777777" w:rsidR="00B31FA1" w:rsidRPr="003A1EA4" w:rsidRDefault="00B31FA1" w:rsidP="00B31FA1">
                  <w:pPr>
                    <w:jc w:val="both"/>
                    <w:rPr>
                      <w:lang w:val="ro-RO"/>
                    </w:rPr>
                  </w:pPr>
                  <w:r w:rsidRPr="003A1EA4">
                    <w:rPr>
                      <w:lang w:val="ro-RO"/>
                    </w:rPr>
                    <w:t>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1DA0C7"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ADAE32" w14:textId="77777777" w:rsidR="00B31FA1" w:rsidRPr="003A1EA4" w:rsidRDefault="00B31FA1" w:rsidP="00B31FA1">
                  <w:pPr>
                    <w:jc w:val="both"/>
                    <w:rPr>
                      <w:lang w:val="ro-RO"/>
                    </w:rPr>
                  </w:pPr>
                  <w:r w:rsidRPr="003A1EA4">
                    <w:rPr>
                      <w:lang w:val="ro-RO"/>
                    </w:rPr>
                    <w:t>0,0001</w:t>
                  </w:r>
                </w:p>
              </w:tc>
            </w:tr>
            <w:tr w:rsidR="00B31FA1" w:rsidRPr="003A1EA4" w14:paraId="3160FCE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7AAE5D" w14:textId="77777777" w:rsidR="00B31FA1" w:rsidRPr="003A1EA4" w:rsidRDefault="00B31FA1" w:rsidP="00B31FA1">
                  <w:pPr>
                    <w:jc w:val="both"/>
                    <w:rPr>
                      <w:lang w:val="ro-RO"/>
                    </w:rPr>
                  </w:pPr>
                  <w:r w:rsidRPr="003A1EA4">
                    <w:rPr>
                      <w:b/>
                      <w:bCs/>
                      <w:i/>
                      <w:iCs/>
                      <w:lang w:val="ro-RO"/>
                    </w:rPr>
                    <w:t>Deșeuri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7FEF11"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032B61" w14:textId="77777777" w:rsidR="00B31FA1" w:rsidRPr="003A1EA4" w:rsidRDefault="00B31FA1" w:rsidP="00B31FA1">
                  <w:pPr>
                    <w:jc w:val="both"/>
                    <w:rPr>
                      <w:lang w:val="ro-RO"/>
                    </w:rPr>
                  </w:pPr>
                  <w:r w:rsidRPr="003A1EA4">
                    <w:rPr>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A3F7A9" w14:textId="77777777" w:rsidR="00B31FA1" w:rsidRPr="003A1EA4" w:rsidRDefault="00B31FA1" w:rsidP="00B31FA1">
                  <w:pPr>
                    <w:jc w:val="both"/>
                    <w:rPr>
                      <w:lang w:val="ro-RO"/>
                    </w:rPr>
                  </w:pPr>
                  <w:r w:rsidRPr="003A1EA4">
                    <w:rPr>
                      <w:lang w:val="ro-RO"/>
                    </w:rPr>
                    <w:t> </w:t>
                  </w:r>
                </w:p>
              </w:tc>
            </w:tr>
            <w:tr w:rsidR="00B31FA1" w:rsidRPr="003A1EA4" w14:paraId="4FF0707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D373C6" w14:textId="77777777" w:rsidR="00B31FA1" w:rsidRPr="003A1EA4" w:rsidRDefault="00B31FA1" w:rsidP="00B31FA1">
                  <w:pPr>
                    <w:jc w:val="both"/>
                    <w:rPr>
                      <w:lang w:val="ro-RO"/>
                    </w:rPr>
                  </w:pPr>
                  <w:r w:rsidRPr="003A1EA4">
                    <w:rPr>
                      <w:lang w:val="ro-RO"/>
                    </w:rPr>
                    <w:t>Deșeuri industriale (neregenerabile)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D59CE" w14:textId="77777777" w:rsidR="00B31FA1" w:rsidRPr="003A1EA4" w:rsidRDefault="00B31FA1" w:rsidP="00B31FA1">
                  <w:pPr>
                    <w:jc w:val="both"/>
                    <w:rPr>
                      <w:lang w:val="ro-RO"/>
                    </w:rPr>
                  </w:pPr>
                  <w:r w:rsidRPr="003A1EA4">
                    <w:rPr>
                      <w:lang w:val="ro-RO"/>
                    </w:rPr>
                    <w:t>143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3B1CCF" w14:textId="77777777" w:rsidR="00B31FA1" w:rsidRPr="003A1EA4" w:rsidRDefault="00B31FA1" w:rsidP="00B31FA1">
                  <w:pPr>
                    <w:jc w:val="both"/>
                    <w:rPr>
                      <w:lang w:val="ro-RO"/>
                    </w:rPr>
                  </w:pPr>
                  <w:r w:rsidRPr="003A1EA4">
                    <w:rPr>
                      <w:lang w:val="ro-RO"/>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CD1D78" w14:textId="77777777" w:rsidR="00B31FA1" w:rsidRPr="003A1EA4" w:rsidRDefault="00B31FA1" w:rsidP="00B31FA1">
                  <w:pPr>
                    <w:jc w:val="both"/>
                    <w:rPr>
                      <w:lang w:val="ro-RO"/>
                    </w:rPr>
                  </w:pPr>
                  <w:r w:rsidRPr="003A1EA4">
                    <w:rPr>
                      <w:lang w:val="ro-RO"/>
                    </w:rPr>
                    <w:t>0,004</w:t>
                  </w:r>
                </w:p>
              </w:tc>
            </w:tr>
            <w:tr w:rsidR="00B31FA1" w:rsidRPr="003A1EA4" w14:paraId="6AF6C21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185AD4" w14:textId="77777777" w:rsidR="00B31FA1" w:rsidRPr="003A1EA4" w:rsidRDefault="00B31FA1" w:rsidP="00B31FA1">
                  <w:pPr>
                    <w:jc w:val="both"/>
                    <w:rPr>
                      <w:lang w:val="ro-RO"/>
                    </w:rPr>
                  </w:pPr>
                  <w:r w:rsidRPr="003A1EA4">
                    <w:rPr>
                      <w:lang w:val="ro-RO"/>
                    </w:rPr>
                    <w:t>Deșeuri municipale neregenerabile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6154AC" w14:textId="77777777" w:rsidR="00B31FA1" w:rsidRPr="003A1EA4" w:rsidRDefault="00B31FA1" w:rsidP="00B31FA1">
                  <w:pPr>
                    <w:jc w:val="both"/>
                    <w:rPr>
                      <w:lang w:val="ro-RO"/>
                    </w:rPr>
                  </w:pPr>
                  <w:r w:rsidRPr="003A1EA4">
                    <w:rPr>
                      <w:lang w:val="ro-RO"/>
                    </w:rPr>
                    <w:t>91,7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FA4CA2" w14:textId="77777777" w:rsidR="00B31FA1" w:rsidRPr="003A1EA4" w:rsidRDefault="00B31FA1" w:rsidP="00B31FA1">
                  <w:pPr>
                    <w:jc w:val="both"/>
                    <w:rPr>
                      <w:lang w:val="ro-RO"/>
                    </w:rPr>
                  </w:pPr>
                  <w:r w:rsidRPr="003A1EA4">
                    <w:rPr>
                      <w:lang w:val="ro-RO"/>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5AD052" w14:textId="77777777" w:rsidR="00B31FA1" w:rsidRPr="003A1EA4" w:rsidRDefault="00B31FA1" w:rsidP="00B31FA1">
                  <w:pPr>
                    <w:jc w:val="both"/>
                    <w:rPr>
                      <w:lang w:val="ro-RO"/>
                    </w:rPr>
                  </w:pPr>
                  <w:r w:rsidRPr="003A1EA4">
                    <w:rPr>
                      <w:lang w:val="ro-RO"/>
                    </w:rPr>
                    <w:t>0,004</w:t>
                  </w:r>
                </w:p>
              </w:tc>
            </w:tr>
            <w:tr w:rsidR="00B31FA1" w:rsidRPr="001E7471" w14:paraId="3580A1B7" w14:textId="77777777">
              <w:tc>
                <w:tcPr>
                  <w:tcW w:w="0" w:type="auto"/>
                  <w:gridSpan w:val="4"/>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89"/>
                    <w:gridCol w:w="5659"/>
                  </w:tblGrid>
                  <w:tr w:rsidR="00B31FA1" w:rsidRPr="001E7471" w14:paraId="3F92DCC0" w14:textId="77777777">
                    <w:tc>
                      <w:tcPr>
                        <w:tcW w:w="0" w:type="auto"/>
                        <w:hideMark/>
                      </w:tcPr>
                      <w:p w14:paraId="1780C034" w14:textId="77777777" w:rsidR="00B31FA1" w:rsidRPr="003A1EA4" w:rsidRDefault="00B31FA1" w:rsidP="00B31FA1">
                        <w:pPr>
                          <w:jc w:val="both"/>
                          <w:rPr>
                            <w:lang w:val="ro-RO"/>
                          </w:rPr>
                        </w:pPr>
                        <w:r w:rsidRPr="003A1EA4">
                          <w:rPr>
                            <w:lang w:val="ro-RO"/>
                          </w:rPr>
                          <w:t>Notă:</w:t>
                        </w:r>
                      </w:p>
                    </w:tc>
                    <w:tc>
                      <w:tcPr>
                        <w:tcW w:w="0" w:type="auto"/>
                        <w:hideMark/>
                      </w:tcPr>
                      <w:p w14:paraId="415A4842" w14:textId="77777777" w:rsidR="00B31FA1" w:rsidRPr="003A1EA4" w:rsidRDefault="00B31FA1" w:rsidP="00B31FA1">
                        <w:pPr>
                          <w:jc w:val="both"/>
                          <w:rPr>
                            <w:lang w:val="ro-RO"/>
                          </w:rPr>
                        </w:pPr>
                        <w:r w:rsidRPr="003A1EA4">
                          <w:rPr>
                            <w:lang w:val="ro-RO"/>
                          </w:rPr>
                          <w:t>Valorile trebuie înmulțite cu factorii potențialului de încălzire globală (GWP) stabiliți în partea C punctul 4 din anexa V la Directiva (UE) 2018/2001.</w:t>
                        </w:r>
                      </w:p>
                    </w:tc>
                  </w:tr>
                </w:tbl>
                <w:p w14:paraId="002B8440" w14:textId="77777777" w:rsidR="00B31FA1" w:rsidRPr="003A1EA4" w:rsidRDefault="00B31FA1" w:rsidP="00B31FA1">
                  <w:pPr>
                    <w:jc w:val="both"/>
                    <w:rPr>
                      <w:vanish/>
                      <w:lang w:val="ro-RO"/>
                    </w:rPr>
                  </w:pPr>
                </w:p>
                <w:tbl>
                  <w:tblPr>
                    <w:tblW w:w="5000" w:type="pct"/>
                    <w:tblCellMar>
                      <w:left w:w="0" w:type="dxa"/>
                      <w:right w:w="0" w:type="dxa"/>
                    </w:tblCellMar>
                    <w:tblLook w:val="04A0" w:firstRow="1" w:lastRow="0" w:firstColumn="1" w:lastColumn="0" w:noHBand="0" w:noVBand="1"/>
                  </w:tblPr>
                  <w:tblGrid>
                    <w:gridCol w:w="563"/>
                    <w:gridCol w:w="5585"/>
                  </w:tblGrid>
                  <w:tr w:rsidR="00B31FA1" w:rsidRPr="001E7471" w14:paraId="3A534811" w14:textId="77777777">
                    <w:tc>
                      <w:tcPr>
                        <w:tcW w:w="0" w:type="auto"/>
                        <w:hideMark/>
                      </w:tcPr>
                      <w:p w14:paraId="207D3E34" w14:textId="77777777" w:rsidR="00B31FA1" w:rsidRPr="003A1EA4" w:rsidRDefault="00B31FA1" w:rsidP="00B31FA1">
                        <w:pPr>
                          <w:jc w:val="both"/>
                          <w:rPr>
                            <w:lang w:val="ro-RO"/>
                          </w:rPr>
                        </w:pPr>
                        <w:r w:rsidRPr="003A1EA4">
                          <w:rPr>
                            <w:i/>
                            <w:iCs/>
                            <w:lang w:val="ro-RO"/>
                          </w:rPr>
                          <w:t>Sursă</w:t>
                        </w:r>
                        <w:r w:rsidRPr="003A1EA4">
                          <w:rPr>
                            <w:lang w:val="ro-RO"/>
                          </w:rPr>
                          <w:t>:</w:t>
                        </w:r>
                      </w:p>
                    </w:tc>
                    <w:tc>
                      <w:tcPr>
                        <w:tcW w:w="0" w:type="auto"/>
                        <w:hideMark/>
                      </w:tcPr>
                      <w:p w14:paraId="7FC81825" w14:textId="77777777" w:rsidR="00B31FA1" w:rsidRPr="003A1EA4" w:rsidRDefault="00B31FA1" w:rsidP="00B31FA1">
                        <w:pPr>
                          <w:jc w:val="both"/>
                          <w:rPr>
                            <w:lang w:val="ro-RO"/>
                          </w:rPr>
                        </w:pPr>
                        <w:r w:rsidRPr="003A1EA4">
                          <w:rPr>
                            <w:lang w:val="ro-RO"/>
                          </w:rPr>
                          <w:t>IPCC (Grupul interguvernamental privind schimbările climatice), 2006.</w:t>
                        </w:r>
                      </w:p>
                    </w:tc>
                  </w:tr>
                </w:tbl>
                <w:p w14:paraId="28007B22" w14:textId="77777777" w:rsidR="00B31FA1" w:rsidRPr="003A1EA4" w:rsidRDefault="00B31FA1" w:rsidP="00B31FA1">
                  <w:pPr>
                    <w:jc w:val="both"/>
                    <w:rPr>
                      <w:lang w:val="ro-RO"/>
                    </w:rPr>
                  </w:pPr>
                </w:p>
              </w:tc>
            </w:tr>
          </w:tbl>
          <w:p w14:paraId="22C8C592" w14:textId="77777777" w:rsidR="00B31FA1" w:rsidRPr="003A1EA4" w:rsidRDefault="00B31FA1" w:rsidP="00B31FA1">
            <w:pPr>
              <w:jc w:val="both"/>
              <w:rPr>
                <w:lang w:val="ro-RO"/>
              </w:rPr>
            </w:pPr>
          </w:p>
          <w:p w14:paraId="0B502E96" w14:textId="77777777" w:rsidR="00B31FA1" w:rsidRPr="003A1EA4" w:rsidRDefault="00B31FA1" w:rsidP="00B31FA1">
            <w:pPr>
              <w:jc w:val="both"/>
              <w:rPr>
                <w:lang w:val="ro-RO"/>
              </w:rPr>
            </w:pPr>
            <w:r w:rsidRPr="003A1EA4">
              <w:rPr>
                <w:i/>
                <w:iCs/>
                <w:lang w:val="ro-RO"/>
              </w:rPr>
              <w:t>Tabelul 2</w:t>
            </w:r>
          </w:p>
          <w:p w14:paraId="1E17DAFB" w14:textId="77777777" w:rsidR="00B31FA1" w:rsidRPr="003A1EA4" w:rsidRDefault="00B31FA1" w:rsidP="00B31FA1">
            <w:pPr>
              <w:jc w:val="both"/>
              <w:rPr>
                <w:lang w:val="ro-RO"/>
              </w:rPr>
            </w:pPr>
            <w:r w:rsidRPr="003A1EA4">
              <w:rPr>
                <w:b/>
                <w:bCs/>
                <w:lang w:val="ro-RO"/>
              </w:rPr>
              <w:t>Factorii de emisii impliciți pentru arderea staționară a combustibililor proveniți din biomasă [g/MJ combustibil la o putere calorifică netă]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06"/>
              <w:gridCol w:w="445"/>
              <w:gridCol w:w="547"/>
              <w:gridCol w:w="665"/>
            </w:tblGrid>
            <w:tr w:rsidR="00B31FA1" w:rsidRPr="001E7471" w14:paraId="3F84C4D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38824A" w14:textId="77777777" w:rsidR="00B31FA1" w:rsidRPr="003A1EA4" w:rsidRDefault="00B31FA1" w:rsidP="00B31FA1">
                  <w:pPr>
                    <w:jc w:val="both"/>
                    <w:rPr>
                      <w:b/>
                      <w:bCs/>
                      <w:lang w:val="ro-RO"/>
                    </w:rPr>
                  </w:pPr>
                  <w:r w:rsidRPr="003A1EA4">
                    <w:rPr>
                      <w:b/>
                      <w:bCs/>
                      <w:lang w:val="ro-RO"/>
                    </w:rPr>
                    <w:t>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EAFFB6" w14:textId="77777777" w:rsidR="00B31FA1" w:rsidRPr="003A1EA4" w:rsidRDefault="00B31FA1" w:rsidP="00B31FA1">
                  <w:pPr>
                    <w:jc w:val="both"/>
                    <w:rPr>
                      <w:b/>
                      <w:bCs/>
                      <w:lang w:val="ro-RO"/>
                    </w:rPr>
                  </w:pPr>
                  <w:r w:rsidRPr="003A1EA4">
                    <w:rPr>
                      <w:b/>
                      <w:bCs/>
                      <w:lang w:val="ro-RO"/>
                    </w:rPr>
                    <w:t>CO</w:t>
                  </w:r>
                  <w:r w:rsidRPr="003A1EA4">
                    <w:rPr>
                      <w:b/>
                      <w:bCs/>
                      <w:vertAlign w:val="subscript"/>
                      <w:lang w:val="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60D71D" w14:textId="77777777" w:rsidR="00B31FA1" w:rsidRPr="003A1EA4" w:rsidRDefault="00B31FA1" w:rsidP="00B31FA1">
                  <w:pPr>
                    <w:jc w:val="both"/>
                    <w:rPr>
                      <w:b/>
                      <w:bCs/>
                      <w:lang w:val="ro-RO"/>
                    </w:rPr>
                  </w:pPr>
                  <w:r w:rsidRPr="003A1EA4">
                    <w:rPr>
                      <w:b/>
                      <w:bCs/>
                      <w:lang w:val="ro-RO"/>
                    </w:rPr>
                    <w:t>CH</w:t>
                  </w:r>
                  <w:r w:rsidRPr="003A1EA4">
                    <w:rPr>
                      <w:b/>
                      <w:bCs/>
                      <w:vertAlign w:val="subscript"/>
                      <w:lang w:val="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293FE2" w14:textId="77777777" w:rsidR="00B31FA1" w:rsidRPr="003A1EA4" w:rsidRDefault="00B31FA1" w:rsidP="00B31FA1">
                  <w:pPr>
                    <w:jc w:val="both"/>
                    <w:rPr>
                      <w:b/>
                      <w:bCs/>
                      <w:lang w:val="ro-RO"/>
                    </w:rPr>
                  </w:pPr>
                  <w:r w:rsidRPr="003A1EA4">
                    <w:rPr>
                      <w:b/>
                      <w:bCs/>
                      <w:lang w:val="ro-RO"/>
                    </w:rPr>
                    <w:t>N</w:t>
                  </w:r>
                  <w:r w:rsidRPr="003A1EA4">
                    <w:rPr>
                      <w:b/>
                      <w:bCs/>
                      <w:vertAlign w:val="subscript"/>
                      <w:lang w:val="ro-RO"/>
                    </w:rPr>
                    <w:t>2</w:t>
                  </w:r>
                  <w:r w:rsidRPr="003A1EA4">
                    <w:rPr>
                      <w:b/>
                      <w:bCs/>
                      <w:lang w:val="ro-RO"/>
                    </w:rPr>
                    <w:t>O</w:t>
                  </w:r>
                </w:p>
              </w:tc>
            </w:tr>
            <w:tr w:rsidR="00B31FA1" w:rsidRPr="001E7471" w14:paraId="3244298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7FB914" w14:textId="77777777" w:rsidR="00B31FA1" w:rsidRPr="003A1EA4" w:rsidRDefault="00B31FA1" w:rsidP="00B31FA1">
                  <w:pPr>
                    <w:jc w:val="both"/>
                    <w:rPr>
                      <w:lang w:val="ro-RO"/>
                    </w:rPr>
                  </w:pPr>
                  <w:r w:rsidRPr="003A1EA4">
                    <w:rPr>
                      <w:lang w:val="ro-RO"/>
                    </w:rPr>
                    <w:t>Biocombustibili solizi primari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EC19B8"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A37F6F" w14:textId="77777777" w:rsidR="00B31FA1" w:rsidRPr="003A1EA4" w:rsidRDefault="00B31FA1" w:rsidP="00B31FA1">
                  <w:pPr>
                    <w:jc w:val="both"/>
                    <w:rPr>
                      <w:lang w:val="ro-RO"/>
                    </w:rPr>
                  </w:pPr>
                  <w:r w:rsidRPr="003A1EA4">
                    <w:rPr>
                      <w:lang w:val="ro-RO"/>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5CAC20" w14:textId="77777777" w:rsidR="00B31FA1" w:rsidRPr="003A1EA4" w:rsidRDefault="00B31FA1" w:rsidP="00B31FA1">
                  <w:pPr>
                    <w:jc w:val="both"/>
                    <w:rPr>
                      <w:lang w:val="ro-RO"/>
                    </w:rPr>
                  </w:pPr>
                  <w:r w:rsidRPr="003A1EA4">
                    <w:rPr>
                      <w:lang w:val="ro-RO"/>
                    </w:rPr>
                    <w:t>0,004</w:t>
                  </w:r>
                </w:p>
              </w:tc>
            </w:tr>
            <w:tr w:rsidR="00B31FA1" w:rsidRPr="001E7471" w14:paraId="5E4EF7F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FB15EF" w14:textId="77777777" w:rsidR="00B31FA1" w:rsidRPr="003A1EA4" w:rsidRDefault="00B31FA1" w:rsidP="00B31FA1">
                  <w:pPr>
                    <w:jc w:val="both"/>
                    <w:rPr>
                      <w:lang w:val="ro-RO"/>
                    </w:rPr>
                  </w:pPr>
                  <w:r w:rsidRPr="003A1EA4">
                    <w:rPr>
                      <w:lang w:val="ro-RO"/>
                    </w:rPr>
                    <w:t>Mangal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855A7F"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EDB0E7" w14:textId="77777777" w:rsidR="00B31FA1" w:rsidRPr="003A1EA4" w:rsidRDefault="00B31FA1" w:rsidP="00B31FA1">
                  <w:pPr>
                    <w:jc w:val="both"/>
                    <w:rPr>
                      <w:lang w:val="ro-RO"/>
                    </w:rPr>
                  </w:pPr>
                  <w:r w:rsidRPr="003A1EA4">
                    <w:rPr>
                      <w:lang w:val="ro-RO"/>
                    </w:rPr>
                    <w:t>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A83D92" w14:textId="77777777" w:rsidR="00B31FA1" w:rsidRPr="003A1EA4" w:rsidRDefault="00B31FA1" w:rsidP="00B31FA1">
                  <w:pPr>
                    <w:jc w:val="both"/>
                    <w:rPr>
                      <w:lang w:val="ro-RO"/>
                    </w:rPr>
                  </w:pPr>
                  <w:r w:rsidRPr="003A1EA4">
                    <w:rPr>
                      <w:lang w:val="ro-RO"/>
                    </w:rPr>
                    <w:t>0,004</w:t>
                  </w:r>
                </w:p>
              </w:tc>
            </w:tr>
            <w:tr w:rsidR="00B31FA1" w:rsidRPr="001E7471" w14:paraId="715DEA7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8B5DD4" w14:textId="77777777" w:rsidR="00B31FA1" w:rsidRPr="003A1EA4" w:rsidRDefault="00B31FA1" w:rsidP="00B31FA1">
                  <w:pPr>
                    <w:jc w:val="both"/>
                    <w:rPr>
                      <w:lang w:val="ro-RO"/>
                    </w:rPr>
                  </w:pPr>
                  <w:r w:rsidRPr="003A1EA4">
                    <w:rPr>
                      <w:lang w:val="ro-RO"/>
                    </w:rPr>
                    <w:t>Biogaz</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9B5019"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5CD73B" w14:textId="77777777" w:rsidR="00B31FA1" w:rsidRPr="003A1EA4" w:rsidRDefault="00B31FA1" w:rsidP="00B31FA1">
                  <w:pPr>
                    <w:jc w:val="both"/>
                    <w:rPr>
                      <w:lang w:val="ro-RO"/>
                    </w:rPr>
                  </w:pPr>
                  <w:r w:rsidRPr="003A1EA4">
                    <w:rPr>
                      <w:lang w:val="ro-RO"/>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B9A78F" w14:textId="77777777" w:rsidR="00B31FA1" w:rsidRPr="003A1EA4" w:rsidRDefault="00B31FA1" w:rsidP="00B31FA1">
                  <w:pPr>
                    <w:jc w:val="both"/>
                    <w:rPr>
                      <w:lang w:val="ro-RO"/>
                    </w:rPr>
                  </w:pPr>
                  <w:r w:rsidRPr="003A1EA4">
                    <w:rPr>
                      <w:lang w:val="ro-RO"/>
                    </w:rPr>
                    <w:t>0,0001</w:t>
                  </w:r>
                </w:p>
              </w:tc>
            </w:tr>
            <w:tr w:rsidR="00B31FA1" w:rsidRPr="001E7471" w14:paraId="3DE91F5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F8EF69" w14:textId="77777777" w:rsidR="00B31FA1" w:rsidRPr="003A1EA4" w:rsidRDefault="00B31FA1" w:rsidP="00B31FA1">
                  <w:pPr>
                    <w:jc w:val="both"/>
                    <w:rPr>
                      <w:lang w:val="ro-RO"/>
                    </w:rPr>
                  </w:pPr>
                  <w:r w:rsidRPr="003A1EA4">
                    <w:rPr>
                      <w:lang w:val="ro-RO"/>
                    </w:rPr>
                    <w:t>Deșeuri municipale regenerabile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565AF"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1AE2E9" w14:textId="77777777" w:rsidR="00B31FA1" w:rsidRPr="003A1EA4" w:rsidRDefault="00B31FA1" w:rsidP="00B31FA1">
                  <w:pPr>
                    <w:jc w:val="both"/>
                    <w:rPr>
                      <w:lang w:val="ro-RO"/>
                    </w:rPr>
                  </w:pPr>
                  <w:r w:rsidRPr="003A1EA4">
                    <w:rPr>
                      <w:lang w:val="ro-RO"/>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7FD3B2" w14:textId="77777777" w:rsidR="00B31FA1" w:rsidRPr="003A1EA4" w:rsidRDefault="00B31FA1" w:rsidP="00B31FA1">
                  <w:pPr>
                    <w:jc w:val="both"/>
                    <w:rPr>
                      <w:lang w:val="ro-RO"/>
                    </w:rPr>
                  </w:pPr>
                  <w:r w:rsidRPr="003A1EA4">
                    <w:rPr>
                      <w:lang w:val="ro-RO"/>
                    </w:rPr>
                    <w:t>0,004</w:t>
                  </w:r>
                </w:p>
              </w:tc>
            </w:tr>
            <w:tr w:rsidR="00B31FA1" w:rsidRPr="001E7471" w14:paraId="26D46C1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6437FB" w14:textId="77777777" w:rsidR="00B31FA1" w:rsidRPr="003A1EA4" w:rsidRDefault="00B31FA1" w:rsidP="00B31FA1">
                  <w:pPr>
                    <w:jc w:val="both"/>
                    <w:rPr>
                      <w:lang w:val="ro-RO"/>
                    </w:rPr>
                  </w:pPr>
                  <w:r w:rsidRPr="003A1EA4">
                    <w:rPr>
                      <w:lang w:val="ro-RO"/>
                    </w:rPr>
                    <w:lastRenderedPageBreak/>
                    <w:t>Biobenzină pură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C456D3"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43B0CC"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E25B47" w14:textId="77777777" w:rsidR="00B31FA1" w:rsidRPr="003A1EA4" w:rsidRDefault="00B31FA1" w:rsidP="00B31FA1">
                  <w:pPr>
                    <w:jc w:val="both"/>
                    <w:rPr>
                      <w:lang w:val="ro-RO"/>
                    </w:rPr>
                  </w:pPr>
                  <w:r w:rsidRPr="003A1EA4">
                    <w:rPr>
                      <w:lang w:val="ro-RO"/>
                    </w:rPr>
                    <w:t>0,0006</w:t>
                  </w:r>
                </w:p>
              </w:tc>
            </w:tr>
            <w:tr w:rsidR="00B31FA1" w:rsidRPr="001E7471" w14:paraId="6227B19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446CA7" w14:textId="77777777" w:rsidR="00B31FA1" w:rsidRPr="003A1EA4" w:rsidRDefault="00B31FA1" w:rsidP="00B31FA1">
                  <w:pPr>
                    <w:jc w:val="both"/>
                    <w:rPr>
                      <w:lang w:val="ro-RO"/>
                    </w:rPr>
                  </w:pPr>
                  <w:r w:rsidRPr="003A1EA4">
                    <w:rPr>
                      <w:lang w:val="ro-RO"/>
                    </w:rPr>
                    <w:t>Biobenzină mixtă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090D85"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5892C4"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032ED0" w14:textId="77777777" w:rsidR="00B31FA1" w:rsidRPr="003A1EA4" w:rsidRDefault="00B31FA1" w:rsidP="00B31FA1">
                  <w:pPr>
                    <w:jc w:val="both"/>
                    <w:rPr>
                      <w:lang w:val="ro-RO"/>
                    </w:rPr>
                  </w:pPr>
                  <w:r w:rsidRPr="003A1EA4">
                    <w:rPr>
                      <w:lang w:val="ro-RO"/>
                    </w:rPr>
                    <w:t>0,0006</w:t>
                  </w:r>
                </w:p>
              </w:tc>
            </w:tr>
            <w:tr w:rsidR="00B31FA1" w:rsidRPr="001E7471" w14:paraId="6471DA9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D4A109" w14:textId="77777777" w:rsidR="00B31FA1" w:rsidRPr="003A1EA4" w:rsidRDefault="00B31FA1" w:rsidP="00B31FA1">
                  <w:pPr>
                    <w:jc w:val="both"/>
                    <w:rPr>
                      <w:lang w:val="ro-RO"/>
                    </w:rPr>
                  </w:pPr>
                  <w:r w:rsidRPr="003A1EA4">
                    <w:rPr>
                      <w:lang w:val="ro-RO"/>
                    </w:rPr>
                    <w:t>Biodiesele pure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328C12"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34520C"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3C8974" w14:textId="77777777" w:rsidR="00B31FA1" w:rsidRPr="003A1EA4" w:rsidRDefault="00B31FA1" w:rsidP="00B31FA1">
                  <w:pPr>
                    <w:jc w:val="both"/>
                    <w:rPr>
                      <w:lang w:val="ro-RO"/>
                    </w:rPr>
                  </w:pPr>
                  <w:r w:rsidRPr="003A1EA4">
                    <w:rPr>
                      <w:lang w:val="ro-RO"/>
                    </w:rPr>
                    <w:t>0,0006</w:t>
                  </w:r>
                </w:p>
              </w:tc>
            </w:tr>
            <w:tr w:rsidR="00B31FA1" w:rsidRPr="001E7471" w14:paraId="1AFCAB0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DCB111" w14:textId="77777777" w:rsidR="00B31FA1" w:rsidRPr="003A1EA4" w:rsidRDefault="00B31FA1" w:rsidP="00B31FA1">
                  <w:pPr>
                    <w:jc w:val="both"/>
                    <w:rPr>
                      <w:lang w:val="ro-RO"/>
                    </w:rPr>
                  </w:pPr>
                  <w:r w:rsidRPr="003A1EA4">
                    <w:rPr>
                      <w:lang w:val="ro-RO"/>
                    </w:rPr>
                    <w:t>Biodiesele mixte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81D8ED"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6BF0C3"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003BA2" w14:textId="77777777" w:rsidR="00B31FA1" w:rsidRPr="003A1EA4" w:rsidRDefault="00B31FA1" w:rsidP="00B31FA1">
                  <w:pPr>
                    <w:jc w:val="both"/>
                    <w:rPr>
                      <w:lang w:val="ro-RO"/>
                    </w:rPr>
                  </w:pPr>
                  <w:r w:rsidRPr="003A1EA4">
                    <w:rPr>
                      <w:lang w:val="ro-RO"/>
                    </w:rPr>
                    <w:t>0,0006</w:t>
                  </w:r>
                </w:p>
              </w:tc>
            </w:tr>
            <w:tr w:rsidR="00B31FA1" w:rsidRPr="001E7471" w14:paraId="27CE5CB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3A7BC4" w14:textId="77777777" w:rsidR="00B31FA1" w:rsidRPr="003A1EA4" w:rsidRDefault="00B31FA1" w:rsidP="00B31FA1">
                  <w:pPr>
                    <w:jc w:val="both"/>
                    <w:rPr>
                      <w:lang w:val="ro-RO"/>
                    </w:rPr>
                  </w:pPr>
                  <w:r w:rsidRPr="003A1EA4">
                    <w:rPr>
                      <w:lang w:val="ro-RO"/>
                    </w:rPr>
                    <w:t>Combustibil pur de tip kerosen pentru turboreactoare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AB05F0"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0FAC12"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48E6E3" w14:textId="77777777" w:rsidR="00B31FA1" w:rsidRPr="003A1EA4" w:rsidRDefault="00B31FA1" w:rsidP="00B31FA1">
                  <w:pPr>
                    <w:jc w:val="both"/>
                    <w:rPr>
                      <w:lang w:val="ro-RO"/>
                    </w:rPr>
                  </w:pPr>
                  <w:r w:rsidRPr="003A1EA4">
                    <w:rPr>
                      <w:lang w:val="ro-RO"/>
                    </w:rPr>
                    <w:t>0,0006</w:t>
                  </w:r>
                </w:p>
              </w:tc>
            </w:tr>
            <w:tr w:rsidR="00B31FA1" w:rsidRPr="001E7471" w14:paraId="66ED24A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C7D8E9" w14:textId="77777777" w:rsidR="00B31FA1" w:rsidRPr="003A1EA4" w:rsidRDefault="00B31FA1" w:rsidP="00B31FA1">
                  <w:pPr>
                    <w:jc w:val="both"/>
                    <w:rPr>
                      <w:lang w:val="ro-RO"/>
                    </w:rPr>
                  </w:pPr>
                  <w:r w:rsidRPr="003A1EA4">
                    <w:rPr>
                      <w:lang w:val="ro-RO"/>
                    </w:rPr>
                    <w:t>Combustibil mixt de tip kerosen pentru turboreactoare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D922DC"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1B1EF3"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7F1FA0" w14:textId="77777777" w:rsidR="00B31FA1" w:rsidRPr="003A1EA4" w:rsidRDefault="00B31FA1" w:rsidP="00B31FA1">
                  <w:pPr>
                    <w:jc w:val="both"/>
                    <w:rPr>
                      <w:lang w:val="ro-RO"/>
                    </w:rPr>
                  </w:pPr>
                  <w:r w:rsidRPr="003A1EA4">
                    <w:rPr>
                      <w:lang w:val="ro-RO"/>
                    </w:rPr>
                    <w:t>0,0006</w:t>
                  </w:r>
                </w:p>
              </w:tc>
            </w:tr>
            <w:tr w:rsidR="00B31FA1" w:rsidRPr="001E7471" w14:paraId="57B64F7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A4DBBD" w14:textId="77777777" w:rsidR="00B31FA1" w:rsidRPr="003A1EA4" w:rsidRDefault="00B31FA1" w:rsidP="00B31FA1">
                  <w:pPr>
                    <w:jc w:val="both"/>
                    <w:rPr>
                      <w:lang w:val="ro-RO"/>
                    </w:rPr>
                  </w:pPr>
                  <w:r w:rsidRPr="003A1EA4">
                    <w:rPr>
                      <w:lang w:val="ro-RO"/>
                    </w:rPr>
                    <w:t>Alți biocombustibili lichizi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8EA1CC" w14:textId="77777777" w:rsidR="00B31FA1" w:rsidRPr="003A1EA4" w:rsidRDefault="00B31FA1" w:rsidP="00B31FA1">
                  <w:pPr>
                    <w:jc w:val="both"/>
                    <w:rPr>
                      <w:lang w:val="ro-RO"/>
                    </w:rPr>
                  </w:pPr>
                  <w:r w:rsidRPr="003A1EA4">
                    <w:rPr>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E1FB87" w14:textId="77777777" w:rsidR="00B31FA1" w:rsidRPr="003A1EA4" w:rsidRDefault="00B31FA1" w:rsidP="00B31FA1">
                  <w:pPr>
                    <w:jc w:val="both"/>
                    <w:rPr>
                      <w:lang w:val="ro-RO"/>
                    </w:rPr>
                  </w:pPr>
                  <w:r w:rsidRPr="003A1EA4">
                    <w:rPr>
                      <w:lang w:val="ro-RO"/>
                    </w:rPr>
                    <w:t>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7B63F3" w14:textId="77777777" w:rsidR="00B31FA1" w:rsidRPr="003A1EA4" w:rsidRDefault="00B31FA1" w:rsidP="00B31FA1">
                  <w:pPr>
                    <w:jc w:val="both"/>
                    <w:rPr>
                      <w:lang w:val="ro-RO"/>
                    </w:rPr>
                  </w:pPr>
                  <w:r w:rsidRPr="003A1EA4">
                    <w:rPr>
                      <w:lang w:val="ro-RO"/>
                    </w:rPr>
                    <w:t>0,0006</w:t>
                  </w:r>
                </w:p>
              </w:tc>
            </w:tr>
            <w:tr w:rsidR="00B31FA1" w:rsidRPr="001E7471" w14:paraId="1D85CE55" w14:textId="77777777">
              <w:tc>
                <w:tcPr>
                  <w:tcW w:w="0" w:type="auto"/>
                  <w:gridSpan w:val="4"/>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563"/>
                    <w:gridCol w:w="5585"/>
                  </w:tblGrid>
                  <w:tr w:rsidR="00B31FA1" w:rsidRPr="001E7471" w14:paraId="0DBB0A58" w14:textId="77777777">
                    <w:tc>
                      <w:tcPr>
                        <w:tcW w:w="0" w:type="auto"/>
                        <w:hideMark/>
                      </w:tcPr>
                      <w:p w14:paraId="08149C66" w14:textId="77777777" w:rsidR="00B31FA1" w:rsidRPr="003A1EA4" w:rsidRDefault="00B31FA1" w:rsidP="00B31FA1">
                        <w:pPr>
                          <w:jc w:val="both"/>
                          <w:rPr>
                            <w:lang w:val="ro-RO"/>
                          </w:rPr>
                        </w:pPr>
                        <w:r w:rsidRPr="003A1EA4">
                          <w:rPr>
                            <w:i/>
                            <w:iCs/>
                            <w:lang w:val="ro-RO"/>
                          </w:rPr>
                          <w:t>Sursă</w:t>
                        </w:r>
                        <w:r w:rsidRPr="003A1EA4">
                          <w:rPr>
                            <w:lang w:val="ro-RO"/>
                          </w:rPr>
                          <w:t>:</w:t>
                        </w:r>
                      </w:p>
                    </w:tc>
                    <w:tc>
                      <w:tcPr>
                        <w:tcW w:w="0" w:type="auto"/>
                        <w:hideMark/>
                      </w:tcPr>
                      <w:p w14:paraId="19C09FB1" w14:textId="77777777" w:rsidR="00B31FA1" w:rsidRPr="003A1EA4" w:rsidRDefault="00B31FA1" w:rsidP="00B31FA1">
                        <w:pPr>
                          <w:jc w:val="both"/>
                          <w:rPr>
                            <w:lang w:val="ro-RO"/>
                          </w:rPr>
                        </w:pPr>
                        <w:r w:rsidRPr="003A1EA4">
                          <w:rPr>
                            <w:lang w:val="ro-RO"/>
                          </w:rPr>
                          <w:t>IPCC (Grupul interguvernamental privind schimbările climatice), 2006.</w:t>
                        </w:r>
                      </w:p>
                    </w:tc>
                  </w:tr>
                </w:tbl>
                <w:p w14:paraId="5B88788E" w14:textId="77777777" w:rsidR="00B31FA1" w:rsidRPr="003A1EA4" w:rsidRDefault="00B31FA1" w:rsidP="00B31FA1">
                  <w:pPr>
                    <w:jc w:val="both"/>
                    <w:rPr>
                      <w:lang w:val="ro-RO"/>
                    </w:rPr>
                  </w:pPr>
                </w:p>
              </w:tc>
            </w:tr>
          </w:tbl>
          <w:p w14:paraId="31495830" w14:textId="77777777" w:rsidR="00B31FA1" w:rsidRPr="003A1EA4" w:rsidRDefault="00B31FA1" w:rsidP="00B31FA1">
            <w:pPr>
              <w:jc w:val="both"/>
              <w:rPr>
                <w:lang w:val="ro-RO"/>
              </w:rPr>
            </w:pPr>
          </w:p>
          <w:p w14:paraId="65C903F3" w14:textId="77777777" w:rsidR="00B31FA1" w:rsidRPr="003A1EA4" w:rsidRDefault="00B31FA1" w:rsidP="00B31FA1">
            <w:pPr>
              <w:jc w:val="both"/>
              <w:rPr>
                <w:lang w:val="ro-RO"/>
              </w:rPr>
            </w:pPr>
            <w:r w:rsidRPr="003A1EA4">
              <w:rPr>
                <w:i/>
                <w:iCs/>
                <w:lang w:val="ro-RO"/>
              </w:rPr>
              <w:t>Tabelul 3</w:t>
            </w:r>
          </w:p>
          <w:p w14:paraId="6BA96B4C" w14:textId="77777777" w:rsidR="00B31FA1" w:rsidRPr="003A1EA4" w:rsidRDefault="00B31FA1" w:rsidP="00B31FA1">
            <w:pPr>
              <w:jc w:val="both"/>
              <w:rPr>
                <w:lang w:val="ro-RO"/>
              </w:rPr>
            </w:pPr>
            <w:r w:rsidRPr="003A1EA4">
              <w:rPr>
                <w:b/>
                <w:bCs/>
                <w:lang w:val="ro-RO"/>
              </w:rPr>
              <w:t>Factorii de emisie din amonte ai combustibilului [gCO</w:t>
            </w:r>
            <w:r w:rsidRPr="003A1EA4">
              <w:rPr>
                <w:b/>
                <w:bCs/>
                <w:vertAlign w:val="subscript"/>
                <w:lang w:val="ro-RO"/>
              </w:rPr>
              <w:t>2eq</w:t>
            </w:r>
            <w:r w:rsidRPr="003A1EA4">
              <w:rPr>
                <w:b/>
                <w:bCs/>
                <w:lang w:val="ro-RO"/>
              </w:rPr>
              <w:t>/MJ combustibil la o putere calorifică netă]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96"/>
              <w:gridCol w:w="2667"/>
            </w:tblGrid>
            <w:tr w:rsidR="00B31FA1" w:rsidRPr="001E7471" w14:paraId="09CEDEB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8643A2" w14:textId="77777777" w:rsidR="00B31FA1" w:rsidRPr="003A1EA4" w:rsidRDefault="00B31FA1" w:rsidP="00B31FA1">
                  <w:pPr>
                    <w:jc w:val="both"/>
                    <w:rPr>
                      <w:b/>
                      <w:bCs/>
                      <w:lang w:val="ro-RO"/>
                    </w:rPr>
                  </w:pPr>
                  <w:r w:rsidRPr="003A1EA4">
                    <w:rPr>
                      <w:b/>
                      <w:bCs/>
                      <w:lang w:val="ro-RO"/>
                    </w:rPr>
                    <w:t>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DD95F7" w14:textId="77777777" w:rsidR="00B31FA1" w:rsidRPr="003A1EA4" w:rsidRDefault="00B31FA1" w:rsidP="00B31FA1">
                  <w:pPr>
                    <w:jc w:val="both"/>
                    <w:rPr>
                      <w:b/>
                      <w:bCs/>
                      <w:lang w:val="ro-RO"/>
                    </w:rPr>
                  </w:pPr>
                  <w:r w:rsidRPr="003A1EA4">
                    <w:rPr>
                      <w:b/>
                      <w:bCs/>
                      <w:lang w:val="ro-RO"/>
                    </w:rPr>
                    <w:t>Factor de emisie</w:t>
                  </w:r>
                </w:p>
              </w:tc>
            </w:tr>
            <w:tr w:rsidR="00B31FA1" w:rsidRPr="001E7471" w14:paraId="72313A8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434FAD" w14:textId="77777777" w:rsidR="00B31FA1" w:rsidRPr="003A1EA4" w:rsidRDefault="00B31FA1" w:rsidP="00B31FA1">
                  <w:pPr>
                    <w:jc w:val="both"/>
                    <w:rPr>
                      <w:lang w:val="ro-RO"/>
                    </w:rPr>
                  </w:pPr>
                  <w:r w:rsidRPr="003A1EA4">
                    <w:rPr>
                      <w:lang w:val="ro-RO"/>
                    </w:rPr>
                    <w:t>Cărbune superior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5482F9" w14:textId="77777777" w:rsidR="00B31FA1" w:rsidRPr="003A1EA4" w:rsidRDefault="00B31FA1" w:rsidP="00B31FA1">
                  <w:pPr>
                    <w:jc w:val="both"/>
                    <w:rPr>
                      <w:lang w:val="ro-RO"/>
                    </w:rPr>
                  </w:pPr>
                  <w:r w:rsidRPr="003A1EA4">
                    <w:rPr>
                      <w:lang w:val="ro-RO"/>
                    </w:rPr>
                    <w:t>15,9</w:t>
                  </w:r>
                </w:p>
              </w:tc>
            </w:tr>
            <w:tr w:rsidR="00B31FA1" w:rsidRPr="001E7471" w14:paraId="351BF00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A07150" w14:textId="77777777" w:rsidR="00B31FA1" w:rsidRPr="003A1EA4" w:rsidRDefault="00B31FA1" w:rsidP="00B31FA1">
                  <w:pPr>
                    <w:jc w:val="both"/>
                    <w:rPr>
                      <w:lang w:val="ro-RO"/>
                    </w:rPr>
                  </w:pPr>
                  <w:r w:rsidRPr="003A1EA4">
                    <w:rPr>
                      <w:lang w:val="ro-RO"/>
                    </w:rPr>
                    <w:t>Cărbune brun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280385" w14:textId="77777777" w:rsidR="00B31FA1" w:rsidRPr="003A1EA4" w:rsidRDefault="00B31FA1" w:rsidP="00B31FA1">
                  <w:pPr>
                    <w:jc w:val="both"/>
                    <w:rPr>
                      <w:lang w:val="ro-RO"/>
                    </w:rPr>
                  </w:pPr>
                  <w:r w:rsidRPr="003A1EA4">
                    <w:rPr>
                      <w:lang w:val="ro-RO"/>
                    </w:rPr>
                    <w:t>1,7</w:t>
                  </w:r>
                </w:p>
              </w:tc>
            </w:tr>
            <w:tr w:rsidR="00B31FA1" w:rsidRPr="001E7471" w14:paraId="5A1A550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D3961C" w14:textId="77777777" w:rsidR="00B31FA1" w:rsidRPr="003A1EA4" w:rsidRDefault="00B31FA1" w:rsidP="00B31FA1">
                  <w:pPr>
                    <w:jc w:val="both"/>
                    <w:rPr>
                      <w:lang w:val="ro-RO"/>
                    </w:rPr>
                  </w:pPr>
                  <w:r w:rsidRPr="003A1EA4">
                    <w:rPr>
                      <w:lang w:val="ro-RO"/>
                    </w:rPr>
                    <w:t>Turbă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325CAE" w14:textId="77777777" w:rsidR="00B31FA1" w:rsidRPr="003A1EA4" w:rsidRDefault="00B31FA1" w:rsidP="00B31FA1">
                  <w:pPr>
                    <w:jc w:val="both"/>
                    <w:rPr>
                      <w:lang w:val="ro-RO"/>
                    </w:rPr>
                  </w:pPr>
                  <w:r w:rsidRPr="003A1EA4">
                    <w:rPr>
                      <w:lang w:val="ro-RO"/>
                    </w:rPr>
                    <w:t>0</w:t>
                  </w:r>
                </w:p>
              </w:tc>
            </w:tr>
            <w:tr w:rsidR="00B31FA1" w:rsidRPr="001E7471" w14:paraId="7DE135E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3BE061" w14:textId="77777777" w:rsidR="00B31FA1" w:rsidRPr="003A1EA4" w:rsidRDefault="00B31FA1" w:rsidP="00B31FA1">
                  <w:pPr>
                    <w:jc w:val="both"/>
                    <w:rPr>
                      <w:lang w:val="ro-RO"/>
                    </w:rPr>
                  </w:pPr>
                  <w:r w:rsidRPr="003A1EA4">
                    <w:rPr>
                      <w:lang w:val="ro-RO"/>
                    </w:rPr>
                    <w:t>Gaze de cărbune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1BBAFB" w14:textId="77777777" w:rsidR="00B31FA1" w:rsidRPr="003A1EA4" w:rsidRDefault="00B31FA1" w:rsidP="00B31FA1">
                  <w:pPr>
                    <w:jc w:val="both"/>
                    <w:rPr>
                      <w:lang w:val="ro-RO"/>
                    </w:rPr>
                  </w:pPr>
                  <w:r w:rsidRPr="003A1EA4">
                    <w:rPr>
                      <w:lang w:val="ro-RO"/>
                    </w:rPr>
                    <w:t>0</w:t>
                  </w:r>
                </w:p>
              </w:tc>
            </w:tr>
            <w:tr w:rsidR="00B31FA1" w:rsidRPr="001E7471" w14:paraId="66B075D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DDCF89" w14:textId="77777777" w:rsidR="00B31FA1" w:rsidRPr="003A1EA4" w:rsidRDefault="00B31FA1" w:rsidP="00B31FA1">
                  <w:pPr>
                    <w:jc w:val="both"/>
                    <w:rPr>
                      <w:lang w:val="ro-RO"/>
                    </w:rPr>
                  </w:pPr>
                  <w:r w:rsidRPr="003A1EA4">
                    <w:rPr>
                      <w:lang w:val="ro-RO"/>
                    </w:rPr>
                    <w:t>Produse petroliere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6F94E9" w14:textId="77777777" w:rsidR="00B31FA1" w:rsidRPr="003A1EA4" w:rsidRDefault="00B31FA1" w:rsidP="00B31FA1">
                  <w:pPr>
                    <w:jc w:val="both"/>
                    <w:rPr>
                      <w:lang w:val="ro-RO"/>
                    </w:rPr>
                  </w:pPr>
                  <w:r w:rsidRPr="003A1EA4">
                    <w:rPr>
                      <w:lang w:val="ro-RO"/>
                    </w:rPr>
                    <w:t>11,6</w:t>
                  </w:r>
                </w:p>
              </w:tc>
            </w:tr>
            <w:tr w:rsidR="00B31FA1" w:rsidRPr="001E7471" w14:paraId="5B3AC38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A50EEC" w14:textId="77777777" w:rsidR="00B31FA1" w:rsidRPr="003A1EA4" w:rsidRDefault="00B31FA1" w:rsidP="00B31FA1">
                  <w:pPr>
                    <w:jc w:val="both"/>
                    <w:rPr>
                      <w:lang w:val="ro-RO"/>
                    </w:rPr>
                  </w:pPr>
                  <w:r w:rsidRPr="003A1EA4">
                    <w:rPr>
                      <w:lang w:val="ro-RO"/>
                    </w:rPr>
                    <w:t>Gaze naturale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3A4375" w14:textId="77777777" w:rsidR="00B31FA1" w:rsidRPr="003A1EA4" w:rsidRDefault="00B31FA1" w:rsidP="00B31FA1">
                  <w:pPr>
                    <w:jc w:val="both"/>
                    <w:rPr>
                      <w:lang w:val="ro-RO"/>
                    </w:rPr>
                  </w:pPr>
                  <w:r w:rsidRPr="003A1EA4">
                    <w:rPr>
                      <w:lang w:val="ro-RO"/>
                    </w:rPr>
                    <w:t>12,7</w:t>
                  </w:r>
                </w:p>
              </w:tc>
            </w:tr>
            <w:tr w:rsidR="00B31FA1" w:rsidRPr="001E7471" w14:paraId="233235F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6C250D" w14:textId="77777777" w:rsidR="00B31FA1" w:rsidRPr="003A1EA4" w:rsidRDefault="00B31FA1" w:rsidP="00B31FA1">
                  <w:pPr>
                    <w:jc w:val="both"/>
                    <w:rPr>
                      <w:lang w:val="ro-RO"/>
                    </w:rPr>
                  </w:pPr>
                  <w:r w:rsidRPr="003A1EA4">
                    <w:rPr>
                      <w:lang w:val="ro-RO"/>
                    </w:rPr>
                    <w:t>Biocombustibili solizi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D64C18" w14:textId="77777777" w:rsidR="00B31FA1" w:rsidRPr="003A1EA4" w:rsidRDefault="00B31FA1" w:rsidP="00B31FA1">
                  <w:pPr>
                    <w:jc w:val="both"/>
                    <w:rPr>
                      <w:lang w:val="ro-RO"/>
                    </w:rPr>
                  </w:pPr>
                  <w:r w:rsidRPr="003A1EA4">
                    <w:rPr>
                      <w:lang w:val="ro-RO"/>
                    </w:rPr>
                    <w:t>0,7</w:t>
                  </w:r>
                </w:p>
              </w:tc>
            </w:tr>
            <w:tr w:rsidR="00B31FA1" w:rsidRPr="001E7471" w14:paraId="1C31070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4D5198" w14:textId="77777777" w:rsidR="00B31FA1" w:rsidRPr="003A1EA4" w:rsidRDefault="00B31FA1" w:rsidP="00B31FA1">
                  <w:pPr>
                    <w:jc w:val="both"/>
                    <w:rPr>
                      <w:lang w:val="ro-RO"/>
                    </w:rPr>
                  </w:pPr>
                  <w:r w:rsidRPr="003A1EA4">
                    <w:rPr>
                      <w:lang w:val="ro-RO"/>
                    </w:rPr>
                    <w:t>Biocombustibili lichizi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4020A4" w14:textId="77777777" w:rsidR="00B31FA1" w:rsidRPr="003A1EA4" w:rsidRDefault="00B31FA1" w:rsidP="00B31FA1">
                  <w:pPr>
                    <w:jc w:val="both"/>
                    <w:rPr>
                      <w:lang w:val="ro-RO"/>
                    </w:rPr>
                  </w:pPr>
                  <w:r w:rsidRPr="003A1EA4">
                    <w:rPr>
                      <w:lang w:val="ro-RO"/>
                    </w:rPr>
                    <w:t>46,8</w:t>
                  </w:r>
                </w:p>
              </w:tc>
            </w:tr>
            <w:tr w:rsidR="00B31FA1" w:rsidRPr="001E7471" w14:paraId="3078757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E83E8A" w14:textId="77777777" w:rsidR="00B31FA1" w:rsidRPr="003A1EA4" w:rsidRDefault="00B31FA1" w:rsidP="00B31FA1">
                  <w:pPr>
                    <w:jc w:val="both"/>
                    <w:rPr>
                      <w:lang w:val="ro-RO"/>
                    </w:rPr>
                  </w:pPr>
                  <w:r w:rsidRPr="003A1EA4">
                    <w:rPr>
                      <w:lang w:val="ro-RO"/>
                    </w:rPr>
                    <w:t>Deșeuri industriale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B3EC2E" w14:textId="77777777" w:rsidR="00B31FA1" w:rsidRPr="003A1EA4" w:rsidRDefault="00B31FA1" w:rsidP="00B31FA1">
                  <w:pPr>
                    <w:jc w:val="both"/>
                    <w:rPr>
                      <w:lang w:val="ro-RO"/>
                    </w:rPr>
                  </w:pPr>
                  <w:r w:rsidRPr="003A1EA4">
                    <w:rPr>
                      <w:lang w:val="ro-RO"/>
                    </w:rPr>
                    <w:t>0</w:t>
                  </w:r>
                </w:p>
              </w:tc>
            </w:tr>
            <w:tr w:rsidR="00B31FA1" w:rsidRPr="001E7471" w14:paraId="26377A9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3ECDB1" w14:textId="77777777" w:rsidR="00B31FA1" w:rsidRPr="003A1EA4" w:rsidRDefault="00B31FA1" w:rsidP="00B31FA1">
                  <w:pPr>
                    <w:jc w:val="both"/>
                    <w:rPr>
                      <w:lang w:val="ro-RO"/>
                    </w:rPr>
                  </w:pPr>
                  <w:r w:rsidRPr="003A1EA4">
                    <w:rPr>
                      <w:lang w:val="ro-RO"/>
                    </w:rPr>
                    <w:t>Deșeuri municipale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65BE04" w14:textId="77777777" w:rsidR="00B31FA1" w:rsidRPr="003A1EA4" w:rsidRDefault="00B31FA1" w:rsidP="00B31FA1">
                  <w:pPr>
                    <w:jc w:val="both"/>
                    <w:rPr>
                      <w:lang w:val="ro-RO"/>
                    </w:rPr>
                  </w:pPr>
                  <w:r w:rsidRPr="003A1EA4">
                    <w:rPr>
                      <w:lang w:val="ro-RO"/>
                    </w:rPr>
                    <w:t>0</w:t>
                  </w:r>
                </w:p>
              </w:tc>
            </w:tr>
            <w:tr w:rsidR="00B31FA1" w:rsidRPr="001E7471" w14:paraId="20E7858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65E1B8" w14:textId="77777777" w:rsidR="00B31FA1" w:rsidRPr="003A1EA4" w:rsidRDefault="00B31FA1" w:rsidP="00B31FA1">
                  <w:pPr>
                    <w:jc w:val="both"/>
                    <w:rPr>
                      <w:lang w:val="ro-RO"/>
                    </w:rPr>
                  </w:pPr>
                  <w:r w:rsidRPr="003A1EA4">
                    <w:rPr>
                      <w:lang w:val="ro-RO"/>
                    </w:rPr>
                    <w:t>Biogaz</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912FE8" w14:textId="77777777" w:rsidR="00B31FA1" w:rsidRPr="003A1EA4" w:rsidRDefault="00B31FA1" w:rsidP="00B31FA1">
                  <w:pPr>
                    <w:jc w:val="both"/>
                    <w:rPr>
                      <w:lang w:val="ro-RO"/>
                    </w:rPr>
                  </w:pPr>
                  <w:r w:rsidRPr="003A1EA4">
                    <w:rPr>
                      <w:lang w:val="ro-RO"/>
                    </w:rPr>
                    <w:t>13,7</w:t>
                  </w:r>
                </w:p>
              </w:tc>
            </w:tr>
            <w:tr w:rsidR="00B31FA1" w:rsidRPr="001E7471" w14:paraId="6E22934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F9CF33" w14:textId="77777777" w:rsidR="00B31FA1" w:rsidRPr="003A1EA4" w:rsidRDefault="00B31FA1" w:rsidP="00B31FA1">
                  <w:pPr>
                    <w:jc w:val="both"/>
                    <w:rPr>
                      <w:lang w:val="ro-RO"/>
                    </w:rPr>
                  </w:pPr>
                  <w:r w:rsidRPr="003A1EA4">
                    <w:rPr>
                      <w:lang w:val="ro-RO"/>
                    </w:rPr>
                    <w:t>Energie nucleară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8EC4D9" w14:textId="77777777" w:rsidR="00B31FA1" w:rsidRPr="003A1EA4" w:rsidRDefault="00B31FA1" w:rsidP="00B31FA1">
                  <w:pPr>
                    <w:jc w:val="both"/>
                    <w:rPr>
                      <w:lang w:val="ro-RO"/>
                    </w:rPr>
                  </w:pPr>
                  <w:r w:rsidRPr="003A1EA4">
                    <w:rPr>
                      <w:lang w:val="ro-RO"/>
                    </w:rPr>
                    <w:t>1,2</w:t>
                  </w:r>
                </w:p>
              </w:tc>
            </w:tr>
            <w:tr w:rsidR="00B31FA1" w:rsidRPr="001E7471" w14:paraId="5DC6C5E5" w14:textId="77777777">
              <w:tc>
                <w:tcPr>
                  <w:tcW w:w="0" w:type="auto"/>
                  <w:gridSpan w:val="2"/>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856"/>
                    <w:gridCol w:w="4292"/>
                  </w:tblGrid>
                  <w:tr w:rsidR="00B31FA1" w:rsidRPr="001E7471" w14:paraId="0D9CBA54" w14:textId="77777777">
                    <w:tc>
                      <w:tcPr>
                        <w:tcW w:w="0" w:type="auto"/>
                        <w:hideMark/>
                      </w:tcPr>
                      <w:p w14:paraId="3F78A11F" w14:textId="77777777" w:rsidR="00B31FA1" w:rsidRPr="003A1EA4" w:rsidRDefault="00B31FA1" w:rsidP="00B31FA1">
                        <w:pPr>
                          <w:jc w:val="both"/>
                          <w:rPr>
                            <w:lang w:val="ro-RO"/>
                          </w:rPr>
                        </w:pPr>
                        <w:r w:rsidRPr="003A1EA4">
                          <w:rPr>
                            <w:i/>
                            <w:iCs/>
                            <w:lang w:val="ro-RO"/>
                          </w:rPr>
                          <w:t>Sursă</w:t>
                        </w:r>
                        <w:r w:rsidRPr="003A1EA4">
                          <w:rPr>
                            <w:lang w:val="ro-RO"/>
                          </w:rPr>
                          <w:t>:</w:t>
                        </w:r>
                      </w:p>
                    </w:tc>
                    <w:tc>
                      <w:tcPr>
                        <w:tcW w:w="0" w:type="auto"/>
                        <w:hideMark/>
                      </w:tcPr>
                      <w:p w14:paraId="11CA0133" w14:textId="77777777" w:rsidR="00B31FA1" w:rsidRPr="003A1EA4" w:rsidRDefault="00B31FA1" w:rsidP="00B31FA1">
                        <w:pPr>
                          <w:jc w:val="both"/>
                          <w:rPr>
                            <w:lang w:val="ro-RO"/>
                          </w:rPr>
                        </w:pPr>
                        <w:r w:rsidRPr="003A1EA4">
                          <w:rPr>
                            <w:lang w:val="ro-RO"/>
                          </w:rPr>
                          <w:t>JEC WTW v5.</w:t>
                        </w:r>
                      </w:p>
                    </w:tc>
                  </w:tr>
                </w:tbl>
                <w:p w14:paraId="50A4CFDA" w14:textId="77777777" w:rsidR="00B31FA1" w:rsidRPr="003A1EA4" w:rsidRDefault="00B31FA1" w:rsidP="00B31FA1">
                  <w:pPr>
                    <w:jc w:val="both"/>
                    <w:rPr>
                      <w:lang w:val="ro-RO"/>
                    </w:rPr>
                  </w:pPr>
                </w:p>
              </w:tc>
            </w:tr>
          </w:tbl>
          <w:p w14:paraId="2DA2CB04" w14:textId="77777777" w:rsidR="00B31FA1" w:rsidRPr="003A1EA4" w:rsidRDefault="00B31FA1" w:rsidP="00B31FA1">
            <w:pPr>
              <w:jc w:val="both"/>
              <w:rPr>
                <w:lang w:val="ro-RO"/>
              </w:rPr>
            </w:pPr>
            <w:r w:rsidRPr="003A1EA4">
              <w:rPr>
                <w:lang w:val="ro-RO"/>
              </w:rPr>
              <w:t>Tabelul A include valorile intensității emisiilor de GES ale energiei electrice la nivel de țară în Uniunea Europeană. În cazul în care intensitatea emisiilor de gaze cu efect de seră generate de energia electrică este determinată la nivel de țară, aceste valori se utilizează pentru energia electrică produsă în Uniunea Europeană până când devin disponibile date mai recente pentru a determina intensitatea emisiilor de energie electrică </w:t>
            </w:r>
            <w:hyperlink r:id="rId26" w:anchor="ntr7-L_2023157RO.01002301-E0007" w:history="1">
              <w:r w:rsidRPr="003A1EA4">
                <w:rPr>
                  <w:rStyle w:val="Hyperlink"/>
                  <w:lang w:val="ro-RO"/>
                </w:rPr>
                <w:t>(</w:t>
              </w:r>
              <w:r w:rsidRPr="003A1EA4">
                <w:rPr>
                  <w:rStyle w:val="Hyperlink"/>
                  <w:vertAlign w:val="superscript"/>
                  <w:lang w:val="ro-RO"/>
                </w:rPr>
                <w:t>7</w:t>
              </w:r>
              <w:r w:rsidRPr="003A1EA4">
                <w:rPr>
                  <w:rStyle w:val="Hyperlink"/>
                  <w:lang w:val="ro-RO"/>
                </w:rPr>
                <w:t>)</w:t>
              </w:r>
            </w:hyperlink>
            <w:r w:rsidRPr="003A1EA4">
              <w:rPr>
                <w:lang w:val="ro-RO"/>
              </w:rPr>
              <w:t>.</w:t>
            </w:r>
          </w:p>
          <w:p w14:paraId="595336B6" w14:textId="77777777" w:rsidR="00B31FA1" w:rsidRPr="003A1EA4" w:rsidRDefault="00B31FA1" w:rsidP="00B31FA1">
            <w:pPr>
              <w:jc w:val="both"/>
              <w:rPr>
                <w:lang w:val="ro-RO"/>
              </w:rPr>
            </w:pPr>
            <w:r w:rsidRPr="003A1EA4">
              <w:rPr>
                <w:i/>
                <w:iCs/>
                <w:lang w:val="ro-RO"/>
              </w:rPr>
              <w:t>Tabelul A</w:t>
            </w:r>
          </w:p>
          <w:p w14:paraId="6866D149" w14:textId="77777777" w:rsidR="00B31FA1" w:rsidRPr="003A1EA4" w:rsidRDefault="00B31FA1" w:rsidP="00B31FA1">
            <w:pPr>
              <w:jc w:val="both"/>
              <w:rPr>
                <w:lang w:val="ro-RO"/>
              </w:rPr>
            </w:pPr>
            <w:r w:rsidRPr="003A1EA4">
              <w:rPr>
                <w:b/>
                <w:bCs/>
                <w:lang w:val="ro-RO"/>
              </w:rPr>
              <w:lastRenderedPageBreak/>
              <w:t>Intensitatea emisiilor de energie electrică în Uniunea Europeană în 2020</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19"/>
              <w:gridCol w:w="5044"/>
            </w:tblGrid>
            <w:tr w:rsidR="00B31FA1" w:rsidRPr="001E7471" w14:paraId="046E2DB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77D04F" w14:textId="77777777" w:rsidR="00B31FA1" w:rsidRPr="003A1EA4" w:rsidRDefault="00B31FA1" w:rsidP="00B31FA1">
                  <w:pPr>
                    <w:jc w:val="both"/>
                    <w:rPr>
                      <w:b/>
                      <w:bCs/>
                      <w:lang w:val="ro-RO"/>
                    </w:rPr>
                  </w:pPr>
                  <w:r w:rsidRPr="003A1EA4">
                    <w:rPr>
                      <w:b/>
                      <w:bCs/>
                      <w:lang w:val="ro-RO"/>
                    </w:rPr>
                    <w:t>Țara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7F4B07" w14:textId="77777777" w:rsidR="00B31FA1" w:rsidRPr="003A1EA4" w:rsidRDefault="00B31FA1" w:rsidP="00B31FA1">
                  <w:pPr>
                    <w:jc w:val="both"/>
                    <w:rPr>
                      <w:b/>
                      <w:bCs/>
                      <w:lang w:val="ro-RO"/>
                    </w:rPr>
                  </w:pPr>
                  <w:r w:rsidRPr="003A1EA4">
                    <w:rPr>
                      <w:b/>
                      <w:bCs/>
                      <w:lang w:val="ro-RO"/>
                    </w:rPr>
                    <w:t>Intensitatea emisiilor de energie electrică generată (gCO</w:t>
                  </w:r>
                  <w:r w:rsidRPr="003A1EA4">
                    <w:rPr>
                      <w:b/>
                      <w:bCs/>
                      <w:vertAlign w:val="subscript"/>
                      <w:lang w:val="ro-RO"/>
                    </w:rPr>
                    <w:t>2</w:t>
                  </w:r>
                  <w:r w:rsidRPr="003A1EA4">
                    <w:rPr>
                      <w:b/>
                      <w:bCs/>
                      <w:lang w:val="ro-RO"/>
                    </w:rPr>
                    <w:t>eq/MJ)</w:t>
                  </w:r>
                </w:p>
              </w:tc>
            </w:tr>
            <w:tr w:rsidR="00B31FA1" w:rsidRPr="003A1EA4" w14:paraId="4F654D0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DC03EC" w14:textId="77777777" w:rsidR="00B31FA1" w:rsidRPr="003A1EA4" w:rsidRDefault="00B31FA1" w:rsidP="00B31FA1">
                  <w:pPr>
                    <w:jc w:val="both"/>
                    <w:rPr>
                      <w:lang w:val="ro-RO"/>
                    </w:rPr>
                  </w:pPr>
                  <w:r w:rsidRPr="003A1EA4">
                    <w:rPr>
                      <w:lang w:val="ro-RO"/>
                    </w:rPr>
                    <w:t>Austria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8F2AAF" w14:textId="77777777" w:rsidR="00B31FA1" w:rsidRPr="003A1EA4" w:rsidRDefault="00B31FA1" w:rsidP="00B31FA1">
                  <w:pPr>
                    <w:jc w:val="both"/>
                    <w:rPr>
                      <w:lang w:val="ro-RO"/>
                    </w:rPr>
                  </w:pPr>
                  <w:r w:rsidRPr="003A1EA4">
                    <w:rPr>
                      <w:lang w:val="ro-RO"/>
                    </w:rPr>
                    <w:t>39,7</w:t>
                  </w:r>
                </w:p>
              </w:tc>
            </w:tr>
            <w:tr w:rsidR="00B31FA1" w:rsidRPr="003A1EA4" w14:paraId="7ADDA00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48A3A9" w14:textId="77777777" w:rsidR="00B31FA1" w:rsidRPr="003A1EA4" w:rsidRDefault="00B31FA1" w:rsidP="00B31FA1">
                  <w:pPr>
                    <w:jc w:val="both"/>
                    <w:rPr>
                      <w:lang w:val="ro-RO"/>
                    </w:rPr>
                  </w:pPr>
                  <w:r w:rsidRPr="003A1EA4">
                    <w:rPr>
                      <w:lang w:val="ro-RO"/>
                    </w:rPr>
                    <w:t>Belgia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BB8B5A" w14:textId="77777777" w:rsidR="00B31FA1" w:rsidRPr="003A1EA4" w:rsidRDefault="00B31FA1" w:rsidP="00B31FA1">
                  <w:pPr>
                    <w:jc w:val="both"/>
                    <w:rPr>
                      <w:lang w:val="ro-RO"/>
                    </w:rPr>
                  </w:pPr>
                  <w:r w:rsidRPr="003A1EA4">
                    <w:rPr>
                      <w:lang w:val="ro-RO"/>
                    </w:rPr>
                    <w:t>56,7</w:t>
                  </w:r>
                </w:p>
              </w:tc>
            </w:tr>
            <w:tr w:rsidR="00B31FA1" w:rsidRPr="003A1EA4" w14:paraId="4468BE8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5156C8" w14:textId="77777777" w:rsidR="00B31FA1" w:rsidRPr="003A1EA4" w:rsidRDefault="00B31FA1" w:rsidP="00B31FA1">
                  <w:pPr>
                    <w:jc w:val="both"/>
                    <w:rPr>
                      <w:lang w:val="ro-RO"/>
                    </w:rPr>
                  </w:pPr>
                  <w:r w:rsidRPr="003A1EA4">
                    <w:rPr>
                      <w:lang w:val="ro-RO"/>
                    </w:rPr>
                    <w:t>Bulgaria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7B0483" w14:textId="77777777" w:rsidR="00B31FA1" w:rsidRPr="003A1EA4" w:rsidRDefault="00B31FA1" w:rsidP="00B31FA1">
                  <w:pPr>
                    <w:jc w:val="both"/>
                    <w:rPr>
                      <w:lang w:val="ro-RO"/>
                    </w:rPr>
                  </w:pPr>
                  <w:r w:rsidRPr="003A1EA4">
                    <w:rPr>
                      <w:lang w:val="ro-RO"/>
                    </w:rPr>
                    <w:t>119,2</w:t>
                  </w:r>
                </w:p>
              </w:tc>
            </w:tr>
            <w:tr w:rsidR="00B31FA1" w:rsidRPr="003A1EA4" w14:paraId="40BBBCA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611517" w14:textId="77777777" w:rsidR="00B31FA1" w:rsidRPr="003A1EA4" w:rsidRDefault="00B31FA1" w:rsidP="00B31FA1">
                  <w:pPr>
                    <w:jc w:val="both"/>
                    <w:rPr>
                      <w:lang w:val="ro-RO"/>
                    </w:rPr>
                  </w:pPr>
                  <w:r w:rsidRPr="003A1EA4">
                    <w:rPr>
                      <w:lang w:val="ro-RO"/>
                    </w:rPr>
                    <w:t>Cipru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72BCA5" w14:textId="77777777" w:rsidR="00B31FA1" w:rsidRPr="003A1EA4" w:rsidRDefault="00B31FA1" w:rsidP="00B31FA1">
                  <w:pPr>
                    <w:jc w:val="both"/>
                    <w:rPr>
                      <w:lang w:val="ro-RO"/>
                    </w:rPr>
                  </w:pPr>
                  <w:r w:rsidRPr="003A1EA4">
                    <w:rPr>
                      <w:lang w:val="ro-RO"/>
                    </w:rPr>
                    <w:t>206,6</w:t>
                  </w:r>
                </w:p>
              </w:tc>
            </w:tr>
            <w:tr w:rsidR="00B31FA1" w:rsidRPr="003A1EA4" w14:paraId="400AE91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40B57A" w14:textId="77777777" w:rsidR="00B31FA1" w:rsidRPr="003A1EA4" w:rsidRDefault="00B31FA1" w:rsidP="00B31FA1">
                  <w:pPr>
                    <w:jc w:val="both"/>
                    <w:rPr>
                      <w:lang w:val="ro-RO"/>
                    </w:rPr>
                  </w:pPr>
                  <w:r w:rsidRPr="003A1EA4">
                    <w:rPr>
                      <w:lang w:val="ro-RO"/>
                    </w:rPr>
                    <w:t>Cehia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7EF85D" w14:textId="77777777" w:rsidR="00B31FA1" w:rsidRPr="003A1EA4" w:rsidRDefault="00B31FA1" w:rsidP="00B31FA1">
                  <w:pPr>
                    <w:jc w:val="both"/>
                    <w:rPr>
                      <w:lang w:val="ro-RO"/>
                    </w:rPr>
                  </w:pPr>
                  <w:r w:rsidRPr="003A1EA4">
                    <w:rPr>
                      <w:lang w:val="ro-RO"/>
                    </w:rPr>
                    <w:t>132,5</w:t>
                  </w:r>
                </w:p>
              </w:tc>
            </w:tr>
            <w:tr w:rsidR="00B31FA1" w:rsidRPr="003A1EA4" w14:paraId="5757F81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9DFBDC" w14:textId="77777777" w:rsidR="00B31FA1" w:rsidRPr="003A1EA4" w:rsidRDefault="00B31FA1" w:rsidP="00B31FA1">
                  <w:pPr>
                    <w:jc w:val="both"/>
                    <w:rPr>
                      <w:lang w:val="ro-RO"/>
                    </w:rPr>
                  </w:pPr>
                  <w:r w:rsidRPr="003A1EA4">
                    <w:rPr>
                      <w:lang w:val="ro-RO"/>
                    </w:rPr>
                    <w:t>Germania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D43091" w14:textId="77777777" w:rsidR="00B31FA1" w:rsidRPr="003A1EA4" w:rsidRDefault="00B31FA1" w:rsidP="00B31FA1">
                  <w:pPr>
                    <w:jc w:val="both"/>
                    <w:rPr>
                      <w:lang w:val="ro-RO"/>
                    </w:rPr>
                  </w:pPr>
                  <w:r w:rsidRPr="003A1EA4">
                    <w:rPr>
                      <w:lang w:val="ro-RO"/>
                    </w:rPr>
                    <w:t>99,3</w:t>
                  </w:r>
                </w:p>
              </w:tc>
            </w:tr>
            <w:tr w:rsidR="00B31FA1" w:rsidRPr="003A1EA4" w14:paraId="13BC708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D4E317" w14:textId="77777777" w:rsidR="00B31FA1" w:rsidRPr="003A1EA4" w:rsidRDefault="00B31FA1" w:rsidP="00B31FA1">
                  <w:pPr>
                    <w:jc w:val="both"/>
                    <w:rPr>
                      <w:lang w:val="ro-RO"/>
                    </w:rPr>
                  </w:pPr>
                  <w:r w:rsidRPr="003A1EA4">
                    <w:rPr>
                      <w:lang w:val="ro-RO"/>
                    </w:rPr>
                    <w:t>Danemarca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18E2AA" w14:textId="77777777" w:rsidR="00B31FA1" w:rsidRPr="003A1EA4" w:rsidRDefault="00B31FA1" w:rsidP="00B31FA1">
                  <w:pPr>
                    <w:jc w:val="both"/>
                    <w:rPr>
                      <w:lang w:val="ro-RO"/>
                    </w:rPr>
                  </w:pPr>
                  <w:r w:rsidRPr="003A1EA4">
                    <w:rPr>
                      <w:lang w:val="ro-RO"/>
                    </w:rPr>
                    <w:t>27,1</w:t>
                  </w:r>
                </w:p>
              </w:tc>
            </w:tr>
            <w:tr w:rsidR="00B31FA1" w:rsidRPr="003A1EA4" w14:paraId="70361F7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357336" w14:textId="77777777" w:rsidR="00B31FA1" w:rsidRPr="003A1EA4" w:rsidRDefault="00B31FA1" w:rsidP="00B31FA1">
                  <w:pPr>
                    <w:jc w:val="both"/>
                    <w:rPr>
                      <w:lang w:val="ro-RO"/>
                    </w:rPr>
                  </w:pPr>
                  <w:r w:rsidRPr="003A1EA4">
                    <w:rPr>
                      <w:lang w:val="ro-RO"/>
                    </w:rPr>
                    <w:t>Estonia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91B0BE" w14:textId="77777777" w:rsidR="00B31FA1" w:rsidRPr="003A1EA4" w:rsidRDefault="00B31FA1" w:rsidP="00B31FA1">
                  <w:pPr>
                    <w:jc w:val="both"/>
                    <w:rPr>
                      <w:lang w:val="ro-RO"/>
                    </w:rPr>
                  </w:pPr>
                  <w:r w:rsidRPr="003A1EA4">
                    <w:rPr>
                      <w:lang w:val="ro-RO"/>
                    </w:rPr>
                    <w:t>139,8</w:t>
                  </w:r>
                </w:p>
              </w:tc>
            </w:tr>
            <w:tr w:rsidR="00B31FA1" w:rsidRPr="003A1EA4" w14:paraId="50A6FE4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6326FF" w14:textId="77777777" w:rsidR="00B31FA1" w:rsidRPr="003A1EA4" w:rsidRDefault="00B31FA1" w:rsidP="00B31FA1">
                  <w:pPr>
                    <w:jc w:val="both"/>
                    <w:rPr>
                      <w:lang w:val="ro-RO"/>
                    </w:rPr>
                  </w:pPr>
                  <w:r w:rsidRPr="003A1EA4">
                    <w:rPr>
                      <w:lang w:val="ro-RO"/>
                    </w:rPr>
                    <w:t>Grecia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DC048A" w14:textId="77777777" w:rsidR="00B31FA1" w:rsidRPr="003A1EA4" w:rsidRDefault="00B31FA1" w:rsidP="00B31FA1">
                  <w:pPr>
                    <w:jc w:val="both"/>
                    <w:rPr>
                      <w:lang w:val="ro-RO"/>
                    </w:rPr>
                  </w:pPr>
                  <w:r w:rsidRPr="003A1EA4">
                    <w:rPr>
                      <w:lang w:val="ro-RO"/>
                    </w:rPr>
                    <w:t>125,2</w:t>
                  </w:r>
                </w:p>
              </w:tc>
            </w:tr>
            <w:tr w:rsidR="00B31FA1" w:rsidRPr="003A1EA4" w14:paraId="1EC365C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766D1F" w14:textId="77777777" w:rsidR="00B31FA1" w:rsidRPr="003A1EA4" w:rsidRDefault="00B31FA1" w:rsidP="00B31FA1">
                  <w:pPr>
                    <w:jc w:val="both"/>
                    <w:rPr>
                      <w:lang w:val="ro-RO"/>
                    </w:rPr>
                  </w:pPr>
                  <w:r w:rsidRPr="003A1EA4">
                    <w:rPr>
                      <w:lang w:val="ro-RO"/>
                    </w:rPr>
                    <w:t>Spania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450AFD" w14:textId="77777777" w:rsidR="00B31FA1" w:rsidRPr="003A1EA4" w:rsidRDefault="00B31FA1" w:rsidP="00B31FA1">
                  <w:pPr>
                    <w:jc w:val="both"/>
                    <w:rPr>
                      <w:lang w:val="ro-RO"/>
                    </w:rPr>
                  </w:pPr>
                  <w:r w:rsidRPr="003A1EA4">
                    <w:rPr>
                      <w:lang w:val="ro-RO"/>
                    </w:rPr>
                    <w:t>54,1</w:t>
                  </w:r>
                </w:p>
              </w:tc>
            </w:tr>
            <w:tr w:rsidR="00B31FA1" w:rsidRPr="003A1EA4" w14:paraId="74BC385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23486C" w14:textId="77777777" w:rsidR="00B31FA1" w:rsidRPr="003A1EA4" w:rsidRDefault="00B31FA1" w:rsidP="00B31FA1">
                  <w:pPr>
                    <w:jc w:val="both"/>
                    <w:rPr>
                      <w:lang w:val="ro-RO"/>
                    </w:rPr>
                  </w:pPr>
                  <w:r w:rsidRPr="003A1EA4">
                    <w:rPr>
                      <w:lang w:val="ro-RO"/>
                    </w:rPr>
                    <w:t>Finlanda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9E309F" w14:textId="77777777" w:rsidR="00B31FA1" w:rsidRPr="003A1EA4" w:rsidRDefault="00B31FA1" w:rsidP="00B31FA1">
                  <w:pPr>
                    <w:jc w:val="both"/>
                    <w:rPr>
                      <w:lang w:val="ro-RO"/>
                    </w:rPr>
                  </w:pPr>
                  <w:r w:rsidRPr="003A1EA4">
                    <w:rPr>
                      <w:lang w:val="ro-RO"/>
                    </w:rPr>
                    <w:t>22,9</w:t>
                  </w:r>
                </w:p>
              </w:tc>
            </w:tr>
            <w:tr w:rsidR="00B31FA1" w:rsidRPr="003A1EA4" w14:paraId="4C56D7F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CAA072" w14:textId="77777777" w:rsidR="00B31FA1" w:rsidRPr="003A1EA4" w:rsidRDefault="00B31FA1" w:rsidP="00B31FA1">
                  <w:pPr>
                    <w:jc w:val="both"/>
                    <w:rPr>
                      <w:lang w:val="ro-RO"/>
                    </w:rPr>
                  </w:pPr>
                  <w:r w:rsidRPr="003A1EA4">
                    <w:rPr>
                      <w:lang w:val="ro-RO"/>
                    </w:rPr>
                    <w:t>Franța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7A27D4" w14:textId="77777777" w:rsidR="00B31FA1" w:rsidRPr="003A1EA4" w:rsidRDefault="00B31FA1" w:rsidP="00B31FA1">
                  <w:pPr>
                    <w:jc w:val="both"/>
                    <w:rPr>
                      <w:lang w:val="ro-RO"/>
                    </w:rPr>
                  </w:pPr>
                  <w:r w:rsidRPr="003A1EA4">
                    <w:rPr>
                      <w:lang w:val="ro-RO"/>
                    </w:rPr>
                    <w:t>19,6</w:t>
                  </w:r>
                </w:p>
              </w:tc>
            </w:tr>
            <w:tr w:rsidR="00B31FA1" w:rsidRPr="003A1EA4" w14:paraId="311E2B0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A70FEB" w14:textId="77777777" w:rsidR="00B31FA1" w:rsidRPr="003A1EA4" w:rsidRDefault="00B31FA1" w:rsidP="00B31FA1">
                  <w:pPr>
                    <w:jc w:val="both"/>
                    <w:rPr>
                      <w:lang w:val="ro-RO"/>
                    </w:rPr>
                  </w:pPr>
                  <w:r w:rsidRPr="003A1EA4">
                    <w:rPr>
                      <w:lang w:val="ro-RO"/>
                    </w:rPr>
                    <w:t>Croația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1A7C45" w14:textId="77777777" w:rsidR="00B31FA1" w:rsidRPr="003A1EA4" w:rsidRDefault="00B31FA1" w:rsidP="00B31FA1">
                  <w:pPr>
                    <w:jc w:val="both"/>
                    <w:rPr>
                      <w:lang w:val="ro-RO"/>
                    </w:rPr>
                  </w:pPr>
                  <w:r w:rsidRPr="003A1EA4">
                    <w:rPr>
                      <w:lang w:val="ro-RO"/>
                    </w:rPr>
                    <w:t>55,4</w:t>
                  </w:r>
                </w:p>
              </w:tc>
            </w:tr>
            <w:tr w:rsidR="00B31FA1" w:rsidRPr="003A1EA4" w14:paraId="6A52CBD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6460DC" w14:textId="77777777" w:rsidR="00B31FA1" w:rsidRPr="003A1EA4" w:rsidRDefault="00B31FA1" w:rsidP="00B31FA1">
                  <w:pPr>
                    <w:jc w:val="both"/>
                    <w:rPr>
                      <w:lang w:val="ro-RO"/>
                    </w:rPr>
                  </w:pPr>
                  <w:r w:rsidRPr="003A1EA4">
                    <w:rPr>
                      <w:lang w:val="ro-RO"/>
                    </w:rPr>
                    <w:t>Ungaria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E4CB29" w14:textId="77777777" w:rsidR="00B31FA1" w:rsidRPr="003A1EA4" w:rsidRDefault="00B31FA1" w:rsidP="00B31FA1">
                  <w:pPr>
                    <w:jc w:val="both"/>
                    <w:rPr>
                      <w:lang w:val="ro-RO"/>
                    </w:rPr>
                  </w:pPr>
                  <w:r w:rsidRPr="003A1EA4">
                    <w:rPr>
                      <w:lang w:val="ro-RO"/>
                    </w:rPr>
                    <w:t>72,9</w:t>
                  </w:r>
                </w:p>
              </w:tc>
            </w:tr>
            <w:tr w:rsidR="00B31FA1" w:rsidRPr="003A1EA4" w14:paraId="2C04B66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620EA9" w14:textId="77777777" w:rsidR="00B31FA1" w:rsidRPr="003A1EA4" w:rsidRDefault="00B31FA1" w:rsidP="00B31FA1">
                  <w:pPr>
                    <w:jc w:val="both"/>
                    <w:rPr>
                      <w:lang w:val="ro-RO"/>
                    </w:rPr>
                  </w:pPr>
                  <w:r w:rsidRPr="003A1EA4">
                    <w:rPr>
                      <w:lang w:val="ro-RO"/>
                    </w:rPr>
                    <w:t>Irlanda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D914EE" w14:textId="77777777" w:rsidR="00B31FA1" w:rsidRPr="003A1EA4" w:rsidRDefault="00B31FA1" w:rsidP="00B31FA1">
                  <w:pPr>
                    <w:jc w:val="both"/>
                    <w:rPr>
                      <w:lang w:val="ro-RO"/>
                    </w:rPr>
                  </w:pPr>
                  <w:r w:rsidRPr="003A1EA4">
                    <w:rPr>
                      <w:lang w:val="ro-RO"/>
                    </w:rPr>
                    <w:t>89,4</w:t>
                  </w:r>
                </w:p>
              </w:tc>
            </w:tr>
            <w:tr w:rsidR="00B31FA1" w:rsidRPr="003A1EA4" w14:paraId="0DF96CA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D6028E" w14:textId="77777777" w:rsidR="00B31FA1" w:rsidRPr="003A1EA4" w:rsidRDefault="00B31FA1" w:rsidP="00B31FA1">
                  <w:pPr>
                    <w:jc w:val="both"/>
                    <w:rPr>
                      <w:lang w:val="ro-RO"/>
                    </w:rPr>
                  </w:pPr>
                  <w:r w:rsidRPr="003A1EA4">
                    <w:rPr>
                      <w:lang w:val="ro-RO"/>
                    </w:rPr>
                    <w:t>Italia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2CCE76" w14:textId="77777777" w:rsidR="00B31FA1" w:rsidRPr="003A1EA4" w:rsidRDefault="00B31FA1" w:rsidP="00B31FA1">
                  <w:pPr>
                    <w:jc w:val="both"/>
                    <w:rPr>
                      <w:lang w:val="ro-RO"/>
                    </w:rPr>
                  </w:pPr>
                  <w:r w:rsidRPr="003A1EA4">
                    <w:rPr>
                      <w:lang w:val="ro-RO"/>
                    </w:rPr>
                    <w:t>92,3</w:t>
                  </w:r>
                </w:p>
              </w:tc>
            </w:tr>
            <w:tr w:rsidR="00B31FA1" w:rsidRPr="003A1EA4" w14:paraId="4CF12CB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C9BF72" w14:textId="77777777" w:rsidR="00B31FA1" w:rsidRPr="003A1EA4" w:rsidRDefault="00B31FA1" w:rsidP="00B31FA1">
                  <w:pPr>
                    <w:jc w:val="both"/>
                    <w:rPr>
                      <w:lang w:val="ro-RO"/>
                    </w:rPr>
                  </w:pPr>
                  <w:r w:rsidRPr="003A1EA4">
                    <w:rPr>
                      <w:lang w:val="ro-RO"/>
                    </w:rPr>
                    <w:t>Letonia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C25986" w14:textId="77777777" w:rsidR="00B31FA1" w:rsidRPr="003A1EA4" w:rsidRDefault="00B31FA1" w:rsidP="00B31FA1">
                  <w:pPr>
                    <w:jc w:val="both"/>
                    <w:rPr>
                      <w:lang w:val="ro-RO"/>
                    </w:rPr>
                  </w:pPr>
                  <w:r w:rsidRPr="003A1EA4">
                    <w:rPr>
                      <w:lang w:val="ro-RO"/>
                    </w:rPr>
                    <w:t>39,4</w:t>
                  </w:r>
                </w:p>
              </w:tc>
            </w:tr>
            <w:tr w:rsidR="00B31FA1" w:rsidRPr="003A1EA4" w14:paraId="4BA3378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4E3E4D" w14:textId="77777777" w:rsidR="00B31FA1" w:rsidRPr="003A1EA4" w:rsidRDefault="00B31FA1" w:rsidP="00B31FA1">
                  <w:pPr>
                    <w:jc w:val="both"/>
                    <w:rPr>
                      <w:lang w:val="ro-RO"/>
                    </w:rPr>
                  </w:pPr>
                  <w:r w:rsidRPr="003A1EA4">
                    <w:rPr>
                      <w:lang w:val="ro-RO"/>
                    </w:rPr>
                    <w:t>Lituania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B90289" w14:textId="77777777" w:rsidR="00B31FA1" w:rsidRPr="003A1EA4" w:rsidRDefault="00B31FA1" w:rsidP="00B31FA1">
                  <w:pPr>
                    <w:jc w:val="both"/>
                    <w:rPr>
                      <w:lang w:val="ro-RO"/>
                    </w:rPr>
                  </w:pPr>
                  <w:r w:rsidRPr="003A1EA4">
                    <w:rPr>
                      <w:lang w:val="ro-RO"/>
                    </w:rPr>
                    <w:t>57,7</w:t>
                  </w:r>
                </w:p>
              </w:tc>
            </w:tr>
            <w:tr w:rsidR="00B31FA1" w:rsidRPr="003A1EA4" w14:paraId="1DB3814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97311B" w14:textId="77777777" w:rsidR="00B31FA1" w:rsidRPr="003A1EA4" w:rsidRDefault="00B31FA1" w:rsidP="00B31FA1">
                  <w:pPr>
                    <w:jc w:val="both"/>
                    <w:rPr>
                      <w:lang w:val="ro-RO"/>
                    </w:rPr>
                  </w:pPr>
                  <w:r w:rsidRPr="003A1EA4">
                    <w:rPr>
                      <w:lang w:val="ro-RO"/>
                    </w:rPr>
                    <w:t>Luxemburg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43AF93" w14:textId="77777777" w:rsidR="00B31FA1" w:rsidRPr="003A1EA4" w:rsidRDefault="00B31FA1" w:rsidP="00B31FA1">
                  <w:pPr>
                    <w:jc w:val="both"/>
                    <w:rPr>
                      <w:lang w:val="ro-RO"/>
                    </w:rPr>
                  </w:pPr>
                  <w:r w:rsidRPr="003A1EA4">
                    <w:rPr>
                      <w:lang w:val="ro-RO"/>
                    </w:rPr>
                    <w:t>52,0</w:t>
                  </w:r>
                </w:p>
              </w:tc>
            </w:tr>
            <w:tr w:rsidR="00B31FA1" w:rsidRPr="003A1EA4" w14:paraId="00BDDDF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7369C5" w14:textId="77777777" w:rsidR="00B31FA1" w:rsidRPr="003A1EA4" w:rsidRDefault="00B31FA1" w:rsidP="00B31FA1">
                  <w:pPr>
                    <w:jc w:val="both"/>
                    <w:rPr>
                      <w:lang w:val="ro-RO"/>
                    </w:rPr>
                  </w:pPr>
                  <w:r w:rsidRPr="003A1EA4">
                    <w:rPr>
                      <w:lang w:val="ro-RO"/>
                    </w:rPr>
                    <w:t>Malta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AD7067" w14:textId="77777777" w:rsidR="00B31FA1" w:rsidRPr="003A1EA4" w:rsidRDefault="00B31FA1" w:rsidP="00B31FA1">
                  <w:pPr>
                    <w:jc w:val="both"/>
                    <w:rPr>
                      <w:lang w:val="ro-RO"/>
                    </w:rPr>
                  </w:pPr>
                  <w:r w:rsidRPr="003A1EA4">
                    <w:rPr>
                      <w:lang w:val="ro-RO"/>
                    </w:rPr>
                    <w:t>133,9</w:t>
                  </w:r>
                </w:p>
              </w:tc>
            </w:tr>
            <w:tr w:rsidR="00B31FA1" w:rsidRPr="003A1EA4" w14:paraId="1D82AB9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F9D9BA" w14:textId="77777777" w:rsidR="00B31FA1" w:rsidRPr="003A1EA4" w:rsidRDefault="00B31FA1" w:rsidP="00B31FA1">
                  <w:pPr>
                    <w:jc w:val="both"/>
                    <w:rPr>
                      <w:lang w:val="ro-RO"/>
                    </w:rPr>
                  </w:pPr>
                  <w:r w:rsidRPr="003A1EA4">
                    <w:rPr>
                      <w:lang w:val="ro-RO"/>
                    </w:rPr>
                    <w:t>Țările de Jos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226B7F" w14:textId="77777777" w:rsidR="00B31FA1" w:rsidRPr="003A1EA4" w:rsidRDefault="00B31FA1" w:rsidP="00B31FA1">
                  <w:pPr>
                    <w:jc w:val="both"/>
                    <w:rPr>
                      <w:lang w:val="ro-RO"/>
                    </w:rPr>
                  </w:pPr>
                  <w:r w:rsidRPr="003A1EA4">
                    <w:rPr>
                      <w:lang w:val="ro-RO"/>
                    </w:rPr>
                    <w:t>99,9</w:t>
                  </w:r>
                </w:p>
              </w:tc>
            </w:tr>
            <w:tr w:rsidR="00B31FA1" w:rsidRPr="003A1EA4" w14:paraId="68F0DE8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FD5D6A" w14:textId="77777777" w:rsidR="00B31FA1" w:rsidRPr="003A1EA4" w:rsidRDefault="00B31FA1" w:rsidP="00B31FA1">
                  <w:pPr>
                    <w:jc w:val="both"/>
                    <w:rPr>
                      <w:lang w:val="ro-RO"/>
                    </w:rPr>
                  </w:pPr>
                  <w:r w:rsidRPr="003A1EA4">
                    <w:rPr>
                      <w:lang w:val="ro-RO"/>
                    </w:rPr>
                    <w:t>Polonia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F58B60" w14:textId="77777777" w:rsidR="00B31FA1" w:rsidRPr="003A1EA4" w:rsidRDefault="00B31FA1" w:rsidP="00B31FA1">
                  <w:pPr>
                    <w:jc w:val="both"/>
                    <w:rPr>
                      <w:lang w:val="ro-RO"/>
                    </w:rPr>
                  </w:pPr>
                  <w:r w:rsidRPr="003A1EA4">
                    <w:rPr>
                      <w:lang w:val="ro-RO"/>
                    </w:rPr>
                    <w:t>196,5</w:t>
                  </w:r>
                </w:p>
              </w:tc>
            </w:tr>
            <w:tr w:rsidR="00B31FA1" w:rsidRPr="003A1EA4" w14:paraId="3EFA8C9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96D103" w14:textId="77777777" w:rsidR="00B31FA1" w:rsidRPr="003A1EA4" w:rsidRDefault="00B31FA1" w:rsidP="00B31FA1">
                  <w:pPr>
                    <w:jc w:val="both"/>
                    <w:rPr>
                      <w:lang w:val="ro-RO"/>
                    </w:rPr>
                  </w:pPr>
                  <w:r w:rsidRPr="003A1EA4">
                    <w:rPr>
                      <w:lang w:val="ro-RO"/>
                    </w:rPr>
                    <w:t>Portugalia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DD61B7" w14:textId="77777777" w:rsidR="00B31FA1" w:rsidRPr="003A1EA4" w:rsidRDefault="00B31FA1" w:rsidP="00B31FA1">
                  <w:pPr>
                    <w:jc w:val="both"/>
                    <w:rPr>
                      <w:lang w:val="ro-RO"/>
                    </w:rPr>
                  </w:pPr>
                  <w:r w:rsidRPr="003A1EA4">
                    <w:rPr>
                      <w:lang w:val="ro-RO"/>
                    </w:rPr>
                    <w:t>61,6</w:t>
                  </w:r>
                </w:p>
              </w:tc>
            </w:tr>
            <w:tr w:rsidR="00B31FA1" w:rsidRPr="003A1EA4" w14:paraId="7536B55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F1226D" w14:textId="77777777" w:rsidR="00B31FA1" w:rsidRPr="003A1EA4" w:rsidRDefault="00B31FA1" w:rsidP="00B31FA1">
                  <w:pPr>
                    <w:jc w:val="both"/>
                    <w:rPr>
                      <w:lang w:val="ro-RO"/>
                    </w:rPr>
                  </w:pPr>
                  <w:r w:rsidRPr="003A1EA4">
                    <w:rPr>
                      <w:lang w:val="ro-RO"/>
                    </w:rPr>
                    <w:t>România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27CB3" w14:textId="77777777" w:rsidR="00B31FA1" w:rsidRPr="003A1EA4" w:rsidRDefault="00B31FA1" w:rsidP="00B31FA1">
                  <w:pPr>
                    <w:jc w:val="both"/>
                    <w:rPr>
                      <w:lang w:val="ro-RO"/>
                    </w:rPr>
                  </w:pPr>
                  <w:r w:rsidRPr="003A1EA4">
                    <w:rPr>
                      <w:lang w:val="ro-RO"/>
                    </w:rPr>
                    <w:t>86,1</w:t>
                  </w:r>
                </w:p>
              </w:tc>
            </w:tr>
            <w:tr w:rsidR="00B31FA1" w:rsidRPr="003A1EA4" w14:paraId="0CA66E4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D7D466" w14:textId="77777777" w:rsidR="00B31FA1" w:rsidRPr="003A1EA4" w:rsidRDefault="00B31FA1" w:rsidP="00B31FA1">
                  <w:pPr>
                    <w:jc w:val="both"/>
                    <w:rPr>
                      <w:lang w:val="ro-RO"/>
                    </w:rPr>
                  </w:pPr>
                  <w:r w:rsidRPr="003A1EA4">
                    <w:rPr>
                      <w:lang w:val="ro-RO"/>
                    </w:rPr>
                    <w:t>Slovacia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FC2864" w14:textId="77777777" w:rsidR="00B31FA1" w:rsidRPr="003A1EA4" w:rsidRDefault="00B31FA1" w:rsidP="00B31FA1">
                  <w:pPr>
                    <w:jc w:val="both"/>
                    <w:rPr>
                      <w:lang w:val="ro-RO"/>
                    </w:rPr>
                  </w:pPr>
                  <w:r w:rsidRPr="003A1EA4">
                    <w:rPr>
                      <w:lang w:val="ro-RO"/>
                    </w:rPr>
                    <w:t>45,6</w:t>
                  </w:r>
                </w:p>
              </w:tc>
            </w:tr>
            <w:tr w:rsidR="00B31FA1" w:rsidRPr="003A1EA4" w14:paraId="7587060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E16D7C" w14:textId="77777777" w:rsidR="00B31FA1" w:rsidRPr="003A1EA4" w:rsidRDefault="00B31FA1" w:rsidP="00B31FA1">
                  <w:pPr>
                    <w:jc w:val="both"/>
                    <w:rPr>
                      <w:lang w:val="ro-RO"/>
                    </w:rPr>
                  </w:pPr>
                  <w:r w:rsidRPr="003A1EA4">
                    <w:rPr>
                      <w:lang w:val="ro-RO"/>
                    </w:rPr>
                    <w:t>Slovenia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322A21" w14:textId="77777777" w:rsidR="00B31FA1" w:rsidRPr="003A1EA4" w:rsidRDefault="00B31FA1" w:rsidP="00B31FA1">
                  <w:pPr>
                    <w:jc w:val="both"/>
                    <w:rPr>
                      <w:lang w:val="ro-RO"/>
                    </w:rPr>
                  </w:pPr>
                  <w:r w:rsidRPr="003A1EA4">
                    <w:rPr>
                      <w:lang w:val="ro-RO"/>
                    </w:rPr>
                    <w:t>70,1</w:t>
                  </w:r>
                </w:p>
              </w:tc>
            </w:tr>
            <w:tr w:rsidR="00B31FA1" w:rsidRPr="003A1EA4" w14:paraId="235F4B6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FF5D23" w14:textId="77777777" w:rsidR="00B31FA1" w:rsidRPr="003A1EA4" w:rsidRDefault="00B31FA1" w:rsidP="00B31FA1">
                  <w:pPr>
                    <w:jc w:val="both"/>
                    <w:rPr>
                      <w:lang w:val="ro-RO"/>
                    </w:rPr>
                  </w:pPr>
                  <w:r w:rsidRPr="003A1EA4">
                    <w:rPr>
                      <w:lang w:val="ro-RO"/>
                    </w:rPr>
                    <w:t>Suedia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A4E7D8" w14:textId="77777777" w:rsidR="00B31FA1" w:rsidRPr="003A1EA4" w:rsidRDefault="00B31FA1" w:rsidP="00B31FA1">
                  <w:pPr>
                    <w:jc w:val="both"/>
                    <w:rPr>
                      <w:lang w:val="ro-RO"/>
                    </w:rPr>
                  </w:pPr>
                  <w:r w:rsidRPr="003A1EA4">
                    <w:rPr>
                      <w:lang w:val="ro-RO"/>
                    </w:rPr>
                    <w:t>4,1</w:t>
                  </w:r>
                </w:p>
              </w:tc>
            </w:tr>
            <w:tr w:rsidR="00B31FA1" w:rsidRPr="003A1EA4" w14:paraId="64072AD3" w14:textId="77777777">
              <w:tc>
                <w:tcPr>
                  <w:tcW w:w="0" w:type="auto"/>
                  <w:gridSpan w:val="2"/>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2236"/>
                    <w:gridCol w:w="3912"/>
                  </w:tblGrid>
                  <w:tr w:rsidR="00B31FA1" w:rsidRPr="003A1EA4" w14:paraId="69C41467" w14:textId="77777777">
                    <w:tc>
                      <w:tcPr>
                        <w:tcW w:w="0" w:type="auto"/>
                        <w:hideMark/>
                      </w:tcPr>
                      <w:p w14:paraId="19DC3A56" w14:textId="77777777" w:rsidR="00B31FA1" w:rsidRPr="003A1EA4" w:rsidRDefault="00B31FA1" w:rsidP="00B31FA1">
                        <w:pPr>
                          <w:jc w:val="both"/>
                          <w:rPr>
                            <w:lang w:val="ro-RO"/>
                          </w:rPr>
                        </w:pPr>
                        <w:r w:rsidRPr="003A1EA4">
                          <w:rPr>
                            <w:i/>
                            <w:iCs/>
                            <w:lang w:val="ro-RO"/>
                          </w:rPr>
                          <w:t>Sursă</w:t>
                        </w:r>
                        <w:r w:rsidRPr="003A1EA4">
                          <w:rPr>
                            <w:lang w:val="ro-RO"/>
                          </w:rPr>
                          <w:t>:</w:t>
                        </w:r>
                      </w:p>
                    </w:tc>
                    <w:tc>
                      <w:tcPr>
                        <w:tcW w:w="0" w:type="auto"/>
                        <w:hideMark/>
                      </w:tcPr>
                      <w:p w14:paraId="30B6A426" w14:textId="77777777" w:rsidR="00B31FA1" w:rsidRPr="003A1EA4" w:rsidRDefault="00B31FA1" w:rsidP="00B31FA1">
                        <w:pPr>
                          <w:jc w:val="both"/>
                          <w:rPr>
                            <w:lang w:val="ro-RO"/>
                          </w:rPr>
                        </w:pPr>
                        <w:r w:rsidRPr="003A1EA4">
                          <w:rPr>
                            <w:lang w:val="ro-RO"/>
                          </w:rPr>
                          <w:t>JRC, 2022.</w:t>
                        </w:r>
                      </w:p>
                    </w:tc>
                  </w:tr>
                </w:tbl>
                <w:p w14:paraId="224FA204" w14:textId="77777777" w:rsidR="00B31FA1" w:rsidRPr="003A1EA4" w:rsidRDefault="00B31FA1" w:rsidP="00B31FA1">
                  <w:pPr>
                    <w:jc w:val="both"/>
                    <w:rPr>
                      <w:lang w:val="ro-RO"/>
                    </w:rPr>
                  </w:pPr>
                </w:p>
              </w:tc>
            </w:tr>
          </w:tbl>
          <w:p w14:paraId="0EB3E6B1" w14:textId="77777777" w:rsidR="00B31FA1" w:rsidRPr="00614E78" w:rsidRDefault="00B31FA1" w:rsidP="00B31FA1">
            <w:pPr>
              <w:jc w:val="both"/>
              <w:rPr>
                <w:lang w:val="ro-RO"/>
              </w:rPr>
            </w:pPr>
          </w:p>
        </w:tc>
        <w:tc>
          <w:tcPr>
            <w:tcW w:w="5609" w:type="dxa"/>
          </w:tcPr>
          <w:p w14:paraId="70D78EC1" w14:textId="6F1DEB18" w:rsidR="00E84EC8" w:rsidRDefault="00E84EC8" w:rsidP="00E84EC8">
            <w:pPr>
              <w:jc w:val="both"/>
              <w:rPr>
                <w:u w:val="single"/>
                <w:lang w:val="ro-RO"/>
              </w:rPr>
            </w:pPr>
            <w:r w:rsidRPr="00656BF0">
              <w:rPr>
                <w:u w:val="single"/>
                <w:lang w:val="ro-RO"/>
              </w:rPr>
              <w:lastRenderedPageBreak/>
              <w:t xml:space="preserve">Proiectul Hotărârii Guvernului privind </w:t>
            </w:r>
            <w:r w:rsidR="00E43249">
              <w:rPr>
                <w:u w:val="single"/>
                <w:lang w:val="ro-RO"/>
              </w:rPr>
              <w:t>aprobarea Regulamentului cu privire la normele de verificare a biocarburanților, biolichidelor și combustibililor din biomasă, precum și recunoașterea schemelor voluntare și modificarea unor acte normative</w:t>
            </w:r>
            <w:r w:rsidRPr="00656BF0">
              <w:rPr>
                <w:u w:val="single"/>
                <w:lang w:val="ro-RO"/>
              </w:rPr>
              <w:t>.</w:t>
            </w:r>
          </w:p>
          <w:p w14:paraId="6F6EEE08" w14:textId="6193BA03" w:rsidR="00B31FA1" w:rsidRPr="00F201AD" w:rsidRDefault="00B31FA1" w:rsidP="00B31FA1">
            <w:pPr>
              <w:jc w:val="right"/>
              <w:rPr>
                <w:w w:val="105"/>
                <w:lang w:val="fr-FR"/>
              </w:rPr>
            </w:pPr>
            <w:r w:rsidRPr="00F201AD">
              <w:rPr>
                <w:w w:val="105"/>
                <w:lang w:val="fr-FR"/>
              </w:rPr>
              <w:t>Anexa nr. 3</w:t>
            </w:r>
          </w:p>
          <w:p w14:paraId="0DAEA0B8" w14:textId="037CB0B5" w:rsidR="00B31FA1" w:rsidRPr="00F201AD" w:rsidRDefault="00B31FA1" w:rsidP="00B31FA1">
            <w:pPr>
              <w:jc w:val="right"/>
              <w:rPr>
                <w:lang w:val="fr-FR"/>
              </w:rPr>
            </w:pPr>
            <w:r w:rsidRPr="00F201AD">
              <w:rPr>
                <w:lang w:val="fr-FR"/>
              </w:rPr>
              <w:t>La</w:t>
            </w:r>
            <w:r>
              <w:rPr>
                <w:spacing w:val="67"/>
                <w:lang w:val="fr-FR"/>
              </w:rPr>
              <w:t xml:space="preserve"> </w:t>
            </w:r>
            <w:r w:rsidRPr="00F201AD">
              <w:rPr>
                <w:lang w:val="fr-FR"/>
              </w:rPr>
              <w:t>Hotărârea</w:t>
            </w:r>
            <w:r w:rsidRPr="00F201AD">
              <w:rPr>
                <w:spacing w:val="68"/>
                <w:lang w:val="fr-FR"/>
              </w:rPr>
              <w:t xml:space="preserve"> </w:t>
            </w:r>
            <w:r w:rsidRPr="00F201AD">
              <w:rPr>
                <w:lang w:val="fr-FR"/>
              </w:rPr>
              <w:t>Guvernului</w:t>
            </w:r>
            <w:r w:rsidRPr="00F201AD">
              <w:rPr>
                <w:spacing w:val="67"/>
                <w:lang w:val="fr-FR"/>
              </w:rPr>
              <w:t xml:space="preserve"> </w:t>
            </w:r>
            <w:r w:rsidRPr="00F201AD">
              <w:rPr>
                <w:spacing w:val="-2"/>
                <w:lang w:val="fr-FR"/>
              </w:rPr>
              <w:t>nr. 53/2025</w:t>
            </w:r>
          </w:p>
          <w:p w14:paraId="7F587766" w14:textId="77777777" w:rsidR="00B31FA1" w:rsidRPr="00F201AD" w:rsidRDefault="00B31FA1" w:rsidP="00B31FA1">
            <w:pPr>
              <w:pStyle w:val="Capitol"/>
              <w:spacing w:line="240" w:lineRule="auto"/>
              <w:rPr>
                <w:sz w:val="22"/>
                <w:szCs w:val="22"/>
              </w:rPr>
            </w:pPr>
            <w:r w:rsidRPr="00F201AD">
              <w:rPr>
                <w:sz w:val="22"/>
                <w:szCs w:val="22"/>
              </w:rPr>
              <w:t>Metodologia de determinare a reducerilor de emisii de gaze cu efect de seră generate de combustibilii lichizi și gazoși de origine nebiologică din surse regenerabile utilizați în transporturi și de combustibilii pe bază de carbon reciclat</w:t>
            </w:r>
          </w:p>
          <w:p w14:paraId="7FE98BF9" w14:textId="77777777" w:rsidR="00B31FA1" w:rsidRPr="00F201AD" w:rsidRDefault="00B31FA1" w:rsidP="00B31FA1">
            <w:pPr>
              <w:pStyle w:val="Capitol"/>
              <w:spacing w:line="240" w:lineRule="auto"/>
              <w:rPr>
                <w:sz w:val="22"/>
                <w:szCs w:val="22"/>
              </w:rPr>
            </w:pPr>
            <w:r w:rsidRPr="00F201AD">
              <w:rPr>
                <w:sz w:val="22"/>
                <w:szCs w:val="22"/>
              </w:rPr>
              <w:t>P</w:t>
            </w:r>
            <w:r w:rsidRPr="00F201AD">
              <w:rPr>
                <w:caps w:val="0"/>
                <w:sz w:val="22"/>
                <w:szCs w:val="22"/>
              </w:rPr>
              <w:t xml:space="preserve">artea </w:t>
            </w:r>
            <w:r w:rsidRPr="00F201AD">
              <w:rPr>
                <w:sz w:val="22"/>
                <w:szCs w:val="22"/>
              </w:rPr>
              <w:t>a</w:t>
            </w:r>
          </w:p>
          <w:p w14:paraId="3DABBC7A" w14:textId="77777777" w:rsidR="00B31FA1" w:rsidRPr="00F201AD" w:rsidRDefault="00B31FA1" w:rsidP="00B31FA1">
            <w:pPr>
              <w:pStyle w:val="Capitol"/>
              <w:spacing w:line="240" w:lineRule="auto"/>
              <w:rPr>
                <w:caps w:val="0"/>
                <w:sz w:val="22"/>
                <w:szCs w:val="22"/>
              </w:rPr>
            </w:pPr>
            <w:r w:rsidRPr="00F201AD">
              <w:rPr>
                <w:caps w:val="0"/>
                <w:sz w:val="22"/>
                <w:szCs w:val="22"/>
              </w:rPr>
              <w:t>Metodologie</w:t>
            </w:r>
          </w:p>
          <w:p w14:paraId="006A7941"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Emisiile de gaze cu efect de seră provenite din producția și utilizarea combustibililor lichizi și gazoși de origine nebiologică din surse regenerabile folosiți în transporturi sau a combustibililor pe bază de carbon reciclat se calculează după cum urmează:</w:t>
            </w:r>
          </w:p>
          <w:p w14:paraId="0FBA596E" w14:textId="77777777" w:rsidR="00B31FA1" w:rsidRPr="00F201AD" w:rsidRDefault="00B31FA1" w:rsidP="00B31FA1">
            <w:pPr>
              <w:jc w:val="center"/>
              <w:rPr>
                <w:rFonts w:eastAsia="Times New Roman"/>
                <w:lang w:val="pt-BR" w:eastAsia="ro-RO"/>
              </w:rPr>
            </w:pPr>
            <w:r w:rsidRPr="00F201AD">
              <w:rPr>
                <w:rFonts w:eastAsia="Times New Roman"/>
                <w:lang w:val="pt-BR" w:eastAsia="ro-RO"/>
              </w:rPr>
              <w:lastRenderedPageBreak/>
              <w:t>E = e </w:t>
            </w:r>
            <w:r w:rsidRPr="00F201AD">
              <w:rPr>
                <w:rFonts w:eastAsia="Times New Roman"/>
                <w:vertAlign w:val="subscript"/>
                <w:lang w:val="pt-BR" w:eastAsia="ro-RO"/>
              </w:rPr>
              <w:t>i</w:t>
            </w:r>
            <w:r w:rsidRPr="00F201AD">
              <w:rPr>
                <w:rFonts w:eastAsia="Times New Roman"/>
                <w:lang w:val="pt-BR" w:eastAsia="ro-RO"/>
              </w:rPr>
              <w:t> + e </w:t>
            </w:r>
            <w:r w:rsidRPr="00F201AD">
              <w:rPr>
                <w:rFonts w:eastAsia="Times New Roman"/>
                <w:vertAlign w:val="subscript"/>
                <w:lang w:val="pt-BR" w:eastAsia="ro-RO"/>
              </w:rPr>
              <w:t>p</w:t>
            </w:r>
            <w:r w:rsidRPr="00F201AD">
              <w:rPr>
                <w:rFonts w:eastAsia="Times New Roman"/>
                <w:lang w:val="pt-BR" w:eastAsia="ro-RO"/>
              </w:rPr>
              <w:t> + e </w:t>
            </w:r>
            <w:r w:rsidRPr="00F201AD">
              <w:rPr>
                <w:rFonts w:eastAsia="Times New Roman"/>
                <w:vertAlign w:val="subscript"/>
                <w:lang w:val="pt-BR" w:eastAsia="ro-RO"/>
              </w:rPr>
              <w:t>td</w:t>
            </w:r>
            <w:r w:rsidRPr="00F201AD">
              <w:rPr>
                <w:rFonts w:eastAsia="Times New Roman"/>
                <w:lang w:val="pt-BR" w:eastAsia="ro-RO"/>
              </w:rPr>
              <w:t> + e </w:t>
            </w:r>
            <w:r w:rsidRPr="00F201AD">
              <w:rPr>
                <w:rFonts w:eastAsia="Times New Roman"/>
                <w:vertAlign w:val="subscript"/>
                <w:lang w:val="pt-BR" w:eastAsia="ro-RO"/>
              </w:rPr>
              <w:t>u</w:t>
            </w:r>
            <w:r w:rsidRPr="00F201AD">
              <w:rPr>
                <w:rFonts w:eastAsia="Times New Roman"/>
                <w:lang w:val="pt-BR" w:eastAsia="ro-RO"/>
              </w:rPr>
              <w:t> – e </w:t>
            </w:r>
            <w:r w:rsidRPr="00F201AD">
              <w:rPr>
                <w:rFonts w:eastAsia="Times New Roman"/>
                <w:vertAlign w:val="subscript"/>
                <w:lang w:val="pt-BR" w:eastAsia="ro-RO"/>
              </w:rPr>
              <w:t>ccs</w:t>
            </w:r>
          </w:p>
          <w:p w14:paraId="7B0587E2" w14:textId="77777777" w:rsidR="00B31FA1" w:rsidRPr="00F201AD" w:rsidRDefault="00B31FA1" w:rsidP="00B31FA1">
            <w:pPr>
              <w:rPr>
                <w:rFonts w:eastAsia="Times New Roman"/>
                <w:lang w:eastAsia="ro-RO"/>
              </w:rPr>
            </w:pPr>
            <w:r w:rsidRPr="00F201AD">
              <w:rPr>
                <w:rFonts w:eastAsia="Times New Roman"/>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605"/>
              <w:gridCol w:w="125"/>
              <w:gridCol w:w="4710"/>
            </w:tblGrid>
            <w:tr w:rsidR="00B31FA1" w:rsidRPr="008011CF" w14:paraId="306A7D2E" w14:textId="77777777" w:rsidTr="00504F8D">
              <w:tc>
                <w:tcPr>
                  <w:tcW w:w="366" w:type="pct"/>
                  <w:shd w:val="clear" w:color="auto" w:fill="FFFFFF"/>
                  <w:hideMark/>
                </w:tcPr>
                <w:p w14:paraId="1E3AD3EA" w14:textId="77777777" w:rsidR="00B31FA1" w:rsidRPr="00F201AD" w:rsidRDefault="00B31FA1" w:rsidP="00B31FA1">
                  <w:pPr>
                    <w:rPr>
                      <w:rFonts w:eastAsia="Times New Roman"/>
                      <w:lang w:eastAsia="ro-RO"/>
                    </w:rPr>
                  </w:pPr>
                  <w:r w:rsidRPr="00F201AD">
                    <w:rPr>
                      <w:rFonts w:eastAsia="Times New Roman"/>
                      <w:lang w:eastAsia="ro-RO"/>
                    </w:rPr>
                    <w:t>E</w:t>
                  </w:r>
                </w:p>
              </w:tc>
              <w:tc>
                <w:tcPr>
                  <w:tcW w:w="114" w:type="pct"/>
                  <w:shd w:val="clear" w:color="auto" w:fill="FFFFFF"/>
                  <w:hideMark/>
                </w:tcPr>
                <w:p w14:paraId="51E07BF8"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2C00A945" w14:textId="77777777" w:rsidR="00B31FA1" w:rsidRPr="00F201AD" w:rsidRDefault="00B31FA1" w:rsidP="00B31FA1">
                  <w:pPr>
                    <w:rPr>
                      <w:rFonts w:eastAsia="Times New Roman"/>
                      <w:lang w:val="pt-BR" w:eastAsia="ro-RO"/>
                    </w:rPr>
                  </w:pPr>
                  <w:r w:rsidRPr="00F201AD">
                    <w:rPr>
                      <w:rFonts w:eastAsia="Times New Roman"/>
                      <w:lang w:val="pt-BR" w:eastAsia="ro-RO"/>
                    </w:rPr>
                    <w:t>totalul emisiilor din utilizarea combustibilului (gCO</w:t>
                  </w:r>
                  <w:r w:rsidRPr="00F201AD">
                    <w:rPr>
                      <w:rFonts w:eastAsia="Times New Roman"/>
                      <w:vertAlign w:val="subscript"/>
                      <w:lang w:val="pt-BR" w:eastAsia="ro-RO"/>
                    </w:rPr>
                    <w:t>2</w:t>
                  </w:r>
                  <w:r w:rsidRPr="00F201AD">
                    <w:rPr>
                      <w:rFonts w:eastAsia="Times New Roman"/>
                      <w:lang w:val="pt-BR" w:eastAsia="ro-RO"/>
                    </w:rPr>
                    <w:t>eq/MJ combustibil – </w:t>
                  </w:r>
                  <w:r w:rsidRPr="00F201AD">
                    <w:rPr>
                      <w:rFonts w:eastAsia="Times New Roman"/>
                      <w:i/>
                      <w:iCs/>
                      <w:lang w:val="pt-BR" w:eastAsia="ro-RO"/>
                    </w:rPr>
                    <w:t>grame echivalent CO</w:t>
                  </w:r>
                  <w:r w:rsidRPr="00F201AD">
                    <w:rPr>
                      <w:rFonts w:eastAsia="Times New Roman"/>
                      <w:i/>
                      <w:iCs/>
                      <w:vertAlign w:val="subscript"/>
                      <w:lang w:val="pt-BR" w:eastAsia="ro-RO"/>
                    </w:rPr>
                    <w:t>2</w:t>
                  </w:r>
                  <w:r w:rsidRPr="00F201AD">
                    <w:rPr>
                      <w:rFonts w:eastAsia="Times New Roman"/>
                      <w:i/>
                      <w:iCs/>
                      <w:lang w:val="pt-BR" w:eastAsia="ro-RO"/>
                    </w:rPr>
                    <w:t>/MJ combustibil</w:t>
                  </w:r>
                  <w:r w:rsidRPr="00F201AD">
                    <w:rPr>
                      <w:rFonts w:eastAsia="Times New Roman"/>
                      <w:lang w:val="pt-BR" w:eastAsia="ro-RO"/>
                    </w:rPr>
                    <w:t>)</w:t>
                  </w:r>
                </w:p>
              </w:tc>
            </w:tr>
            <w:tr w:rsidR="00B31FA1" w:rsidRPr="008011CF" w14:paraId="6F5377B8" w14:textId="77777777" w:rsidTr="00504F8D">
              <w:tc>
                <w:tcPr>
                  <w:tcW w:w="366" w:type="pct"/>
                  <w:shd w:val="clear" w:color="auto" w:fill="FFFFFF"/>
                  <w:hideMark/>
                </w:tcPr>
                <w:p w14:paraId="005121A3" w14:textId="77777777" w:rsidR="00B31FA1" w:rsidRPr="00F201AD" w:rsidRDefault="00B31FA1" w:rsidP="00B31FA1">
                  <w:pPr>
                    <w:rPr>
                      <w:rFonts w:eastAsia="Times New Roman"/>
                      <w:lang w:eastAsia="ro-RO"/>
                    </w:rPr>
                  </w:pPr>
                  <w:r w:rsidRPr="00F201AD">
                    <w:rPr>
                      <w:rFonts w:eastAsia="Times New Roman"/>
                      <w:lang w:eastAsia="ro-RO"/>
                    </w:rPr>
                    <w:t>e </w:t>
                  </w:r>
                  <w:r w:rsidRPr="00F201AD">
                    <w:rPr>
                      <w:rFonts w:eastAsia="Times New Roman"/>
                      <w:vertAlign w:val="subscript"/>
                      <w:lang w:eastAsia="ro-RO"/>
                    </w:rPr>
                    <w:t>i</w:t>
                  </w:r>
                </w:p>
              </w:tc>
              <w:tc>
                <w:tcPr>
                  <w:tcW w:w="114" w:type="pct"/>
                  <w:shd w:val="clear" w:color="auto" w:fill="FFFFFF"/>
                  <w:hideMark/>
                </w:tcPr>
                <w:p w14:paraId="4384081D"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3B380638" w14:textId="77777777" w:rsidR="00B31FA1" w:rsidRPr="00F201AD" w:rsidRDefault="00B31FA1" w:rsidP="00B31FA1">
                  <w:pPr>
                    <w:rPr>
                      <w:rFonts w:eastAsia="Times New Roman"/>
                      <w:lang w:val="pt-BR" w:eastAsia="ro-RO"/>
                    </w:rPr>
                  </w:pPr>
                  <w:r w:rsidRPr="00F201AD">
                    <w:rPr>
                      <w:rFonts w:eastAsia="Times New Roman"/>
                      <w:lang w:val="pt-BR" w:eastAsia="ro-RO"/>
                    </w:rPr>
                    <w:t>e </w:t>
                  </w:r>
                  <w:r w:rsidRPr="00F201AD">
                    <w:rPr>
                      <w:rFonts w:eastAsia="Times New Roman"/>
                      <w:vertAlign w:val="subscript"/>
                      <w:lang w:val="pt-BR" w:eastAsia="ro-RO"/>
                    </w:rPr>
                    <w:t>i</w:t>
                  </w:r>
                  <w:r w:rsidRPr="00F201AD">
                    <w:rPr>
                      <w:rFonts w:eastAsia="Times New Roman"/>
                      <w:lang w:val="pt-BR" w:eastAsia="ro-RO"/>
                    </w:rPr>
                    <w:t> elastic + e i rigid – e ex-uz: emisii din furnizarea intrărilor (gCO</w:t>
                  </w:r>
                  <w:r w:rsidRPr="00F201AD">
                    <w:rPr>
                      <w:rFonts w:eastAsia="Times New Roman"/>
                      <w:vertAlign w:val="subscript"/>
                      <w:lang w:val="pt-BR" w:eastAsia="ro-RO"/>
                    </w:rPr>
                    <w:t>2</w:t>
                  </w:r>
                  <w:r w:rsidRPr="00F201AD">
                    <w:rPr>
                      <w:rFonts w:eastAsia="Times New Roman"/>
                      <w:lang w:val="pt-BR" w:eastAsia="ro-RO"/>
                    </w:rPr>
                    <w:t>eq/MJ combustibil)</w:t>
                  </w:r>
                </w:p>
              </w:tc>
            </w:tr>
            <w:tr w:rsidR="00B31FA1" w:rsidRPr="008011CF" w14:paraId="161AF8C5" w14:textId="77777777" w:rsidTr="00504F8D">
              <w:tc>
                <w:tcPr>
                  <w:tcW w:w="366" w:type="pct"/>
                  <w:shd w:val="clear" w:color="auto" w:fill="FFFFFF"/>
                  <w:hideMark/>
                </w:tcPr>
                <w:p w14:paraId="7024C4D4" w14:textId="77777777" w:rsidR="00B31FA1" w:rsidRPr="00F201AD" w:rsidRDefault="00B31FA1" w:rsidP="00B31FA1">
                  <w:pPr>
                    <w:rPr>
                      <w:rFonts w:eastAsia="Times New Roman"/>
                      <w:lang w:eastAsia="ro-RO"/>
                    </w:rPr>
                  </w:pPr>
                  <w:r w:rsidRPr="00F201AD">
                    <w:rPr>
                      <w:rFonts w:eastAsia="Times New Roman"/>
                      <w:lang w:eastAsia="ro-RO"/>
                    </w:rPr>
                    <w:t>e </w:t>
                  </w:r>
                  <w:r w:rsidRPr="00F201AD">
                    <w:rPr>
                      <w:rFonts w:eastAsia="Times New Roman"/>
                      <w:vertAlign w:val="subscript"/>
                      <w:lang w:eastAsia="ro-RO"/>
                    </w:rPr>
                    <w:t>i</w:t>
                  </w:r>
                  <w:r w:rsidRPr="00F201AD">
                    <w:rPr>
                      <w:rFonts w:eastAsia="Times New Roman"/>
                      <w:lang w:eastAsia="ro-RO"/>
                    </w:rPr>
                    <w:t> </w:t>
                  </w:r>
                  <w:r w:rsidRPr="00F201AD">
                    <w:rPr>
                      <w:rFonts w:eastAsia="Times New Roman"/>
                      <w:vertAlign w:val="subscript"/>
                      <w:lang w:eastAsia="ro-RO"/>
                    </w:rPr>
                    <w:t>elastic</w:t>
                  </w:r>
                </w:p>
              </w:tc>
              <w:tc>
                <w:tcPr>
                  <w:tcW w:w="114" w:type="pct"/>
                  <w:shd w:val="clear" w:color="auto" w:fill="FFFFFF"/>
                  <w:hideMark/>
                </w:tcPr>
                <w:p w14:paraId="4D9FE3F0"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09F84FD3" w14:textId="77777777" w:rsidR="00B31FA1" w:rsidRPr="00F201AD" w:rsidRDefault="00B31FA1" w:rsidP="00B31FA1">
                  <w:pPr>
                    <w:rPr>
                      <w:rFonts w:eastAsia="Times New Roman"/>
                      <w:lang w:val="pt-BR" w:eastAsia="ro-RO"/>
                    </w:rPr>
                  </w:pPr>
                  <w:r w:rsidRPr="00F201AD">
                    <w:rPr>
                      <w:rFonts w:eastAsia="Times New Roman"/>
                      <w:lang w:val="pt-BR" w:eastAsia="ro-RO"/>
                    </w:rPr>
                    <w:t>emisii din intrările elastice (gCO</w:t>
                  </w:r>
                  <w:r w:rsidRPr="00F201AD">
                    <w:rPr>
                      <w:rFonts w:eastAsia="Times New Roman"/>
                      <w:vertAlign w:val="subscript"/>
                      <w:lang w:val="pt-BR" w:eastAsia="ro-RO"/>
                    </w:rPr>
                    <w:t>2</w:t>
                  </w:r>
                  <w:r w:rsidRPr="00F201AD">
                    <w:rPr>
                      <w:rFonts w:eastAsia="Times New Roman"/>
                      <w:lang w:val="pt-BR" w:eastAsia="ro-RO"/>
                    </w:rPr>
                    <w:t>eq/MJ combustibil)</w:t>
                  </w:r>
                </w:p>
              </w:tc>
            </w:tr>
            <w:tr w:rsidR="00B31FA1" w:rsidRPr="008011CF" w14:paraId="1268F5C2" w14:textId="77777777" w:rsidTr="00504F8D">
              <w:tc>
                <w:tcPr>
                  <w:tcW w:w="366" w:type="pct"/>
                  <w:shd w:val="clear" w:color="auto" w:fill="FFFFFF"/>
                  <w:hideMark/>
                </w:tcPr>
                <w:p w14:paraId="23C64A00" w14:textId="77777777" w:rsidR="00B31FA1" w:rsidRPr="00F201AD" w:rsidRDefault="00B31FA1" w:rsidP="00B31FA1">
                  <w:pPr>
                    <w:rPr>
                      <w:rFonts w:eastAsia="Times New Roman"/>
                      <w:lang w:eastAsia="ro-RO"/>
                    </w:rPr>
                  </w:pPr>
                  <w:r w:rsidRPr="00F201AD">
                    <w:rPr>
                      <w:rFonts w:eastAsia="Times New Roman"/>
                      <w:lang w:eastAsia="ro-RO"/>
                    </w:rPr>
                    <w:t>e </w:t>
                  </w:r>
                  <w:r w:rsidRPr="00F201AD">
                    <w:rPr>
                      <w:rFonts w:eastAsia="Times New Roman"/>
                      <w:vertAlign w:val="subscript"/>
                      <w:lang w:eastAsia="ro-RO"/>
                    </w:rPr>
                    <w:t>i</w:t>
                  </w:r>
                  <w:r w:rsidRPr="00F201AD">
                    <w:rPr>
                      <w:rFonts w:eastAsia="Times New Roman"/>
                      <w:lang w:eastAsia="ro-RO"/>
                    </w:rPr>
                    <w:t> </w:t>
                  </w:r>
                  <w:r w:rsidRPr="00F201AD">
                    <w:rPr>
                      <w:rFonts w:eastAsia="Times New Roman"/>
                      <w:vertAlign w:val="subscript"/>
                      <w:lang w:eastAsia="ro-RO"/>
                    </w:rPr>
                    <w:t>rigid</w:t>
                  </w:r>
                </w:p>
              </w:tc>
              <w:tc>
                <w:tcPr>
                  <w:tcW w:w="114" w:type="pct"/>
                  <w:shd w:val="clear" w:color="auto" w:fill="FFFFFF"/>
                  <w:hideMark/>
                </w:tcPr>
                <w:p w14:paraId="0911B0D4"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06B96BCB" w14:textId="77777777" w:rsidR="00B31FA1" w:rsidRPr="00F201AD" w:rsidRDefault="00B31FA1" w:rsidP="00B31FA1">
                  <w:pPr>
                    <w:rPr>
                      <w:rFonts w:eastAsia="Times New Roman"/>
                      <w:lang w:val="pt-BR" w:eastAsia="ro-RO"/>
                    </w:rPr>
                  </w:pPr>
                  <w:r w:rsidRPr="00F201AD">
                    <w:rPr>
                      <w:rFonts w:eastAsia="Times New Roman"/>
                      <w:lang w:val="pt-BR" w:eastAsia="ro-RO"/>
                    </w:rPr>
                    <w:t>emisii din intrări rigide (gCO</w:t>
                  </w:r>
                  <w:r w:rsidRPr="00F201AD">
                    <w:rPr>
                      <w:rFonts w:eastAsia="Times New Roman"/>
                      <w:vertAlign w:val="subscript"/>
                      <w:lang w:val="pt-BR" w:eastAsia="ro-RO"/>
                    </w:rPr>
                    <w:t>2</w:t>
                  </w:r>
                  <w:r w:rsidRPr="00F201AD">
                    <w:rPr>
                      <w:rFonts w:eastAsia="Times New Roman"/>
                      <w:lang w:val="pt-BR" w:eastAsia="ro-RO"/>
                    </w:rPr>
                    <w:t>eq/MJ combustibil)</w:t>
                  </w:r>
                </w:p>
              </w:tc>
            </w:tr>
            <w:tr w:rsidR="00B31FA1" w:rsidRPr="008011CF" w14:paraId="34F5B98A" w14:textId="77777777" w:rsidTr="00504F8D">
              <w:tc>
                <w:tcPr>
                  <w:tcW w:w="366" w:type="pct"/>
                  <w:shd w:val="clear" w:color="auto" w:fill="FFFFFF"/>
                  <w:hideMark/>
                </w:tcPr>
                <w:p w14:paraId="5FA8D0FE" w14:textId="77777777" w:rsidR="00B31FA1" w:rsidRPr="00F201AD" w:rsidRDefault="00B31FA1" w:rsidP="00B31FA1">
                  <w:pPr>
                    <w:rPr>
                      <w:rFonts w:eastAsia="Times New Roman"/>
                      <w:lang w:eastAsia="ro-RO"/>
                    </w:rPr>
                  </w:pPr>
                  <w:r w:rsidRPr="00F201AD">
                    <w:rPr>
                      <w:rFonts w:eastAsia="Times New Roman"/>
                      <w:lang w:eastAsia="ro-RO"/>
                    </w:rPr>
                    <w:t xml:space="preserve">e </w:t>
                  </w:r>
                  <w:r w:rsidRPr="00F201AD">
                    <w:rPr>
                      <w:rFonts w:eastAsia="Times New Roman"/>
                      <w:vertAlign w:val="subscript"/>
                      <w:lang w:eastAsia="ro-RO"/>
                    </w:rPr>
                    <w:t>ex-uz</w:t>
                  </w:r>
                </w:p>
              </w:tc>
              <w:tc>
                <w:tcPr>
                  <w:tcW w:w="114" w:type="pct"/>
                  <w:shd w:val="clear" w:color="auto" w:fill="FFFFFF"/>
                  <w:hideMark/>
                </w:tcPr>
                <w:p w14:paraId="6A667EFB"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792253CC" w14:textId="77777777" w:rsidR="00B31FA1" w:rsidRPr="00F201AD" w:rsidRDefault="00B31FA1" w:rsidP="00B31FA1">
                  <w:pPr>
                    <w:rPr>
                      <w:rFonts w:eastAsia="Times New Roman"/>
                      <w:lang w:val="pt-BR" w:eastAsia="ro-RO"/>
                    </w:rPr>
                  </w:pPr>
                  <w:r w:rsidRPr="00F201AD">
                    <w:rPr>
                      <w:rFonts w:eastAsia="Times New Roman"/>
                      <w:lang w:val="pt-BR" w:eastAsia="ro-RO"/>
                    </w:rPr>
                    <w:t>emisii din utilizarea sau din evoluția existentă a intrărilor (gCO</w:t>
                  </w:r>
                  <w:r w:rsidRPr="00F201AD">
                    <w:rPr>
                      <w:rFonts w:eastAsia="Times New Roman"/>
                      <w:vertAlign w:val="subscript"/>
                      <w:lang w:val="pt-BR" w:eastAsia="ro-RO"/>
                    </w:rPr>
                    <w:t>2</w:t>
                  </w:r>
                  <w:r w:rsidRPr="00F201AD">
                    <w:rPr>
                      <w:rFonts w:eastAsia="Times New Roman"/>
                      <w:lang w:val="pt-BR" w:eastAsia="ro-RO"/>
                    </w:rPr>
                    <w:t>eq/MJ combustibil)</w:t>
                  </w:r>
                </w:p>
              </w:tc>
            </w:tr>
            <w:tr w:rsidR="00B31FA1" w:rsidRPr="008011CF" w14:paraId="26FAEF9A" w14:textId="77777777" w:rsidTr="00504F8D">
              <w:tc>
                <w:tcPr>
                  <w:tcW w:w="366" w:type="pct"/>
                  <w:shd w:val="clear" w:color="auto" w:fill="FFFFFF"/>
                  <w:hideMark/>
                </w:tcPr>
                <w:p w14:paraId="51DBA37F" w14:textId="77777777" w:rsidR="00B31FA1" w:rsidRPr="00F201AD" w:rsidRDefault="00B31FA1" w:rsidP="00B31FA1">
                  <w:pPr>
                    <w:rPr>
                      <w:rFonts w:eastAsia="Times New Roman"/>
                      <w:lang w:eastAsia="ro-RO"/>
                    </w:rPr>
                  </w:pPr>
                  <w:r w:rsidRPr="00F201AD">
                    <w:rPr>
                      <w:rFonts w:eastAsia="Times New Roman"/>
                      <w:lang w:eastAsia="ro-RO"/>
                    </w:rPr>
                    <w:t>e </w:t>
                  </w:r>
                  <w:r w:rsidRPr="00F201AD">
                    <w:rPr>
                      <w:rFonts w:eastAsia="Times New Roman"/>
                      <w:vertAlign w:val="subscript"/>
                      <w:lang w:eastAsia="ro-RO"/>
                    </w:rPr>
                    <w:t>p</w:t>
                  </w:r>
                </w:p>
              </w:tc>
              <w:tc>
                <w:tcPr>
                  <w:tcW w:w="114" w:type="pct"/>
                  <w:shd w:val="clear" w:color="auto" w:fill="FFFFFF"/>
                  <w:hideMark/>
                </w:tcPr>
                <w:p w14:paraId="721C1A19"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3B221E8E" w14:textId="77777777" w:rsidR="00B31FA1" w:rsidRPr="00F201AD" w:rsidRDefault="00B31FA1" w:rsidP="00B31FA1">
                  <w:pPr>
                    <w:rPr>
                      <w:rFonts w:eastAsia="Times New Roman"/>
                      <w:lang w:val="pt-BR" w:eastAsia="ro-RO"/>
                    </w:rPr>
                  </w:pPr>
                  <w:r w:rsidRPr="00F201AD">
                    <w:rPr>
                      <w:rFonts w:eastAsia="Times New Roman"/>
                      <w:lang w:val="pt-BR" w:eastAsia="ro-RO"/>
                    </w:rPr>
                    <w:t>emisii din prelucrare (gCO</w:t>
                  </w:r>
                  <w:r w:rsidRPr="00F201AD">
                    <w:rPr>
                      <w:rFonts w:eastAsia="Times New Roman"/>
                      <w:vertAlign w:val="subscript"/>
                      <w:lang w:val="pt-BR" w:eastAsia="ro-RO"/>
                    </w:rPr>
                    <w:t>2</w:t>
                  </w:r>
                  <w:r w:rsidRPr="00F201AD">
                    <w:rPr>
                      <w:rFonts w:eastAsia="Times New Roman"/>
                      <w:lang w:val="pt-BR" w:eastAsia="ro-RO"/>
                    </w:rPr>
                    <w:t>eq/MJ combustibil)</w:t>
                  </w:r>
                </w:p>
              </w:tc>
            </w:tr>
            <w:tr w:rsidR="00B31FA1" w:rsidRPr="008011CF" w14:paraId="1396B280" w14:textId="77777777" w:rsidTr="00504F8D">
              <w:tc>
                <w:tcPr>
                  <w:tcW w:w="366" w:type="pct"/>
                  <w:shd w:val="clear" w:color="auto" w:fill="FFFFFF"/>
                  <w:hideMark/>
                </w:tcPr>
                <w:p w14:paraId="03C69B66" w14:textId="77777777" w:rsidR="00B31FA1" w:rsidRPr="00F201AD" w:rsidRDefault="00B31FA1" w:rsidP="00B31FA1">
                  <w:pPr>
                    <w:rPr>
                      <w:rFonts w:eastAsia="Times New Roman"/>
                      <w:lang w:eastAsia="ro-RO"/>
                    </w:rPr>
                  </w:pPr>
                  <w:r w:rsidRPr="00F201AD">
                    <w:rPr>
                      <w:rFonts w:eastAsia="Times New Roman"/>
                      <w:lang w:eastAsia="ro-RO"/>
                    </w:rPr>
                    <w:t>e </w:t>
                  </w:r>
                  <w:r w:rsidRPr="00F201AD">
                    <w:rPr>
                      <w:rFonts w:eastAsia="Times New Roman"/>
                      <w:vertAlign w:val="subscript"/>
                      <w:lang w:eastAsia="ro-RO"/>
                    </w:rPr>
                    <w:t>td</w:t>
                  </w:r>
                </w:p>
              </w:tc>
              <w:tc>
                <w:tcPr>
                  <w:tcW w:w="114" w:type="pct"/>
                  <w:shd w:val="clear" w:color="auto" w:fill="FFFFFF"/>
                  <w:hideMark/>
                </w:tcPr>
                <w:p w14:paraId="75445139"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58ECE840" w14:textId="77777777" w:rsidR="00B31FA1" w:rsidRPr="00F201AD" w:rsidRDefault="00B31FA1" w:rsidP="00B31FA1">
                  <w:pPr>
                    <w:rPr>
                      <w:rFonts w:eastAsia="Times New Roman"/>
                      <w:lang w:val="pt-BR" w:eastAsia="ro-RO"/>
                    </w:rPr>
                  </w:pPr>
                  <w:r w:rsidRPr="00F201AD">
                    <w:rPr>
                      <w:rFonts w:eastAsia="Times New Roman"/>
                      <w:lang w:val="pt-BR" w:eastAsia="ro-RO"/>
                    </w:rPr>
                    <w:t>emisii din transport și distribuție (gCO</w:t>
                  </w:r>
                  <w:r w:rsidRPr="00F201AD">
                    <w:rPr>
                      <w:rFonts w:eastAsia="Times New Roman"/>
                      <w:vertAlign w:val="subscript"/>
                      <w:lang w:val="pt-BR" w:eastAsia="ro-RO"/>
                    </w:rPr>
                    <w:t>2</w:t>
                  </w:r>
                  <w:r w:rsidRPr="00F201AD">
                    <w:rPr>
                      <w:rFonts w:eastAsia="Times New Roman"/>
                      <w:lang w:val="pt-BR" w:eastAsia="ro-RO"/>
                    </w:rPr>
                    <w:t>eq/MJ combustibil)</w:t>
                  </w:r>
                </w:p>
              </w:tc>
            </w:tr>
            <w:tr w:rsidR="00B31FA1" w:rsidRPr="008011CF" w14:paraId="51EFA301" w14:textId="77777777" w:rsidTr="00504F8D">
              <w:tc>
                <w:tcPr>
                  <w:tcW w:w="366" w:type="pct"/>
                  <w:shd w:val="clear" w:color="auto" w:fill="FFFFFF"/>
                  <w:hideMark/>
                </w:tcPr>
                <w:p w14:paraId="174A8469" w14:textId="77777777" w:rsidR="00B31FA1" w:rsidRPr="00F201AD" w:rsidRDefault="00B31FA1" w:rsidP="00B31FA1">
                  <w:pPr>
                    <w:rPr>
                      <w:rFonts w:eastAsia="Times New Roman"/>
                      <w:lang w:eastAsia="ro-RO"/>
                    </w:rPr>
                  </w:pPr>
                  <w:r w:rsidRPr="00F201AD">
                    <w:rPr>
                      <w:rFonts w:eastAsia="Times New Roman"/>
                      <w:lang w:eastAsia="ro-RO"/>
                    </w:rPr>
                    <w:t>e </w:t>
                  </w:r>
                  <w:r w:rsidRPr="00F201AD">
                    <w:rPr>
                      <w:rFonts w:eastAsia="Times New Roman"/>
                      <w:vertAlign w:val="subscript"/>
                      <w:lang w:eastAsia="ro-RO"/>
                    </w:rPr>
                    <w:t>u</w:t>
                  </w:r>
                </w:p>
              </w:tc>
              <w:tc>
                <w:tcPr>
                  <w:tcW w:w="114" w:type="pct"/>
                  <w:shd w:val="clear" w:color="auto" w:fill="FFFFFF"/>
                  <w:hideMark/>
                </w:tcPr>
                <w:p w14:paraId="20C6748E"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78723F34" w14:textId="77777777" w:rsidR="00B31FA1" w:rsidRPr="00F201AD" w:rsidRDefault="00B31FA1" w:rsidP="00B31FA1">
                  <w:pPr>
                    <w:rPr>
                      <w:rFonts w:eastAsia="Times New Roman"/>
                      <w:lang w:val="pt-BR" w:eastAsia="ro-RO"/>
                    </w:rPr>
                  </w:pPr>
                  <w:r w:rsidRPr="00F201AD">
                    <w:rPr>
                      <w:rFonts w:eastAsia="Times New Roman"/>
                      <w:lang w:val="pt-BR" w:eastAsia="ro-RO"/>
                    </w:rPr>
                    <w:t>emisii din arderea combustibilului în utilizarea sa finală (gCO</w:t>
                  </w:r>
                  <w:r w:rsidRPr="00F201AD">
                    <w:rPr>
                      <w:rFonts w:eastAsia="Times New Roman"/>
                      <w:vertAlign w:val="subscript"/>
                      <w:lang w:val="pt-BR" w:eastAsia="ro-RO"/>
                    </w:rPr>
                    <w:t>2</w:t>
                  </w:r>
                  <w:r w:rsidRPr="00F201AD">
                    <w:rPr>
                      <w:rFonts w:eastAsia="Times New Roman"/>
                      <w:lang w:val="pt-BR" w:eastAsia="ro-RO"/>
                    </w:rPr>
                    <w:t>eq/MJ combustibil)</w:t>
                  </w:r>
                </w:p>
              </w:tc>
            </w:tr>
            <w:tr w:rsidR="00B31FA1" w:rsidRPr="008011CF" w14:paraId="3162A5A0" w14:textId="77777777" w:rsidTr="00504F8D">
              <w:tc>
                <w:tcPr>
                  <w:tcW w:w="366" w:type="pct"/>
                  <w:shd w:val="clear" w:color="auto" w:fill="FFFFFF"/>
                  <w:hideMark/>
                </w:tcPr>
                <w:p w14:paraId="714D339A" w14:textId="77777777" w:rsidR="00B31FA1" w:rsidRPr="00F201AD" w:rsidRDefault="00B31FA1" w:rsidP="00B31FA1">
                  <w:pPr>
                    <w:rPr>
                      <w:rFonts w:eastAsia="Times New Roman"/>
                      <w:lang w:eastAsia="ro-RO"/>
                    </w:rPr>
                  </w:pPr>
                  <w:r w:rsidRPr="00F201AD">
                    <w:rPr>
                      <w:rFonts w:eastAsia="Times New Roman"/>
                      <w:lang w:eastAsia="ro-RO"/>
                    </w:rPr>
                    <w:t>e </w:t>
                  </w:r>
                  <w:r w:rsidRPr="00F201AD">
                    <w:rPr>
                      <w:rFonts w:eastAsia="Times New Roman"/>
                      <w:vertAlign w:val="subscript"/>
                      <w:lang w:eastAsia="ro-RO"/>
                    </w:rPr>
                    <w:t>ccs</w:t>
                  </w:r>
                </w:p>
              </w:tc>
              <w:tc>
                <w:tcPr>
                  <w:tcW w:w="114" w:type="pct"/>
                  <w:shd w:val="clear" w:color="auto" w:fill="FFFFFF"/>
                  <w:hideMark/>
                </w:tcPr>
                <w:p w14:paraId="39C19DC5" w14:textId="77777777" w:rsidR="00B31FA1" w:rsidRPr="00F201AD" w:rsidRDefault="00B31FA1" w:rsidP="00B31FA1">
                  <w:pPr>
                    <w:rPr>
                      <w:rFonts w:eastAsia="Times New Roman"/>
                      <w:lang w:eastAsia="ro-RO"/>
                    </w:rPr>
                  </w:pPr>
                  <w:r w:rsidRPr="00F201AD">
                    <w:rPr>
                      <w:rFonts w:eastAsia="Times New Roman"/>
                      <w:lang w:eastAsia="ro-RO"/>
                    </w:rPr>
                    <w:t>=</w:t>
                  </w:r>
                </w:p>
              </w:tc>
              <w:tc>
                <w:tcPr>
                  <w:tcW w:w="4520" w:type="pct"/>
                  <w:shd w:val="clear" w:color="auto" w:fill="FFFFFF"/>
                  <w:hideMark/>
                </w:tcPr>
                <w:p w14:paraId="53CE6E19" w14:textId="77777777" w:rsidR="00B31FA1" w:rsidRPr="00F201AD" w:rsidRDefault="00B31FA1" w:rsidP="00B31FA1">
                  <w:pPr>
                    <w:rPr>
                      <w:rFonts w:eastAsia="Times New Roman"/>
                      <w:lang w:val="pt-BR" w:eastAsia="ro-RO"/>
                    </w:rPr>
                  </w:pPr>
                  <w:r w:rsidRPr="00F201AD">
                    <w:rPr>
                      <w:rFonts w:eastAsia="Times New Roman"/>
                      <w:lang w:val="pt-BR" w:eastAsia="ro-RO"/>
                    </w:rPr>
                    <w:t>reduceri de emisii din captarea carbonului și din stocarea geologică a acestuia (gCO</w:t>
                  </w:r>
                  <w:r w:rsidRPr="00F201AD">
                    <w:rPr>
                      <w:rFonts w:eastAsia="Times New Roman"/>
                      <w:vertAlign w:val="subscript"/>
                      <w:lang w:val="pt-BR" w:eastAsia="ro-RO"/>
                    </w:rPr>
                    <w:t>2</w:t>
                  </w:r>
                  <w:r w:rsidRPr="00F201AD">
                    <w:rPr>
                      <w:rFonts w:eastAsia="Times New Roman"/>
                      <w:lang w:val="pt-BR" w:eastAsia="ro-RO"/>
                    </w:rPr>
                    <w:t>eq/MJ combustibil)</w:t>
                  </w:r>
                </w:p>
              </w:tc>
            </w:tr>
          </w:tbl>
          <w:p w14:paraId="3078BE39"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Emisiile rezultate din producția de mașini și echipamente nu se iau în considerare.</w:t>
            </w:r>
          </w:p>
          <w:p w14:paraId="2326550B"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Intensitatea emisiilor de gaze cu efect de seră generate de combustibilii lichizi și gazoși de origine nebiologică din surse regenerabile utilizați în transporturi sau de combustibilii pe bază de carbon reciclat se determină prin împărțirea emisiilor totale ale procesului care acoperă fiecare element al formulei la cantitatea totală de combustibil rezultată din proces și se exprimă în grame de echivalent CO2 per MJ de combustibil (gCO2eq/MJ combustibil). Dacă un combustibil este un amestec de combustibili lichizi și gazoși de origine nebiologică din surse regenerabile utilizați în transporturi, combustibilii pe bază de carbon reciclat și alți combustibili sunt considerați ca având aceeași intensitate a emisiilor.</w:t>
            </w:r>
          </w:p>
          <w:p w14:paraId="109953A7"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xml:space="preserve">Regula generală de calcul de la subpct. 1.2 nu se aplică în cazul coprelucrării, situație în care combustibilii lichizi și gazoși de origine nebiologică din surse regenerabile utilizați în transporturi și combustibilii pe bază de carbon </w:t>
            </w:r>
            <w:r w:rsidRPr="00F201AD">
              <w:rPr>
                <w:sz w:val="22"/>
                <w:szCs w:val="22"/>
              </w:rPr>
              <w:lastRenderedPageBreak/>
              <w:t>reciclat înlocuiesc doar parțial un factor de producție convențional într-un proces.</w:t>
            </w:r>
          </w:p>
          <w:p w14:paraId="652ADA2C"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În cazul coprelucrării, în calculul intensității emisiilor de gaze cu efect de seră se face o distincție proporțională cu valoarea energetică a intrărilor între:</w:t>
            </w:r>
          </w:p>
          <w:p w14:paraId="3800C624" w14:textId="77777777" w:rsidR="00B31FA1" w:rsidRPr="00F201AD" w:rsidRDefault="00B31FA1" w:rsidP="00B31FA1">
            <w:pPr>
              <w:pStyle w:val="Anexapct111"/>
              <w:numPr>
                <w:ilvl w:val="2"/>
                <w:numId w:val="171"/>
              </w:numPr>
              <w:spacing w:line="240" w:lineRule="auto"/>
              <w:rPr>
                <w:sz w:val="22"/>
                <w:szCs w:val="22"/>
              </w:rPr>
            </w:pPr>
            <w:r w:rsidRPr="00F201AD">
              <w:rPr>
                <w:sz w:val="22"/>
                <w:szCs w:val="22"/>
              </w:rPr>
              <w:t>partea din proces care se bazează pe intrarea convențională;</w:t>
            </w:r>
          </w:p>
          <w:p w14:paraId="10BE2C19" w14:textId="77777777" w:rsidR="00B31FA1" w:rsidRPr="00F201AD" w:rsidRDefault="00B31FA1" w:rsidP="00B31FA1">
            <w:pPr>
              <w:pStyle w:val="Anexapct111"/>
              <w:numPr>
                <w:ilvl w:val="2"/>
                <w:numId w:val="171"/>
              </w:numPr>
              <w:spacing w:line="240" w:lineRule="auto"/>
              <w:rPr>
                <w:sz w:val="22"/>
                <w:szCs w:val="22"/>
              </w:rPr>
            </w:pPr>
            <w:r w:rsidRPr="00F201AD">
              <w:rPr>
                <w:sz w:val="22"/>
                <w:szCs w:val="22"/>
              </w:rPr>
              <w:t>partea din proces care se bazează pe combustibilii lichizi și gazoși de origine nebiologică din surse regenerabile utilizați în transporturi și pe combustibilii pe bază de carbon reciclat, în măsura în care părțile procesului sunt identice.</w:t>
            </w:r>
          </w:p>
          <w:p w14:paraId="6AAE6677"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Se aplică o distincție similară între procese în cazul în care combustibilii lichizi și gazoși de origine nebiologică din surse regenerabile utilizați în transporturi și combustibilii pe bază de carbon reciclat sunt prelucrați împreună cu biomasa.</w:t>
            </w:r>
          </w:p>
          <w:p w14:paraId="3F9DC397"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Intensitatea emisiilor de gaze cu efect de seră se calculează ca medie pentru întreaga producție de combustibili care are loc într-o perioadă de cel mult o lună calendaristică, sau pentru intervale de timp mai scurte. În cazul în care energia electrică care se califică drept energie electrică complet regenerabilă în conformitate Hotărârea Guvernului nr. 74/2025 cu privire la aprobarea Regulamentului privind calculul consumului de energie din surse regenerabile</w:t>
            </w:r>
            <w:r w:rsidRPr="00F201AD" w:rsidDel="004A2196">
              <w:rPr>
                <w:sz w:val="22"/>
                <w:szCs w:val="22"/>
              </w:rPr>
              <w:t xml:space="preserve"> </w:t>
            </w:r>
            <w:r w:rsidRPr="00F201AD">
              <w:rPr>
                <w:sz w:val="22"/>
                <w:szCs w:val="22"/>
              </w:rPr>
              <w:t>este utilizată ca intrare care sporește puterea calorifică a combustibilului sau a produselor intermediare, intervalul de timp trebuie să respecte cerințele aplicabile corelării temporale. După caz, valorile intensității emisiilor de gaze cu efect de seră calculate pentru intervale de timp individuale se utilizează pentru a calcula intensitatea medie a emisiilor de gaze cu efect de seră pentru o perioadă de până la o lună, cu condiția ca valorile individuale calculate pentru fiecare perioadă de timp să respecte pragul minim de reducere stabilit de Guvern.</w:t>
            </w:r>
          </w:p>
          <w:p w14:paraId="226541F6"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Reducerile emisiilor de gaze cu efect de seră ale combustibililor lichizi și gazoși de origine nebiologică din surse regenerabile utilizați în transporturi sau ale combustibililor pe bază de carbon reciclat se calculează după cum urmează:</w:t>
            </w:r>
          </w:p>
          <w:p w14:paraId="21A0467F" w14:textId="77777777" w:rsidR="00B31FA1" w:rsidRPr="00F201AD" w:rsidRDefault="00B31FA1" w:rsidP="00B31FA1">
            <w:pPr>
              <w:jc w:val="center"/>
              <w:rPr>
                <w:lang w:val="pt-BR"/>
              </w:rPr>
            </w:pPr>
            <w:r w:rsidRPr="00F201AD">
              <w:rPr>
                <w:lang w:val="pt-BR"/>
              </w:rPr>
              <w:lastRenderedPageBreak/>
              <w:t>Economii = (E F – E)/E F</w:t>
            </w:r>
          </w:p>
          <w:p w14:paraId="1CBD3E98" w14:textId="77777777" w:rsidR="00B31FA1" w:rsidRPr="00F201AD" w:rsidRDefault="00B31FA1" w:rsidP="00B31FA1">
            <w:r w:rsidRPr="00F201AD">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341"/>
              <w:gridCol w:w="4648"/>
            </w:tblGrid>
            <w:tr w:rsidR="00B31FA1" w:rsidRPr="00F201AD" w14:paraId="2C8D0232" w14:textId="77777777" w:rsidTr="00504F8D">
              <w:tc>
                <w:tcPr>
                  <w:tcW w:w="488" w:type="dxa"/>
                </w:tcPr>
                <w:p w14:paraId="2317197F" w14:textId="77777777" w:rsidR="00B31FA1" w:rsidRPr="00F201AD" w:rsidRDefault="00B31FA1" w:rsidP="00B31FA1">
                  <w:r w:rsidRPr="00F201AD">
                    <w:t xml:space="preserve">E </w:t>
                  </w:r>
                </w:p>
              </w:tc>
              <w:tc>
                <w:tcPr>
                  <w:tcW w:w="329" w:type="dxa"/>
                </w:tcPr>
                <w:p w14:paraId="4839F387" w14:textId="77777777" w:rsidR="00B31FA1" w:rsidRPr="00F201AD" w:rsidRDefault="00B31FA1" w:rsidP="00B31FA1">
                  <w:r w:rsidRPr="00F201AD">
                    <w:t>=</w:t>
                  </w:r>
                </w:p>
              </w:tc>
              <w:tc>
                <w:tcPr>
                  <w:tcW w:w="9751" w:type="dxa"/>
                </w:tcPr>
                <w:p w14:paraId="72406C70" w14:textId="77777777" w:rsidR="00B31FA1" w:rsidRPr="00F201AD" w:rsidRDefault="00B31FA1" w:rsidP="00B31FA1">
                  <w:r w:rsidRPr="00F201AD">
                    <w:t>emisiile totale provenite din utilizarea combustibililor lichizi și gazoși de origine nebiologică din surse regenerabile utilizați în transporturi sau a combustibililor pe bază de carbon reciclat;</w:t>
                  </w:r>
                </w:p>
              </w:tc>
            </w:tr>
            <w:tr w:rsidR="00B31FA1" w:rsidRPr="00F201AD" w14:paraId="3F9B0FC2" w14:textId="77777777" w:rsidTr="00504F8D">
              <w:tc>
                <w:tcPr>
                  <w:tcW w:w="488" w:type="dxa"/>
                </w:tcPr>
                <w:p w14:paraId="3899F53B" w14:textId="77777777" w:rsidR="00B31FA1" w:rsidRPr="00F201AD" w:rsidRDefault="00B31FA1" w:rsidP="00B31FA1">
                  <w:r w:rsidRPr="00F201AD">
                    <w:t>E</w:t>
                  </w:r>
                  <w:r w:rsidRPr="00F201AD">
                    <w:rPr>
                      <w:vertAlign w:val="subscript"/>
                    </w:rPr>
                    <w:t>F</w:t>
                  </w:r>
                </w:p>
              </w:tc>
              <w:tc>
                <w:tcPr>
                  <w:tcW w:w="329" w:type="dxa"/>
                </w:tcPr>
                <w:p w14:paraId="0561B3B3" w14:textId="77777777" w:rsidR="00B31FA1" w:rsidRPr="00F201AD" w:rsidRDefault="00B31FA1" w:rsidP="00B31FA1">
                  <w:r w:rsidRPr="00F201AD">
                    <w:t>=</w:t>
                  </w:r>
                </w:p>
              </w:tc>
              <w:tc>
                <w:tcPr>
                  <w:tcW w:w="9751" w:type="dxa"/>
                </w:tcPr>
                <w:p w14:paraId="103796A6" w14:textId="77777777" w:rsidR="00B31FA1" w:rsidRPr="00F201AD" w:rsidRDefault="00B31FA1" w:rsidP="00B31FA1">
                  <w:r w:rsidRPr="00F201AD">
                    <w:t>emisiile totale provenite de la carburantul fosil de referință.</w:t>
                  </w:r>
                </w:p>
              </w:tc>
            </w:tr>
          </w:tbl>
          <w:p w14:paraId="3AB85AD2"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Pentru toți combustibilii lichizi și gazoși de origine nebiologică din surse regenerabile utilizați în transporturi și pentru combustibilii pe bază de carbon reciclat, emisiile totale provenite de la carburantul fosil de referință sunt de 94 gCO2eq/MJ.</w:t>
            </w:r>
          </w:p>
          <w:p w14:paraId="4D80FFDB"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În cazul în care rezultatul unui proces nu se califică pe deplin drept combustibili lichizi și gazoși de origine nebiologică din surse regenerabile utilizați în transporturi sau drept combustibili pe bază de carbon reciclat, ponderea lor în producția totală se determină după cum urmează:</w:t>
            </w:r>
          </w:p>
          <w:p w14:paraId="68E45F08"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fracțiunea de combustibili lichizi și gazoși de origine nebiologică din surse regenerabile utilizați în transporturi se determină împărțind intrarea relevantă de energie din surse regenerabile în proces la totalul intrărilor de energie relevante în proces;</w:t>
            </w:r>
          </w:p>
          <w:p w14:paraId="5C213CB0" w14:textId="18E62332" w:rsidR="00B31FA1" w:rsidRPr="00174808" w:rsidRDefault="00B31FA1" w:rsidP="00BF209B">
            <w:pPr>
              <w:pStyle w:val="Anexapct11"/>
              <w:numPr>
                <w:ilvl w:val="1"/>
                <w:numId w:val="171"/>
              </w:numPr>
              <w:spacing w:line="240" w:lineRule="auto"/>
            </w:pPr>
            <w:r w:rsidRPr="00F201AD">
              <w:rPr>
                <w:sz w:val="22"/>
                <w:szCs w:val="22"/>
              </w:rPr>
              <w:t>fracțiunea de combustibil pe bază de carbon reciclat se determină prin împărțirea intrării relevante de energie care se califică drept sursă pentru producția de combustibili pe bază de carbon reciclat în proces la totalul intrărilor de energie relevante în proces.</w:t>
            </w:r>
          </w:p>
          <w:p w14:paraId="0222009C"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Energia relevantă pentru intrările de materiale este puterea calorifică inferioară a intrării de material care trece în structura moleculară a combustibilului.</w:t>
            </w:r>
            <w:r w:rsidRPr="00F201AD">
              <w:rPr>
                <w:color w:val="333333"/>
                <w:sz w:val="22"/>
                <w:szCs w:val="22"/>
                <w:shd w:val="clear" w:color="auto" w:fill="FFFFFF"/>
              </w:rPr>
              <w:t xml:space="preserve"> </w:t>
            </w:r>
            <w:r w:rsidRPr="00F201AD">
              <w:rPr>
                <w:sz w:val="22"/>
                <w:szCs w:val="22"/>
              </w:rPr>
              <w:t>Pentru intrările de materiale care conțin apă, puterea calorifică inferioară se consideră drept puterea calorifică inferioară a părții uscate a intrării de material, fără a lua în considerare energia necesară evaporării apei. Combustibilii lichizi și gazoși de origine nebiologică din surse regenerabile utilizați ca produse intermediare pentru producția de combustibili convenționali nu sunt luați în considerare.</w:t>
            </w:r>
          </w:p>
          <w:p w14:paraId="6D7E1DE3"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lastRenderedPageBreak/>
              <w:t>În cazul intrărilor de energie electrică utilizate pentru creșterea valorii calorifice a combustibilului sau a produselor intermediare, energia relevantă este energia electrică.</w:t>
            </w:r>
          </w:p>
          <w:p w14:paraId="1A4D76AB"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Pentru gazele reziduale industriale, energia relevantă este energia din gazele reziduale bazată pe puterea calorifică inferioară a acestora. În cazul căldurii utilizate pentru a crește puterea calorifică a combustibilului sau a produsului intermediar, energia relevantă este energia utilă din căldura utilizată pentru sintetizarea combustibilului. Energia termică utilă este energia termică totală înmulțită cu randamentul ciclului Carnot, astfel cum este definit la subpct. 6.2 din anexa nr. 2 la prezenta hotărâre. Alte intrări sunt luate în considerare exclusiv la determinarea intensității emisiilor combustibilului.</w:t>
            </w:r>
          </w:p>
          <w:p w14:paraId="28CE4993"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La determinarea emisiilor provenite din furnizarea de intrări, se face distincția între intrările elastice și intrările rigide. Intrările rigide sunt cele a căror furnizare nu poate fi extinsă pentru a satisface cererea suplimentară. Astfel, toate intrările care se califică drept sursă de carbon pentru producția de combustibili pe bază de carbon reciclat sunt rigide, precum și ieșirile produse în proporție fixă printr-un proces încorporat în sensul subpct. 5.1 și care reprezintă mai puțin de 10 % din valoarea economică a ieșirii. În cazul în care reprezintă cel puțin 10 % din valoarea economică, aceasta se consideră elastică. Intrările elastice sunt cele a căror furnizare se extinde pentru a satisface cererea suplimentară. Produsele petroliere provenite de la rafinării se încadrează în această categorie, deoarece rafinăriile pot modifica proporția produselor lor.</w:t>
            </w:r>
          </w:p>
          <w:p w14:paraId="0CE962DF"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Procesele încorporate includ procese care au loc în același complex industrial sau care furnizează intrarea prin intermediul unei infrastructuri de furnizare dedicate sau care furnizează mai mult de jumătate din energia tuturor intrărilor pentru producția de combustibil lichid și gazos de origine nebiologică din surse regenerabile destinat transporturilor sau de combustibil pe bază de carbon reciclat.</w:t>
            </w:r>
          </w:p>
          <w:p w14:paraId="7082D003"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Energiei electrice care se califică drept complet regenerabilă în conformitate cu Hotărârea Guvernului nr. 74/2025 cu privire la aprobarea Regulamentului privind calculul consumului de energie din surse regenerabile, se atribuie emisii de gaze cu efect de seră egale cu zero.</w:t>
            </w:r>
          </w:p>
          <w:p w14:paraId="6572FC79"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lastRenderedPageBreak/>
              <w:t>În fiecare an calendaristic se aplică una dintre cele trei metode alternative de mai jos pentru a atribui valorile emisiilor de gaze cu efect de seră energiei electrice preluate din rețea care nu se califică drept complet regenerabilă în conformitate cu Hotărârea Guvernului nr. 74/2025 cu privire la aprobarea Regulamentului privind calculul consumului de energie din surse regenerabile</w:t>
            </w:r>
            <w:r w:rsidRPr="00F201AD" w:rsidDel="001B47CE">
              <w:rPr>
                <w:sz w:val="22"/>
                <w:szCs w:val="22"/>
              </w:rPr>
              <w:t xml:space="preserve"> </w:t>
            </w:r>
            <w:r w:rsidRPr="00F201AD">
              <w:rPr>
                <w:sz w:val="22"/>
                <w:szCs w:val="22"/>
              </w:rPr>
              <w:t>și care este utilizată pentru a produce combustibili lichizi și gazoși de origine nebiologică din surse regenerabile utilizați în transporturi și combustibili pe bază de carbon reciclat:</w:t>
            </w:r>
          </w:p>
          <w:p w14:paraId="074C91B1"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valorile emisiilor de gaze cu efect de seră se atribuie în conformitate cu partea C din prezenta anexă. Aplicarea prezentei prevederi nu afectează evaluarea realizată în temeiul normelor privind ajutoarele de stat;</w:t>
            </w:r>
          </w:p>
          <w:p w14:paraId="1F7DDDB6"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valorile emisiilor de gaze cu efect de seră se atribuie în funcție de numărul de ore la sarcină maximă în care funcționează instalația care produce combustibili lichizi și gazoși de origine nebiologică din surse regenerabile utilizați în transporturi și combustibili pe bază de carbon reciclat. În cazul în care numărul de ore la sarcină maximă este mai mic sau egal cu numărul de ore în care a fost stabilit prețul marginal al energiei electrice de către instalațiile care produc energie electrică din surse regenerabile sau centrale nucleare în anul calendaristic precedent pentru care sunt disponibile date fiabile, energiei electrice din rețea, utilizată în procesul de producție a combustibililor lichizi și gazoși de origine nebiologică din surse regenerabile utilizați în transporturi și a combustibililor pe bază de carbon reciclat, se atribuie o valoare a emisiilor de gaze cu efect de seră egală cu zero gCO2eq/MJ. În cazul în care acest număr de ore la sarcină maximă este depășit, energiei electrice din rețea, utilizată în procesul de producție a combustibililor lichizi și gazoși de origine nebiologică din surse regenerabile utilizați în transporturi și a combustibililor pe bază de carbon reciclat, se atribuie o valoare a emisiilor de gaze cu efect de seră de 183 gCO2eq/MJ; sau</w:t>
            </w:r>
          </w:p>
          <w:p w14:paraId="3AAF619D"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xml:space="preserve">valoarea emisiilor de gaze cu efect de seră ale unității marginale care produce energie electrică în momentul producerii combustibililor lichizi și gazoși de origine </w:t>
            </w:r>
            <w:r w:rsidRPr="00F201AD">
              <w:rPr>
                <w:sz w:val="22"/>
                <w:szCs w:val="22"/>
              </w:rPr>
              <w:lastRenderedPageBreak/>
              <w:t>nebiologică din surse regenerabile utilizați în transporturi în zona de ofertare, dacă aceste informații sunt puse la dispoziția publicului de către operatorul național de transport și de sistem.</w:t>
            </w:r>
          </w:p>
          <w:p w14:paraId="75409D59"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Dacă se utilizează metoda stabilită la subpct. 7.2, aceasta se aplică și energiei electrice care este utilizată pentru a produce combustibili lichizi și gazoși de origine nebiologică din surse regenerabile utilizați în transporturi și combustibili pe bază de carbon reciclat și care se califică drept energie provenită integral din surse regenerabile în conformitate cu Hotărârea Guvernului nr. 74/2025 cu privire la aprobarea Regulamentului privind calculul consumului de energie din surse regenerabile.</w:t>
            </w:r>
          </w:p>
          <w:p w14:paraId="4AE14CF4"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Emisiile de gaze cu efect de seră (în continuare</w:t>
            </w:r>
            <w:r w:rsidRPr="00F201AD">
              <w:rPr>
                <w:i/>
                <w:iCs/>
                <w:sz w:val="22"/>
                <w:szCs w:val="22"/>
              </w:rPr>
              <w:t xml:space="preserve"> – GES</w:t>
            </w:r>
            <w:r w:rsidRPr="00F201AD">
              <w:rPr>
                <w:sz w:val="22"/>
                <w:szCs w:val="22"/>
              </w:rPr>
              <w:t>) ale intrărilor elastice care sunt obținute printr-un proces încorporat se determină pe baza datelor din procesul lor real de producție. Aceste emisii includ toate emisiile generate de producția lor de-a lungul întregului lanț de aprovizionare, inclusiv emisiile rezultate din extracția energiei primare necesare pentru producerea intrării, prelucrarea intrării și transportul intrării. Aceste emisii nu includ emisiile de ardere legate de conținutul de carbon al intrărilor de combustibil. În cazul în care intensitățile carbonului sunt preluate din tabelul din partea B, emisiile de ardere nu se iau în considerare, deoarece acestea sunt luate în considerare în timpul prelucrării sau în emisiile de ardere ale combustibilului final.</w:t>
            </w:r>
          </w:p>
          <w:p w14:paraId="4051FC97"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xml:space="preserve">Emisiile de </w:t>
            </w:r>
            <w:r w:rsidRPr="00F201AD">
              <w:rPr>
                <w:iCs/>
                <w:sz w:val="22"/>
                <w:szCs w:val="22"/>
              </w:rPr>
              <w:t>GES</w:t>
            </w:r>
            <w:r w:rsidRPr="00F201AD">
              <w:rPr>
                <w:sz w:val="22"/>
                <w:szCs w:val="22"/>
              </w:rPr>
              <w:t xml:space="preserve"> provenite de la intrările elastice care nu sunt obținute printr-un proces încorporat se determină pe baza valorilor incluse în partea B a prezentei anexe. În cazul în care datele nu sunt incluse în listă, informațiile privind intensitatea emisiilor se extrag din cea mai recentă versiune a raportului JEC-WTW, din baza de date ECOINVENT, din surse oficiale precum Grupul interguvernamental privind schimbările climatice (în continuare – </w:t>
            </w:r>
            <w:r w:rsidRPr="00F201AD">
              <w:rPr>
                <w:i/>
                <w:sz w:val="22"/>
                <w:szCs w:val="22"/>
              </w:rPr>
              <w:t>IPCC</w:t>
            </w:r>
            <w:r w:rsidRPr="00F201AD">
              <w:rPr>
                <w:sz w:val="22"/>
                <w:szCs w:val="22"/>
              </w:rPr>
              <w:t xml:space="preserve">), Agenția Internațională pentru Energie (în continuare – </w:t>
            </w:r>
            <w:r w:rsidRPr="00F201AD">
              <w:rPr>
                <w:i/>
                <w:sz w:val="22"/>
                <w:szCs w:val="22"/>
              </w:rPr>
              <w:t>IEA</w:t>
            </w:r>
            <w:r w:rsidRPr="00F201AD">
              <w:rPr>
                <w:sz w:val="22"/>
                <w:szCs w:val="22"/>
              </w:rPr>
              <w:t>) sau surse guvernamentale, precum și din alte surse revizuite, cum ar fi baza de date E3 și GEMIS și publicațiile evaluate inter pares.</w:t>
            </w:r>
          </w:p>
          <w:p w14:paraId="2453FF6E"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 xml:space="preserve">Furnizorul fiecărei intrări, cu excepția celor pentru care valorile sunt preluate din partea B a prezentei anexe, </w:t>
            </w:r>
            <w:r w:rsidRPr="00F201AD">
              <w:rPr>
                <w:sz w:val="22"/>
                <w:szCs w:val="22"/>
              </w:rPr>
              <w:lastRenderedPageBreak/>
              <w:t>calculează intensitatea emisiilor intrării în conformitate cu procedurile din prezenta anexă și raportează valoarea următoarei etape de producție sau producătorului de combustibil final. Aceeași regulă se aplică furnizorilor de intrări situați în etapele anterioare ale lanțului de aprovizionare.</w:t>
            </w:r>
            <w:r w:rsidRPr="00F201AD">
              <w:rPr>
                <w:color w:val="333333"/>
                <w:sz w:val="22"/>
                <w:szCs w:val="22"/>
                <w:shd w:val="clear" w:color="auto" w:fill="FFFFFF"/>
              </w:rPr>
              <w:t xml:space="preserve"> </w:t>
            </w:r>
            <w:r w:rsidRPr="00F201AD">
              <w:rPr>
                <w:sz w:val="22"/>
                <w:szCs w:val="22"/>
              </w:rPr>
              <w:t>Intensitatea emisiilor nu include emisiile încorporate în conținutul de carbon al intrării furnizate.</w:t>
            </w:r>
          </w:p>
          <w:p w14:paraId="457AD8E1"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Emisiile provenite de la intrările rigide includ emisiile care rezultă din devierea acestor intrări de la o utilizare anterioară sau alternativă. Aceste emisii țin seama de pierderea producției de energie electrică, de energie termică sau de produse generate anterior utilizând materia primă, precum și de orice emisii datorate tratamentului suplimentar al intrării și al transportului. Se aplică următoarele reguli:</w:t>
            </w:r>
          </w:p>
          <w:p w14:paraId="14DF193E"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xml:space="preserve">emisiile atribuite furnizării de intrări rigide se determină înmulțind pierderea producției de energie electrică, de energie termică sau de alte produse cu factorul de emisie relevant. În cazul pierderii producției de energie electrică, factorii de emisie care se iau în considerare sunt cei aferenți producerii de energie electrică în rețea în țara în care a avut loc deplasarea, determinați în conformitate cu metodologia corespunzătoare prevăzută la punctele 6 sau 7. În cazul materialelor deturnate, emisiile care urmează să fie atribuite materialului de înlocuire se calculează ca pentru intrările de materiale în conformitate cu prezenta metodologie. În primii 20 ani de la începerea producției de combustibili lichizi și gazoși de origine nebiologică din surse regenerabile utilizați în transporturi sau de combustibili pe bază de carbon reciclat, pierderea producției de energie electrică, de energie termică și de materiale se determină pe baza cantității medii de energie electrică și termică care a fost produsă din intrarea rigidă în ultimii trei ani înainte de începerea producției de combustibili lichizi și gazoși de origine nebiologică din surse regenerabile utilizați în transporturi sau de combustibili pe bază de carbon reciclat. După 20 ani de producție, pierderea producției de energie electrică, de energie termică sau de alte produse se determină pe baza standardelor minime de performanță energetică asumate în concluziile relevante privind cele mai bune tehnologii disponibile (în continuare – </w:t>
            </w:r>
            <w:r w:rsidRPr="00F201AD">
              <w:rPr>
                <w:i/>
                <w:iCs/>
                <w:sz w:val="22"/>
                <w:szCs w:val="22"/>
              </w:rPr>
              <w:t>BAT</w:t>
            </w:r>
            <w:r w:rsidRPr="00F201AD">
              <w:rPr>
                <w:sz w:val="22"/>
                <w:szCs w:val="22"/>
              </w:rPr>
              <w:t xml:space="preserve">). În cazul în </w:t>
            </w:r>
            <w:r w:rsidRPr="00F201AD">
              <w:rPr>
                <w:sz w:val="22"/>
                <w:szCs w:val="22"/>
              </w:rPr>
              <w:lastRenderedPageBreak/>
              <w:t>care procesul nu este acoperit de BAT, estimarea pierderilor de producție se bazează pe un proces comparabil care aplică tehnologia de ultimă generație;</w:t>
            </w:r>
          </w:p>
          <w:p w14:paraId="4DD80968"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în cazul intrărilor rigide care sunt fluxuri intermediare în procesele industriale, cum ar fi gazul de cocserie, gazul de furnal din oțelării sau gazul de rafinărie din rafinăriile de petrol, dacă efectul devierii acestuia pentru producția de combustibil nu poate fi măsurat direct, emisiile datorate devierii intrărilor se determină pe baza simulărilor funcționării instalației înainte și după modificarea acesteia pentru a produce combustibili pe bază de carbon reciclat. În cazul în care modificarea instalației a cauzat o reducere a ieșirii anumitor produse, emisiile atribuite intrărilor rigide includ emisiile asociate înlocuirii produselor pierdute;</w:t>
            </w:r>
          </w:p>
          <w:p w14:paraId="73EDC939"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în cazul în care procesul utilizează intrări rigide de la instalații noi, cum ar fi o nouă oțelărie care utilizează gazul de furnal înalt pentru a produce combustibili pe bază de carbon reciclat, se ia în considerare impactul devierii intrării de la utilizarea alternativă cea mai economică. Implicațiile emisiilor sunt calculate în conformitate cu standardele minime de performanță energetică prevăzute în concluziile relevante privind BAT. Pentru procesele industriale care nu sunt acoperite de BAT, economiile de emisii se calculează pe baza procesului comparabil care aplică tehnologia de ultimă generație.</w:t>
            </w:r>
          </w:p>
          <w:p w14:paraId="044D85DF"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Emisiile provenite din utilizarea sau evoluția existentă includ toate emisiile din utilizarea sau din evoluția existentă a intrării, care sunt evitate atunci când intrarea este utilizată pentru producția de combustibil. Aceste emisii includ echivalentul CO2 al carbonului încorporat în compoziția chimică a combustibilului care altfel ar fi fost emis în atmosferă sub formă de CO2. Se include, de asemenea, CO2 care a fost captat și încorporat în combustibil, cu condiția să fie îndeplinită cel puțin una dintre următoarele condiții:</w:t>
            </w:r>
          </w:p>
          <w:p w14:paraId="2D1580B9"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xml:space="preserve">CO2 a fost captat în urma unei activități enumerate în anexa nr. 1 la Legea nr. 74/2024 privind acțiunile climatice și a fost luat în considerare în amonte într-un sistem eficace de tarifare a carbonului și este încorporat în compoziția chimică a combustibilului înainte de 2036. Această dată se prelungește </w:t>
            </w:r>
            <w:r w:rsidRPr="00F201AD">
              <w:rPr>
                <w:sz w:val="22"/>
                <w:szCs w:val="22"/>
              </w:rPr>
              <w:lastRenderedPageBreak/>
              <w:t>până în 2041 în alte cazuri decât CO2 rezultat din arderea combustibililor pentru producerea de energie electrică;</w:t>
            </w:r>
          </w:p>
          <w:p w14:paraId="2CF80257"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xml:space="preserve">CO2 a fost captat din aer; </w:t>
            </w:r>
          </w:p>
          <w:p w14:paraId="417E81DF"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CO2 captat provine din producția sau din arderea biocombustibililor, a biolichidelor sau a combustibililor pe bază de biomasă care respectă criteriile de reducere a gazelor cu efect de seră și captarea de CO2 nu a beneficiat de credite pentru reduceri ale emisiilor din captarea și din înlocuirea CO2, stabilite în anexa nr. 2 din prezenta hotărâre;</w:t>
            </w:r>
          </w:p>
          <w:p w14:paraId="2D491FAE" w14:textId="0F5FE895" w:rsidR="00B31FA1" w:rsidRPr="00F201AD" w:rsidRDefault="00B31FA1" w:rsidP="00B31FA1">
            <w:pPr>
              <w:pStyle w:val="Anexapct11"/>
              <w:numPr>
                <w:ilvl w:val="1"/>
                <w:numId w:val="171"/>
              </w:numPr>
              <w:spacing w:line="240" w:lineRule="auto"/>
              <w:rPr>
                <w:sz w:val="22"/>
                <w:szCs w:val="22"/>
              </w:rPr>
            </w:pPr>
            <w:r w:rsidRPr="00F201AD">
              <w:rPr>
                <w:sz w:val="22"/>
                <w:szCs w:val="22"/>
              </w:rPr>
              <w:t>CO2 captat provine din arderea combustibililor lichizi și gazoși de origine nebiologică din surse regenerabile utilizați în transporturi sau a combustibililor pe bază de carbon reciclat care respectă criteriile de reducere a emisiilor de gaze cu efect de seră prevăzute la pct. 2 din prezenta hotărâre, în anexa nr. 10 la Regulamentul cu privire la normele de verificare a biocarburanților, biolichidelor și combustibililor din biomasă, precum și în prezenta anexă; sau</w:t>
            </w:r>
          </w:p>
          <w:p w14:paraId="69511D9E"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CO2 captat provine dintr-o sursă geologică de CO2 și a fost eliberat anterior în mod natural.</w:t>
            </w:r>
          </w:p>
          <w:p w14:paraId="67EA1435"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Nu se include CO2 captat provenit dintr-un combustibil ars în mod deliberat în scopul specific de a produce CO2 și CO2 a cărui captare a beneficiat de un credit de emisii în temeiul altor dispoziții legale.</w:t>
            </w:r>
          </w:p>
          <w:p w14:paraId="1A161EFB"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Emisiile asociate intrărilor, cum ar fi energia electrică și termică și materialele consumabile utilizate în procesul de captare a CO2, se includ în calculul emisiilor atribuite intrărilor.</w:t>
            </w:r>
          </w:p>
          <w:p w14:paraId="5DAF41F9"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Datele stabilite la subpct. 12.1 vor face obiectul unei revizuiri din perspectiva punerii în aplicare, în sectoarele reglementate de Legea nr. 74/2024 privind acțiunile climatice, a obiectivului climatic la nivelul național pentru 2040, stabilit în conformitate cu Hotărârea Guvernului nr. 10/2024 pentru aprobarea Regulamentului privind mecanismul de guvernanță energetică și a acțiunilor climatice.</w:t>
            </w:r>
          </w:p>
          <w:p w14:paraId="2782CF8A"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Emisiile provenite din prelucrare includ emisiile atmosferice directe provenite din prelucrarea propriu-zisă, din tratarea deșeurilor și din scurgeri.</w:t>
            </w:r>
          </w:p>
          <w:p w14:paraId="6060B20E"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Emisiile provenite din arderea combustibilului se referă la emisiile totale de ardere ale combustibilului utilizat.</w:t>
            </w:r>
          </w:p>
          <w:p w14:paraId="789BA384"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lastRenderedPageBreak/>
              <w:t>Gazele cu efect de seră luate în considerare în calculul emisiilor și echivalentele acestora în dioxid de carbon sunt aceleași cu cele specificate la pct. 9 din anexa nr. 2 la prezenta hotărâre.</w:t>
            </w:r>
          </w:p>
          <w:p w14:paraId="05DCF665"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În cazul în care un proces produce mai multe coproduse, cum ar fi combustibili sau substanțe chimice, precum și coproduse energetice, cum ar fi căldura, energia electrică sau energia mecanică exportată din instalație, emisiile de gaze cu efect de seră se alocă acestor coproduse după cum urmează:</w:t>
            </w:r>
          </w:p>
          <w:p w14:paraId="08E5227D"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alocarea se efectuează la sfârșitul procesului care produce coprodusele. Emisiile alocate includ emisiile provenite din acest proces, precum și emisiile atribuite intrărilor în proces;</w:t>
            </w:r>
          </w:p>
          <w:p w14:paraId="5968C5D0"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xml:space="preserve">emisiile care urmează să fie alocate sunt </w:t>
            </w:r>
            <w:r w:rsidRPr="00F201AD">
              <w:rPr>
                <w:i/>
                <w:iCs/>
                <w:sz w:val="22"/>
                <w:szCs w:val="22"/>
              </w:rPr>
              <w:t>e</w:t>
            </w:r>
            <w:r w:rsidRPr="00F201AD">
              <w:rPr>
                <w:i/>
                <w:iCs/>
                <w:sz w:val="22"/>
                <w:szCs w:val="22"/>
                <w:vertAlign w:val="subscript"/>
              </w:rPr>
              <w:t>i</w:t>
            </w:r>
            <w:r w:rsidRPr="00F201AD">
              <w:rPr>
                <w:sz w:val="22"/>
                <w:szCs w:val="22"/>
              </w:rPr>
              <w:t>, precum și orice fracții de e</w:t>
            </w:r>
            <w:r w:rsidRPr="00F201AD">
              <w:rPr>
                <w:sz w:val="22"/>
                <w:szCs w:val="22"/>
                <w:vertAlign w:val="subscript"/>
              </w:rPr>
              <w:t>p</w:t>
            </w:r>
            <w:r w:rsidRPr="00F201AD">
              <w:rPr>
                <w:sz w:val="22"/>
                <w:szCs w:val="22"/>
              </w:rPr>
              <w:t>, e</w:t>
            </w:r>
            <w:r w:rsidRPr="00F201AD">
              <w:rPr>
                <w:sz w:val="22"/>
                <w:szCs w:val="22"/>
                <w:vertAlign w:val="subscript"/>
              </w:rPr>
              <w:t>td</w:t>
            </w:r>
            <w:r w:rsidRPr="00F201AD">
              <w:rPr>
                <w:sz w:val="22"/>
                <w:szCs w:val="22"/>
              </w:rPr>
              <w:t xml:space="preserve"> și e</w:t>
            </w:r>
            <w:r w:rsidRPr="00F201AD">
              <w:rPr>
                <w:sz w:val="22"/>
                <w:szCs w:val="22"/>
                <w:vertAlign w:val="subscript"/>
              </w:rPr>
              <w:t>ccs</w:t>
            </w:r>
            <w:r w:rsidRPr="00F201AD">
              <w:rPr>
                <w:sz w:val="22"/>
                <w:szCs w:val="22"/>
              </w:rPr>
              <w:t xml:space="preserve"> care au loc până la și inclusiv în etapa de producție a coproduselor. În cazul în care o intrare în proces reprezintă în mod propriu</w:t>
            </w:r>
            <w:r w:rsidRPr="00F201AD" w:rsidDel="00827257">
              <w:rPr>
                <w:sz w:val="22"/>
                <w:szCs w:val="22"/>
              </w:rPr>
              <w:t xml:space="preserve"> </w:t>
            </w:r>
            <w:r w:rsidRPr="00F201AD">
              <w:rPr>
                <w:sz w:val="22"/>
                <w:szCs w:val="22"/>
              </w:rPr>
              <w:t>un coprodus al unui alt proces, alocarea în cadrul celuilalt proces se efectuează mai întâi pentru a stabili emisiile care urmează să fie atribuite intrării;</w:t>
            </w:r>
          </w:p>
          <w:p w14:paraId="2379A371"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în cazul în care o instalație situată în interiorul limitelor proiectului tratează doar unul dintre coprodusele proiectului, atunci emisiile instalației respective se atribuie în întregime respectivului coprodus;</w:t>
            </w:r>
          </w:p>
          <w:p w14:paraId="0C7FE897"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în cazul în care procesul permite modificarea raportului dintre coprodusele generate, alocarea se face pe baza cauzalității fizice prin determinarea efectului asupra emisiilor de proces al creșterii ieșirii unui singur coprodus, menținând totodată constante celelalte ieșiri;</w:t>
            </w:r>
          </w:p>
          <w:p w14:paraId="220AA7B9"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în cazul în care raportul dintre produse este fix, iar coprodusele sunt toate combustibili, energie electrică sau energie termică, alocarea se face în funcție de conținutul energetic. Dacă alocarea se referă la energia termică exportată pe baza conținutului energetic, se permite de considerat numai partea utilă a energiei termice, astfel cum este definită la pct. 20 din anexa nr. 2 la prezenta hotărâre;</w:t>
            </w:r>
          </w:p>
          <w:p w14:paraId="0DD126E6" w14:textId="77777777" w:rsidR="00B31FA1" w:rsidRPr="00F201AD" w:rsidRDefault="00B31FA1" w:rsidP="00B31FA1">
            <w:pPr>
              <w:pStyle w:val="Anexapct11"/>
              <w:numPr>
                <w:ilvl w:val="1"/>
                <w:numId w:val="171"/>
              </w:numPr>
              <w:spacing w:line="240" w:lineRule="auto"/>
              <w:rPr>
                <w:sz w:val="22"/>
                <w:szCs w:val="22"/>
              </w:rPr>
            </w:pPr>
            <w:r w:rsidRPr="00F201AD">
              <w:rPr>
                <w:sz w:val="22"/>
                <w:szCs w:val="22"/>
              </w:rPr>
              <w:t xml:space="preserve">în cazul în care raportul dintre produse este fix și unele coproduse sunt materiale fără conținut energetic, </w:t>
            </w:r>
            <w:r w:rsidRPr="00F201AD">
              <w:rPr>
                <w:sz w:val="22"/>
                <w:szCs w:val="22"/>
              </w:rPr>
              <w:lastRenderedPageBreak/>
              <w:t>alocarea se face în funcție de valoarea economică a coproduselor. Valoarea economică luată în considerare este valoarea medie la poarta fabricii a produselor din ultimii trei ani. În cazul în care astfel de date nu sunt disponibile, valoarea se estimează pe baza prețurilor materiilor prime minus costurile de transport și depozitare. Valorile relative ale coproduselor au caracter important, iar inflația generală nu constituie un impediment.</w:t>
            </w:r>
          </w:p>
          <w:p w14:paraId="2BCDEBFF"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 xml:space="preserve">Emisiile provenite din transport și distribuție includ emisiile provenite din depozitarea și distribuția combustibililor finiți. Emisiile atribuite intrărilor </w:t>
            </w:r>
            <w:r w:rsidRPr="00F201AD">
              <w:rPr>
                <w:i/>
                <w:iCs/>
                <w:sz w:val="22"/>
                <w:szCs w:val="22"/>
              </w:rPr>
              <w:t>e</w:t>
            </w:r>
            <w:r w:rsidRPr="00F201AD">
              <w:rPr>
                <w:i/>
                <w:iCs/>
                <w:sz w:val="22"/>
                <w:szCs w:val="22"/>
                <w:vertAlign w:val="subscript"/>
              </w:rPr>
              <w:t>i</w:t>
            </w:r>
            <w:r w:rsidRPr="00F201AD">
              <w:rPr>
                <w:sz w:val="22"/>
                <w:szCs w:val="22"/>
              </w:rPr>
              <w:t xml:space="preserve"> includ emisiile provenite din transportul și depozitarea asociate acestora.</w:t>
            </w:r>
          </w:p>
          <w:p w14:paraId="15E35015"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 xml:space="preserve">În cazul în care un proces de fabricare a combustibililor lichizi și gazoși de origine nebiologică din surse regenerabile utilizați în transporturi sau a combustibililor pe bază de carbon reciclat produce emisii de carbon care sunt stocate permanent în conformitate cu condițiile stabilite în legile și alte acte normative în domeniu, se permite creditarea emisiilor respective produselor procesului, ca o reducere a emisiilor, în conformitate cu </w:t>
            </w:r>
            <w:r w:rsidRPr="00F201AD">
              <w:rPr>
                <w:i/>
                <w:sz w:val="22"/>
                <w:szCs w:val="22"/>
              </w:rPr>
              <w:t>e</w:t>
            </w:r>
            <w:r w:rsidRPr="00F201AD">
              <w:rPr>
                <w:i/>
                <w:sz w:val="22"/>
                <w:szCs w:val="22"/>
                <w:vertAlign w:val="subscript"/>
              </w:rPr>
              <w:t>ccs</w:t>
            </w:r>
            <w:r w:rsidRPr="00F201AD">
              <w:rPr>
                <w:sz w:val="22"/>
                <w:szCs w:val="22"/>
              </w:rPr>
              <w:t xml:space="preserve">. Emisiile generate de operațiunea de stocare, inclusiv transportul dioxidului de carbon, se iau în considerare la punctul </w:t>
            </w:r>
            <w:r w:rsidRPr="00F201AD">
              <w:rPr>
                <w:i/>
                <w:iCs/>
                <w:sz w:val="22"/>
                <w:szCs w:val="22"/>
              </w:rPr>
              <w:t>e</w:t>
            </w:r>
            <w:r w:rsidRPr="00F201AD">
              <w:rPr>
                <w:i/>
                <w:iCs/>
                <w:sz w:val="22"/>
                <w:szCs w:val="22"/>
                <w:vertAlign w:val="subscript"/>
              </w:rPr>
              <w:t>p</w:t>
            </w:r>
            <w:r w:rsidRPr="00F201AD">
              <w:rPr>
                <w:sz w:val="22"/>
                <w:szCs w:val="22"/>
              </w:rPr>
              <w:t>.</w:t>
            </w:r>
          </w:p>
          <w:p w14:paraId="4C84032E" w14:textId="77777777" w:rsidR="00B31FA1" w:rsidRPr="00F201AD" w:rsidRDefault="00B31FA1" w:rsidP="00B31FA1">
            <w:pPr>
              <w:pStyle w:val="Sectiune"/>
              <w:spacing w:line="240" w:lineRule="auto"/>
              <w:rPr>
                <w:sz w:val="22"/>
                <w:szCs w:val="22"/>
              </w:rPr>
            </w:pPr>
            <w:r w:rsidRPr="00F201AD">
              <w:rPr>
                <w:sz w:val="22"/>
                <w:szCs w:val="22"/>
              </w:rPr>
              <w:t xml:space="preserve">Partea B </w:t>
            </w:r>
          </w:p>
          <w:p w14:paraId="7F7AD579" w14:textId="77777777" w:rsidR="00B31FA1" w:rsidRPr="00F201AD" w:rsidRDefault="00B31FA1" w:rsidP="00B31FA1">
            <w:pPr>
              <w:pStyle w:val="Sectiune"/>
              <w:spacing w:line="240" w:lineRule="auto"/>
              <w:rPr>
                <w:sz w:val="22"/>
                <w:szCs w:val="22"/>
              </w:rPr>
            </w:pPr>
            <w:r w:rsidRPr="00F201AD">
              <w:rPr>
                <w:sz w:val="22"/>
                <w:szCs w:val="22"/>
              </w:rPr>
              <w:t>Valori standard pentru intensitățile emisiilor de gaze cu efect de seră ale intrărilor elastice</w:t>
            </w:r>
          </w:p>
          <w:p w14:paraId="265C7407" w14:textId="77777777" w:rsidR="00B31FA1" w:rsidRPr="00F201AD" w:rsidRDefault="00B31FA1" w:rsidP="00B31FA1">
            <w:pPr>
              <w:shd w:val="clear" w:color="auto" w:fill="FFFFFF"/>
              <w:spacing w:before="120"/>
              <w:rPr>
                <w:rFonts w:eastAsia="Times New Roman"/>
                <w:color w:val="333333"/>
                <w:lang w:val="pt-BR" w:eastAsia="ro-RO"/>
              </w:rPr>
            </w:pPr>
            <w:r w:rsidRPr="00F201AD">
              <w:rPr>
                <w:rFonts w:eastAsia="Times New Roman"/>
                <w:color w:val="333333"/>
                <w:lang w:val="pt-BR" w:eastAsia="ro-RO"/>
              </w:rPr>
              <w:t>Intensitățile GES ale intrărilor, altele decât energia electrică, sunt prezentate în tabelul de mai jos:</w:t>
            </w:r>
          </w:p>
          <w:tbl>
            <w:tblPr>
              <w:tblW w:w="3832"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02"/>
              <w:gridCol w:w="856"/>
              <w:gridCol w:w="1187"/>
              <w:gridCol w:w="1112"/>
            </w:tblGrid>
            <w:tr w:rsidR="00B31FA1" w:rsidRPr="002F4EE0" w14:paraId="3EE732F9" w14:textId="77777777" w:rsidTr="00504F8D">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43DBE7C4" w14:textId="77777777" w:rsidR="00B31FA1" w:rsidRPr="00F201AD" w:rsidRDefault="00B31FA1" w:rsidP="00B31FA1">
                  <w:pPr>
                    <w:rPr>
                      <w:rFonts w:eastAsia="Times New Roman"/>
                      <w:sz w:val="16"/>
                      <w:szCs w:val="16"/>
                      <w:lang w:val="pt-BR" w:eastAsia="ro-RO"/>
                    </w:rPr>
                  </w:pPr>
                  <w:r w:rsidRPr="00F201AD">
                    <w:rPr>
                      <w:rFonts w:eastAsia="Times New Roman"/>
                      <w:sz w:val="16"/>
                      <w:szCs w:val="16"/>
                      <w:lang w:val="pt-BR" w:eastAsia="ro-RO"/>
                    </w:rPr>
                    <w:t> </w:t>
                  </w:r>
                </w:p>
              </w:tc>
              <w:tc>
                <w:tcPr>
                  <w:tcW w:w="1029" w:type="pct"/>
                  <w:tcBorders>
                    <w:top w:val="single" w:sz="6" w:space="0" w:color="000000"/>
                    <w:left w:val="single" w:sz="6" w:space="0" w:color="000000"/>
                    <w:bottom w:val="single" w:sz="6" w:space="0" w:color="000000"/>
                    <w:right w:val="single" w:sz="6" w:space="0" w:color="000000"/>
                  </w:tcBorders>
                  <w:shd w:val="clear" w:color="auto" w:fill="FFFFFF"/>
                  <w:hideMark/>
                </w:tcPr>
                <w:p w14:paraId="66571F05" w14:textId="77777777" w:rsidR="00B31FA1" w:rsidRPr="00F201AD" w:rsidRDefault="00B31FA1" w:rsidP="00B31FA1">
                  <w:pPr>
                    <w:jc w:val="center"/>
                    <w:rPr>
                      <w:rFonts w:eastAsia="Times New Roman"/>
                      <w:b/>
                      <w:bCs/>
                      <w:sz w:val="16"/>
                      <w:szCs w:val="16"/>
                      <w:lang w:eastAsia="ro-RO"/>
                    </w:rPr>
                  </w:pPr>
                  <w:r w:rsidRPr="00F201AD">
                    <w:rPr>
                      <w:rFonts w:eastAsia="Times New Roman"/>
                      <w:b/>
                      <w:bCs/>
                      <w:sz w:val="16"/>
                      <w:szCs w:val="16"/>
                      <w:lang w:eastAsia="ro-RO"/>
                    </w:rPr>
                    <w:t>Emisii totale</w:t>
                  </w:r>
                </w:p>
                <w:p w14:paraId="374DF455" w14:textId="77777777" w:rsidR="00B31FA1" w:rsidRPr="00F201AD" w:rsidRDefault="00B31FA1" w:rsidP="00B31FA1">
                  <w:pPr>
                    <w:jc w:val="center"/>
                    <w:rPr>
                      <w:rFonts w:eastAsia="Times New Roman"/>
                      <w:b/>
                      <w:bCs/>
                      <w:sz w:val="16"/>
                      <w:szCs w:val="16"/>
                      <w:lang w:eastAsia="ro-RO"/>
                    </w:rPr>
                  </w:pPr>
                  <w:r w:rsidRPr="00F201AD">
                    <w:rPr>
                      <w:rFonts w:eastAsia="Times New Roman"/>
                      <w:b/>
                      <w:bCs/>
                      <w:sz w:val="16"/>
                      <w:szCs w:val="16"/>
                      <w:lang w:eastAsia="ro-RO"/>
                    </w:rPr>
                    <w:t>gCO</w:t>
                  </w:r>
                  <w:r w:rsidRPr="00F201AD">
                    <w:rPr>
                      <w:rFonts w:eastAsia="Times New Roman"/>
                      <w:b/>
                      <w:bCs/>
                      <w:sz w:val="16"/>
                      <w:szCs w:val="16"/>
                      <w:vertAlign w:val="subscript"/>
                      <w:lang w:eastAsia="ro-RO"/>
                    </w:rPr>
                    <w:t>2</w:t>
                  </w:r>
                  <w:r w:rsidRPr="00F201AD">
                    <w:rPr>
                      <w:rFonts w:eastAsia="Times New Roman"/>
                      <w:b/>
                      <w:bCs/>
                      <w:sz w:val="16"/>
                      <w:szCs w:val="16"/>
                      <w:lang w:eastAsia="ro-RO"/>
                    </w:rPr>
                    <w:t>eq/MJ</w:t>
                  </w:r>
                </w:p>
              </w:tc>
              <w:tc>
                <w:tcPr>
                  <w:tcW w:w="1428" w:type="pct"/>
                  <w:tcBorders>
                    <w:top w:val="single" w:sz="6" w:space="0" w:color="000000"/>
                    <w:left w:val="single" w:sz="6" w:space="0" w:color="000000"/>
                    <w:bottom w:val="single" w:sz="6" w:space="0" w:color="000000"/>
                    <w:right w:val="single" w:sz="6" w:space="0" w:color="000000"/>
                  </w:tcBorders>
                  <w:shd w:val="clear" w:color="auto" w:fill="FFFFFF"/>
                  <w:hideMark/>
                </w:tcPr>
                <w:p w14:paraId="44A341D6" w14:textId="77777777" w:rsidR="00B31FA1" w:rsidRPr="00F201AD" w:rsidRDefault="00B31FA1" w:rsidP="00B31FA1">
                  <w:pPr>
                    <w:jc w:val="center"/>
                    <w:rPr>
                      <w:rFonts w:eastAsia="Times New Roman"/>
                      <w:b/>
                      <w:bCs/>
                      <w:sz w:val="16"/>
                      <w:szCs w:val="16"/>
                      <w:lang w:val="pt-BR" w:eastAsia="ro-RO"/>
                    </w:rPr>
                  </w:pPr>
                  <w:r w:rsidRPr="00F201AD">
                    <w:rPr>
                      <w:rFonts w:eastAsia="Times New Roman"/>
                      <w:b/>
                      <w:bCs/>
                      <w:sz w:val="16"/>
                      <w:szCs w:val="16"/>
                      <w:lang w:val="pt-BR" w:eastAsia="ro-RO"/>
                    </w:rPr>
                    <w:t>Emisii în amonte</w:t>
                  </w:r>
                </w:p>
                <w:p w14:paraId="46218A3B" w14:textId="77777777" w:rsidR="00B31FA1" w:rsidRPr="00F201AD" w:rsidRDefault="00B31FA1" w:rsidP="00B31FA1">
                  <w:pPr>
                    <w:jc w:val="center"/>
                    <w:rPr>
                      <w:rFonts w:eastAsia="Times New Roman"/>
                      <w:b/>
                      <w:bCs/>
                      <w:sz w:val="16"/>
                      <w:szCs w:val="16"/>
                      <w:lang w:val="pt-BR" w:eastAsia="ro-RO"/>
                    </w:rPr>
                  </w:pPr>
                  <w:r w:rsidRPr="00F201AD">
                    <w:rPr>
                      <w:rFonts w:eastAsia="Times New Roman"/>
                      <w:b/>
                      <w:bCs/>
                      <w:sz w:val="16"/>
                      <w:szCs w:val="16"/>
                      <w:lang w:val="pt-BR" w:eastAsia="ro-RO"/>
                    </w:rPr>
                    <w:t>gCO</w:t>
                  </w:r>
                  <w:r w:rsidRPr="00F201AD">
                    <w:rPr>
                      <w:rFonts w:eastAsia="Times New Roman"/>
                      <w:b/>
                      <w:bCs/>
                      <w:sz w:val="16"/>
                      <w:szCs w:val="16"/>
                      <w:vertAlign w:val="subscript"/>
                      <w:lang w:val="pt-BR" w:eastAsia="ro-RO"/>
                    </w:rPr>
                    <w:t>2</w:t>
                  </w:r>
                  <w:r w:rsidRPr="00F201AD">
                    <w:rPr>
                      <w:rFonts w:eastAsia="Times New Roman"/>
                      <w:b/>
                      <w:bCs/>
                      <w:sz w:val="16"/>
                      <w:szCs w:val="16"/>
                      <w:lang w:val="pt-BR" w:eastAsia="ro-RO"/>
                    </w:rPr>
                    <w:t>eq/MJ</w:t>
                  </w:r>
                </w:p>
              </w:tc>
              <w:tc>
                <w:tcPr>
                  <w:tcW w:w="1337" w:type="pct"/>
                  <w:tcBorders>
                    <w:top w:val="single" w:sz="6" w:space="0" w:color="000000"/>
                    <w:left w:val="single" w:sz="6" w:space="0" w:color="000000"/>
                    <w:bottom w:val="single" w:sz="6" w:space="0" w:color="000000"/>
                    <w:right w:val="single" w:sz="6" w:space="0" w:color="000000"/>
                  </w:tcBorders>
                  <w:shd w:val="clear" w:color="auto" w:fill="FFFFFF"/>
                  <w:hideMark/>
                </w:tcPr>
                <w:p w14:paraId="0FC0CAF5" w14:textId="77777777" w:rsidR="00B31FA1" w:rsidRPr="00F201AD" w:rsidRDefault="00B31FA1" w:rsidP="00B31FA1">
                  <w:pPr>
                    <w:jc w:val="center"/>
                    <w:rPr>
                      <w:rFonts w:eastAsia="Times New Roman"/>
                      <w:b/>
                      <w:bCs/>
                      <w:sz w:val="16"/>
                      <w:szCs w:val="16"/>
                      <w:lang w:val="pt-BR" w:eastAsia="ro-RO"/>
                    </w:rPr>
                  </w:pPr>
                  <w:r w:rsidRPr="00F201AD">
                    <w:rPr>
                      <w:rFonts w:eastAsia="Times New Roman"/>
                      <w:b/>
                      <w:bCs/>
                      <w:sz w:val="16"/>
                      <w:szCs w:val="16"/>
                      <w:lang w:val="pt-BR" w:eastAsia="ro-RO"/>
                    </w:rPr>
                    <w:t>Emisii de ardere</w:t>
                  </w:r>
                </w:p>
                <w:p w14:paraId="7236E474" w14:textId="77777777" w:rsidR="00B31FA1" w:rsidRPr="00F201AD" w:rsidRDefault="00B31FA1" w:rsidP="00B31FA1">
                  <w:pPr>
                    <w:jc w:val="center"/>
                    <w:rPr>
                      <w:rFonts w:eastAsia="Times New Roman"/>
                      <w:b/>
                      <w:bCs/>
                      <w:sz w:val="16"/>
                      <w:szCs w:val="16"/>
                      <w:lang w:val="pt-BR" w:eastAsia="ro-RO"/>
                    </w:rPr>
                  </w:pPr>
                  <w:r w:rsidRPr="00F201AD">
                    <w:rPr>
                      <w:rFonts w:eastAsia="Times New Roman"/>
                      <w:b/>
                      <w:bCs/>
                      <w:sz w:val="16"/>
                      <w:szCs w:val="16"/>
                      <w:lang w:val="pt-BR" w:eastAsia="ro-RO"/>
                    </w:rPr>
                    <w:t>gCO</w:t>
                  </w:r>
                  <w:r w:rsidRPr="00F201AD">
                    <w:rPr>
                      <w:rFonts w:eastAsia="Times New Roman"/>
                      <w:b/>
                      <w:bCs/>
                      <w:sz w:val="16"/>
                      <w:szCs w:val="16"/>
                      <w:vertAlign w:val="subscript"/>
                      <w:lang w:val="pt-BR" w:eastAsia="ro-RO"/>
                    </w:rPr>
                    <w:t>2</w:t>
                  </w:r>
                  <w:r w:rsidRPr="00F201AD">
                    <w:rPr>
                      <w:rFonts w:eastAsia="Times New Roman"/>
                      <w:b/>
                      <w:bCs/>
                      <w:sz w:val="16"/>
                      <w:szCs w:val="16"/>
                      <w:lang w:val="pt-BR" w:eastAsia="ro-RO"/>
                    </w:rPr>
                    <w:t>eq/MJ</w:t>
                  </w:r>
                </w:p>
              </w:tc>
            </w:tr>
            <w:tr w:rsidR="00B31FA1" w:rsidRPr="00F201AD" w14:paraId="0069D06D" w14:textId="77777777" w:rsidTr="00504F8D">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469B459C" w14:textId="77777777" w:rsidR="00B31FA1" w:rsidRPr="00F201AD" w:rsidRDefault="00B31FA1" w:rsidP="00B31FA1">
                  <w:pPr>
                    <w:rPr>
                      <w:rFonts w:eastAsia="Times New Roman"/>
                      <w:sz w:val="16"/>
                      <w:szCs w:val="16"/>
                      <w:lang w:eastAsia="ro-RO"/>
                    </w:rPr>
                  </w:pPr>
                  <w:r w:rsidRPr="00F201AD">
                    <w:rPr>
                      <w:rFonts w:eastAsia="Times New Roman"/>
                      <w:sz w:val="16"/>
                      <w:szCs w:val="16"/>
                      <w:lang w:eastAsia="ro-RO"/>
                    </w:rPr>
                    <w:t>Gaze naturale</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A52A1" w14:textId="77777777" w:rsidR="00B31FA1" w:rsidRPr="00F201AD" w:rsidRDefault="00B31FA1" w:rsidP="00B31FA1">
                  <w:pPr>
                    <w:jc w:val="center"/>
                    <w:rPr>
                      <w:sz w:val="16"/>
                      <w:szCs w:val="16"/>
                    </w:rPr>
                  </w:pPr>
                  <w:r w:rsidRPr="00F201AD">
                    <w:rPr>
                      <w:sz w:val="16"/>
                      <w:szCs w:val="16"/>
                    </w:rPr>
                    <w:t>66,0</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0C5F9" w14:textId="77777777" w:rsidR="00B31FA1" w:rsidRPr="00F201AD" w:rsidRDefault="00B31FA1" w:rsidP="00B31FA1">
                  <w:pPr>
                    <w:jc w:val="center"/>
                    <w:rPr>
                      <w:sz w:val="16"/>
                      <w:szCs w:val="16"/>
                    </w:rPr>
                  </w:pPr>
                  <w:r w:rsidRPr="00F201AD">
                    <w:rPr>
                      <w:sz w:val="16"/>
                      <w:szCs w:val="16"/>
                    </w:rPr>
                    <w:t>9,7</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7D958" w14:textId="77777777" w:rsidR="00B31FA1" w:rsidRPr="00F201AD" w:rsidRDefault="00B31FA1" w:rsidP="00B31FA1">
                  <w:pPr>
                    <w:jc w:val="center"/>
                    <w:rPr>
                      <w:sz w:val="16"/>
                      <w:szCs w:val="16"/>
                    </w:rPr>
                  </w:pPr>
                  <w:r w:rsidRPr="00F201AD">
                    <w:rPr>
                      <w:sz w:val="16"/>
                      <w:szCs w:val="16"/>
                    </w:rPr>
                    <w:t>56,2</w:t>
                  </w:r>
                </w:p>
              </w:tc>
            </w:tr>
            <w:tr w:rsidR="00B31FA1" w:rsidRPr="00F201AD" w14:paraId="5514E580" w14:textId="77777777" w:rsidTr="00504F8D">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66D95B3" w14:textId="77777777" w:rsidR="00B31FA1" w:rsidRPr="00F201AD" w:rsidRDefault="00B31FA1" w:rsidP="00B31FA1">
                  <w:pPr>
                    <w:rPr>
                      <w:rFonts w:eastAsia="Times New Roman"/>
                      <w:sz w:val="16"/>
                      <w:szCs w:val="16"/>
                      <w:lang w:eastAsia="ro-RO"/>
                    </w:rPr>
                  </w:pPr>
                  <w:r w:rsidRPr="00F201AD">
                    <w:rPr>
                      <w:rFonts w:eastAsia="Times New Roman"/>
                      <w:sz w:val="16"/>
                      <w:szCs w:val="16"/>
                      <w:lang w:eastAsia="ro-RO"/>
                    </w:rPr>
                    <w:t>Motorină</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4E565" w14:textId="77777777" w:rsidR="00B31FA1" w:rsidRPr="00F201AD" w:rsidRDefault="00B31FA1" w:rsidP="00B31FA1">
                  <w:pPr>
                    <w:jc w:val="center"/>
                    <w:rPr>
                      <w:sz w:val="16"/>
                      <w:szCs w:val="16"/>
                    </w:rPr>
                  </w:pPr>
                  <w:r w:rsidRPr="00F201AD">
                    <w:rPr>
                      <w:sz w:val="16"/>
                      <w:szCs w:val="16"/>
                    </w:rPr>
                    <w:t>95,1</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1352C" w14:textId="77777777" w:rsidR="00B31FA1" w:rsidRPr="00F201AD" w:rsidRDefault="00B31FA1" w:rsidP="00B31FA1">
                  <w:pPr>
                    <w:jc w:val="center"/>
                    <w:rPr>
                      <w:sz w:val="16"/>
                      <w:szCs w:val="16"/>
                    </w:rPr>
                  </w:pPr>
                  <w:r w:rsidRPr="00F201AD">
                    <w:rPr>
                      <w:sz w:val="16"/>
                      <w:szCs w:val="16"/>
                    </w:rPr>
                    <w:t>21,9</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1BEE3" w14:textId="77777777" w:rsidR="00B31FA1" w:rsidRPr="00F201AD" w:rsidRDefault="00B31FA1" w:rsidP="00B31FA1">
                  <w:pPr>
                    <w:jc w:val="center"/>
                    <w:rPr>
                      <w:sz w:val="16"/>
                      <w:szCs w:val="16"/>
                    </w:rPr>
                  </w:pPr>
                  <w:r w:rsidRPr="00F201AD">
                    <w:rPr>
                      <w:sz w:val="16"/>
                      <w:szCs w:val="16"/>
                    </w:rPr>
                    <w:t>73,2</w:t>
                  </w:r>
                </w:p>
              </w:tc>
            </w:tr>
            <w:tr w:rsidR="00B31FA1" w:rsidRPr="00F201AD" w14:paraId="7AC4C7B7" w14:textId="77777777" w:rsidTr="00504F8D">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DB553F1" w14:textId="77777777" w:rsidR="00B31FA1" w:rsidRPr="00F201AD" w:rsidRDefault="00B31FA1" w:rsidP="00B31FA1">
                  <w:pPr>
                    <w:rPr>
                      <w:rFonts w:eastAsia="Times New Roman"/>
                      <w:sz w:val="16"/>
                      <w:szCs w:val="16"/>
                      <w:lang w:eastAsia="ro-RO"/>
                    </w:rPr>
                  </w:pPr>
                  <w:r w:rsidRPr="00F201AD">
                    <w:rPr>
                      <w:rFonts w:eastAsia="Times New Roman"/>
                      <w:sz w:val="16"/>
                      <w:szCs w:val="16"/>
                      <w:lang w:eastAsia="ro-RO"/>
                    </w:rPr>
                    <w:t>Benzină</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62025E" w14:textId="77777777" w:rsidR="00B31FA1" w:rsidRPr="00F201AD" w:rsidRDefault="00B31FA1" w:rsidP="00B31FA1">
                  <w:pPr>
                    <w:jc w:val="center"/>
                    <w:rPr>
                      <w:sz w:val="16"/>
                      <w:szCs w:val="16"/>
                    </w:rPr>
                  </w:pPr>
                  <w:r w:rsidRPr="00F201AD">
                    <w:rPr>
                      <w:sz w:val="16"/>
                      <w:szCs w:val="16"/>
                    </w:rPr>
                    <w:t>93,3</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1A45E" w14:textId="77777777" w:rsidR="00B31FA1" w:rsidRPr="00F201AD" w:rsidRDefault="00B31FA1" w:rsidP="00B31FA1">
                  <w:pPr>
                    <w:jc w:val="center"/>
                    <w:rPr>
                      <w:sz w:val="16"/>
                      <w:szCs w:val="16"/>
                    </w:rPr>
                  </w:pPr>
                  <w:r w:rsidRPr="00F201AD">
                    <w:rPr>
                      <w:sz w:val="16"/>
                      <w:szCs w:val="16"/>
                    </w:rPr>
                    <w:t>19,9</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B8A47" w14:textId="77777777" w:rsidR="00B31FA1" w:rsidRPr="00F201AD" w:rsidRDefault="00B31FA1" w:rsidP="00B31FA1">
                  <w:pPr>
                    <w:jc w:val="center"/>
                    <w:rPr>
                      <w:sz w:val="16"/>
                      <w:szCs w:val="16"/>
                    </w:rPr>
                  </w:pPr>
                  <w:r w:rsidRPr="00F201AD">
                    <w:rPr>
                      <w:sz w:val="16"/>
                      <w:szCs w:val="16"/>
                    </w:rPr>
                    <w:t>73,4</w:t>
                  </w:r>
                </w:p>
              </w:tc>
            </w:tr>
            <w:tr w:rsidR="00B31FA1" w:rsidRPr="00F201AD" w14:paraId="5DBCD921" w14:textId="77777777" w:rsidTr="00504F8D">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A2EB655" w14:textId="77777777" w:rsidR="00B31FA1" w:rsidRPr="00F201AD" w:rsidRDefault="00B31FA1" w:rsidP="00B31FA1">
                  <w:pPr>
                    <w:rPr>
                      <w:rFonts w:eastAsia="Times New Roman"/>
                      <w:sz w:val="16"/>
                      <w:szCs w:val="16"/>
                      <w:lang w:eastAsia="ro-RO"/>
                    </w:rPr>
                  </w:pPr>
                  <w:r w:rsidRPr="00F201AD">
                    <w:rPr>
                      <w:rFonts w:eastAsia="Times New Roman"/>
                      <w:sz w:val="16"/>
                      <w:szCs w:val="16"/>
                      <w:lang w:eastAsia="ro-RO"/>
                    </w:rPr>
                    <w:t>Păcură grea</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5C8A7" w14:textId="77777777" w:rsidR="00B31FA1" w:rsidRPr="00F201AD" w:rsidRDefault="00B31FA1" w:rsidP="00B31FA1">
                  <w:pPr>
                    <w:jc w:val="center"/>
                    <w:rPr>
                      <w:sz w:val="16"/>
                      <w:szCs w:val="16"/>
                    </w:rPr>
                  </w:pPr>
                  <w:r w:rsidRPr="00F201AD">
                    <w:rPr>
                      <w:sz w:val="16"/>
                      <w:szCs w:val="16"/>
                    </w:rPr>
                    <w:t>94,2</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F661D" w14:textId="77777777" w:rsidR="00B31FA1" w:rsidRPr="00F201AD" w:rsidRDefault="00B31FA1" w:rsidP="00B31FA1">
                  <w:pPr>
                    <w:jc w:val="center"/>
                    <w:rPr>
                      <w:sz w:val="16"/>
                      <w:szCs w:val="16"/>
                    </w:rPr>
                  </w:pPr>
                  <w:r w:rsidRPr="00F201AD">
                    <w:rPr>
                      <w:sz w:val="16"/>
                      <w:szCs w:val="16"/>
                    </w:rPr>
                    <w:t>13,6</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BD5043" w14:textId="77777777" w:rsidR="00B31FA1" w:rsidRPr="00F201AD" w:rsidRDefault="00B31FA1" w:rsidP="00B31FA1">
                  <w:pPr>
                    <w:jc w:val="center"/>
                    <w:rPr>
                      <w:sz w:val="16"/>
                      <w:szCs w:val="16"/>
                    </w:rPr>
                  </w:pPr>
                  <w:r w:rsidRPr="00F201AD">
                    <w:rPr>
                      <w:sz w:val="16"/>
                      <w:szCs w:val="16"/>
                    </w:rPr>
                    <w:t>80,6</w:t>
                  </w:r>
                </w:p>
              </w:tc>
            </w:tr>
            <w:tr w:rsidR="00B31FA1" w:rsidRPr="00F201AD" w14:paraId="75AB895B" w14:textId="77777777" w:rsidTr="00504F8D">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30E2A912" w14:textId="77777777" w:rsidR="00B31FA1" w:rsidRPr="00F201AD" w:rsidRDefault="00B31FA1" w:rsidP="00B31FA1">
                  <w:pPr>
                    <w:rPr>
                      <w:rFonts w:eastAsia="Times New Roman"/>
                      <w:sz w:val="16"/>
                      <w:szCs w:val="16"/>
                      <w:lang w:eastAsia="ro-RO"/>
                    </w:rPr>
                  </w:pPr>
                  <w:r w:rsidRPr="00F201AD">
                    <w:rPr>
                      <w:rFonts w:eastAsia="Times New Roman"/>
                      <w:sz w:val="16"/>
                      <w:szCs w:val="16"/>
                      <w:lang w:eastAsia="ro-RO"/>
                    </w:rPr>
                    <w:t>Metanol</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CE877" w14:textId="77777777" w:rsidR="00B31FA1" w:rsidRPr="00F201AD" w:rsidRDefault="00B31FA1" w:rsidP="00B31FA1">
                  <w:pPr>
                    <w:jc w:val="center"/>
                    <w:rPr>
                      <w:sz w:val="16"/>
                      <w:szCs w:val="16"/>
                    </w:rPr>
                  </w:pPr>
                  <w:r w:rsidRPr="00F201AD">
                    <w:rPr>
                      <w:sz w:val="16"/>
                      <w:szCs w:val="16"/>
                    </w:rPr>
                    <w:t>97,1</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ED74E" w14:textId="77777777" w:rsidR="00B31FA1" w:rsidRPr="00F201AD" w:rsidRDefault="00B31FA1" w:rsidP="00B31FA1">
                  <w:pPr>
                    <w:jc w:val="center"/>
                    <w:rPr>
                      <w:sz w:val="16"/>
                      <w:szCs w:val="16"/>
                    </w:rPr>
                  </w:pPr>
                  <w:r w:rsidRPr="00F201AD">
                    <w:rPr>
                      <w:sz w:val="16"/>
                      <w:szCs w:val="16"/>
                    </w:rPr>
                    <w:t>28,2</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6760C" w14:textId="77777777" w:rsidR="00B31FA1" w:rsidRPr="00F201AD" w:rsidRDefault="00B31FA1" w:rsidP="00B31FA1">
                  <w:pPr>
                    <w:jc w:val="center"/>
                    <w:rPr>
                      <w:sz w:val="16"/>
                      <w:szCs w:val="16"/>
                    </w:rPr>
                  </w:pPr>
                  <w:r w:rsidRPr="00F201AD">
                    <w:rPr>
                      <w:sz w:val="16"/>
                      <w:szCs w:val="16"/>
                    </w:rPr>
                    <w:t>68,9</w:t>
                  </w:r>
                </w:p>
              </w:tc>
            </w:tr>
            <w:tr w:rsidR="00B31FA1" w:rsidRPr="00F201AD" w14:paraId="4B380BD7" w14:textId="77777777" w:rsidTr="00504F8D">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50C16543" w14:textId="77777777" w:rsidR="00B31FA1" w:rsidRPr="00F201AD" w:rsidRDefault="00B31FA1" w:rsidP="00B31FA1">
                  <w:pPr>
                    <w:rPr>
                      <w:rFonts w:eastAsia="Times New Roman"/>
                      <w:sz w:val="16"/>
                      <w:szCs w:val="16"/>
                      <w:lang w:eastAsia="ro-RO"/>
                    </w:rPr>
                  </w:pPr>
                  <w:r w:rsidRPr="00F201AD">
                    <w:rPr>
                      <w:rFonts w:eastAsia="Times New Roman"/>
                      <w:sz w:val="16"/>
                      <w:szCs w:val="16"/>
                      <w:lang w:eastAsia="ro-RO"/>
                    </w:rPr>
                    <w:t>Cărbune superior</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6A943" w14:textId="77777777" w:rsidR="00B31FA1" w:rsidRPr="00F201AD" w:rsidRDefault="00B31FA1" w:rsidP="00B31FA1">
                  <w:pPr>
                    <w:jc w:val="center"/>
                    <w:rPr>
                      <w:sz w:val="16"/>
                      <w:szCs w:val="16"/>
                    </w:rPr>
                  </w:pPr>
                  <w:r w:rsidRPr="00F201AD">
                    <w:rPr>
                      <w:sz w:val="16"/>
                      <w:szCs w:val="16"/>
                    </w:rPr>
                    <w:t>112,3</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834B9" w14:textId="77777777" w:rsidR="00B31FA1" w:rsidRPr="00F201AD" w:rsidRDefault="00B31FA1" w:rsidP="00B31FA1">
                  <w:pPr>
                    <w:jc w:val="center"/>
                    <w:rPr>
                      <w:sz w:val="16"/>
                      <w:szCs w:val="16"/>
                    </w:rPr>
                  </w:pPr>
                  <w:r w:rsidRPr="00F201AD">
                    <w:rPr>
                      <w:sz w:val="16"/>
                      <w:szCs w:val="16"/>
                    </w:rPr>
                    <w:t>16,2</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B7EB1" w14:textId="77777777" w:rsidR="00B31FA1" w:rsidRPr="00F201AD" w:rsidRDefault="00B31FA1" w:rsidP="00B31FA1">
                  <w:pPr>
                    <w:jc w:val="center"/>
                    <w:rPr>
                      <w:sz w:val="16"/>
                      <w:szCs w:val="16"/>
                    </w:rPr>
                  </w:pPr>
                  <w:r w:rsidRPr="00F201AD">
                    <w:rPr>
                      <w:sz w:val="16"/>
                      <w:szCs w:val="16"/>
                    </w:rPr>
                    <w:t>96,1</w:t>
                  </w:r>
                </w:p>
              </w:tc>
            </w:tr>
            <w:tr w:rsidR="00B31FA1" w:rsidRPr="00F201AD" w14:paraId="0137E733" w14:textId="77777777" w:rsidTr="00504F8D">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402B1225" w14:textId="77777777" w:rsidR="00B31FA1" w:rsidRPr="00F201AD" w:rsidRDefault="00B31FA1" w:rsidP="00B31FA1">
                  <w:pPr>
                    <w:rPr>
                      <w:rFonts w:eastAsia="Times New Roman"/>
                      <w:sz w:val="16"/>
                      <w:szCs w:val="16"/>
                      <w:lang w:eastAsia="ro-RO"/>
                    </w:rPr>
                  </w:pPr>
                  <w:r w:rsidRPr="00F201AD">
                    <w:rPr>
                      <w:rFonts w:eastAsia="Times New Roman"/>
                      <w:sz w:val="16"/>
                      <w:szCs w:val="16"/>
                      <w:lang w:eastAsia="ro-RO"/>
                    </w:rPr>
                    <w:t>Lignit</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3EEFB" w14:textId="77777777" w:rsidR="00B31FA1" w:rsidRPr="00F201AD" w:rsidRDefault="00B31FA1" w:rsidP="00B31FA1">
                  <w:pPr>
                    <w:jc w:val="center"/>
                    <w:rPr>
                      <w:sz w:val="16"/>
                      <w:szCs w:val="16"/>
                    </w:rPr>
                  </w:pPr>
                  <w:r w:rsidRPr="00F201AD">
                    <w:rPr>
                      <w:sz w:val="16"/>
                      <w:szCs w:val="16"/>
                    </w:rPr>
                    <w:t>116,7</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3EF58" w14:textId="77777777" w:rsidR="00B31FA1" w:rsidRPr="00F201AD" w:rsidRDefault="00B31FA1" w:rsidP="00B31FA1">
                  <w:pPr>
                    <w:jc w:val="center"/>
                    <w:rPr>
                      <w:sz w:val="16"/>
                      <w:szCs w:val="16"/>
                    </w:rPr>
                  </w:pPr>
                  <w:r w:rsidRPr="00F201AD">
                    <w:rPr>
                      <w:sz w:val="16"/>
                      <w:szCs w:val="16"/>
                    </w:rPr>
                    <w:t>1,7</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1ECD8" w14:textId="77777777" w:rsidR="00B31FA1" w:rsidRPr="00F201AD" w:rsidRDefault="00B31FA1" w:rsidP="00B31FA1">
                  <w:pPr>
                    <w:jc w:val="center"/>
                    <w:rPr>
                      <w:sz w:val="16"/>
                      <w:szCs w:val="16"/>
                    </w:rPr>
                  </w:pPr>
                  <w:r w:rsidRPr="00F201AD">
                    <w:rPr>
                      <w:sz w:val="16"/>
                      <w:szCs w:val="16"/>
                    </w:rPr>
                    <w:t>115,0</w:t>
                  </w:r>
                </w:p>
              </w:tc>
            </w:tr>
          </w:tbl>
          <w:p w14:paraId="58AD4300" w14:textId="77777777" w:rsidR="00B31FA1" w:rsidRPr="00F201AD" w:rsidRDefault="00B31FA1" w:rsidP="00B31FA1">
            <w:pPr>
              <w:shd w:val="clear" w:color="auto" w:fill="FFFFFF"/>
              <w:rPr>
                <w:rFonts w:eastAsia="Times New Roman"/>
                <w:color w:val="333333"/>
                <w:lang w:eastAsia="ro-RO"/>
              </w:rPr>
            </w:pPr>
          </w:p>
          <w:p w14:paraId="09F04F0A" w14:textId="77777777" w:rsidR="00B31FA1" w:rsidRPr="00F201AD" w:rsidRDefault="00B31FA1" w:rsidP="00B31FA1">
            <w:pPr>
              <w:shd w:val="clear" w:color="auto" w:fill="FFFFFF"/>
              <w:rPr>
                <w:rFonts w:eastAsia="Times New Roman"/>
                <w:color w:val="333333"/>
                <w:lang w:eastAsia="ro-RO"/>
              </w:rPr>
            </w:pPr>
          </w:p>
          <w:tbl>
            <w:tblPr>
              <w:tblW w:w="2325"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28"/>
              <w:gridCol w:w="894"/>
            </w:tblGrid>
            <w:tr w:rsidR="00B31FA1" w:rsidRPr="00F201AD" w14:paraId="1C72B2CA"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4F11F" w14:textId="77777777" w:rsidR="00B31FA1" w:rsidRPr="00F201AD" w:rsidRDefault="00B31FA1" w:rsidP="00B31FA1">
                  <w:pPr>
                    <w:spacing w:before="120"/>
                    <w:rPr>
                      <w:rFonts w:eastAsia="Times New Roman"/>
                      <w:color w:val="333333"/>
                      <w:sz w:val="16"/>
                      <w:szCs w:val="16"/>
                      <w:lang w:eastAsia="ro-RO"/>
                    </w:rPr>
                  </w:pP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31ED5"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gCO</w:t>
                  </w:r>
                  <w:r w:rsidRPr="00F201AD">
                    <w:rPr>
                      <w:rFonts w:eastAsia="Times New Roman"/>
                      <w:b/>
                      <w:bCs/>
                      <w:color w:val="333333"/>
                      <w:sz w:val="16"/>
                      <w:szCs w:val="16"/>
                      <w:vertAlign w:val="subscript"/>
                      <w:lang w:eastAsia="ro-RO"/>
                    </w:rPr>
                    <w:t>2eq</w:t>
                  </w:r>
                  <w:r w:rsidRPr="00F201AD">
                    <w:rPr>
                      <w:rFonts w:eastAsia="Times New Roman"/>
                      <w:b/>
                      <w:bCs/>
                      <w:color w:val="333333"/>
                      <w:sz w:val="16"/>
                      <w:szCs w:val="16"/>
                      <w:lang w:eastAsia="ro-RO"/>
                    </w:rPr>
                    <w:t>/kg</w:t>
                  </w:r>
                </w:p>
              </w:tc>
            </w:tr>
            <w:tr w:rsidR="00B31FA1" w:rsidRPr="00F201AD" w14:paraId="0671F854"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1A7F3"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Amoniac</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51ACD"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2 351,3</w:t>
                  </w:r>
                </w:p>
              </w:tc>
            </w:tr>
            <w:tr w:rsidR="00B31FA1" w:rsidRPr="00F201AD" w14:paraId="4803B0B8"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0576D"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Clorură de calciu (CaCl</w:t>
                  </w:r>
                  <w:r w:rsidRPr="00F201AD">
                    <w:rPr>
                      <w:rFonts w:eastAsia="Times New Roman"/>
                      <w:color w:val="333333"/>
                      <w:sz w:val="16"/>
                      <w:szCs w:val="16"/>
                      <w:vertAlign w:val="subscript"/>
                      <w:lang w:eastAsia="ro-RO"/>
                    </w:rPr>
                    <w:t>2</w:t>
                  </w:r>
                  <w:r w:rsidRPr="00F201AD">
                    <w:rPr>
                      <w:rFonts w:eastAsia="Times New Roman"/>
                      <w:color w:val="333333"/>
                      <w:sz w:val="16"/>
                      <w:szCs w:val="16"/>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6D12D"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38,8</w:t>
                  </w:r>
                </w:p>
              </w:tc>
            </w:tr>
            <w:tr w:rsidR="00B31FA1" w:rsidRPr="00F201AD" w14:paraId="010E5B59"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F68F8"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Ciclohexan</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AE20A"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723,0</w:t>
                  </w:r>
                </w:p>
              </w:tc>
            </w:tr>
            <w:tr w:rsidR="00B31FA1" w:rsidRPr="00F201AD" w14:paraId="586A2F2C"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32446"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Acid clorhidric (HCl)</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35B1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1 061,1</w:t>
                  </w:r>
                </w:p>
              </w:tc>
            </w:tr>
            <w:tr w:rsidR="00B31FA1" w:rsidRPr="00F201AD" w14:paraId="58157489"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09AD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Lubrifianți</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00E6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947,0</w:t>
                  </w:r>
                </w:p>
              </w:tc>
            </w:tr>
            <w:tr w:rsidR="00B31FA1" w:rsidRPr="00F201AD" w14:paraId="0512A17B"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493EB"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Sulfat de magneziu (MgSO</w:t>
                  </w:r>
                  <w:r w:rsidRPr="00F201AD">
                    <w:rPr>
                      <w:rFonts w:eastAsia="Times New Roman"/>
                      <w:color w:val="333333"/>
                      <w:sz w:val="16"/>
                      <w:szCs w:val="16"/>
                      <w:vertAlign w:val="subscript"/>
                      <w:lang w:eastAsia="ro-RO"/>
                    </w:rPr>
                    <w:t>4</w:t>
                  </w:r>
                  <w:r w:rsidRPr="00F201AD">
                    <w:rPr>
                      <w:rFonts w:eastAsia="Times New Roman"/>
                      <w:color w:val="333333"/>
                      <w:sz w:val="16"/>
                      <w:szCs w:val="16"/>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B8AA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191,8</w:t>
                  </w:r>
                </w:p>
              </w:tc>
            </w:tr>
            <w:tr w:rsidR="00B31FA1" w:rsidRPr="00F201AD" w14:paraId="439E218F"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98E6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Azot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7D68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56,4</w:t>
                  </w:r>
                </w:p>
              </w:tc>
            </w:tr>
            <w:tr w:rsidR="00B31FA1" w:rsidRPr="00F201AD" w14:paraId="529048CF"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A320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Acid fosforic (H</w:t>
                  </w:r>
                  <w:r w:rsidRPr="00F201AD">
                    <w:rPr>
                      <w:rFonts w:eastAsia="Times New Roman"/>
                      <w:color w:val="333333"/>
                      <w:sz w:val="16"/>
                      <w:szCs w:val="16"/>
                      <w:vertAlign w:val="subscript"/>
                      <w:lang w:eastAsia="ro-RO"/>
                    </w:rPr>
                    <w:t>3</w:t>
                  </w:r>
                  <w:r w:rsidRPr="00F201AD">
                    <w:rPr>
                      <w:rFonts w:eastAsia="Times New Roman"/>
                      <w:color w:val="333333"/>
                      <w:sz w:val="16"/>
                      <w:szCs w:val="16"/>
                      <w:lang w:eastAsia="ro-RO"/>
                    </w:rPr>
                    <w:t>PO</w:t>
                  </w:r>
                  <w:r w:rsidRPr="00F201AD">
                    <w:rPr>
                      <w:rFonts w:eastAsia="Times New Roman"/>
                      <w:color w:val="333333"/>
                      <w:sz w:val="16"/>
                      <w:szCs w:val="16"/>
                      <w:vertAlign w:val="subscript"/>
                      <w:lang w:eastAsia="ro-RO"/>
                    </w:rPr>
                    <w:t>4</w:t>
                  </w:r>
                  <w:r w:rsidRPr="00F201AD">
                    <w:rPr>
                      <w:rFonts w:eastAsia="Times New Roman"/>
                      <w:color w:val="333333"/>
                      <w:sz w:val="16"/>
                      <w:szCs w:val="16"/>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F2B62"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3 124,7</w:t>
                  </w:r>
                </w:p>
              </w:tc>
            </w:tr>
            <w:tr w:rsidR="00B31FA1" w:rsidRPr="00F201AD" w14:paraId="32C70F4B"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610E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Hidroxid de potasiu (KOH)</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44B3D"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419,1</w:t>
                  </w:r>
                </w:p>
              </w:tc>
            </w:tr>
            <w:tr w:rsidR="00B31FA1" w:rsidRPr="00F201AD" w14:paraId="66E250E9"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2899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CaO pur pentru procese</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4209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1 193,2</w:t>
                  </w:r>
                </w:p>
              </w:tc>
            </w:tr>
            <w:tr w:rsidR="00B31FA1" w:rsidRPr="00F201AD" w14:paraId="6C661F06"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6EC9D"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Carbonat de sodiu (Na</w:t>
                  </w:r>
                  <w:r w:rsidRPr="00F201AD">
                    <w:rPr>
                      <w:rFonts w:eastAsia="Times New Roman"/>
                      <w:color w:val="333333"/>
                      <w:sz w:val="16"/>
                      <w:szCs w:val="16"/>
                      <w:vertAlign w:val="subscript"/>
                      <w:lang w:eastAsia="ro-RO"/>
                    </w:rPr>
                    <w:t>2</w:t>
                  </w:r>
                  <w:r w:rsidRPr="00F201AD">
                    <w:rPr>
                      <w:rFonts w:eastAsia="Times New Roman"/>
                      <w:color w:val="333333"/>
                      <w:sz w:val="16"/>
                      <w:szCs w:val="16"/>
                      <w:lang w:eastAsia="ro-RO"/>
                    </w:rPr>
                    <w:t>CO</w:t>
                  </w:r>
                  <w:r w:rsidRPr="00F201AD">
                    <w:rPr>
                      <w:rFonts w:eastAsia="Times New Roman"/>
                      <w:color w:val="333333"/>
                      <w:sz w:val="16"/>
                      <w:szCs w:val="16"/>
                      <w:vertAlign w:val="subscript"/>
                      <w:lang w:eastAsia="ro-RO"/>
                    </w:rPr>
                    <w:t>3</w:t>
                  </w:r>
                  <w:r w:rsidRPr="00F201AD">
                    <w:rPr>
                      <w:rFonts w:eastAsia="Times New Roman"/>
                      <w:color w:val="333333"/>
                      <w:sz w:val="16"/>
                      <w:szCs w:val="16"/>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0011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1 245,1</w:t>
                  </w:r>
                </w:p>
              </w:tc>
            </w:tr>
            <w:tr w:rsidR="00B31FA1" w:rsidRPr="00F201AD" w14:paraId="32E7A36B"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12351"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Clorură de sodiu (NaCl)</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490E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13,3</w:t>
                  </w:r>
                </w:p>
              </w:tc>
            </w:tr>
            <w:tr w:rsidR="00B31FA1" w:rsidRPr="00F201AD" w14:paraId="6615C00C"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50DD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Hidroxid de sodiu (NaOH)</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2013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529,7</w:t>
                  </w:r>
                </w:p>
              </w:tc>
            </w:tr>
            <w:tr w:rsidR="00B31FA1" w:rsidRPr="00F201AD" w14:paraId="283D1F5B"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56C1E" w14:textId="77777777" w:rsidR="00B31FA1" w:rsidRPr="00F201AD" w:rsidRDefault="00B31FA1" w:rsidP="00B31FA1">
                  <w:pPr>
                    <w:spacing w:before="60" w:after="60"/>
                    <w:rPr>
                      <w:rFonts w:eastAsia="Times New Roman"/>
                      <w:color w:val="333333"/>
                      <w:sz w:val="16"/>
                      <w:szCs w:val="16"/>
                      <w:lang w:val="pt-BR" w:eastAsia="ro-RO"/>
                    </w:rPr>
                  </w:pPr>
                  <w:r w:rsidRPr="00F201AD">
                    <w:rPr>
                      <w:rFonts w:eastAsia="Times New Roman"/>
                      <w:color w:val="333333"/>
                      <w:sz w:val="16"/>
                      <w:szCs w:val="16"/>
                      <w:lang w:val="pt-BR" w:eastAsia="ro-RO"/>
                    </w:rPr>
                    <w:t>Metoxid de sodiu [Na(CH</w:t>
                  </w:r>
                  <w:r w:rsidRPr="00F201AD">
                    <w:rPr>
                      <w:rFonts w:eastAsia="Times New Roman"/>
                      <w:color w:val="333333"/>
                      <w:sz w:val="16"/>
                      <w:szCs w:val="16"/>
                      <w:vertAlign w:val="subscript"/>
                      <w:lang w:val="pt-BR" w:eastAsia="ro-RO"/>
                    </w:rPr>
                    <w:t>3</w:t>
                  </w:r>
                  <w:r w:rsidRPr="00F201AD">
                    <w:rPr>
                      <w:rFonts w:eastAsia="Times New Roman"/>
                      <w:color w:val="333333"/>
                      <w:sz w:val="16"/>
                      <w:szCs w:val="16"/>
                      <w:lang w:val="pt-BR" w:eastAsia="ro-RO"/>
                    </w:rPr>
                    <w:t>O)]</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199F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2 425,5</w:t>
                  </w:r>
                </w:p>
              </w:tc>
            </w:tr>
            <w:tr w:rsidR="00B31FA1" w:rsidRPr="00F201AD" w14:paraId="549DFC08"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8B27C"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SO</w:t>
                  </w:r>
                  <w:r w:rsidRPr="00F201AD">
                    <w:rPr>
                      <w:rFonts w:eastAsia="Times New Roman"/>
                      <w:color w:val="333333"/>
                      <w:sz w:val="16"/>
                      <w:szCs w:val="16"/>
                      <w:vertAlign w:val="subscript"/>
                      <w:lang w:eastAsia="ro-RO"/>
                    </w:rPr>
                    <w:t>2</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42360"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53,3</w:t>
                  </w:r>
                </w:p>
              </w:tc>
            </w:tr>
            <w:tr w:rsidR="00B31FA1" w:rsidRPr="00F201AD" w14:paraId="4595BCAE"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A96CC"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Acid sulfuric (H</w:t>
                  </w:r>
                  <w:r w:rsidRPr="00F201AD">
                    <w:rPr>
                      <w:rFonts w:eastAsia="Times New Roman"/>
                      <w:color w:val="333333"/>
                      <w:sz w:val="16"/>
                      <w:szCs w:val="16"/>
                      <w:vertAlign w:val="subscript"/>
                      <w:lang w:eastAsia="ro-RO"/>
                    </w:rPr>
                    <w:t>2</w:t>
                  </w:r>
                  <w:r w:rsidRPr="00F201AD">
                    <w:rPr>
                      <w:rFonts w:eastAsia="Times New Roman"/>
                      <w:color w:val="333333"/>
                      <w:sz w:val="16"/>
                      <w:szCs w:val="16"/>
                      <w:lang w:eastAsia="ro-RO"/>
                    </w:rPr>
                    <w:t>SO</w:t>
                  </w:r>
                  <w:r w:rsidRPr="00F201AD">
                    <w:rPr>
                      <w:rFonts w:eastAsia="Times New Roman"/>
                      <w:color w:val="333333"/>
                      <w:sz w:val="16"/>
                      <w:szCs w:val="16"/>
                      <w:vertAlign w:val="subscript"/>
                      <w:lang w:eastAsia="ro-RO"/>
                    </w:rPr>
                    <w:t>4</w:t>
                  </w:r>
                  <w:r w:rsidRPr="00F201AD">
                    <w:rPr>
                      <w:rFonts w:eastAsia="Times New Roman"/>
                      <w:color w:val="333333"/>
                      <w:sz w:val="16"/>
                      <w:szCs w:val="16"/>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7EC6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217,5</w:t>
                  </w:r>
                </w:p>
              </w:tc>
            </w:tr>
            <w:tr w:rsidR="00B31FA1" w:rsidRPr="00F201AD" w14:paraId="1556D644" w14:textId="77777777" w:rsidTr="00504F8D">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44A1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Uree</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9FC0A"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1 846,6</w:t>
                  </w:r>
                </w:p>
              </w:tc>
            </w:tr>
          </w:tbl>
          <w:p w14:paraId="3F669EE2" w14:textId="77777777" w:rsidR="00B31FA1" w:rsidRPr="00F201AD" w:rsidRDefault="00B31FA1" w:rsidP="00B31FA1">
            <w:pPr>
              <w:pStyle w:val="Sectiune"/>
              <w:spacing w:line="240" w:lineRule="auto"/>
              <w:rPr>
                <w:sz w:val="22"/>
                <w:szCs w:val="22"/>
              </w:rPr>
            </w:pPr>
            <w:r w:rsidRPr="00F201AD">
              <w:rPr>
                <w:sz w:val="22"/>
                <w:szCs w:val="22"/>
              </w:rPr>
              <w:t>Partea C</w:t>
            </w:r>
          </w:p>
          <w:p w14:paraId="5EEA1612" w14:textId="77777777" w:rsidR="00B31FA1" w:rsidRPr="00F201AD" w:rsidRDefault="00B31FA1" w:rsidP="00B31FA1">
            <w:pPr>
              <w:pStyle w:val="Sectiune"/>
              <w:spacing w:line="240" w:lineRule="auto"/>
              <w:rPr>
                <w:sz w:val="22"/>
                <w:szCs w:val="22"/>
              </w:rPr>
            </w:pPr>
            <w:r w:rsidRPr="00F201AD">
              <w:rPr>
                <w:sz w:val="22"/>
                <w:szCs w:val="22"/>
              </w:rPr>
              <w:t>Intensitatea emisiilor de GES datorate energiei electrice</w:t>
            </w:r>
          </w:p>
          <w:p w14:paraId="555DA5CD" w14:textId="77777777" w:rsidR="00B31FA1" w:rsidRPr="00F201AD" w:rsidRDefault="00B31FA1" w:rsidP="00B31FA1">
            <w:pPr>
              <w:pStyle w:val="Capitol"/>
              <w:spacing w:line="240" w:lineRule="auto"/>
              <w:rPr>
                <w:sz w:val="22"/>
                <w:szCs w:val="22"/>
              </w:rPr>
            </w:pPr>
            <w:r w:rsidRPr="00F201AD">
              <w:rPr>
                <w:caps w:val="0"/>
                <w:sz w:val="22"/>
                <w:szCs w:val="22"/>
              </w:rPr>
              <w:t xml:space="preserve">Capitolul </w:t>
            </w:r>
            <w:r w:rsidRPr="00F201AD">
              <w:rPr>
                <w:sz w:val="22"/>
                <w:szCs w:val="22"/>
              </w:rPr>
              <w:t>I</w:t>
            </w:r>
          </w:p>
          <w:p w14:paraId="04AE8D95" w14:textId="77777777" w:rsidR="00B31FA1" w:rsidRPr="00F201AD" w:rsidRDefault="00B31FA1" w:rsidP="00B31FA1">
            <w:pPr>
              <w:pStyle w:val="Capitol"/>
              <w:spacing w:line="240" w:lineRule="auto"/>
              <w:rPr>
                <w:sz w:val="22"/>
                <w:szCs w:val="22"/>
              </w:rPr>
            </w:pPr>
            <w:r w:rsidRPr="00F201AD">
              <w:rPr>
                <w:sz w:val="22"/>
                <w:szCs w:val="22"/>
              </w:rPr>
              <w:t>Calculul intensității carbonului generat de energia electrică</w:t>
            </w:r>
          </w:p>
          <w:p w14:paraId="377A3404"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 xml:space="preserve">Intensitatea emisiilor de gaze cu efect de seră generate de energia electrică se determină la nivelul național sau la nivelul zonelor de ofertare. Intensitatea emisiilor de </w:t>
            </w:r>
            <w:r w:rsidRPr="00F201AD">
              <w:rPr>
                <w:sz w:val="22"/>
                <w:szCs w:val="22"/>
              </w:rPr>
              <w:lastRenderedPageBreak/>
              <w:t>gaze cu efect de seră generate de energia electrică se determină numai la nivelul zonelor de ofertare, dacă datele necesare sunt disponibile public. Calculul intensității carbonului în cazul energiei electrice, exprimat în gCO</w:t>
            </w:r>
            <w:r w:rsidRPr="00F201AD">
              <w:rPr>
                <w:sz w:val="22"/>
                <w:szCs w:val="22"/>
                <w:vertAlign w:val="subscript"/>
              </w:rPr>
              <w:t>2eq</w:t>
            </w:r>
            <w:r w:rsidRPr="00F201AD">
              <w:rPr>
                <w:sz w:val="22"/>
                <w:szCs w:val="22"/>
              </w:rPr>
              <w:t>/kWh de energie electrică, ia în considerare toate sursele de energie primară potențiale pentru generarea de energie electrică, tipul de centrală, eficiența conversiei și consumul propriu de energie electrică în centrala electrică.</w:t>
            </w:r>
          </w:p>
          <w:p w14:paraId="662A61B5"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Calculul ia în considerare toate emisiile de carbon echivalente asociate arderii și furnizării combustibililor utilizați pentru producerea de energie electrică. Aceasta se bazează pe cantitatea de diferiți combustibili utilizați în instalațiile de producție a energiei electrice, pe factorii de emisie de la arderea combustibililor și pe factorii de emisie ai combustibililor din amonte.</w:t>
            </w:r>
          </w:p>
          <w:p w14:paraId="02F337F2"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Gazele cu efect de seră altele decât CO</w:t>
            </w:r>
            <w:r w:rsidRPr="00F201AD">
              <w:rPr>
                <w:sz w:val="22"/>
                <w:szCs w:val="22"/>
                <w:vertAlign w:val="subscript"/>
              </w:rPr>
              <w:t>2</w:t>
            </w:r>
            <w:r w:rsidRPr="00F201AD">
              <w:rPr>
                <w:sz w:val="22"/>
                <w:szCs w:val="22"/>
              </w:rPr>
              <w:t> se convertesc în CO</w:t>
            </w:r>
            <w:r w:rsidRPr="00F201AD">
              <w:rPr>
                <w:sz w:val="22"/>
                <w:szCs w:val="22"/>
                <w:vertAlign w:val="subscript"/>
              </w:rPr>
              <w:t>2eq</w:t>
            </w:r>
            <w:r w:rsidRPr="00F201AD">
              <w:rPr>
                <w:sz w:val="22"/>
                <w:szCs w:val="22"/>
              </w:rPr>
              <w:t> prin înmulțirea potențialului acestora de încălzire globală referitor la CO</w:t>
            </w:r>
            <w:r w:rsidRPr="00F201AD">
              <w:rPr>
                <w:sz w:val="22"/>
                <w:szCs w:val="22"/>
                <w:vertAlign w:val="subscript"/>
              </w:rPr>
              <w:t>2</w:t>
            </w:r>
            <w:r w:rsidRPr="00F201AD">
              <w:rPr>
                <w:sz w:val="22"/>
                <w:szCs w:val="22"/>
              </w:rPr>
              <w:t> într-un orizont de timp astfel cum este prevăzut la pct. 9 din anexa nr. 2 la prezenta hotărâre. Datorită originii lor biogene, emisiile de CO</w:t>
            </w:r>
            <w:r w:rsidRPr="00F201AD">
              <w:rPr>
                <w:sz w:val="22"/>
                <w:szCs w:val="22"/>
                <w:vertAlign w:val="subscript"/>
              </w:rPr>
              <w:t>2</w:t>
            </w:r>
            <w:r w:rsidRPr="00F201AD">
              <w:rPr>
                <w:sz w:val="22"/>
                <w:szCs w:val="22"/>
              </w:rPr>
              <w:t> din arderea combustibililor pe bază de biomasă nu se contabilizează, spre deosebire de emisiile de CH</w:t>
            </w:r>
            <w:r w:rsidRPr="00F201AD">
              <w:rPr>
                <w:sz w:val="22"/>
                <w:szCs w:val="22"/>
                <w:vertAlign w:val="subscript"/>
              </w:rPr>
              <w:t>4</w:t>
            </w:r>
            <w:r w:rsidRPr="00F201AD">
              <w:rPr>
                <w:sz w:val="22"/>
                <w:szCs w:val="22"/>
              </w:rPr>
              <w:t> și N</w:t>
            </w:r>
            <w:r w:rsidRPr="00F201AD">
              <w:rPr>
                <w:sz w:val="22"/>
                <w:szCs w:val="22"/>
                <w:vertAlign w:val="subscript"/>
              </w:rPr>
              <w:t>2</w:t>
            </w:r>
            <w:r w:rsidRPr="00F201AD">
              <w:rPr>
                <w:sz w:val="22"/>
                <w:szCs w:val="22"/>
              </w:rPr>
              <w:t>O.</w:t>
            </w:r>
          </w:p>
          <w:p w14:paraId="47B5F490"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Pentru calculul emisiilor de GES din arderea combustibililor, se utilizează factorii de emisie impliciți ai IPCC pentru arderea staționară în industriile energetice (IPCC 2006). Emisiile din amonte includ emisiile din toate procesele și fazele necesare pentru ca combustibilul să fie pregătit să alimenteze producția de energie electrică; acestea rezultă din extracția, rafinarea și transportul combustibilului utilizat pentru producerea de energie electrică.</w:t>
            </w:r>
          </w:p>
          <w:p w14:paraId="2A741441"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Se iau în considerare toate emisiile din amonte provenite din cultivarea, recoltarea, colectarea, prelucrarea și transportul biomasei. Turba și componentele deșeurilor din combustibili fosili sunt tratate drept combustibil fosil.</w:t>
            </w:r>
          </w:p>
          <w:p w14:paraId="4239C739"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 xml:space="preserve">Combustibilii utilizați pentru producția brută de energie electrică în centralele exclusiv electrice se determină pe baza producției de energie electrică și a eficienței conversiei în energie electrică. În cazul cogenerării, respectiv al producerii combinate de energie termică și electrică, </w:t>
            </w:r>
            <w:r w:rsidRPr="00F201AD">
              <w:rPr>
                <w:sz w:val="22"/>
                <w:szCs w:val="22"/>
              </w:rPr>
              <w:lastRenderedPageBreak/>
              <w:t>combustibilii utilizați pentru energia termică produsă în cogenerare se calculează luând în considerare producția de energie termică alternativă cu randamente globale medii de 85 %, iar restul se atribuie producției de energie electrică.</w:t>
            </w:r>
          </w:p>
          <w:p w14:paraId="3D9CA5BB"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În cazul centralelor nucleare, eficiența conversiei energiei termice nucleare se presupune a fi de 33 % sau se utilizează datele furnizate de Biroul Național de Statistică.</w:t>
            </w:r>
          </w:p>
          <w:p w14:paraId="3D8ED079"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Producerea de energie electrică din surse regenerabile, respectiv hidroenergie, energie solară, energie eoliană și energie geotermică, nu se asociază cu utilizarea combustibililor. Emisiile generate de construirea și dezafectarea instalațiilor de producere a energiei electrice și de gestionarea deșeurilor aferente acestora nu se iau în considerare. Emisiile de carbon echivalente asociate producției de energie electrică din surse regenerabile (energie eoliană, solară, hidroenergie și energie geotermică) sunt considerate a fi egale cu zero.</w:t>
            </w:r>
          </w:p>
          <w:p w14:paraId="2AE08E1F"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Emisiile de echivalent CO</w:t>
            </w:r>
            <w:r w:rsidRPr="00F201AD">
              <w:rPr>
                <w:sz w:val="22"/>
                <w:szCs w:val="22"/>
                <w:vertAlign w:val="subscript"/>
              </w:rPr>
              <w:t>2</w:t>
            </w:r>
            <w:r w:rsidRPr="00F201AD">
              <w:rPr>
                <w:sz w:val="22"/>
                <w:szCs w:val="22"/>
              </w:rPr>
              <w:t> provenite din producția brută de energie electrică includ emisiile generate în amonte din raportul JEC WTW versiunea 5 (Prussi et al, 2020) enumerate în tabelul 3 și factorii de emisie impliciți pentru arderea staționară din Orientările IPCC pentru inventarele naționale ale gazelor cu efect de seră (IPCC 2006) enumerați în tabelele 1 și 2. Emisiile în amonte pentru furnizarea combustibilului utilizat se calculează aplicând factorii de emisie din amonte JEC WTW versiunea 5 (Prussi et al, 2020).</w:t>
            </w:r>
          </w:p>
          <w:p w14:paraId="03B8FEC7"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Calculul intensității carbonului generat de energia electrică se efectuează cu ajutorul formulei:</w:t>
            </w:r>
          </w:p>
          <w:p w14:paraId="6B12BEA7" w14:textId="77777777" w:rsidR="00B31FA1" w:rsidRPr="00F201AD" w:rsidRDefault="00B31FA1" w:rsidP="00B31FA1">
            <w:pPr>
              <w:jc w:val="center"/>
              <w:rPr>
                <w:rFonts w:eastAsia="Times New Roman"/>
                <w:lang w:eastAsia="ro-RO"/>
              </w:rPr>
            </w:pPr>
            <w:r w:rsidRPr="00F201AD">
              <w:rPr>
                <w:rFonts w:eastAsia="Times New Roman"/>
                <w:noProof/>
                <w:lang w:eastAsia="ro-RO"/>
              </w:rPr>
              <w:drawing>
                <wp:inline distT="0" distB="0" distL="0" distR="0" wp14:anchorId="3C77D529" wp14:editId="5C396188">
                  <wp:extent cx="3454400" cy="690880"/>
                  <wp:effectExtent l="0" t="0" r="0" b="0"/>
                  <wp:docPr id="1431062154"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4400" cy="690880"/>
                          </a:xfrm>
                          <a:prstGeom prst="rect">
                            <a:avLst/>
                          </a:prstGeom>
                          <a:noFill/>
                          <a:ln>
                            <a:noFill/>
                          </a:ln>
                        </pic:spPr>
                      </pic:pic>
                    </a:graphicData>
                  </a:graphic>
                </wp:inline>
              </w:drawing>
            </w:r>
          </w:p>
          <w:p w14:paraId="49290CDF" w14:textId="77777777" w:rsidR="00B31FA1" w:rsidRPr="00F201AD" w:rsidRDefault="00B31FA1" w:rsidP="00B31FA1">
            <w:pPr>
              <w:rPr>
                <w:rFonts w:eastAsia="Times New Roman"/>
                <w:lang w:eastAsia="ro-RO"/>
              </w:rPr>
            </w:pPr>
            <w:r w:rsidRPr="00F201AD">
              <w:rPr>
                <w:rFonts w:eastAsia="Times New Roman"/>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1392"/>
              <w:gridCol w:w="125"/>
              <w:gridCol w:w="3917"/>
              <w:gridCol w:w="6"/>
            </w:tblGrid>
            <w:tr w:rsidR="00B31FA1" w:rsidRPr="00F201AD" w14:paraId="578BBCEE" w14:textId="77777777" w:rsidTr="00504F8D">
              <w:tc>
                <w:tcPr>
                  <w:tcW w:w="687" w:type="pct"/>
                  <w:shd w:val="clear" w:color="auto" w:fill="FFFFFF"/>
                  <w:hideMark/>
                </w:tcPr>
                <w:p w14:paraId="46DF98C2" w14:textId="77777777" w:rsidR="00B31FA1" w:rsidRPr="00F201AD" w:rsidRDefault="00B31FA1" w:rsidP="00B31FA1">
                  <w:pPr>
                    <w:rPr>
                      <w:rFonts w:eastAsia="Times New Roman"/>
                      <w:lang w:eastAsia="ro-RO"/>
                    </w:rPr>
                  </w:pPr>
                  <w:r w:rsidRPr="00F201AD">
                    <w:rPr>
                      <w:rFonts w:eastAsia="Times New Roman"/>
                      <w:i/>
                      <w:iCs/>
                      <w:color w:val="333333"/>
                      <w:lang w:eastAsia="ro-RO"/>
                    </w:rPr>
                    <w:t>e</w:t>
                  </w:r>
                  <w:r w:rsidRPr="00F201AD">
                    <w:rPr>
                      <w:rFonts w:eastAsia="Times New Roman"/>
                      <w:color w:val="333333"/>
                      <w:lang w:eastAsia="ro-RO"/>
                    </w:rPr>
                    <w:t> </w:t>
                  </w:r>
                  <w:r w:rsidRPr="00F201AD">
                    <w:rPr>
                      <w:rFonts w:eastAsia="Times New Roman"/>
                      <w:i/>
                      <w:iCs/>
                      <w:color w:val="333333"/>
                      <w:vertAlign w:val="subscript"/>
                      <w:lang w:eastAsia="ro-RO"/>
                    </w:rPr>
                    <w:t>gross_prod</w:t>
                  </w:r>
                </w:p>
              </w:tc>
              <w:tc>
                <w:tcPr>
                  <w:tcW w:w="137" w:type="pct"/>
                  <w:shd w:val="clear" w:color="auto" w:fill="FFFFFF"/>
                </w:tcPr>
                <w:p w14:paraId="0AF42AD7" w14:textId="77777777" w:rsidR="00B31FA1" w:rsidRPr="00F201AD" w:rsidRDefault="00B31FA1" w:rsidP="00B31FA1">
                  <w:pPr>
                    <w:rPr>
                      <w:rFonts w:eastAsia="Times New Roman"/>
                      <w:lang w:eastAsia="ro-RO"/>
                    </w:rPr>
                  </w:pPr>
                  <w:r w:rsidRPr="00F201AD">
                    <w:rPr>
                      <w:rFonts w:eastAsia="Times New Roman"/>
                      <w:lang w:eastAsia="ro-RO"/>
                    </w:rPr>
                    <w:t>=</w:t>
                  </w:r>
                </w:p>
              </w:tc>
              <w:tc>
                <w:tcPr>
                  <w:tcW w:w="4168" w:type="pct"/>
                  <w:shd w:val="clear" w:color="auto" w:fill="FFFFFF"/>
                  <w:hideMark/>
                </w:tcPr>
                <w:p w14:paraId="541C1DD8" w14:textId="77777777" w:rsidR="00B31FA1" w:rsidRPr="00F201AD" w:rsidRDefault="00B31FA1" w:rsidP="00B31FA1">
                  <w:pPr>
                    <w:rPr>
                      <w:rFonts w:eastAsia="Times New Roman"/>
                      <w:lang w:eastAsia="ro-RO"/>
                    </w:rPr>
                  </w:pPr>
                  <w:r w:rsidRPr="00F201AD">
                    <w:rPr>
                      <w:rFonts w:eastAsia="Times New Roman"/>
                      <w:noProof/>
                      <w:lang w:eastAsia="ro-RO"/>
                    </w:rPr>
                    <w:drawing>
                      <wp:anchor distT="0" distB="0" distL="114300" distR="114300" simplePos="0" relativeHeight="251670528" behindDoc="0" locked="0" layoutInCell="1" allowOverlap="1" wp14:anchorId="205F7DDE" wp14:editId="0A6C70DD">
                        <wp:simplePos x="0" y="0"/>
                        <wp:positionH relativeFrom="column">
                          <wp:posOffset>1969135</wp:posOffset>
                        </wp:positionH>
                        <wp:positionV relativeFrom="paragraph">
                          <wp:posOffset>4445</wp:posOffset>
                        </wp:positionV>
                        <wp:extent cx="615315" cy="233680"/>
                        <wp:effectExtent l="0" t="0" r="0" b="0"/>
                        <wp:wrapSquare wrapText="bothSides"/>
                        <wp:docPr id="242025163" name="Picture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Formula"/>
                                <pic:cNvPicPr>
                                  <a:picLocks noChangeAspect="1" noChangeArrowheads="1"/>
                                </pic:cNvPicPr>
                              </pic:nvPicPr>
                              <pic:blipFill>
                                <a:blip r:embed="rId27">
                                  <a:alphaModFix/>
                                  <a:extLst>
                                    <a:ext uri="{28A0092B-C50C-407E-A947-70E740481C1C}">
                                      <a14:useLocalDpi xmlns:a14="http://schemas.microsoft.com/office/drawing/2010/main" val="0"/>
                                    </a:ext>
                                  </a:extLst>
                                </a:blip>
                                <a:srcRect/>
                                <a:stretch>
                                  <a:fillRect/>
                                </a:stretch>
                              </pic:blipFill>
                              <pic:spPr bwMode="auto">
                                <a:xfrm>
                                  <a:off x="0" y="0"/>
                                  <a:ext cx="615315"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1AD">
                    <w:rPr>
                      <w:rFonts w:eastAsia="Times New Roman"/>
                      <w:lang w:eastAsia="ro-RO"/>
                    </w:rPr>
                    <w:t>emisii în echivalent CO</w:t>
                  </w:r>
                  <w:r w:rsidRPr="00F201AD">
                    <w:rPr>
                      <w:rFonts w:eastAsia="Times New Roman"/>
                      <w:vertAlign w:val="subscript"/>
                      <w:lang w:eastAsia="ro-RO"/>
                    </w:rPr>
                    <w:t xml:space="preserve">2 </w:t>
                  </w:r>
                  <w:r w:rsidRPr="00F201AD">
                    <w:rPr>
                      <w:rFonts w:eastAsia="Times New Roman"/>
                      <w:lang w:eastAsia="ro-RO"/>
                    </w:rPr>
                    <w:t>,</w:t>
                  </w:r>
                </w:p>
                <w:p w14:paraId="55B1D9F5" w14:textId="77777777" w:rsidR="00B31FA1" w:rsidRPr="00F201AD" w:rsidRDefault="00B31FA1" w:rsidP="00B31FA1">
                  <w:pPr>
                    <w:rPr>
                      <w:rFonts w:eastAsia="Times New Roman"/>
                      <w:lang w:eastAsia="ro-RO"/>
                    </w:rPr>
                  </w:pPr>
                </w:p>
              </w:tc>
              <w:tc>
                <w:tcPr>
                  <w:tcW w:w="0" w:type="auto"/>
                  <w:shd w:val="clear" w:color="auto" w:fill="FFFFFF"/>
                  <w:hideMark/>
                </w:tcPr>
                <w:p w14:paraId="23037AD3" w14:textId="77777777" w:rsidR="00B31FA1" w:rsidRPr="00F201AD" w:rsidRDefault="00B31FA1" w:rsidP="00B31FA1">
                  <w:pPr>
                    <w:rPr>
                      <w:rFonts w:eastAsia="Times New Roman"/>
                      <w:color w:val="333333"/>
                      <w:lang w:eastAsia="ro-RO"/>
                    </w:rPr>
                  </w:pPr>
                </w:p>
              </w:tc>
            </w:tr>
            <w:tr w:rsidR="00B31FA1" w:rsidRPr="002F4EE0" w14:paraId="01D1A597" w14:textId="77777777" w:rsidTr="00504F8D">
              <w:tc>
                <w:tcPr>
                  <w:tcW w:w="687" w:type="pct"/>
                  <w:shd w:val="clear" w:color="auto" w:fill="FFFFFF"/>
                  <w:hideMark/>
                </w:tcPr>
                <w:p w14:paraId="26DBCCDB" w14:textId="77777777" w:rsidR="00B31FA1" w:rsidRPr="00F201AD" w:rsidRDefault="00B31FA1" w:rsidP="00B31FA1">
                  <w:pPr>
                    <w:rPr>
                      <w:rFonts w:eastAsia="Times New Roman"/>
                      <w:color w:val="333333"/>
                      <w:lang w:eastAsia="ro-RO"/>
                    </w:rPr>
                  </w:pPr>
                  <w:r w:rsidRPr="00F201AD">
                    <w:rPr>
                      <w:rFonts w:eastAsia="Times New Roman"/>
                      <w:noProof/>
                      <w:color w:val="333333"/>
                      <w:lang w:eastAsia="ro-RO"/>
                    </w:rPr>
                    <w:drawing>
                      <wp:inline distT="0" distB="0" distL="0" distR="0" wp14:anchorId="7D327F23" wp14:editId="15444C0B">
                        <wp:extent cx="599440" cy="243840"/>
                        <wp:effectExtent l="0" t="0" r="0" b="3810"/>
                        <wp:docPr id="38145149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Formu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440" cy="243840"/>
                                </a:xfrm>
                                <a:prstGeom prst="rect">
                                  <a:avLst/>
                                </a:prstGeom>
                                <a:noFill/>
                                <a:ln>
                                  <a:noFill/>
                                </a:ln>
                              </pic:spPr>
                            </pic:pic>
                          </a:graphicData>
                        </a:graphic>
                      </wp:inline>
                    </w:drawing>
                  </w:r>
                </w:p>
              </w:tc>
              <w:tc>
                <w:tcPr>
                  <w:tcW w:w="137" w:type="pct"/>
                  <w:shd w:val="clear" w:color="auto" w:fill="FFFFFF"/>
                  <w:hideMark/>
                </w:tcPr>
                <w:p w14:paraId="594EB198" w14:textId="77777777" w:rsidR="00B31FA1" w:rsidRPr="00F201AD" w:rsidRDefault="00B31FA1" w:rsidP="00B31FA1">
                  <w:pPr>
                    <w:rPr>
                      <w:rFonts w:eastAsia="Times New Roman"/>
                      <w:color w:val="333333"/>
                      <w:lang w:eastAsia="ro-RO"/>
                    </w:rPr>
                  </w:pPr>
                  <w:r w:rsidRPr="00F201AD">
                    <w:rPr>
                      <w:rFonts w:eastAsia="Times New Roman"/>
                      <w:color w:val="333333"/>
                      <w:lang w:eastAsia="ro-RO"/>
                    </w:rPr>
                    <w:t>=</w:t>
                  </w:r>
                </w:p>
              </w:tc>
              <w:tc>
                <w:tcPr>
                  <w:tcW w:w="4168" w:type="pct"/>
                  <w:shd w:val="clear" w:color="auto" w:fill="FFFFFF"/>
                  <w:hideMark/>
                </w:tcPr>
                <w:p w14:paraId="3AFFEB5C" w14:textId="77777777" w:rsidR="00B31FA1" w:rsidRPr="00F201AD" w:rsidRDefault="00B31FA1" w:rsidP="00B31FA1">
                  <w:pPr>
                    <w:rPr>
                      <w:rFonts w:eastAsia="Times New Roman"/>
                      <w:lang w:val="fr-FR" w:eastAsia="ro-RO"/>
                    </w:rPr>
                  </w:pPr>
                  <w:r w:rsidRPr="00F201AD">
                    <w:rPr>
                      <w:rFonts w:eastAsia="Times New Roman"/>
                      <w:noProof/>
                      <w:lang w:eastAsia="ro-RO"/>
                    </w:rPr>
                    <w:drawing>
                      <wp:anchor distT="0" distB="0" distL="114300" distR="114300" simplePos="0" relativeHeight="251669504" behindDoc="0" locked="0" layoutInCell="1" allowOverlap="1" wp14:anchorId="7825EBE1" wp14:editId="61D7052E">
                        <wp:simplePos x="0" y="0"/>
                        <wp:positionH relativeFrom="column">
                          <wp:posOffset>3375025</wp:posOffset>
                        </wp:positionH>
                        <wp:positionV relativeFrom="paragraph">
                          <wp:posOffset>-111760</wp:posOffset>
                        </wp:positionV>
                        <wp:extent cx="554990" cy="355600"/>
                        <wp:effectExtent l="0" t="0" r="0" b="6350"/>
                        <wp:wrapSquare wrapText="bothSides"/>
                        <wp:docPr id="1609133834" name="Picture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99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1AD">
                    <w:rPr>
                      <w:rFonts w:eastAsia="Times New Roman"/>
                      <w:lang w:val="fr-FR" w:eastAsia="ro-RO"/>
                    </w:rPr>
                    <w:t>factori de emisii în echivalent CO</w:t>
                  </w:r>
                  <w:r w:rsidRPr="00F201AD">
                    <w:rPr>
                      <w:rFonts w:eastAsia="Times New Roman"/>
                      <w:vertAlign w:val="subscript"/>
                      <w:lang w:val="fr-FR" w:eastAsia="ro-RO"/>
                    </w:rPr>
                    <w:t>2</w:t>
                  </w:r>
                  <w:r w:rsidRPr="00F201AD">
                    <w:rPr>
                      <w:rFonts w:eastAsia="Times New Roman"/>
                      <w:lang w:val="fr-FR" w:eastAsia="ro-RO"/>
                    </w:rPr>
                    <w:t xml:space="preserve"> în amonte, </w:t>
                  </w:r>
                </w:p>
              </w:tc>
              <w:tc>
                <w:tcPr>
                  <w:tcW w:w="0" w:type="auto"/>
                  <w:shd w:val="clear" w:color="auto" w:fill="FFFFFF"/>
                  <w:vAlign w:val="center"/>
                  <w:hideMark/>
                </w:tcPr>
                <w:p w14:paraId="06F50BC8" w14:textId="77777777" w:rsidR="00B31FA1" w:rsidRPr="00F201AD" w:rsidRDefault="00B31FA1" w:rsidP="00B31FA1">
                  <w:pPr>
                    <w:rPr>
                      <w:rFonts w:eastAsia="Times New Roman"/>
                      <w:lang w:val="fr-FR" w:eastAsia="ro-RO"/>
                    </w:rPr>
                  </w:pPr>
                </w:p>
              </w:tc>
            </w:tr>
            <w:tr w:rsidR="00B31FA1" w:rsidRPr="002F4EE0" w14:paraId="15870163" w14:textId="77777777" w:rsidTr="00504F8D">
              <w:tc>
                <w:tcPr>
                  <w:tcW w:w="687" w:type="pct"/>
                  <w:shd w:val="clear" w:color="auto" w:fill="FFFFFF"/>
                  <w:hideMark/>
                </w:tcPr>
                <w:p w14:paraId="62CA5297" w14:textId="77777777" w:rsidR="00B31FA1" w:rsidRPr="00F201AD" w:rsidRDefault="00B31FA1" w:rsidP="00B31FA1">
                  <w:pPr>
                    <w:rPr>
                      <w:rFonts w:eastAsia="Times New Roman"/>
                      <w:color w:val="333333"/>
                      <w:lang w:eastAsia="ro-RO"/>
                    </w:rPr>
                  </w:pPr>
                  <w:r w:rsidRPr="00F201AD">
                    <w:rPr>
                      <w:rFonts w:eastAsia="Times New Roman"/>
                      <w:noProof/>
                      <w:color w:val="333333"/>
                      <w:lang w:eastAsia="ro-RO"/>
                    </w:rPr>
                    <w:lastRenderedPageBreak/>
                    <w:drawing>
                      <wp:inline distT="0" distB="0" distL="0" distR="0" wp14:anchorId="10EEAC07" wp14:editId="2F4A34C1">
                        <wp:extent cx="721360" cy="233680"/>
                        <wp:effectExtent l="0" t="0" r="2540" b="0"/>
                        <wp:docPr id="1812389999"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1360" cy="233680"/>
                                </a:xfrm>
                                <a:prstGeom prst="rect">
                                  <a:avLst/>
                                </a:prstGeom>
                                <a:noFill/>
                                <a:ln>
                                  <a:noFill/>
                                </a:ln>
                              </pic:spPr>
                            </pic:pic>
                          </a:graphicData>
                        </a:graphic>
                      </wp:inline>
                    </w:drawing>
                  </w:r>
                </w:p>
              </w:tc>
              <w:tc>
                <w:tcPr>
                  <w:tcW w:w="137" w:type="pct"/>
                  <w:shd w:val="clear" w:color="auto" w:fill="FFFFFF"/>
                  <w:hideMark/>
                </w:tcPr>
                <w:p w14:paraId="06CF68AB" w14:textId="77777777" w:rsidR="00B31FA1" w:rsidRPr="00F201AD" w:rsidRDefault="00B31FA1" w:rsidP="00B31FA1">
                  <w:pPr>
                    <w:rPr>
                      <w:rFonts w:eastAsia="Times New Roman"/>
                      <w:color w:val="333333"/>
                      <w:lang w:eastAsia="ro-RO"/>
                    </w:rPr>
                  </w:pPr>
                  <w:r w:rsidRPr="00F201AD">
                    <w:rPr>
                      <w:rFonts w:eastAsia="Times New Roman"/>
                      <w:color w:val="333333"/>
                      <w:lang w:eastAsia="ro-RO"/>
                    </w:rPr>
                    <w:t>=</w:t>
                  </w:r>
                </w:p>
              </w:tc>
              <w:tc>
                <w:tcPr>
                  <w:tcW w:w="4168" w:type="pct"/>
                  <w:shd w:val="clear" w:color="auto" w:fill="FFFFFF"/>
                  <w:hideMark/>
                </w:tcPr>
                <w:p w14:paraId="5DEF0B43" w14:textId="77777777" w:rsidR="00B31FA1" w:rsidRPr="00F201AD" w:rsidRDefault="00B31FA1" w:rsidP="00B31FA1">
                  <w:pPr>
                    <w:rPr>
                      <w:rFonts w:eastAsia="Times New Roman"/>
                      <w:lang w:val="pt-BR" w:eastAsia="ro-RO"/>
                    </w:rPr>
                  </w:pPr>
                  <w:r w:rsidRPr="00F201AD">
                    <w:rPr>
                      <w:rFonts w:eastAsia="Times New Roman"/>
                      <w:noProof/>
                      <w:lang w:eastAsia="ro-RO"/>
                    </w:rPr>
                    <w:drawing>
                      <wp:anchor distT="0" distB="0" distL="114300" distR="114300" simplePos="0" relativeHeight="251672576" behindDoc="0" locked="0" layoutInCell="1" allowOverlap="1" wp14:anchorId="4CD68A08" wp14:editId="5D7A3E67">
                        <wp:simplePos x="0" y="0"/>
                        <wp:positionH relativeFrom="column">
                          <wp:posOffset>4572000</wp:posOffset>
                        </wp:positionH>
                        <wp:positionV relativeFrom="paragraph">
                          <wp:posOffset>1905</wp:posOffset>
                        </wp:positionV>
                        <wp:extent cx="589280" cy="376555"/>
                        <wp:effectExtent l="0" t="0" r="1270" b="4445"/>
                        <wp:wrapSquare wrapText="bothSides"/>
                        <wp:docPr id="1607063077"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280" cy="376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1AD">
                    <w:rPr>
                      <w:rFonts w:eastAsia="Times New Roman"/>
                      <w:lang w:val="pt-BR" w:eastAsia="ro-RO"/>
                    </w:rPr>
                    <w:t>factori de emisii în echivalent CO</w:t>
                  </w:r>
                  <w:r w:rsidRPr="00F201AD">
                    <w:rPr>
                      <w:rFonts w:eastAsia="Times New Roman"/>
                      <w:vertAlign w:val="subscript"/>
                      <w:lang w:val="pt-BR" w:eastAsia="ro-RO"/>
                    </w:rPr>
                    <w:t>2</w:t>
                  </w:r>
                  <w:r w:rsidRPr="00F201AD">
                    <w:rPr>
                      <w:rFonts w:eastAsia="Times New Roman"/>
                      <w:lang w:val="pt-BR" w:eastAsia="ro-RO"/>
                    </w:rPr>
                    <w:t> din arderea combustibililor,</w:t>
                  </w:r>
                  <w:r w:rsidRPr="00F201AD">
                    <w:rPr>
                      <w:rFonts w:eastAsia="Times New Roman"/>
                      <w:noProof/>
                      <w:lang w:val="pt-BR" w:eastAsia="ro-RO"/>
                    </w:rPr>
                    <w:t xml:space="preserve"> </w:t>
                  </w:r>
                </w:p>
                <w:p w14:paraId="368FEA73" w14:textId="77777777" w:rsidR="00B31FA1" w:rsidRPr="00F201AD" w:rsidRDefault="00B31FA1" w:rsidP="00B31FA1">
                  <w:pPr>
                    <w:rPr>
                      <w:rFonts w:eastAsia="Times New Roman"/>
                      <w:lang w:val="pt-BR" w:eastAsia="ro-RO"/>
                    </w:rPr>
                  </w:pPr>
                  <w:r w:rsidRPr="00F201AD">
                    <w:rPr>
                      <w:rFonts w:eastAsia="Times New Roman"/>
                      <w:noProof/>
                      <w:lang w:val="pt-BR" w:eastAsia="ro-RO"/>
                    </w:rPr>
                    <w:t xml:space="preserve"> </w:t>
                  </w:r>
                </w:p>
              </w:tc>
              <w:tc>
                <w:tcPr>
                  <w:tcW w:w="0" w:type="auto"/>
                  <w:shd w:val="clear" w:color="auto" w:fill="FFFFFF"/>
                  <w:vAlign w:val="center"/>
                  <w:hideMark/>
                </w:tcPr>
                <w:p w14:paraId="4A2200D6" w14:textId="77777777" w:rsidR="00B31FA1" w:rsidRPr="00F201AD" w:rsidRDefault="00B31FA1" w:rsidP="00B31FA1">
                  <w:pPr>
                    <w:rPr>
                      <w:rFonts w:eastAsia="Times New Roman"/>
                      <w:lang w:val="pt-BR" w:eastAsia="ro-RO"/>
                    </w:rPr>
                  </w:pPr>
                </w:p>
              </w:tc>
            </w:tr>
            <w:tr w:rsidR="00B31FA1" w:rsidRPr="002F4EE0" w14:paraId="6E6886BE" w14:textId="77777777" w:rsidTr="00504F8D">
              <w:tc>
                <w:tcPr>
                  <w:tcW w:w="687" w:type="pct"/>
                  <w:shd w:val="clear" w:color="auto" w:fill="FFFFFF"/>
                  <w:hideMark/>
                </w:tcPr>
                <w:p w14:paraId="774CFF2A" w14:textId="77777777" w:rsidR="00B31FA1" w:rsidRPr="00F201AD" w:rsidRDefault="00B31FA1" w:rsidP="00B31FA1">
                  <w:pPr>
                    <w:spacing w:before="120"/>
                    <w:rPr>
                      <w:rFonts w:eastAsia="Times New Roman"/>
                      <w:color w:val="333333"/>
                      <w:lang w:eastAsia="ro-RO"/>
                    </w:rPr>
                  </w:pPr>
                  <w:r w:rsidRPr="00F201AD">
                    <w:rPr>
                      <w:rFonts w:eastAsia="Times New Roman"/>
                      <w:i/>
                      <w:iCs/>
                      <w:color w:val="333333"/>
                      <w:lang w:eastAsia="ro-RO"/>
                    </w:rPr>
                    <w:t>B</w:t>
                  </w:r>
                  <w:r w:rsidRPr="00F201AD">
                    <w:rPr>
                      <w:rFonts w:eastAsia="Times New Roman"/>
                      <w:color w:val="333333"/>
                      <w:lang w:eastAsia="ro-RO"/>
                    </w:rPr>
                    <w:t> </w:t>
                  </w:r>
                  <w:r w:rsidRPr="00F201AD">
                    <w:rPr>
                      <w:rFonts w:eastAsia="Times New Roman"/>
                      <w:i/>
                      <w:iCs/>
                      <w:color w:val="333333"/>
                      <w:vertAlign w:val="subscript"/>
                      <w:lang w:eastAsia="ro-RO"/>
                    </w:rPr>
                    <w:t>i</w:t>
                  </w:r>
                </w:p>
              </w:tc>
              <w:tc>
                <w:tcPr>
                  <w:tcW w:w="137" w:type="pct"/>
                  <w:shd w:val="clear" w:color="auto" w:fill="FFFFFF"/>
                  <w:hideMark/>
                </w:tcPr>
                <w:p w14:paraId="5FE5E40B" w14:textId="77777777" w:rsidR="00B31FA1" w:rsidRPr="00F201AD" w:rsidRDefault="00B31FA1" w:rsidP="00B31FA1">
                  <w:pPr>
                    <w:rPr>
                      <w:rFonts w:eastAsia="Times New Roman"/>
                      <w:color w:val="333333"/>
                      <w:lang w:eastAsia="ro-RO"/>
                    </w:rPr>
                  </w:pPr>
                  <w:r w:rsidRPr="00F201AD">
                    <w:rPr>
                      <w:rFonts w:eastAsia="Times New Roman"/>
                      <w:color w:val="333333"/>
                      <w:lang w:eastAsia="ro-RO"/>
                    </w:rPr>
                    <w:t>=</w:t>
                  </w:r>
                </w:p>
              </w:tc>
              <w:tc>
                <w:tcPr>
                  <w:tcW w:w="4168" w:type="pct"/>
                  <w:shd w:val="clear" w:color="auto" w:fill="FFFFFF"/>
                  <w:hideMark/>
                </w:tcPr>
                <w:p w14:paraId="116A6885" w14:textId="77777777" w:rsidR="00B31FA1" w:rsidRPr="00F201AD" w:rsidRDefault="00B31FA1" w:rsidP="00B31FA1">
                  <w:pPr>
                    <w:rPr>
                      <w:rFonts w:eastAsia="Times New Roman"/>
                      <w:lang w:val="pt-BR" w:eastAsia="ro-RO"/>
                    </w:rPr>
                  </w:pPr>
                  <w:r w:rsidRPr="00F201AD">
                    <w:rPr>
                      <w:rFonts w:eastAsia="Times New Roman"/>
                      <w:noProof/>
                      <w:lang w:eastAsia="ro-RO"/>
                    </w:rPr>
                    <w:drawing>
                      <wp:anchor distT="0" distB="0" distL="114300" distR="114300" simplePos="0" relativeHeight="251671552" behindDoc="0" locked="0" layoutInCell="1" allowOverlap="1" wp14:anchorId="35B8EC08" wp14:editId="1243B6FE">
                        <wp:simplePos x="0" y="0"/>
                        <wp:positionH relativeFrom="column">
                          <wp:posOffset>4488815</wp:posOffset>
                        </wp:positionH>
                        <wp:positionV relativeFrom="paragraph">
                          <wp:posOffset>0</wp:posOffset>
                        </wp:positionV>
                        <wp:extent cx="354330" cy="233680"/>
                        <wp:effectExtent l="0" t="0" r="7620" b="0"/>
                        <wp:wrapSquare wrapText="bothSides"/>
                        <wp:docPr id="11158880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33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1AD">
                    <w:rPr>
                      <w:rFonts w:eastAsia="Times New Roman"/>
                      <w:lang w:val="pt-BR" w:eastAsia="ro-RO"/>
                    </w:rPr>
                    <w:t>consum de combustibil pentru generarea de energie electrică,</w:t>
                  </w:r>
                </w:p>
                <w:p w14:paraId="3A3866B9" w14:textId="77777777" w:rsidR="00B31FA1" w:rsidRPr="00F201AD" w:rsidRDefault="00B31FA1" w:rsidP="00B31FA1">
                  <w:pPr>
                    <w:rPr>
                      <w:rFonts w:eastAsia="Times New Roman"/>
                      <w:lang w:val="pt-BR" w:eastAsia="ro-RO"/>
                    </w:rPr>
                  </w:pPr>
                </w:p>
              </w:tc>
              <w:tc>
                <w:tcPr>
                  <w:tcW w:w="0" w:type="auto"/>
                  <w:shd w:val="clear" w:color="auto" w:fill="FFFFFF"/>
                  <w:vAlign w:val="center"/>
                  <w:hideMark/>
                </w:tcPr>
                <w:p w14:paraId="20C987B9" w14:textId="77777777" w:rsidR="00B31FA1" w:rsidRPr="00F201AD" w:rsidRDefault="00B31FA1" w:rsidP="00B31FA1">
                  <w:pPr>
                    <w:rPr>
                      <w:rFonts w:eastAsia="Times New Roman"/>
                      <w:lang w:val="pt-BR" w:eastAsia="ro-RO"/>
                    </w:rPr>
                  </w:pPr>
                </w:p>
              </w:tc>
            </w:tr>
            <w:tr w:rsidR="00B31FA1" w:rsidRPr="00F201AD" w14:paraId="6F85DE27" w14:textId="77777777" w:rsidTr="00504F8D">
              <w:trPr>
                <w:trHeight w:val="513"/>
              </w:trPr>
              <w:tc>
                <w:tcPr>
                  <w:tcW w:w="687" w:type="pct"/>
                  <w:shd w:val="clear" w:color="auto" w:fill="FFFFFF"/>
                  <w:hideMark/>
                </w:tcPr>
                <w:p w14:paraId="3B060C41" w14:textId="77777777" w:rsidR="00B31FA1" w:rsidRPr="00F201AD" w:rsidRDefault="00B31FA1" w:rsidP="00B31FA1">
                  <w:pPr>
                    <w:rPr>
                      <w:rFonts w:eastAsia="Times New Roman"/>
                      <w:color w:val="333333"/>
                      <w:lang w:eastAsia="ro-RO"/>
                    </w:rPr>
                  </w:pPr>
                  <w:r w:rsidRPr="00F201AD">
                    <w:rPr>
                      <w:rFonts w:eastAsia="Times New Roman"/>
                      <w:noProof/>
                      <w:color w:val="333333"/>
                      <w:lang w:eastAsia="ro-RO"/>
                    </w:rPr>
                    <w:drawing>
                      <wp:inline distT="0" distB="0" distL="0" distR="0" wp14:anchorId="4ACFD7B5" wp14:editId="229325C1">
                        <wp:extent cx="883920" cy="233680"/>
                        <wp:effectExtent l="0" t="0" r="0" b="0"/>
                        <wp:docPr id="59093765" name="Picture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3920" cy="233680"/>
                                </a:xfrm>
                                <a:prstGeom prst="rect">
                                  <a:avLst/>
                                </a:prstGeom>
                                <a:noFill/>
                                <a:ln>
                                  <a:noFill/>
                                </a:ln>
                              </pic:spPr>
                            </pic:pic>
                          </a:graphicData>
                        </a:graphic>
                      </wp:inline>
                    </w:drawing>
                  </w:r>
                </w:p>
              </w:tc>
              <w:tc>
                <w:tcPr>
                  <w:tcW w:w="137" w:type="pct"/>
                  <w:shd w:val="clear" w:color="auto" w:fill="FFFFFF"/>
                  <w:hideMark/>
                </w:tcPr>
                <w:p w14:paraId="7210DC5F" w14:textId="77777777" w:rsidR="00B31FA1" w:rsidRPr="00F201AD" w:rsidRDefault="00B31FA1" w:rsidP="00B31FA1">
                  <w:pPr>
                    <w:rPr>
                      <w:rFonts w:eastAsia="Times New Roman"/>
                      <w:color w:val="333333"/>
                      <w:lang w:eastAsia="ro-RO"/>
                    </w:rPr>
                  </w:pPr>
                  <w:r w:rsidRPr="00F201AD">
                    <w:rPr>
                      <w:rFonts w:eastAsia="Times New Roman"/>
                      <w:color w:val="333333"/>
                      <w:lang w:eastAsia="ro-RO"/>
                    </w:rPr>
                    <w:t>=</w:t>
                  </w:r>
                </w:p>
              </w:tc>
              <w:tc>
                <w:tcPr>
                  <w:tcW w:w="4168" w:type="pct"/>
                  <w:shd w:val="clear" w:color="auto" w:fill="FFFFFF"/>
                  <w:hideMark/>
                </w:tcPr>
                <w:p w14:paraId="0BE322A6" w14:textId="77777777" w:rsidR="00B31FA1" w:rsidRPr="00F201AD" w:rsidRDefault="00B31FA1" w:rsidP="00B31FA1">
                  <w:pPr>
                    <w:rPr>
                      <w:rFonts w:eastAsia="Times New Roman"/>
                      <w:lang w:eastAsia="ro-RO"/>
                    </w:rPr>
                  </w:pPr>
                  <w:r w:rsidRPr="00F201AD">
                    <w:rPr>
                      <w:rFonts w:eastAsia="Times New Roman"/>
                      <w:lang w:eastAsia="ro-RO"/>
                    </w:rPr>
                    <w:t>combustibili utilizați în producția de energie electrică.</w:t>
                  </w:r>
                </w:p>
              </w:tc>
              <w:tc>
                <w:tcPr>
                  <w:tcW w:w="0" w:type="auto"/>
                  <w:shd w:val="clear" w:color="auto" w:fill="FFFFFF"/>
                  <w:vAlign w:val="center"/>
                  <w:hideMark/>
                </w:tcPr>
                <w:p w14:paraId="23B4F0C8" w14:textId="77777777" w:rsidR="00B31FA1" w:rsidRPr="00F201AD" w:rsidRDefault="00B31FA1" w:rsidP="00B31FA1">
                  <w:pPr>
                    <w:rPr>
                      <w:rFonts w:eastAsia="Times New Roman"/>
                      <w:lang w:eastAsia="ro-RO"/>
                    </w:rPr>
                  </w:pPr>
                </w:p>
              </w:tc>
            </w:tr>
          </w:tbl>
          <w:p w14:paraId="7DA87287"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Cantitatea producției nete de energie electrică se determină de producția brută de energie electrică, de consumul propriu de energie electrică al centralei electrice și de pierderile de energie electrică din instalațiile de stocare prin pompare.</w:t>
            </w:r>
          </w:p>
          <w:p w14:paraId="423EA8B1" w14:textId="77777777" w:rsidR="00B31FA1" w:rsidRPr="00F201AD" w:rsidRDefault="00B31FA1" w:rsidP="00B31FA1">
            <w:pPr>
              <w:jc w:val="center"/>
              <w:rPr>
                <w:rFonts w:eastAsia="Times New Roman"/>
                <w:lang w:eastAsia="ro-RO"/>
              </w:rPr>
            </w:pPr>
            <w:r w:rsidRPr="00F201AD">
              <w:rPr>
                <w:rFonts w:eastAsia="Times New Roman"/>
                <w:noProof/>
                <w:lang w:eastAsia="ro-RO"/>
              </w:rPr>
              <w:drawing>
                <wp:inline distT="0" distB="0" distL="0" distR="0" wp14:anchorId="021C1F47" wp14:editId="0BE8A92F">
                  <wp:extent cx="2519680" cy="294640"/>
                  <wp:effectExtent l="0" t="0" r="0" b="0"/>
                  <wp:docPr id="1680549997" name="Picture 2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Formu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9680" cy="294640"/>
                          </a:xfrm>
                          <a:prstGeom prst="rect">
                            <a:avLst/>
                          </a:prstGeom>
                          <a:noFill/>
                          <a:ln>
                            <a:noFill/>
                          </a:ln>
                        </pic:spPr>
                      </pic:pic>
                    </a:graphicData>
                  </a:graphic>
                </wp:inline>
              </w:drawing>
            </w:r>
          </w:p>
          <w:p w14:paraId="78DA6DAE" w14:textId="77777777" w:rsidR="00B31FA1" w:rsidRPr="00F201AD" w:rsidRDefault="00B31FA1" w:rsidP="00B31FA1">
            <w:pPr>
              <w:rPr>
                <w:rFonts w:eastAsia="Times New Roman"/>
                <w:lang w:eastAsia="ro-RO"/>
              </w:rPr>
            </w:pPr>
            <w:r w:rsidRPr="00F201AD">
              <w:rPr>
                <w:rFonts w:eastAsia="Times New Roman"/>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501"/>
              <w:gridCol w:w="157"/>
              <w:gridCol w:w="4776"/>
              <w:gridCol w:w="6"/>
            </w:tblGrid>
            <w:tr w:rsidR="00B31FA1" w:rsidRPr="00F201AD" w14:paraId="6C568F4C" w14:textId="77777777" w:rsidTr="00504F8D">
              <w:tc>
                <w:tcPr>
                  <w:tcW w:w="342" w:type="pct"/>
                  <w:shd w:val="clear" w:color="auto" w:fill="FFFFFF"/>
                </w:tcPr>
                <w:p w14:paraId="6EAEB52D" w14:textId="77777777" w:rsidR="00B31FA1" w:rsidRPr="00F201AD" w:rsidRDefault="00B31FA1" w:rsidP="00B31FA1">
                  <w:pPr>
                    <w:spacing w:before="120"/>
                    <w:rPr>
                      <w:rFonts w:eastAsia="Times New Roman"/>
                      <w:color w:val="333333"/>
                      <w:lang w:eastAsia="ro-RO"/>
                    </w:rPr>
                  </w:pPr>
                  <w:r w:rsidRPr="00F201AD">
                    <w:rPr>
                      <w:rFonts w:eastAsia="Times New Roman"/>
                      <w:i/>
                      <w:iCs/>
                      <w:color w:val="333333"/>
                      <w:lang w:eastAsia="ro-RO"/>
                    </w:rPr>
                    <w:t>E</w:t>
                  </w:r>
                  <w:r w:rsidRPr="00F201AD">
                    <w:rPr>
                      <w:rFonts w:eastAsia="Times New Roman"/>
                      <w:color w:val="333333"/>
                      <w:lang w:eastAsia="ro-RO"/>
                    </w:rPr>
                    <w:t> </w:t>
                  </w:r>
                  <w:r w:rsidRPr="00F201AD">
                    <w:rPr>
                      <w:rFonts w:eastAsia="Times New Roman"/>
                      <w:i/>
                      <w:iCs/>
                      <w:color w:val="333333"/>
                      <w:vertAlign w:val="subscript"/>
                      <w:lang w:eastAsia="ro-RO"/>
                    </w:rPr>
                    <w:t>net</w:t>
                  </w:r>
                </w:p>
              </w:tc>
              <w:tc>
                <w:tcPr>
                  <w:tcW w:w="148" w:type="pct"/>
                  <w:shd w:val="clear" w:color="auto" w:fill="FFFFFF"/>
                </w:tcPr>
                <w:p w14:paraId="3F69810D" w14:textId="77777777" w:rsidR="00B31FA1" w:rsidRPr="00F201AD" w:rsidRDefault="00B31FA1" w:rsidP="00B31FA1">
                  <w:pPr>
                    <w:spacing w:before="120"/>
                    <w:rPr>
                      <w:rFonts w:eastAsia="Times New Roman"/>
                      <w:color w:val="333333"/>
                      <w:lang w:eastAsia="ro-RO"/>
                    </w:rPr>
                  </w:pPr>
                  <w:r w:rsidRPr="00F201AD">
                    <w:rPr>
                      <w:rFonts w:eastAsia="Times New Roman"/>
                      <w:color w:val="333333"/>
                      <w:lang w:eastAsia="ro-RO"/>
                    </w:rPr>
                    <w:t>=</w:t>
                  </w:r>
                </w:p>
              </w:tc>
              <w:tc>
                <w:tcPr>
                  <w:tcW w:w="0" w:type="auto"/>
                  <w:shd w:val="clear" w:color="auto" w:fill="FFFFFF"/>
                </w:tcPr>
                <w:p w14:paraId="4D889362" w14:textId="77777777" w:rsidR="00B31FA1" w:rsidRPr="00F201AD" w:rsidRDefault="00B31FA1" w:rsidP="00B31FA1">
                  <w:pPr>
                    <w:spacing w:before="120"/>
                    <w:rPr>
                      <w:rFonts w:eastAsia="Times New Roman"/>
                      <w:color w:val="333333"/>
                      <w:lang w:eastAsia="ro-RO"/>
                    </w:rPr>
                  </w:pPr>
                  <w:r w:rsidRPr="00F201AD">
                    <w:rPr>
                      <w:rFonts w:eastAsia="Times New Roman"/>
                      <w:noProof/>
                      <w:color w:val="333333"/>
                      <w:lang w:eastAsia="ro-RO"/>
                    </w:rPr>
                    <w:drawing>
                      <wp:anchor distT="0" distB="0" distL="114300" distR="114300" simplePos="0" relativeHeight="251673600" behindDoc="0" locked="0" layoutInCell="1" allowOverlap="1" wp14:anchorId="77AF2100" wp14:editId="1492054A">
                        <wp:simplePos x="0" y="0"/>
                        <wp:positionH relativeFrom="column">
                          <wp:posOffset>2646680</wp:posOffset>
                        </wp:positionH>
                        <wp:positionV relativeFrom="paragraph">
                          <wp:posOffset>66040</wp:posOffset>
                        </wp:positionV>
                        <wp:extent cx="355600" cy="234315"/>
                        <wp:effectExtent l="0" t="0" r="6350" b="0"/>
                        <wp:wrapSquare wrapText="bothSides"/>
                        <wp:docPr id="1640237301" name="Picture 2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600" cy="23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1AD">
                    <w:rPr>
                      <w:rFonts w:eastAsia="Times New Roman"/>
                      <w:color w:val="333333"/>
                      <w:lang w:eastAsia="ro-RO"/>
                    </w:rPr>
                    <w:t>producția netă de energie electrică,</w:t>
                  </w:r>
                </w:p>
              </w:tc>
              <w:tc>
                <w:tcPr>
                  <w:tcW w:w="0" w:type="auto"/>
                  <w:shd w:val="clear" w:color="auto" w:fill="FFFFFF"/>
                  <w:hideMark/>
                </w:tcPr>
                <w:p w14:paraId="0B8AF145" w14:textId="77777777" w:rsidR="00B31FA1" w:rsidRPr="00F201AD" w:rsidRDefault="00B31FA1" w:rsidP="00B31FA1">
                  <w:pPr>
                    <w:rPr>
                      <w:rFonts w:eastAsia="Times New Roman"/>
                      <w:color w:val="333333"/>
                      <w:lang w:eastAsia="ro-RO"/>
                    </w:rPr>
                  </w:pPr>
                </w:p>
              </w:tc>
            </w:tr>
            <w:tr w:rsidR="00B31FA1" w:rsidRPr="00F201AD" w14:paraId="705994FA" w14:textId="77777777" w:rsidTr="00504F8D">
              <w:tc>
                <w:tcPr>
                  <w:tcW w:w="342" w:type="pct"/>
                  <w:shd w:val="clear" w:color="auto" w:fill="FFFFFF"/>
                  <w:hideMark/>
                </w:tcPr>
                <w:p w14:paraId="4FC44F65" w14:textId="77777777" w:rsidR="00B31FA1" w:rsidRPr="00F201AD" w:rsidRDefault="00B31FA1" w:rsidP="00B31FA1">
                  <w:pPr>
                    <w:spacing w:before="120"/>
                    <w:rPr>
                      <w:rFonts w:eastAsia="Times New Roman"/>
                      <w:color w:val="333333"/>
                      <w:lang w:eastAsia="ro-RO"/>
                    </w:rPr>
                  </w:pPr>
                  <w:r w:rsidRPr="00F201AD">
                    <w:rPr>
                      <w:rFonts w:eastAsia="Times New Roman"/>
                      <w:i/>
                      <w:iCs/>
                      <w:color w:val="333333"/>
                      <w:lang w:eastAsia="ro-RO"/>
                    </w:rPr>
                    <w:t>E</w:t>
                  </w:r>
                  <w:r w:rsidRPr="00F201AD">
                    <w:rPr>
                      <w:rFonts w:eastAsia="Times New Roman"/>
                      <w:color w:val="333333"/>
                      <w:lang w:eastAsia="ro-RO"/>
                    </w:rPr>
                    <w:t> </w:t>
                  </w:r>
                  <w:r w:rsidRPr="00F201AD">
                    <w:rPr>
                      <w:rFonts w:eastAsia="Times New Roman"/>
                      <w:i/>
                      <w:iCs/>
                      <w:color w:val="333333"/>
                      <w:vertAlign w:val="subscript"/>
                      <w:lang w:eastAsia="ro-RO"/>
                    </w:rPr>
                    <w:t>gross</w:t>
                  </w:r>
                </w:p>
              </w:tc>
              <w:tc>
                <w:tcPr>
                  <w:tcW w:w="148" w:type="pct"/>
                  <w:shd w:val="clear" w:color="auto" w:fill="FFFFFF"/>
                  <w:hideMark/>
                </w:tcPr>
                <w:p w14:paraId="3926A80A" w14:textId="77777777" w:rsidR="00B31FA1" w:rsidRPr="00F201AD" w:rsidRDefault="00B31FA1" w:rsidP="00B31FA1">
                  <w:pPr>
                    <w:spacing w:before="120"/>
                    <w:rPr>
                      <w:rFonts w:eastAsia="Times New Roman"/>
                      <w:color w:val="333333"/>
                      <w:lang w:eastAsia="ro-RO"/>
                    </w:rPr>
                  </w:pPr>
                  <w:r w:rsidRPr="00F201AD">
                    <w:rPr>
                      <w:rFonts w:eastAsia="Times New Roman"/>
                      <w:color w:val="333333"/>
                      <w:lang w:eastAsia="ro-RO"/>
                    </w:rPr>
                    <w:t>=</w:t>
                  </w:r>
                </w:p>
              </w:tc>
              <w:tc>
                <w:tcPr>
                  <w:tcW w:w="0" w:type="auto"/>
                  <w:shd w:val="clear" w:color="auto" w:fill="FFFFFF"/>
                  <w:hideMark/>
                </w:tcPr>
                <w:p w14:paraId="1B095303" w14:textId="77777777" w:rsidR="00B31FA1" w:rsidRPr="00F201AD" w:rsidRDefault="00B31FA1" w:rsidP="00B31FA1">
                  <w:pPr>
                    <w:spacing w:before="120"/>
                    <w:rPr>
                      <w:rFonts w:eastAsia="Times New Roman"/>
                      <w:color w:val="333333"/>
                      <w:lang w:eastAsia="ro-RO"/>
                    </w:rPr>
                  </w:pPr>
                  <w:r w:rsidRPr="00F201AD">
                    <w:rPr>
                      <w:rFonts w:eastAsia="Times New Roman"/>
                      <w:noProof/>
                      <w:color w:val="333333"/>
                      <w:lang w:eastAsia="ro-RO"/>
                    </w:rPr>
                    <w:drawing>
                      <wp:anchor distT="0" distB="0" distL="114300" distR="114300" simplePos="0" relativeHeight="251674624" behindDoc="0" locked="0" layoutInCell="1" allowOverlap="1" wp14:anchorId="40E19BA9" wp14:editId="2A1D6994">
                        <wp:simplePos x="0" y="0"/>
                        <wp:positionH relativeFrom="column">
                          <wp:posOffset>2717800</wp:posOffset>
                        </wp:positionH>
                        <wp:positionV relativeFrom="paragraph">
                          <wp:posOffset>74295</wp:posOffset>
                        </wp:positionV>
                        <wp:extent cx="384810" cy="254000"/>
                        <wp:effectExtent l="0" t="0" r="0" b="0"/>
                        <wp:wrapSquare wrapText="bothSides"/>
                        <wp:docPr id="255894441" name="Picture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810" cy="254000"/>
                                </a:xfrm>
                                <a:prstGeom prst="rect">
                                  <a:avLst/>
                                </a:prstGeom>
                                <a:noFill/>
                                <a:ln>
                                  <a:noFill/>
                                </a:ln>
                              </pic:spPr>
                            </pic:pic>
                          </a:graphicData>
                        </a:graphic>
                      </wp:anchor>
                    </w:drawing>
                  </w:r>
                  <w:r w:rsidRPr="00F201AD">
                    <w:rPr>
                      <w:rFonts w:eastAsia="Times New Roman"/>
                      <w:color w:val="333333"/>
                      <w:lang w:eastAsia="ro-RO"/>
                    </w:rPr>
                    <w:t>producția brută de energie electrică,</w:t>
                  </w:r>
                </w:p>
              </w:tc>
              <w:tc>
                <w:tcPr>
                  <w:tcW w:w="0" w:type="auto"/>
                  <w:shd w:val="clear" w:color="auto" w:fill="FFFFFF"/>
                  <w:vAlign w:val="center"/>
                  <w:hideMark/>
                </w:tcPr>
                <w:p w14:paraId="4FC26997" w14:textId="77777777" w:rsidR="00B31FA1" w:rsidRPr="00F201AD" w:rsidRDefault="00B31FA1" w:rsidP="00B31FA1">
                  <w:pPr>
                    <w:rPr>
                      <w:rFonts w:eastAsia="Times New Roman"/>
                      <w:lang w:eastAsia="ro-RO"/>
                    </w:rPr>
                  </w:pPr>
                </w:p>
              </w:tc>
            </w:tr>
            <w:tr w:rsidR="00B31FA1" w:rsidRPr="00F201AD" w14:paraId="00C47561" w14:textId="77777777" w:rsidTr="00504F8D">
              <w:tc>
                <w:tcPr>
                  <w:tcW w:w="342" w:type="pct"/>
                  <w:shd w:val="clear" w:color="auto" w:fill="FFFFFF"/>
                  <w:hideMark/>
                </w:tcPr>
                <w:p w14:paraId="37B533D5" w14:textId="77777777" w:rsidR="00B31FA1" w:rsidRPr="00F201AD" w:rsidRDefault="00B31FA1" w:rsidP="00B31FA1">
                  <w:pPr>
                    <w:spacing w:before="120"/>
                    <w:rPr>
                      <w:rFonts w:eastAsia="Times New Roman"/>
                      <w:color w:val="333333"/>
                      <w:lang w:eastAsia="ro-RO"/>
                    </w:rPr>
                  </w:pPr>
                  <w:r w:rsidRPr="00F201AD">
                    <w:rPr>
                      <w:rFonts w:eastAsia="Times New Roman"/>
                      <w:i/>
                      <w:iCs/>
                      <w:color w:val="333333"/>
                      <w:lang w:eastAsia="ro-RO"/>
                    </w:rPr>
                    <w:t>E</w:t>
                  </w:r>
                  <w:r w:rsidRPr="00F201AD">
                    <w:rPr>
                      <w:rFonts w:eastAsia="Times New Roman"/>
                      <w:color w:val="333333"/>
                      <w:lang w:eastAsia="ro-RO"/>
                    </w:rPr>
                    <w:t> </w:t>
                  </w:r>
                  <w:r w:rsidRPr="00F201AD">
                    <w:rPr>
                      <w:rFonts w:eastAsia="Times New Roman"/>
                      <w:i/>
                      <w:iCs/>
                      <w:color w:val="333333"/>
                      <w:vertAlign w:val="subscript"/>
                      <w:lang w:eastAsia="ro-RO"/>
                    </w:rPr>
                    <w:t>own</w:t>
                  </w:r>
                </w:p>
              </w:tc>
              <w:tc>
                <w:tcPr>
                  <w:tcW w:w="148" w:type="pct"/>
                  <w:shd w:val="clear" w:color="auto" w:fill="FFFFFF"/>
                  <w:hideMark/>
                </w:tcPr>
                <w:p w14:paraId="3D923358" w14:textId="77777777" w:rsidR="00B31FA1" w:rsidRPr="00F201AD" w:rsidRDefault="00B31FA1" w:rsidP="00B31FA1">
                  <w:pPr>
                    <w:spacing w:before="120"/>
                    <w:rPr>
                      <w:rFonts w:eastAsia="Times New Roman"/>
                      <w:color w:val="333333"/>
                      <w:lang w:eastAsia="ro-RO"/>
                    </w:rPr>
                  </w:pPr>
                  <w:r w:rsidRPr="00F201AD">
                    <w:rPr>
                      <w:rFonts w:eastAsia="Times New Roman"/>
                      <w:color w:val="333333"/>
                      <w:lang w:eastAsia="ro-RO"/>
                    </w:rPr>
                    <w:t>=</w:t>
                  </w:r>
                </w:p>
              </w:tc>
              <w:tc>
                <w:tcPr>
                  <w:tcW w:w="0" w:type="auto"/>
                  <w:shd w:val="clear" w:color="auto" w:fill="FFFFFF"/>
                  <w:hideMark/>
                </w:tcPr>
                <w:p w14:paraId="2CC87CF4" w14:textId="77777777" w:rsidR="00B31FA1" w:rsidRPr="00F201AD" w:rsidRDefault="00B31FA1" w:rsidP="00B31FA1">
                  <w:pPr>
                    <w:spacing w:before="120"/>
                    <w:rPr>
                      <w:rFonts w:eastAsia="Times New Roman"/>
                      <w:color w:val="333333"/>
                      <w:lang w:eastAsia="ro-RO"/>
                    </w:rPr>
                  </w:pPr>
                  <w:r w:rsidRPr="00F201AD">
                    <w:rPr>
                      <w:rFonts w:eastAsia="Times New Roman"/>
                      <w:noProof/>
                      <w:color w:val="333333"/>
                      <w:lang w:eastAsia="ro-RO"/>
                    </w:rPr>
                    <w:drawing>
                      <wp:anchor distT="0" distB="0" distL="114300" distR="114300" simplePos="0" relativeHeight="251675648" behindDoc="0" locked="0" layoutInCell="1" allowOverlap="1" wp14:anchorId="45681BAC" wp14:editId="45FA6535">
                        <wp:simplePos x="0" y="0"/>
                        <wp:positionH relativeFrom="column">
                          <wp:posOffset>4857115</wp:posOffset>
                        </wp:positionH>
                        <wp:positionV relativeFrom="paragraph">
                          <wp:posOffset>0</wp:posOffset>
                        </wp:positionV>
                        <wp:extent cx="447040" cy="294640"/>
                        <wp:effectExtent l="0" t="0" r="0" b="0"/>
                        <wp:wrapSquare wrapText="bothSides"/>
                        <wp:docPr id="431772556"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040" cy="294640"/>
                                </a:xfrm>
                                <a:prstGeom prst="rect">
                                  <a:avLst/>
                                </a:prstGeom>
                                <a:noFill/>
                                <a:ln>
                                  <a:noFill/>
                                </a:ln>
                              </pic:spPr>
                            </pic:pic>
                          </a:graphicData>
                        </a:graphic>
                      </wp:anchor>
                    </w:drawing>
                  </w:r>
                  <w:r w:rsidRPr="00F201AD">
                    <w:rPr>
                      <w:rFonts w:eastAsia="Times New Roman"/>
                      <w:color w:val="333333"/>
                      <w:lang w:eastAsia="ro-RO"/>
                    </w:rPr>
                    <w:t>consumul intern propriu de energie electrică al centralei electrice,</w:t>
                  </w:r>
                </w:p>
              </w:tc>
              <w:tc>
                <w:tcPr>
                  <w:tcW w:w="0" w:type="auto"/>
                  <w:shd w:val="clear" w:color="auto" w:fill="FFFFFF"/>
                  <w:vAlign w:val="center"/>
                  <w:hideMark/>
                </w:tcPr>
                <w:p w14:paraId="226E6925" w14:textId="77777777" w:rsidR="00B31FA1" w:rsidRPr="00F201AD" w:rsidRDefault="00B31FA1" w:rsidP="00B31FA1">
                  <w:pPr>
                    <w:rPr>
                      <w:rFonts w:eastAsia="Times New Roman"/>
                      <w:lang w:eastAsia="ro-RO"/>
                    </w:rPr>
                  </w:pPr>
                </w:p>
              </w:tc>
            </w:tr>
            <w:tr w:rsidR="00B31FA1" w:rsidRPr="00F201AD" w14:paraId="62D55424" w14:textId="77777777" w:rsidTr="00504F8D">
              <w:tc>
                <w:tcPr>
                  <w:tcW w:w="342" w:type="pct"/>
                  <w:shd w:val="clear" w:color="auto" w:fill="FFFFFF"/>
                  <w:hideMark/>
                </w:tcPr>
                <w:p w14:paraId="0BD7C1EA" w14:textId="77777777" w:rsidR="00B31FA1" w:rsidRPr="00F201AD" w:rsidRDefault="00B31FA1" w:rsidP="00B31FA1">
                  <w:pPr>
                    <w:spacing w:before="120"/>
                    <w:rPr>
                      <w:rFonts w:eastAsia="Times New Roman"/>
                      <w:color w:val="333333"/>
                      <w:lang w:eastAsia="ro-RO"/>
                    </w:rPr>
                  </w:pPr>
                  <w:r w:rsidRPr="00F201AD">
                    <w:rPr>
                      <w:rFonts w:eastAsia="Times New Roman"/>
                      <w:i/>
                      <w:iCs/>
                      <w:color w:val="333333"/>
                      <w:lang w:eastAsia="ro-RO"/>
                    </w:rPr>
                    <w:t>E</w:t>
                  </w:r>
                  <w:r w:rsidRPr="00F201AD">
                    <w:rPr>
                      <w:rFonts w:eastAsia="Times New Roman"/>
                      <w:color w:val="333333"/>
                      <w:lang w:eastAsia="ro-RO"/>
                    </w:rPr>
                    <w:t> </w:t>
                  </w:r>
                  <w:r w:rsidRPr="00F201AD">
                    <w:rPr>
                      <w:rFonts w:eastAsia="Times New Roman"/>
                      <w:i/>
                      <w:iCs/>
                      <w:color w:val="333333"/>
                      <w:vertAlign w:val="subscript"/>
                      <w:lang w:eastAsia="ro-RO"/>
                    </w:rPr>
                    <w:t>pump</w:t>
                  </w:r>
                </w:p>
              </w:tc>
              <w:tc>
                <w:tcPr>
                  <w:tcW w:w="148" w:type="pct"/>
                  <w:shd w:val="clear" w:color="auto" w:fill="FFFFFF"/>
                  <w:hideMark/>
                </w:tcPr>
                <w:p w14:paraId="6F36DFE9" w14:textId="77777777" w:rsidR="00B31FA1" w:rsidRPr="00F201AD" w:rsidRDefault="00B31FA1" w:rsidP="00B31FA1">
                  <w:pPr>
                    <w:spacing w:before="120"/>
                    <w:rPr>
                      <w:rFonts w:eastAsia="Times New Roman"/>
                      <w:color w:val="333333"/>
                      <w:lang w:eastAsia="ro-RO"/>
                    </w:rPr>
                  </w:pPr>
                  <w:r w:rsidRPr="00F201AD">
                    <w:rPr>
                      <w:rFonts w:eastAsia="Times New Roman"/>
                      <w:color w:val="333333"/>
                      <w:lang w:eastAsia="ro-RO"/>
                    </w:rPr>
                    <w:t>=</w:t>
                  </w:r>
                </w:p>
              </w:tc>
              <w:tc>
                <w:tcPr>
                  <w:tcW w:w="0" w:type="auto"/>
                  <w:shd w:val="clear" w:color="auto" w:fill="FFFFFF"/>
                  <w:hideMark/>
                </w:tcPr>
                <w:p w14:paraId="2738D1F0" w14:textId="77777777" w:rsidR="00B31FA1" w:rsidRPr="00F201AD" w:rsidRDefault="00B31FA1" w:rsidP="00B31FA1">
                  <w:pPr>
                    <w:spacing w:before="120"/>
                    <w:rPr>
                      <w:rFonts w:eastAsia="Times New Roman"/>
                      <w:color w:val="333333"/>
                      <w:lang w:eastAsia="ro-RO"/>
                    </w:rPr>
                  </w:pPr>
                  <w:r w:rsidRPr="00F201AD">
                    <w:rPr>
                      <w:rFonts w:eastAsia="Times New Roman"/>
                      <w:noProof/>
                      <w:color w:val="333333"/>
                      <w:lang w:eastAsia="ro-RO"/>
                    </w:rPr>
                    <w:drawing>
                      <wp:anchor distT="0" distB="0" distL="114300" distR="114300" simplePos="0" relativeHeight="251676672" behindDoc="0" locked="0" layoutInCell="1" allowOverlap="1" wp14:anchorId="32098649" wp14:editId="327164CE">
                        <wp:simplePos x="0" y="0"/>
                        <wp:positionH relativeFrom="column">
                          <wp:posOffset>2195195</wp:posOffset>
                        </wp:positionH>
                        <wp:positionV relativeFrom="paragraph">
                          <wp:posOffset>58420</wp:posOffset>
                        </wp:positionV>
                        <wp:extent cx="447040" cy="294640"/>
                        <wp:effectExtent l="0" t="0" r="0" b="0"/>
                        <wp:wrapSquare wrapText="bothSides"/>
                        <wp:docPr id="2020608533"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040" cy="294640"/>
                                </a:xfrm>
                                <a:prstGeom prst="rect">
                                  <a:avLst/>
                                </a:prstGeom>
                                <a:noFill/>
                                <a:ln>
                                  <a:noFill/>
                                </a:ln>
                              </pic:spPr>
                            </pic:pic>
                          </a:graphicData>
                        </a:graphic>
                      </wp:anchor>
                    </w:drawing>
                  </w:r>
                  <w:r w:rsidRPr="00F201AD">
                    <w:rPr>
                      <w:rFonts w:eastAsia="Times New Roman"/>
                      <w:color w:val="333333"/>
                      <w:lang w:eastAsia="ro-RO"/>
                    </w:rPr>
                    <w:t>electricitate pentru pompare,</w:t>
                  </w:r>
                </w:p>
                <w:p w14:paraId="49DAAFCA" w14:textId="77777777" w:rsidR="00B31FA1" w:rsidRPr="00F201AD" w:rsidRDefault="00B31FA1" w:rsidP="00B31FA1">
                  <w:pPr>
                    <w:rPr>
                      <w:rFonts w:eastAsia="Times New Roman"/>
                      <w:color w:val="333333"/>
                      <w:lang w:eastAsia="ro-RO"/>
                    </w:rPr>
                  </w:pPr>
                </w:p>
              </w:tc>
              <w:tc>
                <w:tcPr>
                  <w:tcW w:w="0" w:type="auto"/>
                  <w:shd w:val="clear" w:color="auto" w:fill="FFFFFF"/>
                  <w:vAlign w:val="center"/>
                  <w:hideMark/>
                </w:tcPr>
                <w:p w14:paraId="6596BCC9" w14:textId="77777777" w:rsidR="00B31FA1" w:rsidRPr="00F201AD" w:rsidRDefault="00B31FA1" w:rsidP="00B31FA1">
                  <w:pPr>
                    <w:rPr>
                      <w:rFonts w:eastAsia="Times New Roman"/>
                      <w:lang w:eastAsia="ro-RO"/>
                    </w:rPr>
                  </w:pPr>
                </w:p>
              </w:tc>
            </w:tr>
          </w:tbl>
          <w:p w14:paraId="2D09E336"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Intensitatea carbonului la energia electrică produsă netă este totalul emisiilor brute de GES emise pentru producerea sau utilizarea energiei electrice nete:</w:t>
            </w:r>
          </w:p>
          <w:p w14:paraId="6F5E6B4D" w14:textId="77777777" w:rsidR="00B31FA1" w:rsidRPr="00F201AD" w:rsidRDefault="00B31FA1" w:rsidP="00B31FA1">
            <w:pPr>
              <w:jc w:val="center"/>
              <w:rPr>
                <w:rFonts w:eastAsia="Times New Roman"/>
                <w:lang w:eastAsia="ro-RO"/>
              </w:rPr>
            </w:pPr>
            <w:r w:rsidRPr="00F201AD">
              <w:rPr>
                <w:rFonts w:eastAsia="Times New Roman"/>
                <w:noProof/>
                <w:lang w:eastAsia="ro-RO"/>
              </w:rPr>
              <w:drawing>
                <wp:inline distT="0" distB="0" distL="0" distR="0" wp14:anchorId="4334F4D9" wp14:editId="61A203A5">
                  <wp:extent cx="1483360" cy="508000"/>
                  <wp:effectExtent l="0" t="0" r="2540" b="6350"/>
                  <wp:docPr id="486470700" name="Picture 3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Formul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3360" cy="508000"/>
                          </a:xfrm>
                          <a:prstGeom prst="rect">
                            <a:avLst/>
                          </a:prstGeom>
                          <a:noFill/>
                          <a:ln>
                            <a:noFill/>
                          </a:ln>
                        </pic:spPr>
                      </pic:pic>
                    </a:graphicData>
                  </a:graphic>
                </wp:inline>
              </w:drawing>
            </w:r>
          </w:p>
          <w:p w14:paraId="14475D44" w14:textId="77777777" w:rsidR="00B31FA1" w:rsidRPr="00F201AD" w:rsidRDefault="00B31FA1" w:rsidP="00B31FA1">
            <w:pPr>
              <w:rPr>
                <w:rFonts w:eastAsia="Times New Roman"/>
                <w:lang w:val="fr-FR" w:eastAsia="ro-RO"/>
              </w:rPr>
            </w:pPr>
            <w:r w:rsidRPr="00F201AD">
              <w:rPr>
                <w:rFonts w:eastAsia="Times New Roman"/>
                <w:noProof/>
                <w:lang w:eastAsia="ro-RO"/>
              </w:rPr>
              <w:drawing>
                <wp:anchor distT="0" distB="0" distL="114300" distR="114300" simplePos="0" relativeHeight="251677696" behindDoc="0" locked="0" layoutInCell="1" allowOverlap="1" wp14:anchorId="1F72B07A" wp14:editId="0DE90281">
                  <wp:simplePos x="0" y="0"/>
                  <wp:positionH relativeFrom="column">
                    <wp:posOffset>5596890</wp:posOffset>
                  </wp:positionH>
                  <wp:positionV relativeFrom="paragraph">
                    <wp:posOffset>53975</wp:posOffset>
                  </wp:positionV>
                  <wp:extent cx="579120" cy="370840"/>
                  <wp:effectExtent l="0" t="0" r="0" b="0"/>
                  <wp:wrapSquare wrapText="bothSides"/>
                  <wp:docPr id="1487122912" name="Picture 2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2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1AD">
              <w:rPr>
                <w:rFonts w:eastAsia="Times New Roman"/>
                <w:lang w:val="fr-FR" w:eastAsia="ro-RO"/>
              </w:rPr>
              <w:t>unde: </w:t>
            </w:r>
          </w:p>
          <w:p w14:paraId="10D1A996" w14:textId="77777777" w:rsidR="00B31FA1" w:rsidRPr="00F201AD" w:rsidRDefault="00B31FA1" w:rsidP="00B31FA1">
            <w:pPr>
              <w:rPr>
                <w:rFonts w:eastAsia="Times New Roman"/>
                <w:lang w:val="fr-FR" w:eastAsia="ro-RO"/>
              </w:rPr>
            </w:pPr>
            <w:r w:rsidRPr="00F201AD">
              <w:rPr>
                <w:rFonts w:eastAsia="Times New Roman"/>
                <w:i/>
                <w:iCs/>
                <w:lang w:val="fr-FR" w:eastAsia="ro-RO"/>
              </w:rPr>
              <w:t>CI</w:t>
            </w:r>
            <w:r w:rsidRPr="00F201AD">
              <w:rPr>
                <w:rFonts w:eastAsia="Times New Roman"/>
                <w:lang w:val="fr-FR" w:eastAsia="ro-RO"/>
              </w:rPr>
              <w:t> = Emisiile în echivalent CO</w:t>
            </w:r>
            <w:r w:rsidRPr="00F201AD">
              <w:rPr>
                <w:rFonts w:eastAsia="Times New Roman"/>
                <w:vertAlign w:val="subscript"/>
                <w:lang w:val="fr-FR" w:eastAsia="ro-RO"/>
              </w:rPr>
              <w:t>2</w:t>
            </w:r>
            <w:r w:rsidRPr="00F201AD">
              <w:rPr>
                <w:rFonts w:eastAsia="Times New Roman"/>
                <w:lang w:val="fr-FR" w:eastAsia="ro-RO"/>
              </w:rPr>
              <w:t> provenite din producția de energie electrică,</w:t>
            </w:r>
          </w:p>
          <w:p w14:paraId="56639597" w14:textId="77777777" w:rsidR="00B31FA1" w:rsidRPr="00F201AD" w:rsidRDefault="00B31FA1" w:rsidP="00B31FA1">
            <w:pPr>
              <w:pStyle w:val="Capitol"/>
              <w:spacing w:line="240" w:lineRule="auto"/>
              <w:rPr>
                <w:sz w:val="22"/>
                <w:szCs w:val="22"/>
              </w:rPr>
            </w:pPr>
            <w:r w:rsidRPr="00F201AD">
              <w:rPr>
                <w:caps w:val="0"/>
                <w:sz w:val="22"/>
                <w:szCs w:val="22"/>
              </w:rPr>
              <w:t xml:space="preserve">Capitolul </w:t>
            </w:r>
            <w:r w:rsidRPr="00F201AD">
              <w:rPr>
                <w:sz w:val="22"/>
                <w:szCs w:val="22"/>
              </w:rPr>
              <w:t>II</w:t>
            </w:r>
          </w:p>
          <w:p w14:paraId="456EA13D" w14:textId="77777777" w:rsidR="00B31FA1" w:rsidRPr="00F201AD" w:rsidRDefault="00B31FA1" w:rsidP="00B31FA1">
            <w:pPr>
              <w:pStyle w:val="Capitol"/>
              <w:spacing w:line="240" w:lineRule="auto"/>
              <w:rPr>
                <w:sz w:val="22"/>
                <w:szCs w:val="22"/>
              </w:rPr>
            </w:pPr>
            <w:r w:rsidRPr="00F201AD">
              <w:rPr>
                <w:sz w:val="22"/>
                <w:szCs w:val="22"/>
              </w:rPr>
              <w:t>Datele privind producția de energie electrică și consumul de combustibil</w:t>
            </w:r>
          </w:p>
          <w:p w14:paraId="402C83C4"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lastRenderedPageBreak/>
              <w:t>Datele privind producția de energie electrică și consumul de combustibil se obțin din datele și statisticile IEA care furnizează date privind bilanțurile energetice și energia electrică produsă utilizând diverși combustibili, de exemplu de pe site-ul IEA, secțiunea date și statistici.</w:t>
            </w:r>
          </w:p>
          <w:p w14:paraId="06C7D18B" w14:textId="77777777" w:rsidR="00B31FA1" w:rsidRPr="00F201AD" w:rsidRDefault="00B31FA1" w:rsidP="00B31FA1">
            <w:pPr>
              <w:pStyle w:val="Anexapct1"/>
              <w:numPr>
                <w:ilvl w:val="0"/>
                <w:numId w:val="171"/>
              </w:numPr>
              <w:spacing w:line="240" w:lineRule="auto"/>
              <w:rPr>
                <w:sz w:val="22"/>
                <w:szCs w:val="22"/>
              </w:rPr>
            </w:pPr>
            <w:r w:rsidRPr="00F201AD">
              <w:rPr>
                <w:sz w:val="22"/>
                <w:szCs w:val="22"/>
              </w:rPr>
              <w:t>În cazul în care intensitatea emisiilor de gaze cu efect de seră este stabilită la nivelul zonelor de ofertare, se utilizează date din statisticile naționale oficiale de același nivel de detaliere ca datele IEA. Datele privind consumul de combustibil trebuie să includă datele disponibile la cel mai înalt nivel de detaliere, disponibile din statisticile naționale: combustibili fosili solizi, gaze artificiale, turbă și produse din turbă, șisturi bituminoase și nisipuri bituminoase, petrol și produse petroliere, gaze naturale, surse regenerabile de energie și biocombustibili, deșeuri neregenerabile și nucleare. Din categoria energie din surse regenerabile și biocombustibili fac parte biocombustibilii, deșeurile municipale regenerabile, hidroenergia, energia oceanelor, energia geotermică, eoliană, solară și pompele de căldură.</w:t>
            </w:r>
          </w:p>
          <w:p w14:paraId="3ABE8515" w14:textId="77777777" w:rsidR="00B31FA1" w:rsidRPr="00F201AD" w:rsidRDefault="00B31FA1" w:rsidP="00B31FA1">
            <w:pPr>
              <w:pStyle w:val="Capitol"/>
              <w:spacing w:line="240" w:lineRule="auto"/>
              <w:rPr>
                <w:sz w:val="22"/>
                <w:szCs w:val="22"/>
              </w:rPr>
            </w:pPr>
            <w:r w:rsidRPr="00F201AD">
              <w:rPr>
                <w:caps w:val="0"/>
                <w:sz w:val="22"/>
                <w:szCs w:val="22"/>
              </w:rPr>
              <w:t xml:space="preserve">Capitolul </w:t>
            </w:r>
            <w:r w:rsidRPr="00F201AD">
              <w:rPr>
                <w:sz w:val="22"/>
                <w:szCs w:val="22"/>
              </w:rPr>
              <w:t>III</w:t>
            </w:r>
          </w:p>
          <w:p w14:paraId="3A044A53" w14:textId="77777777" w:rsidR="00B31FA1" w:rsidRPr="00F201AD" w:rsidRDefault="00B31FA1" w:rsidP="00B31FA1">
            <w:pPr>
              <w:pStyle w:val="Capitol"/>
              <w:spacing w:line="240" w:lineRule="auto"/>
              <w:rPr>
                <w:sz w:val="22"/>
                <w:szCs w:val="22"/>
              </w:rPr>
            </w:pPr>
            <w:r w:rsidRPr="00F201AD">
              <w:rPr>
                <w:sz w:val="22"/>
                <w:szCs w:val="22"/>
              </w:rPr>
              <w:t xml:space="preserve">Datele privind producția de energie electrică </w:t>
            </w:r>
          </w:p>
          <w:p w14:paraId="51A427DF" w14:textId="77777777" w:rsidR="00B31FA1" w:rsidRPr="00F201AD" w:rsidRDefault="00B31FA1" w:rsidP="00B31FA1">
            <w:pPr>
              <w:pStyle w:val="Capitol"/>
              <w:spacing w:line="240" w:lineRule="auto"/>
              <w:rPr>
                <w:sz w:val="22"/>
                <w:szCs w:val="22"/>
              </w:rPr>
            </w:pPr>
            <w:r w:rsidRPr="00F201AD">
              <w:rPr>
                <w:sz w:val="22"/>
                <w:szCs w:val="22"/>
              </w:rPr>
              <w:t>și consumul de combustibil</w:t>
            </w:r>
          </w:p>
          <w:p w14:paraId="219A680F"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Tabelul 1</w:t>
            </w:r>
          </w:p>
          <w:p w14:paraId="3B96DD51"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Factorii de emisii impliciți pentru arderea staționară </w:t>
            </w:r>
          </w:p>
          <w:p w14:paraId="25B54C69"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[g/MJ combustibil la o putere calorifică netă]</w:t>
            </w:r>
          </w:p>
          <w:tbl>
            <w:tblPr>
              <w:tblW w:w="3523"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02"/>
              <w:gridCol w:w="500"/>
              <w:gridCol w:w="570"/>
              <w:gridCol w:w="650"/>
            </w:tblGrid>
            <w:tr w:rsidR="00B31FA1" w:rsidRPr="00F201AD" w14:paraId="1CC1604A"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74125C5"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Combustibil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952D74C"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CO</w:t>
                  </w:r>
                  <w:r w:rsidRPr="00F201AD">
                    <w:rPr>
                      <w:rFonts w:eastAsia="Times New Roman"/>
                      <w:b/>
                      <w:bCs/>
                      <w:color w:val="333333"/>
                      <w:sz w:val="16"/>
                      <w:szCs w:val="16"/>
                      <w:vertAlign w:val="subscript"/>
                      <w:lang w:eastAsia="ro-RO"/>
                    </w:rPr>
                    <w:t>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A1A6B8E"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CH</w:t>
                  </w:r>
                  <w:r w:rsidRPr="00F201AD">
                    <w:rPr>
                      <w:rFonts w:eastAsia="Times New Roman"/>
                      <w:b/>
                      <w:bCs/>
                      <w:color w:val="333333"/>
                      <w:sz w:val="16"/>
                      <w:szCs w:val="16"/>
                      <w:vertAlign w:val="subscript"/>
                      <w:lang w:eastAsia="ro-RO"/>
                    </w:rPr>
                    <w:t>4</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29D0479"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N</w:t>
                  </w:r>
                  <w:r w:rsidRPr="00F201AD">
                    <w:rPr>
                      <w:rFonts w:eastAsia="Times New Roman"/>
                      <w:b/>
                      <w:bCs/>
                      <w:color w:val="333333"/>
                      <w:sz w:val="16"/>
                      <w:szCs w:val="16"/>
                      <w:vertAlign w:val="subscript"/>
                      <w:lang w:eastAsia="ro-RO"/>
                    </w:rPr>
                    <w:t>2</w:t>
                  </w:r>
                  <w:r w:rsidRPr="00F201AD">
                    <w:rPr>
                      <w:rFonts w:eastAsia="Times New Roman"/>
                      <w:b/>
                      <w:bCs/>
                      <w:color w:val="333333"/>
                      <w:sz w:val="16"/>
                      <w:szCs w:val="16"/>
                      <w:lang w:eastAsia="ro-RO"/>
                    </w:rPr>
                    <w:t>O</w:t>
                  </w:r>
                </w:p>
              </w:tc>
            </w:tr>
            <w:tr w:rsidR="00B31FA1" w:rsidRPr="00F201AD" w14:paraId="48850B1A"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197B18D"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b/>
                      <w:bCs/>
                      <w:i/>
                      <w:iCs/>
                      <w:color w:val="333333"/>
                      <w:sz w:val="16"/>
                      <w:szCs w:val="16"/>
                      <w:lang w:eastAsia="ro-RO"/>
                    </w:rPr>
                    <w:t>Combustibili fosili solizi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38350AD" w14:textId="77777777" w:rsidR="00B31FA1" w:rsidRPr="00F201AD" w:rsidRDefault="00B31FA1" w:rsidP="00B31FA1">
                  <w:pPr>
                    <w:spacing w:before="120"/>
                    <w:jc w:val="center"/>
                    <w:rPr>
                      <w:rFonts w:eastAsia="Times New Roman"/>
                      <w:color w:val="333333"/>
                      <w:sz w:val="16"/>
                      <w:szCs w:val="16"/>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FBAF09D" w14:textId="77777777" w:rsidR="00B31FA1" w:rsidRPr="00F201AD" w:rsidRDefault="00B31FA1" w:rsidP="00B31FA1">
                  <w:pPr>
                    <w:spacing w:before="120"/>
                    <w:jc w:val="center"/>
                    <w:rPr>
                      <w:rFonts w:eastAsia="Times New Roman"/>
                      <w:color w:val="333333"/>
                      <w:sz w:val="16"/>
                      <w:szCs w:val="16"/>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1AD82F1" w14:textId="77777777" w:rsidR="00B31FA1" w:rsidRPr="00F201AD" w:rsidRDefault="00B31FA1" w:rsidP="00B31FA1">
                  <w:pPr>
                    <w:spacing w:before="120"/>
                    <w:jc w:val="center"/>
                    <w:rPr>
                      <w:rFonts w:eastAsia="Times New Roman"/>
                      <w:color w:val="333333"/>
                      <w:sz w:val="16"/>
                      <w:szCs w:val="16"/>
                      <w:lang w:eastAsia="ro-RO"/>
                    </w:rPr>
                  </w:pPr>
                </w:p>
              </w:tc>
            </w:tr>
            <w:tr w:rsidR="00B31FA1" w:rsidRPr="00F201AD" w14:paraId="42C89164"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307BD16"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Antracit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AEDCA4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98,3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F753AF1"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F62F7C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1FA8A616"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37E8C29"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Huilă de cocs</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8D3CAC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94,6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016EB8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A55FBC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5D1500AB"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3F8623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Alți cărbuni bituminoși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ADDBA6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94,6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7446E4F"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748C0B1"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423761B4"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9C78D1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Cărbune subbituminos</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77BA310"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96,1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D2B672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520B11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6157E1ED"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1AC0AC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Lignit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025A28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101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ED9A82E"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F15C5F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50E0FAC7"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3833B76"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Combustibil brichetat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C8CC2BB"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F1767DD"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FF83A4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541761EF"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2019296"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Cocs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1616CB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1949BB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D26C9C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4383581D"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014DFD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lastRenderedPageBreak/>
                    <w:t>Gaz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BDD43E1"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281EEB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DAFFCD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3E635151"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0D8171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Gudron de cărbune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CFBB7C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80,7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FC6645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9048B5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5DC551F1"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33364E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Brichete de cărbune brun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5B18DAF"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795682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9C8F75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315164F1"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5E5712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b/>
                      <w:bCs/>
                      <w:i/>
                      <w:iCs/>
                      <w:color w:val="333333"/>
                      <w:sz w:val="16"/>
                      <w:szCs w:val="16"/>
                      <w:lang w:eastAsia="ro-RO"/>
                    </w:rPr>
                    <w:t>Gaze artificiale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E31CC03" w14:textId="77777777" w:rsidR="00B31FA1" w:rsidRPr="00F201AD" w:rsidRDefault="00B31FA1" w:rsidP="00B31FA1">
                  <w:pPr>
                    <w:spacing w:before="120"/>
                    <w:jc w:val="center"/>
                    <w:rPr>
                      <w:rFonts w:eastAsia="Times New Roman"/>
                      <w:color w:val="333333"/>
                      <w:sz w:val="16"/>
                      <w:szCs w:val="16"/>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76C84CD" w14:textId="77777777" w:rsidR="00B31FA1" w:rsidRPr="00F201AD" w:rsidRDefault="00B31FA1" w:rsidP="00B31FA1">
                  <w:pPr>
                    <w:spacing w:before="120"/>
                    <w:jc w:val="center"/>
                    <w:rPr>
                      <w:rFonts w:eastAsia="Times New Roman"/>
                      <w:color w:val="333333"/>
                      <w:sz w:val="16"/>
                      <w:szCs w:val="16"/>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92F9418" w14:textId="77777777" w:rsidR="00B31FA1" w:rsidRPr="00F201AD" w:rsidRDefault="00B31FA1" w:rsidP="00B31FA1">
                  <w:pPr>
                    <w:spacing w:before="120"/>
                    <w:jc w:val="center"/>
                    <w:rPr>
                      <w:rFonts w:eastAsia="Times New Roman"/>
                      <w:color w:val="333333"/>
                      <w:sz w:val="16"/>
                      <w:szCs w:val="16"/>
                      <w:lang w:eastAsia="ro-RO"/>
                    </w:rPr>
                  </w:pPr>
                </w:p>
              </w:tc>
            </w:tr>
            <w:tr w:rsidR="00B31FA1" w:rsidRPr="00F201AD" w14:paraId="2A53F138"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A9A2DB9"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Gaz de uzină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7D8C03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44,4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152C5B0"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F76C44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4ACAA222"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159B1A1"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Gaz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90067D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44,4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F9CBB2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AC3F63E"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7AC898CD"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ABAC4B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Gaz de furnal înalt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A18D26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260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54CAF4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9ED2C4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2B6F4B5C"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C9AD7B8"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Alte gaze recuperate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B52B9B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182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FAC3FEF"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E1D771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39BC0F5B"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7AAC84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b/>
                      <w:bCs/>
                      <w:color w:val="333333"/>
                      <w:sz w:val="16"/>
                      <w:szCs w:val="16"/>
                      <w:lang w:eastAsia="ro-RO"/>
                    </w:rPr>
                    <w:t>Turbă și produse din turbă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DD182E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106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997226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610488D"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0,0015</w:t>
                  </w:r>
                </w:p>
              </w:tc>
            </w:tr>
            <w:tr w:rsidR="00B31FA1" w:rsidRPr="00F201AD" w14:paraId="5AA64234"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EA5F07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b/>
                      <w:bCs/>
                      <w:color w:val="333333"/>
                      <w:sz w:val="16"/>
                      <w:szCs w:val="16"/>
                      <w:lang w:eastAsia="ro-RO"/>
                    </w:rPr>
                    <w:t>Șisturi și nisipuri bituminoase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F081B31"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50805B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FD0DC7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31F4C5A2"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746AC98"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b/>
                      <w:bCs/>
                      <w:i/>
                      <w:iCs/>
                      <w:color w:val="333333"/>
                      <w:sz w:val="16"/>
                      <w:szCs w:val="16"/>
                      <w:lang w:eastAsia="ro-RO"/>
                    </w:rPr>
                    <w:t>Petrol și produse petroliere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D5805AE" w14:textId="77777777" w:rsidR="00B31FA1" w:rsidRPr="00F201AD" w:rsidRDefault="00B31FA1" w:rsidP="00B31FA1">
                  <w:pPr>
                    <w:spacing w:before="120"/>
                    <w:jc w:val="center"/>
                    <w:rPr>
                      <w:rFonts w:eastAsia="Times New Roman"/>
                      <w:color w:val="333333"/>
                      <w:sz w:val="16"/>
                      <w:szCs w:val="16"/>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4DEC279" w14:textId="77777777" w:rsidR="00B31FA1" w:rsidRPr="00F201AD" w:rsidRDefault="00B31FA1" w:rsidP="00B31FA1">
                  <w:pPr>
                    <w:spacing w:before="120"/>
                    <w:jc w:val="center"/>
                    <w:rPr>
                      <w:rFonts w:eastAsia="Times New Roman"/>
                      <w:color w:val="333333"/>
                      <w:sz w:val="16"/>
                      <w:szCs w:val="16"/>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0D762C4" w14:textId="77777777" w:rsidR="00B31FA1" w:rsidRPr="00F201AD" w:rsidRDefault="00B31FA1" w:rsidP="00B31FA1">
                  <w:pPr>
                    <w:spacing w:before="120"/>
                    <w:jc w:val="center"/>
                    <w:rPr>
                      <w:rFonts w:eastAsia="Times New Roman"/>
                      <w:color w:val="333333"/>
                      <w:sz w:val="16"/>
                      <w:szCs w:val="16"/>
                      <w:lang w:eastAsia="ro-RO"/>
                    </w:rPr>
                  </w:pPr>
                </w:p>
              </w:tc>
            </w:tr>
            <w:tr w:rsidR="00B31FA1" w:rsidRPr="00F201AD" w14:paraId="04F8A1F0"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64E95D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Țiței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FD6551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C8ADE8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68770A1"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01020F41"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16938AC"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Produse lichide de la extracția gazelor naturale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CAFF912"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64,2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5F3188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A00EFF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5FCD3BDF"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70FD926"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Materii prime de rafinărie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60A6AE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8B4455D"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6D5B6A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368F17BB"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F7EC8FB"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Aditivi și compuși oxigenați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DF11F6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64E5A3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6E7680A"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31C2D430"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A8E4171"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Alte hidrocarburi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E71641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F19B09A"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798F38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10E58D9E"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A5308FC"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Gaz de rafinărie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E8C735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57,6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D3137CD"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436AF0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4567DD78"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176935B"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Etan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CFFE34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61,6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FBFC14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A65FB5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1551F9B1"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CA82C85"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Gaze petroliere lichefiate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AC0C1AF"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63,1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FD3287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2C471E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4CB64240"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4E4C82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Benzină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7E04E1F"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69,3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321EB0E"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743523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3C6A9929"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7188086"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Benzină pentru aviație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2073E0A"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AE3E9A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487E50B"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4F383CB0"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0827C48"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Carburant turboreactor tip benzină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8E6AD7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498DFB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7CAEECE"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7FEF16AA"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B7CFC56"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Carburant turboreactor tip kerosen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4E9454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71,5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412E2E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39756F1"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3336AAF1"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2458407"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Alte tipuri de kerosen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FE6B53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71,5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0C2F36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201340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4C919055"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348BFA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Naftă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8EE782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F83AF3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9E54B9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111F5284"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75AFABA"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Motorină și diesel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8516FF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74,1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741FC2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973235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47512C40"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9AD553C"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Păcură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9ABE35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77,4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23D8D3F"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E60816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5E65C09F"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01B794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White spirit și SPB</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90967F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8E59B1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B7C661A"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4B303E9C"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09B710D"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Lubrifianți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64CB8AB"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85553C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C7B246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045B8D1D"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4DED3B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lastRenderedPageBreak/>
                    <w:t>Bitum</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36C122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80,7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4014EBE"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1368A11"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4FDD9658"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7414A55"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Cocs de petrol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ECD6C9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9CB517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8012B0F"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13BFA138"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2DD9B25"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Ceară de parafină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A958082"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46FB932"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D2085F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0613823A"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998ACCC"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Alte produse petroliere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129E49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F32CCC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AE6749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0,0006</w:t>
                  </w:r>
                </w:p>
              </w:tc>
            </w:tr>
            <w:tr w:rsidR="00B31FA1" w:rsidRPr="00F201AD" w14:paraId="7D414758"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577957B"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Gaze naturale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7AE622E"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56,1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7F9580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3B2CBCE"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0,0001</w:t>
                  </w:r>
                </w:p>
              </w:tc>
            </w:tr>
            <w:tr w:rsidR="00B31FA1" w:rsidRPr="00F201AD" w14:paraId="451689B7"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C5AECE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b/>
                      <w:bCs/>
                      <w:i/>
                      <w:iCs/>
                      <w:color w:val="333333"/>
                      <w:sz w:val="16"/>
                      <w:szCs w:val="16"/>
                      <w:lang w:eastAsia="ro-RO"/>
                    </w:rPr>
                    <w:t>Deșeuri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740714D" w14:textId="77777777" w:rsidR="00B31FA1" w:rsidRPr="00F201AD" w:rsidRDefault="00B31FA1" w:rsidP="00B31FA1">
                  <w:pPr>
                    <w:spacing w:before="120"/>
                    <w:jc w:val="center"/>
                    <w:rPr>
                      <w:rFonts w:eastAsia="Times New Roman"/>
                      <w:color w:val="333333"/>
                      <w:sz w:val="16"/>
                      <w:szCs w:val="16"/>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E478710" w14:textId="77777777" w:rsidR="00B31FA1" w:rsidRPr="00F201AD" w:rsidRDefault="00B31FA1" w:rsidP="00B31FA1">
                  <w:pPr>
                    <w:spacing w:before="120"/>
                    <w:jc w:val="center"/>
                    <w:rPr>
                      <w:rFonts w:eastAsia="Times New Roman"/>
                      <w:color w:val="333333"/>
                      <w:sz w:val="16"/>
                      <w:szCs w:val="16"/>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91566D2" w14:textId="77777777" w:rsidR="00B31FA1" w:rsidRPr="00F201AD" w:rsidRDefault="00B31FA1" w:rsidP="00B31FA1">
                  <w:pPr>
                    <w:spacing w:before="120"/>
                    <w:jc w:val="center"/>
                    <w:rPr>
                      <w:rFonts w:eastAsia="Times New Roman"/>
                      <w:color w:val="333333"/>
                      <w:sz w:val="16"/>
                      <w:szCs w:val="16"/>
                      <w:lang w:eastAsia="ro-RO"/>
                    </w:rPr>
                  </w:pPr>
                </w:p>
              </w:tc>
            </w:tr>
            <w:tr w:rsidR="00B31FA1" w:rsidRPr="00F201AD" w14:paraId="7C0DEB5D"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CADFC0A"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Deșeuri industriale (neregenerabile)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9AAB4D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143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4E8988F"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A319AD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0,004</w:t>
                  </w:r>
                </w:p>
              </w:tc>
            </w:tr>
            <w:tr w:rsidR="00B31FA1" w:rsidRPr="00F201AD" w14:paraId="654FFAE0" w14:textId="77777777" w:rsidTr="00504F8D">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D0B5701"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Deșeuri municipale neregenerabile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715A3E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91,7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43D5C90"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114C82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0,004</w:t>
                  </w:r>
                </w:p>
              </w:tc>
            </w:tr>
            <w:tr w:rsidR="00B31FA1" w:rsidRPr="00F201AD" w14:paraId="47690FD1" w14:textId="77777777" w:rsidTr="00504F8D">
              <w:trPr>
                <w:jc w:val="center"/>
              </w:trPr>
              <w:tc>
                <w:tcPr>
                  <w:tcW w:w="5000" w:type="pct"/>
                  <w:gridSpan w:val="4"/>
                  <w:shd w:val="clear" w:color="auto" w:fill="FFFFFF"/>
                  <w:vAlign w:val="center"/>
                  <w:hideMark/>
                </w:tcPr>
                <w:tbl>
                  <w:tblPr>
                    <w:tblW w:w="5000" w:type="pct"/>
                    <w:tblLayout w:type="fixed"/>
                    <w:tblCellMar>
                      <w:left w:w="0" w:type="dxa"/>
                      <w:right w:w="0" w:type="dxa"/>
                    </w:tblCellMar>
                    <w:tblLook w:val="04A0" w:firstRow="1" w:lastRow="0" w:firstColumn="1" w:lastColumn="0" w:noHBand="0" w:noVBand="1"/>
                  </w:tblPr>
                  <w:tblGrid>
                    <w:gridCol w:w="496"/>
                    <w:gridCol w:w="3311"/>
                  </w:tblGrid>
                  <w:tr w:rsidR="00B31FA1" w:rsidRPr="00F201AD" w14:paraId="3FB630FB" w14:textId="77777777" w:rsidTr="00504F8D">
                    <w:tc>
                      <w:tcPr>
                        <w:tcW w:w="602" w:type="dxa"/>
                        <w:hideMark/>
                      </w:tcPr>
                      <w:p w14:paraId="48585ABC" w14:textId="77777777" w:rsidR="00B31FA1" w:rsidRPr="00F201AD" w:rsidRDefault="00B31FA1" w:rsidP="00B31FA1">
                        <w:pPr>
                          <w:rPr>
                            <w:rFonts w:eastAsia="Times New Roman"/>
                            <w:i/>
                            <w:iCs/>
                            <w:sz w:val="16"/>
                            <w:szCs w:val="16"/>
                            <w:lang w:eastAsia="ro-RO"/>
                          </w:rPr>
                        </w:pPr>
                        <w:r w:rsidRPr="00F201AD">
                          <w:rPr>
                            <w:rFonts w:eastAsia="Times New Roman"/>
                            <w:i/>
                            <w:iCs/>
                            <w:sz w:val="16"/>
                            <w:szCs w:val="16"/>
                            <w:lang w:eastAsia="ro-RO"/>
                          </w:rPr>
                          <w:t>Notă:</w:t>
                        </w:r>
                      </w:p>
                    </w:tc>
                    <w:tc>
                      <w:tcPr>
                        <w:tcW w:w="6678" w:type="dxa"/>
                        <w:hideMark/>
                      </w:tcPr>
                      <w:p w14:paraId="009DC5B4" w14:textId="77777777" w:rsidR="00B31FA1" w:rsidRPr="00F201AD" w:rsidRDefault="00B31FA1" w:rsidP="00B31FA1">
                        <w:pPr>
                          <w:rPr>
                            <w:rFonts w:eastAsia="Times New Roman"/>
                            <w:i/>
                            <w:iCs/>
                            <w:sz w:val="16"/>
                            <w:szCs w:val="16"/>
                            <w:lang w:eastAsia="ro-RO"/>
                          </w:rPr>
                        </w:pPr>
                        <w:r w:rsidRPr="00F201AD">
                          <w:rPr>
                            <w:rFonts w:eastAsia="Times New Roman"/>
                            <w:i/>
                            <w:iCs/>
                            <w:sz w:val="16"/>
                            <w:szCs w:val="16"/>
                            <w:lang w:eastAsia="ro-RO"/>
                          </w:rPr>
                          <w:t>Valorile trebuie înmulțite cu factorii potențialului de încălzire globală (GWP) stabiliți la pct. 9 din anexa nr. 2 la prezenta hotărâre.</w:t>
                        </w:r>
                      </w:p>
                    </w:tc>
                  </w:tr>
                  <w:tr w:rsidR="00B31FA1" w:rsidRPr="00F201AD" w14:paraId="257DCA46" w14:textId="77777777" w:rsidTr="00504F8D">
                    <w:tc>
                      <w:tcPr>
                        <w:tcW w:w="602" w:type="dxa"/>
                      </w:tcPr>
                      <w:p w14:paraId="4B81D591" w14:textId="77777777" w:rsidR="00B31FA1" w:rsidRPr="00F201AD" w:rsidRDefault="00B31FA1" w:rsidP="00B31FA1">
                        <w:pPr>
                          <w:rPr>
                            <w:rFonts w:eastAsia="Times New Roman"/>
                            <w:i/>
                            <w:iCs/>
                            <w:sz w:val="16"/>
                            <w:szCs w:val="16"/>
                            <w:lang w:eastAsia="ro-RO"/>
                          </w:rPr>
                        </w:pPr>
                        <w:r w:rsidRPr="00F201AD">
                          <w:rPr>
                            <w:rFonts w:eastAsia="Times New Roman"/>
                            <w:i/>
                            <w:iCs/>
                            <w:sz w:val="16"/>
                            <w:szCs w:val="16"/>
                            <w:lang w:eastAsia="ro-RO"/>
                          </w:rPr>
                          <w:t>Sursă:</w:t>
                        </w:r>
                      </w:p>
                    </w:tc>
                    <w:tc>
                      <w:tcPr>
                        <w:tcW w:w="6678" w:type="dxa"/>
                      </w:tcPr>
                      <w:p w14:paraId="4EEAEC73" w14:textId="77777777" w:rsidR="00B31FA1" w:rsidRPr="00F201AD" w:rsidRDefault="00B31FA1" w:rsidP="00B31FA1">
                        <w:pPr>
                          <w:rPr>
                            <w:rFonts w:eastAsia="Times New Roman"/>
                            <w:i/>
                            <w:iCs/>
                            <w:sz w:val="16"/>
                            <w:szCs w:val="16"/>
                            <w:lang w:eastAsia="ro-RO"/>
                          </w:rPr>
                        </w:pPr>
                        <w:r w:rsidRPr="00F201AD">
                          <w:rPr>
                            <w:rFonts w:eastAsia="Times New Roman"/>
                            <w:i/>
                            <w:iCs/>
                            <w:sz w:val="16"/>
                            <w:szCs w:val="16"/>
                            <w:lang w:eastAsia="ro-RO"/>
                          </w:rPr>
                          <w:t>IPCC 2006.</w:t>
                        </w:r>
                      </w:p>
                    </w:tc>
                  </w:tr>
                </w:tbl>
                <w:p w14:paraId="65C5B8BE" w14:textId="77777777" w:rsidR="00B31FA1" w:rsidRPr="00F201AD" w:rsidRDefault="00B31FA1" w:rsidP="00B31FA1">
                  <w:pPr>
                    <w:rPr>
                      <w:rFonts w:eastAsia="Times New Roman"/>
                      <w:vanish/>
                      <w:color w:val="333333"/>
                      <w:sz w:val="16"/>
                      <w:szCs w:val="16"/>
                      <w:lang w:eastAsia="ro-RO"/>
                    </w:rPr>
                  </w:pPr>
                </w:p>
                <w:p w14:paraId="6D4D3EA4" w14:textId="77777777" w:rsidR="00B31FA1" w:rsidRPr="00F201AD" w:rsidRDefault="00B31FA1" w:rsidP="00B31FA1">
                  <w:pPr>
                    <w:rPr>
                      <w:rFonts w:eastAsia="Times New Roman"/>
                      <w:color w:val="333333"/>
                      <w:sz w:val="16"/>
                      <w:szCs w:val="16"/>
                      <w:lang w:eastAsia="ro-RO"/>
                    </w:rPr>
                  </w:pPr>
                </w:p>
              </w:tc>
            </w:tr>
          </w:tbl>
          <w:p w14:paraId="249090AE"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Tabelul 2</w:t>
            </w:r>
          </w:p>
          <w:p w14:paraId="590B2F30"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Factorii de emisii impliciți pentru arderea staționară a combustibililor proveniți din biomasă [g/MJ combustibil la o putere calorifică netă]</w:t>
            </w:r>
          </w:p>
          <w:tbl>
            <w:tblPr>
              <w:tblW w:w="390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11"/>
              <w:gridCol w:w="500"/>
              <w:gridCol w:w="570"/>
              <w:gridCol w:w="650"/>
            </w:tblGrid>
            <w:tr w:rsidR="00B31FA1" w:rsidRPr="00FE3577" w14:paraId="0788AC5A"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1D1E2552" w14:textId="77777777" w:rsidR="00B31FA1" w:rsidRPr="00661747" w:rsidRDefault="00B31FA1" w:rsidP="00B31FA1">
                  <w:pPr>
                    <w:spacing w:before="60" w:after="60"/>
                    <w:ind w:right="195"/>
                    <w:jc w:val="center"/>
                    <w:rPr>
                      <w:rFonts w:eastAsia="Times New Roman"/>
                      <w:b/>
                      <w:bCs/>
                      <w:color w:val="333333"/>
                      <w:sz w:val="16"/>
                      <w:szCs w:val="16"/>
                      <w:lang w:val="ro-RO" w:eastAsia="ro-RO"/>
                    </w:rPr>
                  </w:pPr>
                  <w:r w:rsidRPr="00661747">
                    <w:rPr>
                      <w:rFonts w:eastAsia="Times New Roman"/>
                      <w:b/>
                      <w:bCs/>
                      <w:color w:val="333333"/>
                      <w:sz w:val="16"/>
                      <w:szCs w:val="16"/>
                      <w:lang w:val="ro-RO" w:eastAsia="ro-RO"/>
                    </w:rPr>
                    <w:t>Combustibil</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288A8F4F" w14:textId="77777777" w:rsidR="00B31FA1" w:rsidRPr="00661747" w:rsidRDefault="00B31FA1" w:rsidP="00B31FA1">
                  <w:pPr>
                    <w:spacing w:before="60" w:after="60"/>
                    <w:ind w:right="195"/>
                    <w:jc w:val="center"/>
                    <w:rPr>
                      <w:rFonts w:eastAsia="Times New Roman"/>
                      <w:b/>
                      <w:bCs/>
                      <w:color w:val="333333"/>
                      <w:sz w:val="16"/>
                      <w:szCs w:val="16"/>
                      <w:lang w:val="ro-RO" w:eastAsia="ro-RO"/>
                    </w:rPr>
                  </w:pPr>
                  <w:r w:rsidRPr="00661747">
                    <w:rPr>
                      <w:rFonts w:eastAsia="Times New Roman"/>
                      <w:b/>
                      <w:bCs/>
                      <w:color w:val="333333"/>
                      <w:sz w:val="16"/>
                      <w:szCs w:val="16"/>
                      <w:lang w:val="ro-RO" w:eastAsia="ro-RO"/>
                    </w:rPr>
                    <w:t>CO</w:t>
                  </w:r>
                  <w:r w:rsidRPr="00661747">
                    <w:rPr>
                      <w:rFonts w:eastAsia="Times New Roman"/>
                      <w:b/>
                      <w:bCs/>
                      <w:color w:val="333333"/>
                      <w:sz w:val="16"/>
                      <w:szCs w:val="16"/>
                      <w:vertAlign w:val="subscript"/>
                      <w:lang w:val="ro-RO" w:eastAsia="ro-RO"/>
                    </w:rPr>
                    <w:t>2</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66A89F57" w14:textId="77777777" w:rsidR="00B31FA1" w:rsidRPr="00661747" w:rsidRDefault="00B31FA1" w:rsidP="00B31FA1">
                  <w:pPr>
                    <w:spacing w:before="60" w:after="60"/>
                    <w:ind w:right="195"/>
                    <w:jc w:val="center"/>
                    <w:rPr>
                      <w:rFonts w:eastAsia="Times New Roman"/>
                      <w:b/>
                      <w:bCs/>
                      <w:color w:val="333333"/>
                      <w:sz w:val="16"/>
                      <w:szCs w:val="16"/>
                      <w:lang w:val="ro-RO" w:eastAsia="ro-RO"/>
                    </w:rPr>
                  </w:pPr>
                  <w:r w:rsidRPr="00661747">
                    <w:rPr>
                      <w:rFonts w:eastAsia="Times New Roman"/>
                      <w:b/>
                      <w:bCs/>
                      <w:color w:val="333333"/>
                      <w:sz w:val="16"/>
                      <w:szCs w:val="16"/>
                      <w:lang w:val="ro-RO" w:eastAsia="ro-RO"/>
                    </w:rPr>
                    <w:t>CH</w:t>
                  </w:r>
                  <w:r w:rsidRPr="00661747">
                    <w:rPr>
                      <w:rFonts w:eastAsia="Times New Roman"/>
                      <w:b/>
                      <w:bCs/>
                      <w:color w:val="333333"/>
                      <w:sz w:val="16"/>
                      <w:szCs w:val="16"/>
                      <w:vertAlign w:val="subscript"/>
                      <w:lang w:val="ro-RO" w:eastAsia="ro-RO"/>
                    </w:rPr>
                    <w:t>4</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6DF5BE0B" w14:textId="77777777" w:rsidR="00B31FA1" w:rsidRPr="00661747" w:rsidRDefault="00B31FA1" w:rsidP="00B31FA1">
                  <w:pPr>
                    <w:spacing w:before="60" w:after="60"/>
                    <w:ind w:right="195"/>
                    <w:jc w:val="center"/>
                    <w:rPr>
                      <w:rFonts w:eastAsia="Times New Roman"/>
                      <w:b/>
                      <w:bCs/>
                      <w:color w:val="333333"/>
                      <w:sz w:val="16"/>
                      <w:szCs w:val="16"/>
                      <w:lang w:val="ro-RO" w:eastAsia="ro-RO"/>
                    </w:rPr>
                  </w:pPr>
                  <w:r w:rsidRPr="00661747">
                    <w:rPr>
                      <w:rFonts w:eastAsia="Times New Roman"/>
                      <w:b/>
                      <w:bCs/>
                      <w:color w:val="333333"/>
                      <w:sz w:val="16"/>
                      <w:szCs w:val="16"/>
                      <w:lang w:val="ro-RO" w:eastAsia="ro-RO"/>
                    </w:rPr>
                    <w:t>N</w:t>
                  </w:r>
                  <w:r w:rsidRPr="00661747">
                    <w:rPr>
                      <w:rFonts w:eastAsia="Times New Roman"/>
                      <w:b/>
                      <w:bCs/>
                      <w:color w:val="333333"/>
                      <w:sz w:val="16"/>
                      <w:szCs w:val="16"/>
                      <w:vertAlign w:val="subscript"/>
                      <w:lang w:val="ro-RO" w:eastAsia="ro-RO"/>
                    </w:rPr>
                    <w:t>2</w:t>
                  </w:r>
                  <w:r w:rsidRPr="00661747">
                    <w:rPr>
                      <w:rFonts w:eastAsia="Times New Roman"/>
                      <w:b/>
                      <w:bCs/>
                      <w:color w:val="333333"/>
                      <w:sz w:val="16"/>
                      <w:szCs w:val="16"/>
                      <w:lang w:val="ro-RO" w:eastAsia="ro-RO"/>
                    </w:rPr>
                    <w:t>O</w:t>
                  </w:r>
                </w:p>
              </w:tc>
            </w:tr>
            <w:tr w:rsidR="00B31FA1" w:rsidRPr="00FE3577" w14:paraId="4A731146"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2148B205"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Biocombustibili solizi primari</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7CE21B91"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9487AE5"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C9F685A"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0,004</w:t>
                  </w:r>
                </w:p>
              </w:tc>
            </w:tr>
            <w:tr w:rsidR="00B31FA1" w:rsidRPr="00FE3577" w14:paraId="4FC87344"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3B6A7655"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Mangal</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7E4A74CA"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96F6864"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0,2</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12047350"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0,004</w:t>
                  </w:r>
                </w:p>
              </w:tc>
            </w:tr>
            <w:tr w:rsidR="00B31FA1" w:rsidRPr="00FE3577" w14:paraId="1CC31219"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57FAE22D"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Biogaz</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4EC3B675"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453B85BD"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0,001</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17867855"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0,0001</w:t>
                  </w:r>
                </w:p>
              </w:tc>
            </w:tr>
            <w:tr w:rsidR="00B31FA1" w:rsidRPr="00FE3577" w14:paraId="484AD741"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029A0BEC"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Deșeuri municipale regenerabile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6AC8111B"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184537BE"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278330A"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0,004</w:t>
                  </w:r>
                </w:p>
              </w:tc>
            </w:tr>
            <w:tr w:rsidR="00B31FA1" w:rsidRPr="00FE3577" w14:paraId="262F4F51"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7A30C388"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Biobenzină pură</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3BCA4054"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59129D2C"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A2485D7"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0,0006</w:t>
                  </w:r>
                </w:p>
              </w:tc>
            </w:tr>
            <w:tr w:rsidR="00B31FA1" w:rsidRPr="00FE3577" w14:paraId="1FCE7581"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00029179"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Biobenzină mixtă</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7D938786"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1FC32535"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1C771788"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0,0006</w:t>
                  </w:r>
                </w:p>
              </w:tc>
            </w:tr>
            <w:tr w:rsidR="00B31FA1" w:rsidRPr="00FE3577" w14:paraId="0D351B38"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4E7E9913"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Biodiesele pure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69C3451E"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33F7A3A"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540ACE2"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0,0006</w:t>
                  </w:r>
                </w:p>
              </w:tc>
            </w:tr>
            <w:tr w:rsidR="00B31FA1" w:rsidRPr="00FE3577" w14:paraId="47A00E46"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4961F7E7"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Biodiesele mixte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4E703A79"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428020D4"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48783BEF"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0,0006</w:t>
                  </w:r>
                </w:p>
              </w:tc>
            </w:tr>
            <w:tr w:rsidR="00B31FA1" w:rsidRPr="00FE3577" w14:paraId="5E40D5AF"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62507416"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Combustibil pur de tip kerosen pentru turboreactoare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438255F8"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7A28ED19"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0F1CC867"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0,0006</w:t>
                  </w:r>
                </w:p>
              </w:tc>
            </w:tr>
            <w:tr w:rsidR="00B31FA1" w:rsidRPr="00FE3577" w14:paraId="68CA036D"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7852723D"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Combustibil mixt de tip kerosen pentru turboreactoare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0DF57BEF"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1DA03759"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26781BAA"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0,0006</w:t>
                  </w:r>
                </w:p>
              </w:tc>
            </w:tr>
            <w:tr w:rsidR="00B31FA1" w:rsidRPr="00FE3577" w14:paraId="08B79F93" w14:textId="77777777" w:rsidTr="00504F8D">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28F24F0E" w14:textId="77777777" w:rsidR="00B31FA1" w:rsidRPr="00661747" w:rsidRDefault="00B31FA1" w:rsidP="00B31FA1">
                  <w:pPr>
                    <w:spacing w:before="60" w:after="60"/>
                    <w:rPr>
                      <w:rFonts w:eastAsia="Times New Roman"/>
                      <w:color w:val="333333"/>
                      <w:sz w:val="16"/>
                      <w:szCs w:val="16"/>
                      <w:lang w:val="ro-RO" w:eastAsia="ro-RO"/>
                    </w:rPr>
                  </w:pPr>
                  <w:r w:rsidRPr="00661747">
                    <w:rPr>
                      <w:rFonts w:eastAsia="Times New Roman"/>
                      <w:color w:val="333333"/>
                      <w:sz w:val="16"/>
                      <w:szCs w:val="16"/>
                      <w:lang w:val="ro-RO" w:eastAsia="ro-RO"/>
                    </w:rPr>
                    <w:t>Alți biocombustibili lichizi</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72CF997C"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21401C3D"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388231B" w14:textId="77777777" w:rsidR="00B31FA1" w:rsidRPr="00661747" w:rsidRDefault="00B31FA1" w:rsidP="00B31FA1">
                  <w:pPr>
                    <w:spacing w:before="60" w:after="60"/>
                    <w:ind w:right="195"/>
                    <w:jc w:val="center"/>
                    <w:rPr>
                      <w:rFonts w:eastAsia="Times New Roman"/>
                      <w:color w:val="333333"/>
                      <w:sz w:val="16"/>
                      <w:szCs w:val="16"/>
                      <w:lang w:val="ro-RO" w:eastAsia="ro-RO"/>
                    </w:rPr>
                  </w:pPr>
                  <w:r w:rsidRPr="00661747">
                    <w:rPr>
                      <w:rFonts w:eastAsia="Times New Roman"/>
                      <w:color w:val="333333"/>
                      <w:sz w:val="16"/>
                      <w:szCs w:val="16"/>
                      <w:lang w:val="ro-RO" w:eastAsia="ro-RO"/>
                    </w:rPr>
                    <w:t>0,0006</w:t>
                  </w:r>
                </w:p>
              </w:tc>
            </w:tr>
            <w:tr w:rsidR="00B31FA1" w:rsidRPr="00FE3577" w14:paraId="6CCA1408" w14:textId="77777777" w:rsidTr="00504F8D">
              <w:trPr>
                <w:jc w:val="center"/>
              </w:trPr>
              <w:tc>
                <w:tcPr>
                  <w:tcW w:w="5000" w:type="pct"/>
                  <w:gridSpan w:val="4"/>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18"/>
                    <w:gridCol w:w="3798"/>
                  </w:tblGrid>
                  <w:tr w:rsidR="00B31FA1" w:rsidRPr="00FE3577" w14:paraId="599732C0" w14:textId="77777777" w:rsidTr="00504F8D">
                    <w:tc>
                      <w:tcPr>
                        <w:tcW w:w="437" w:type="pct"/>
                        <w:hideMark/>
                      </w:tcPr>
                      <w:p w14:paraId="077178F0" w14:textId="77777777" w:rsidR="00B31FA1" w:rsidRPr="00661747" w:rsidRDefault="00B31FA1" w:rsidP="00B31FA1">
                        <w:pPr>
                          <w:rPr>
                            <w:rFonts w:eastAsia="Times New Roman"/>
                            <w:i/>
                            <w:iCs/>
                            <w:sz w:val="16"/>
                            <w:szCs w:val="16"/>
                            <w:lang w:val="ro-RO" w:eastAsia="ro-RO"/>
                          </w:rPr>
                        </w:pPr>
                        <w:r w:rsidRPr="00661747">
                          <w:rPr>
                            <w:rFonts w:eastAsia="Times New Roman"/>
                            <w:i/>
                            <w:iCs/>
                            <w:sz w:val="16"/>
                            <w:szCs w:val="16"/>
                            <w:lang w:val="ro-RO" w:eastAsia="ro-RO"/>
                          </w:rPr>
                          <w:t>Sursă:</w:t>
                        </w:r>
                      </w:p>
                    </w:tc>
                    <w:tc>
                      <w:tcPr>
                        <w:tcW w:w="4563" w:type="pct"/>
                        <w:hideMark/>
                      </w:tcPr>
                      <w:p w14:paraId="27393AF3" w14:textId="77777777" w:rsidR="00B31FA1" w:rsidRPr="00661747" w:rsidRDefault="00B31FA1" w:rsidP="00B31FA1">
                        <w:pPr>
                          <w:rPr>
                            <w:rFonts w:eastAsia="Times New Roman"/>
                            <w:i/>
                            <w:iCs/>
                            <w:sz w:val="16"/>
                            <w:szCs w:val="16"/>
                            <w:lang w:val="ro-RO" w:eastAsia="ro-RO"/>
                          </w:rPr>
                        </w:pPr>
                        <w:r w:rsidRPr="00661747">
                          <w:rPr>
                            <w:rFonts w:eastAsia="Times New Roman"/>
                            <w:i/>
                            <w:iCs/>
                            <w:sz w:val="16"/>
                            <w:szCs w:val="16"/>
                            <w:lang w:val="ro-RO" w:eastAsia="ro-RO"/>
                          </w:rPr>
                          <w:t>IPCC, 2006.</w:t>
                        </w:r>
                      </w:p>
                    </w:tc>
                  </w:tr>
                </w:tbl>
                <w:p w14:paraId="1882CB9D" w14:textId="77777777" w:rsidR="00B31FA1" w:rsidRPr="00661747" w:rsidRDefault="00B31FA1" w:rsidP="00B31FA1">
                  <w:pPr>
                    <w:rPr>
                      <w:rFonts w:eastAsia="Times New Roman"/>
                      <w:color w:val="333333"/>
                      <w:sz w:val="16"/>
                      <w:szCs w:val="16"/>
                      <w:lang w:val="ro-RO" w:eastAsia="ro-RO"/>
                    </w:rPr>
                  </w:pPr>
                </w:p>
              </w:tc>
            </w:tr>
          </w:tbl>
          <w:p w14:paraId="1F6F7A7C"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Tabelul 3</w:t>
            </w:r>
          </w:p>
          <w:p w14:paraId="12BA9907"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 xml:space="preserve">Factorii de emisie din amonte ai combustibilului </w:t>
            </w:r>
          </w:p>
          <w:p w14:paraId="1B8D5AF1"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lastRenderedPageBreak/>
              <w:t>[gCO</w:t>
            </w:r>
            <w:r w:rsidRPr="00F201AD">
              <w:rPr>
                <w:rFonts w:eastAsia="Times New Roman"/>
                <w:sz w:val="22"/>
                <w:szCs w:val="22"/>
                <w:vertAlign w:val="subscript"/>
                <w:lang w:eastAsia="ro-RO"/>
              </w:rPr>
              <w:t>2eq</w:t>
            </w:r>
            <w:r w:rsidRPr="00F201AD">
              <w:rPr>
                <w:rFonts w:eastAsia="Times New Roman"/>
                <w:sz w:val="22"/>
                <w:szCs w:val="22"/>
                <w:lang w:eastAsia="ro-RO"/>
              </w:rPr>
              <w:t>/MJ combustibil la o putere calorifică netă]</w:t>
            </w:r>
          </w:p>
          <w:tbl>
            <w:tblPr>
              <w:tblW w:w="226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40"/>
              <w:gridCol w:w="1112"/>
            </w:tblGrid>
            <w:tr w:rsidR="00B31FA1" w:rsidRPr="00F201AD" w14:paraId="1E078CB8"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18E68846"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Combustibil</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5F06AC29"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Factor de emisie</w:t>
                  </w:r>
                </w:p>
              </w:tc>
            </w:tr>
            <w:tr w:rsidR="00B31FA1" w:rsidRPr="00F201AD" w14:paraId="54B4B1EF"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22AE30E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Cărbune superior</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0F97FC3F"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15,9</w:t>
                  </w:r>
                </w:p>
              </w:tc>
            </w:tr>
            <w:tr w:rsidR="00B31FA1" w:rsidRPr="00F201AD" w14:paraId="2566E9AD"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31B0EB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Cărbune brun</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30115E99"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1,7</w:t>
                  </w:r>
                </w:p>
              </w:tc>
            </w:tr>
            <w:tr w:rsidR="00B31FA1" w:rsidRPr="00F201AD" w14:paraId="15C894A6"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781F605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Turbă</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66C10423"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0</w:t>
                  </w:r>
                </w:p>
              </w:tc>
            </w:tr>
            <w:tr w:rsidR="00B31FA1" w:rsidRPr="00F201AD" w14:paraId="5622C045"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4AFB674A"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Gaze de cărbune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29B66A8F"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0</w:t>
                  </w:r>
                </w:p>
              </w:tc>
            </w:tr>
            <w:tr w:rsidR="00B31FA1" w:rsidRPr="00F201AD" w14:paraId="592332CB"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0E370C7B"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Produse petroliere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70E6965C"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11,6</w:t>
                  </w:r>
                </w:p>
              </w:tc>
            </w:tr>
            <w:tr w:rsidR="00B31FA1" w:rsidRPr="00F201AD" w14:paraId="0619F340"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6607AD3"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Gaze naturale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2E54CBC4"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12,7</w:t>
                  </w:r>
                </w:p>
              </w:tc>
            </w:tr>
            <w:tr w:rsidR="00B31FA1" w:rsidRPr="00F201AD" w14:paraId="60749ED6"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2C9597F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Biocombustibili solizi</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01F2F383"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0,7</w:t>
                  </w:r>
                </w:p>
              </w:tc>
            </w:tr>
            <w:tr w:rsidR="00B31FA1" w:rsidRPr="00F201AD" w14:paraId="3DDE9FCF"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74FE651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Biocombustibili lichizi</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5E78082D"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46,8</w:t>
                  </w:r>
                </w:p>
              </w:tc>
            </w:tr>
            <w:tr w:rsidR="00B31FA1" w:rsidRPr="00F201AD" w14:paraId="3707721B"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20A58C89"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Deșeuri industriale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0A0D306D"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0</w:t>
                  </w:r>
                </w:p>
              </w:tc>
            </w:tr>
            <w:tr w:rsidR="00B31FA1" w:rsidRPr="00F201AD" w14:paraId="3BD94E1D"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3B14B9A"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Deșeuri municipale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33AE2BF6"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0</w:t>
                  </w:r>
                </w:p>
              </w:tc>
            </w:tr>
            <w:tr w:rsidR="00B31FA1" w:rsidRPr="00F201AD" w14:paraId="72427CBC"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1A968EE5"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Biogaz</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1CF4B14C"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13,7</w:t>
                  </w:r>
                </w:p>
              </w:tc>
            </w:tr>
            <w:tr w:rsidR="00B31FA1" w:rsidRPr="00F201AD" w14:paraId="32E252B0" w14:textId="77777777" w:rsidTr="00504F8D">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7BB8271D"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Energie nucleară</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62C17640" w14:textId="77777777" w:rsidR="00B31FA1" w:rsidRPr="00F201AD" w:rsidRDefault="00B31FA1" w:rsidP="00B31FA1">
                  <w:pPr>
                    <w:spacing w:before="60" w:after="60"/>
                    <w:jc w:val="center"/>
                    <w:rPr>
                      <w:rFonts w:eastAsia="Times New Roman"/>
                      <w:color w:val="333333"/>
                      <w:sz w:val="16"/>
                      <w:szCs w:val="16"/>
                      <w:lang w:eastAsia="ro-RO"/>
                    </w:rPr>
                  </w:pPr>
                  <w:r w:rsidRPr="00F201AD">
                    <w:rPr>
                      <w:rFonts w:eastAsia="Times New Roman"/>
                      <w:color w:val="333333"/>
                      <w:sz w:val="16"/>
                      <w:szCs w:val="16"/>
                      <w:lang w:eastAsia="ro-RO"/>
                    </w:rPr>
                    <w:t>1,2</w:t>
                  </w:r>
                </w:p>
              </w:tc>
            </w:tr>
            <w:tr w:rsidR="00B31FA1" w:rsidRPr="00F201AD" w14:paraId="56C2AB2E" w14:textId="77777777" w:rsidTr="00504F8D">
              <w:trPr>
                <w:jc w:val="center"/>
              </w:trPr>
              <w:tc>
                <w:tcPr>
                  <w:tcW w:w="5000" w:type="pct"/>
                  <w:gridSpan w:val="2"/>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09"/>
                    <w:gridCol w:w="2028"/>
                  </w:tblGrid>
                  <w:tr w:rsidR="00B31FA1" w:rsidRPr="00F201AD" w14:paraId="04A6C8C9" w14:textId="77777777" w:rsidTr="00504F8D">
                    <w:tc>
                      <w:tcPr>
                        <w:tcW w:w="762" w:type="pct"/>
                        <w:hideMark/>
                      </w:tcPr>
                      <w:p w14:paraId="2F8AF0D2" w14:textId="77777777" w:rsidR="00B31FA1" w:rsidRPr="00F201AD" w:rsidRDefault="00B31FA1" w:rsidP="00B31FA1">
                        <w:pPr>
                          <w:rPr>
                            <w:rFonts w:eastAsia="Times New Roman"/>
                            <w:sz w:val="16"/>
                            <w:szCs w:val="16"/>
                            <w:lang w:eastAsia="ro-RO"/>
                          </w:rPr>
                        </w:pPr>
                        <w:r w:rsidRPr="00F201AD">
                          <w:rPr>
                            <w:rFonts w:eastAsia="Times New Roman"/>
                            <w:i/>
                            <w:iCs/>
                            <w:sz w:val="16"/>
                            <w:szCs w:val="16"/>
                            <w:lang w:eastAsia="ro-RO"/>
                          </w:rPr>
                          <w:t>Sursă</w:t>
                        </w:r>
                        <w:r w:rsidRPr="00F201AD">
                          <w:rPr>
                            <w:rFonts w:eastAsia="Times New Roman"/>
                            <w:sz w:val="16"/>
                            <w:szCs w:val="16"/>
                            <w:lang w:eastAsia="ro-RO"/>
                          </w:rPr>
                          <w:t>:</w:t>
                        </w:r>
                      </w:p>
                    </w:tc>
                    <w:tc>
                      <w:tcPr>
                        <w:tcW w:w="4238" w:type="pct"/>
                        <w:hideMark/>
                      </w:tcPr>
                      <w:p w14:paraId="00457BB0" w14:textId="77777777" w:rsidR="00B31FA1" w:rsidRPr="00F201AD" w:rsidRDefault="00B31FA1" w:rsidP="00B31FA1">
                        <w:pPr>
                          <w:rPr>
                            <w:rFonts w:eastAsia="Times New Roman"/>
                            <w:i/>
                            <w:iCs/>
                            <w:sz w:val="16"/>
                            <w:szCs w:val="16"/>
                            <w:lang w:eastAsia="ro-RO"/>
                          </w:rPr>
                        </w:pPr>
                        <w:r w:rsidRPr="00F201AD">
                          <w:rPr>
                            <w:rFonts w:eastAsia="Times New Roman"/>
                            <w:i/>
                            <w:iCs/>
                            <w:sz w:val="16"/>
                            <w:szCs w:val="16"/>
                            <w:lang w:eastAsia="ro-RO"/>
                          </w:rPr>
                          <w:t>JEC WTW versiunea 5.</w:t>
                        </w:r>
                      </w:p>
                    </w:tc>
                  </w:tr>
                </w:tbl>
                <w:p w14:paraId="0D718331" w14:textId="77777777" w:rsidR="00B31FA1" w:rsidRPr="00F201AD" w:rsidRDefault="00B31FA1" w:rsidP="00B31FA1">
                  <w:pPr>
                    <w:rPr>
                      <w:rFonts w:eastAsia="Times New Roman"/>
                      <w:color w:val="333333"/>
                      <w:sz w:val="16"/>
                      <w:szCs w:val="16"/>
                      <w:lang w:eastAsia="ro-RO"/>
                    </w:rPr>
                  </w:pPr>
                </w:p>
              </w:tc>
            </w:tr>
          </w:tbl>
          <w:p w14:paraId="052DD619" w14:textId="77777777" w:rsidR="00B31FA1" w:rsidRPr="00F201AD" w:rsidRDefault="00B31FA1" w:rsidP="00B31FA1">
            <w:pPr>
              <w:pStyle w:val="Anexapct1"/>
              <w:numPr>
                <w:ilvl w:val="0"/>
                <w:numId w:val="171"/>
              </w:numPr>
              <w:spacing w:line="240" w:lineRule="auto"/>
              <w:rPr>
                <w:rFonts w:eastAsia="Times New Roman"/>
                <w:sz w:val="22"/>
                <w:szCs w:val="22"/>
                <w:lang w:eastAsia="ro-RO"/>
              </w:rPr>
            </w:pPr>
            <w:r w:rsidRPr="00F201AD">
              <w:rPr>
                <w:rFonts w:eastAsia="Times New Roman"/>
                <w:sz w:val="22"/>
                <w:szCs w:val="22"/>
                <w:lang w:eastAsia="ro-RO"/>
              </w:rPr>
              <w:t>Tabelul A include valorile intensității emisiilor de GES ale energiei electrice la nivelul fiecărui stat membru al Uniunii Europene, precum și la nivel național. În cazul în care intensitatea emisiilor de gaze cu efect de seră generate de energia electrică se determină la nivel de țară, aceste valori se utilizează pentru energia electrică produsă în Uniunea Europeană și la nivel național până vor fi disponibile date mai recente pentru a determina intensitatea emisiilor de energie electrică.</w:t>
            </w:r>
          </w:p>
          <w:p w14:paraId="4A7B38BA"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Tabelul A</w:t>
            </w:r>
          </w:p>
          <w:p w14:paraId="743C0186" w14:textId="77777777" w:rsidR="00B31FA1" w:rsidRPr="00F201AD" w:rsidRDefault="00B31FA1" w:rsidP="00B31FA1">
            <w:pPr>
              <w:pStyle w:val="Sectiune"/>
              <w:spacing w:line="240" w:lineRule="auto"/>
              <w:rPr>
                <w:rFonts w:eastAsia="Times New Roman"/>
                <w:sz w:val="22"/>
                <w:szCs w:val="22"/>
                <w:lang w:eastAsia="ro-RO"/>
              </w:rPr>
            </w:pPr>
            <w:r w:rsidRPr="00F201AD">
              <w:rPr>
                <w:rFonts w:eastAsia="Times New Roman"/>
                <w:sz w:val="22"/>
                <w:szCs w:val="22"/>
                <w:lang w:eastAsia="ro-RO"/>
              </w:rPr>
              <w:t>Intensitatea emisiilor de energie electrică în Uniunea Europeană în 2020 și în Republica Moldova în 2024</w:t>
            </w:r>
          </w:p>
          <w:tbl>
            <w:tblPr>
              <w:tblW w:w="2533"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38"/>
              <w:gridCol w:w="1910"/>
            </w:tblGrid>
            <w:tr w:rsidR="00B31FA1" w:rsidRPr="00FE3577" w14:paraId="1351EF69"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13563C"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Țara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9E00CA5" w14:textId="77777777" w:rsidR="00B31FA1" w:rsidRPr="00F201AD" w:rsidRDefault="00B31FA1" w:rsidP="00B31FA1">
                  <w:pPr>
                    <w:spacing w:before="60" w:after="60"/>
                    <w:ind w:right="195"/>
                    <w:jc w:val="center"/>
                    <w:rPr>
                      <w:rFonts w:eastAsia="Times New Roman"/>
                      <w:b/>
                      <w:bCs/>
                      <w:color w:val="333333"/>
                      <w:sz w:val="16"/>
                      <w:szCs w:val="16"/>
                      <w:lang w:val="pt-BR" w:eastAsia="ro-RO"/>
                    </w:rPr>
                  </w:pPr>
                  <w:r w:rsidRPr="00F201AD">
                    <w:rPr>
                      <w:rFonts w:eastAsia="Times New Roman"/>
                      <w:b/>
                      <w:bCs/>
                      <w:color w:val="333333"/>
                      <w:sz w:val="16"/>
                      <w:szCs w:val="16"/>
                      <w:lang w:val="pt-BR" w:eastAsia="ro-RO"/>
                    </w:rPr>
                    <w:t>Intensitatea emisiilor de energie electrică generată (gCO</w:t>
                  </w:r>
                  <w:r w:rsidRPr="00F201AD">
                    <w:rPr>
                      <w:rFonts w:eastAsia="Times New Roman"/>
                      <w:b/>
                      <w:bCs/>
                      <w:color w:val="333333"/>
                      <w:sz w:val="16"/>
                      <w:szCs w:val="16"/>
                      <w:vertAlign w:val="subscript"/>
                      <w:lang w:val="pt-BR" w:eastAsia="ro-RO"/>
                    </w:rPr>
                    <w:t>2</w:t>
                  </w:r>
                  <w:r w:rsidRPr="00F201AD">
                    <w:rPr>
                      <w:rFonts w:eastAsia="Times New Roman"/>
                      <w:b/>
                      <w:bCs/>
                      <w:color w:val="333333"/>
                      <w:sz w:val="16"/>
                      <w:szCs w:val="16"/>
                      <w:lang w:val="pt-BR" w:eastAsia="ro-RO"/>
                    </w:rPr>
                    <w:t>eq/MJ)</w:t>
                  </w:r>
                </w:p>
              </w:tc>
            </w:tr>
            <w:tr w:rsidR="00B31FA1" w:rsidRPr="00F201AD" w14:paraId="2B75997E"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5A3DF9"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Austria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608677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39,7</w:t>
                  </w:r>
                </w:p>
              </w:tc>
            </w:tr>
            <w:tr w:rsidR="00B31FA1" w:rsidRPr="00F201AD" w14:paraId="2D263202"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8E542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Belgia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43E82A1"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56,7</w:t>
                  </w:r>
                </w:p>
              </w:tc>
            </w:tr>
            <w:tr w:rsidR="00B31FA1" w:rsidRPr="00F201AD" w14:paraId="3BCC2AF5"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593033"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lastRenderedPageBreak/>
                    <w:t>Bulgaria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19AD43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119,2</w:t>
                  </w:r>
                </w:p>
              </w:tc>
            </w:tr>
            <w:tr w:rsidR="00B31FA1" w:rsidRPr="00F201AD" w14:paraId="57331FA9"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98BED7"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Cipru</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8DDFCAB"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206,6</w:t>
                  </w:r>
                </w:p>
              </w:tc>
            </w:tr>
            <w:tr w:rsidR="00B31FA1" w:rsidRPr="00F201AD" w14:paraId="43D5FEF4"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5273A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Cehia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92CB98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132,5</w:t>
                  </w:r>
                </w:p>
              </w:tc>
            </w:tr>
            <w:tr w:rsidR="00B31FA1" w:rsidRPr="00F201AD" w14:paraId="1C885C24"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A2B62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Germania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433A68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99,3</w:t>
                  </w:r>
                </w:p>
              </w:tc>
            </w:tr>
            <w:tr w:rsidR="00B31FA1" w:rsidRPr="00F201AD" w14:paraId="618987C3"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43956A"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Danemarca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9C7D02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27,1</w:t>
                  </w:r>
                </w:p>
              </w:tc>
            </w:tr>
            <w:tr w:rsidR="00B31FA1" w:rsidRPr="00F201AD" w14:paraId="779AC269"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2A3FFE"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Estonia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3E5F2A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139,8</w:t>
                  </w:r>
                </w:p>
              </w:tc>
            </w:tr>
            <w:tr w:rsidR="00B31FA1" w:rsidRPr="00F201AD" w14:paraId="3762A9FC"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213CD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Grecia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128DAE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125,2</w:t>
                  </w:r>
                </w:p>
              </w:tc>
            </w:tr>
            <w:tr w:rsidR="00B31FA1" w:rsidRPr="00F201AD" w14:paraId="0C850D00"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1FE8C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Spania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6314DDD"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54,1</w:t>
                  </w:r>
                </w:p>
              </w:tc>
            </w:tr>
            <w:tr w:rsidR="00B31FA1" w:rsidRPr="00F201AD" w14:paraId="796B7CA7"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507A2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Finlanda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56C5E5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22,9</w:t>
                  </w:r>
                </w:p>
              </w:tc>
            </w:tr>
            <w:tr w:rsidR="00B31FA1" w:rsidRPr="00F201AD" w14:paraId="0882ADB4"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99FF17"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Franța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DDBE8E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19,6</w:t>
                  </w:r>
                </w:p>
              </w:tc>
            </w:tr>
            <w:tr w:rsidR="00B31FA1" w:rsidRPr="00F201AD" w14:paraId="30990986"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4E8652"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Croația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783A68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55,4</w:t>
                  </w:r>
                </w:p>
              </w:tc>
            </w:tr>
            <w:tr w:rsidR="00B31FA1" w:rsidRPr="00F201AD" w14:paraId="15A67D0B"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0F2A26"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Ungaria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2D0F728"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72,9</w:t>
                  </w:r>
                </w:p>
              </w:tc>
            </w:tr>
            <w:tr w:rsidR="00B31FA1" w:rsidRPr="00F201AD" w14:paraId="7A07F807"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17DBB9"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Irlanda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155220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89,4</w:t>
                  </w:r>
                </w:p>
              </w:tc>
            </w:tr>
            <w:tr w:rsidR="00B31FA1" w:rsidRPr="00F201AD" w14:paraId="1F0ACE5E"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C3244C"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Italia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F5445E9"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92,3</w:t>
                  </w:r>
                </w:p>
              </w:tc>
            </w:tr>
            <w:tr w:rsidR="00B31FA1" w:rsidRPr="00F201AD" w14:paraId="740E83E8"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9BB40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Letonia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C556B9E"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39,4</w:t>
                  </w:r>
                </w:p>
              </w:tc>
            </w:tr>
            <w:tr w:rsidR="00B31FA1" w:rsidRPr="00F201AD" w14:paraId="02F13CED"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E750B1"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Lituania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40F886B"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57,7</w:t>
                  </w:r>
                </w:p>
              </w:tc>
            </w:tr>
            <w:tr w:rsidR="00B31FA1" w:rsidRPr="00F201AD" w14:paraId="246A52DA"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BB1195"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Luxemburg</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29E77E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52,0</w:t>
                  </w:r>
                </w:p>
              </w:tc>
            </w:tr>
            <w:tr w:rsidR="00B31FA1" w:rsidRPr="00F201AD" w14:paraId="583F45D9"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F933B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Malta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C40AD24"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133,9</w:t>
                  </w:r>
                </w:p>
              </w:tc>
            </w:tr>
            <w:tr w:rsidR="00B31FA1" w:rsidRPr="00F201AD" w14:paraId="7A85577C"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E6774C5" w14:textId="77777777" w:rsidR="00B31FA1" w:rsidRPr="00F201AD" w:rsidRDefault="00B31FA1" w:rsidP="00B31FA1">
                  <w:pPr>
                    <w:spacing w:before="60" w:after="60"/>
                    <w:rPr>
                      <w:rFonts w:eastAsia="Times New Roman"/>
                      <w:b/>
                      <w:bCs/>
                      <w:color w:val="333333"/>
                      <w:sz w:val="16"/>
                      <w:szCs w:val="16"/>
                      <w:vertAlign w:val="superscript"/>
                      <w:lang w:eastAsia="ro-RO"/>
                    </w:rPr>
                  </w:pPr>
                  <w:r w:rsidRPr="00F201AD">
                    <w:rPr>
                      <w:rFonts w:eastAsia="Times New Roman"/>
                      <w:b/>
                      <w:bCs/>
                      <w:color w:val="333333"/>
                      <w:sz w:val="16"/>
                      <w:szCs w:val="16"/>
                      <w:lang w:eastAsia="ro-RO"/>
                    </w:rPr>
                    <w:t>Moldova</w:t>
                  </w:r>
                  <w:r w:rsidRPr="00F201AD">
                    <w:rPr>
                      <w:rFonts w:eastAsia="Times New Roman"/>
                      <w:b/>
                      <w:bCs/>
                      <w:color w:val="333333"/>
                      <w:sz w:val="16"/>
                      <w:szCs w:val="16"/>
                      <w:vertAlign w:val="superscript"/>
                      <w:lang w:eastAsia="ro-RO"/>
                    </w:rPr>
                    <w:t>(1)</w:t>
                  </w:r>
                </w:p>
              </w:tc>
              <w:tc>
                <w:tcPr>
                  <w:tcW w:w="3475" w:type="pct"/>
                  <w:tcBorders>
                    <w:top w:val="single" w:sz="6" w:space="0" w:color="000000"/>
                    <w:left w:val="single" w:sz="6" w:space="0" w:color="000000"/>
                    <w:bottom w:val="single" w:sz="6" w:space="0" w:color="000000"/>
                    <w:right w:val="single" w:sz="6" w:space="0" w:color="000000"/>
                  </w:tcBorders>
                  <w:shd w:val="clear" w:color="auto" w:fill="FFFFFF"/>
                </w:tcPr>
                <w:p w14:paraId="31F7625D" w14:textId="77777777" w:rsidR="00B31FA1" w:rsidRPr="00F201AD" w:rsidRDefault="00B31FA1" w:rsidP="00B31FA1">
                  <w:pPr>
                    <w:spacing w:before="60" w:after="60"/>
                    <w:ind w:right="195"/>
                    <w:jc w:val="center"/>
                    <w:rPr>
                      <w:rFonts w:eastAsia="Times New Roman"/>
                      <w:b/>
                      <w:bCs/>
                      <w:color w:val="333333"/>
                      <w:sz w:val="16"/>
                      <w:szCs w:val="16"/>
                      <w:lang w:eastAsia="ro-RO"/>
                    </w:rPr>
                  </w:pPr>
                  <w:r w:rsidRPr="00F201AD">
                    <w:rPr>
                      <w:rFonts w:eastAsia="Times New Roman"/>
                      <w:b/>
                      <w:bCs/>
                      <w:color w:val="333333"/>
                      <w:sz w:val="16"/>
                      <w:szCs w:val="16"/>
                      <w:lang w:eastAsia="ro-RO"/>
                    </w:rPr>
                    <w:t>145,0</w:t>
                  </w:r>
                </w:p>
              </w:tc>
            </w:tr>
            <w:tr w:rsidR="00B31FA1" w:rsidRPr="00F201AD" w14:paraId="77326CE0"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7A17BF"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Țările de Jos</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EEDE336"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99,9</w:t>
                  </w:r>
                </w:p>
              </w:tc>
            </w:tr>
            <w:tr w:rsidR="00B31FA1" w:rsidRPr="00F201AD" w14:paraId="62CD09B8"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87BA8B"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Polonia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60C595C"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196,5</w:t>
                  </w:r>
                </w:p>
              </w:tc>
            </w:tr>
            <w:tr w:rsidR="00B31FA1" w:rsidRPr="00F201AD" w14:paraId="29D06C4E"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FAB5E0"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Portugalia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3205102"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61,6</w:t>
                  </w:r>
                </w:p>
              </w:tc>
            </w:tr>
            <w:tr w:rsidR="00B31FA1" w:rsidRPr="00F201AD" w14:paraId="46D83B2F"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D7B71D"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România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D98B803"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86,1</w:t>
                  </w:r>
                </w:p>
              </w:tc>
            </w:tr>
            <w:tr w:rsidR="00B31FA1" w:rsidRPr="00F201AD" w14:paraId="00F2F0A0"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6349B8"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Slovacia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C101B45"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45,6</w:t>
                  </w:r>
                </w:p>
              </w:tc>
            </w:tr>
            <w:tr w:rsidR="00B31FA1" w:rsidRPr="00F201AD" w14:paraId="5E419D44"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05D357"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Slovenia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1896057"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70,1</w:t>
                  </w:r>
                </w:p>
              </w:tc>
            </w:tr>
            <w:tr w:rsidR="00B31FA1" w:rsidRPr="00F201AD" w14:paraId="6E491125"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3B18FA" w14:textId="77777777" w:rsidR="00B31FA1" w:rsidRPr="00F201AD" w:rsidRDefault="00B31FA1" w:rsidP="00B31FA1">
                  <w:pPr>
                    <w:spacing w:before="60" w:after="60"/>
                    <w:rPr>
                      <w:rFonts w:eastAsia="Times New Roman"/>
                      <w:color w:val="333333"/>
                      <w:sz w:val="16"/>
                      <w:szCs w:val="16"/>
                      <w:lang w:eastAsia="ro-RO"/>
                    </w:rPr>
                  </w:pPr>
                  <w:r w:rsidRPr="00F201AD">
                    <w:rPr>
                      <w:rFonts w:eastAsia="Times New Roman"/>
                      <w:color w:val="333333"/>
                      <w:sz w:val="16"/>
                      <w:szCs w:val="16"/>
                      <w:lang w:eastAsia="ro-RO"/>
                    </w:rPr>
                    <w:t>Suedia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439F3C0" w14:textId="77777777" w:rsidR="00B31FA1" w:rsidRPr="00F201AD" w:rsidRDefault="00B31FA1" w:rsidP="00B31FA1">
                  <w:pPr>
                    <w:spacing w:before="60" w:after="60"/>
                    <w:ind w:right="195"/>
                    <w:jc w:val="center"/>
                    <w:rPr>
                      <w:rFonts w:eastAsia="Times New Roman"/>
                      <w:color w:val="333333"/>
                      <w:sz w:val="16"/>
                      <w:szCs w:val="16"/>
                      <w:lang w:eastAsia="ro-RO"/>
                    </w:rPr>
                  </w:pPr>
                  <w:r w:rsidRPr="00F201AD">
                    <w:rPr>
                      <w:rFonts w:eastAsia="Times New Roman"/>
                      <w:color w:val="333333"/>
                      <w:sz w:val="16"/>
                      <w:szCs w:val="16"/>
                      <w:lang w:eastAsia="ro-RO"/>
                    </w:rPr>
                    <w:t>4,1</w:t>
                  </w:r>
                </w:p>
              </w:tc>
            </w:tr>
            <w:tr w:rsidR="00B31FA1" w:rsidRPr="00F201AD" w14:paraId="14347BA3" w14:textId="77777777" w:rsidTr="00504F8D">
              <w:trPr>
                <w:jc w:val="center"/>
              </w:trPr>
              <w:tc>
                <w:tcPr>
                  <w:tcW w:w="5000" w:type="pct"/>
                  <w:gridSpan w:val="2"/>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09"/>
                    <w:gridCol w:w="2324"/>
                  </w:tblGrid>
                  <w:tr w:rsidR="00B31FA1" w:rsidRPr="00F201AD" w14:paraId="6B6FE4A8" w14:textId="77777777" w:rsidTr="00504F8D">
                    <w:tc>
                      <w:tcPr>
                        <w:tcW w:w="685" w:type="pct"/>
                        <w:hideMark/>
                      </w:tcPr>
                      <w:p w14:paraId="0423B726" w14:textId="77777777" w:rsidR="00B31FA1" w:rsidRPr="00F201AD" w:rsidRDefault="00B31FA1" w:rsidP="00B31FA1">
                        <w:pPr>
                          <w:spacing w:before="120"/>
                          <w:rPr>
                            <w:rFonts w:eastAsia="Times New Roman"/>
                            <w:sz w:val="16"/>
                            <w:szCs w:val="16"/>
                            <w:lang w:eastAsia="ro-RO"/>
                          </w:rPr>
                        </w:pPr>
                        <w:r w:rsidRPr="00F201AD">
                          <w:rPr>
                            <w:rFonts w:eastAsia="Times New Roman"/>
                            <w:i/>
                            <w:iCs/>
                            <w:sz w:val="16"/>
                            <w:szCs w:val="16"/>
                            <w:lang w:eastAsia="ro-RO"/>
                          </w:rPr>
                          <w:t>Sursă</w:t>
                        </w:r>
                        <w:r w:rsidRPr="00F201AD">
                          <w:rPr>
                            <w:rFonts w:eastAsia="Times New Roman"/>
                            <w:sz w:val="16"/>
                            <w:szCs w:val="16"/>
                            <w:lang w:eastAsia="ro-RO"/>
                          </w:rPr>
                          <w:t>:</w:t>
                        </w:r>
                      </w:p>
                    </w:tc>
                    <w:tc>
                      <w:tcPr>
                        <w:tcW w:w="4315" w:type="pct"/>
                        <w:hideMark/>
                      </w:tcPr>
                      <w:p w14:paraId="6935E646" w14:textId="77777777" w:rsidR="00B31FA1" w:rsidRPr="00F201AD" w:rsidRDefault="00B31FA1" w:rsidP="00B31FA1">
                        <w:pPr>
                          <w:spacing w:before="120"/>
                          <w:rPr>
                            <w:rFonts w:eastAsia="Times New Roman"/>
                            <w:i/>
                            <w:iCs/>
                            <w:sz w:val="16"/>
                            <w:szCs w:val="16"/>
                            <w:lang w:eastAsia="ro-RO"/>
                          </w:rPr>
                        </w:pPr>
                        <w:r w:rsidRPr="00F201AD">
                          <w:rPr>
                            <w:rFonts w:eastAsia="Times New Roman"/>
                            <w:i/>
                            <w:iCs/>
                            <w:sz w:val="16"/>
                            <w:szCs w:val="16"/>
                            <w:lang w:eastAsia="ro-RO"/>
                          </w:rPr>
                          <w:t>JRC (Centrul Comun de Cercetare), 2022.</w:t>
                        </w:r>
                      </w:p>
                      <w:p w14:paraId="53CFF17B" w14:textId="77777777" w:rsidR="00B31FA1" w:rsidRPr="00F201AD" w:rsidRDefault="00B31FA1" w:rsidP="00B31FA1">
                        <w:pPr>
                          <w:spacing w:before="120"/>
                          <w:rPr>
                            <w:rFonts w:eastAsia="Times New Roman"/>
                            <w:sz w:val="16"/>
                            <w:szCs w:val="16"/>
                            <w:lang w:eastAsia="ro-RO"/>
                          </w:rPr>
                        </w:pPr>
                      </w:p>
                    </w:tc>
                  </w:tr>
                  <w:tr w:rsidR="00B31FA1" w:rsidRPr="00F201AD" w14:paraId="31D0AF00" w14:textId="77777777" w:rsidTr="00504F8D">
                    <w:tc>
                      <w:tcPr>
                        <w:tcW w:w="5000" w:type="pct"/>
                        <w:gridSpan w:val="2"/>
                      </w:tcPr>
                      <w:p w14:paraId="3EA3ED3A" w14:textId="77777777" w:rsidR="00B31FA1" w:rsidRPr="00F201AD" w:rsidRDefault="00B31FA1" w:rsidP="00B31FA1">
                        <w:pPr>
                          <w:rPr>
                            <w:rFonts w:eastAsia="Times New Roman"/>
                            <w:sz w:val="16"/>
                            <w:szCs w:val="16"/>
                            <w:lang w:eastAsia="ro-RO"/>
                          </w:rPr>
                        </w:pPr>
                        <w:r w:rsidRPr="00F201AD">
                          <w:rPr>
                            <w:rFonts w:eastAsia="Times New Roman"/>
                            <w:sz w:val="16"/>
                            <w:szCs w:val="16"/>
                            <w:vertAlign w:val="superscript"/>
                            <w:lang w:eastAsia="ro-RO"/>
                          </w:rPr>
                          <w:t>(1)</w:t>
                        </w:r>
                        <w:r w:rsidRPr="00F201AD">
                          <w:rPr>
                            <w:rFonts w:eastAsia="Times New Roman"/>
                            <w:i/>
                            <w:iCs/>
                            <w:sz w:val="16"/>
                            <w:szCs w:val="16"/>
                            <w:lang w:eastAsia="ro-RO"/>
                          </w:rPr>
                          <w:t>Factorul de emisii  pentru Moldova a fost preluată din raportul „Assessment of The Grid Emission Factor of Moldova’s Electricity System” elaborat de MESA, 2024.</w:t>
                        </w:r>
                      </w:p>
                    </w:tc>
                  </w:tr>
                </w:tbl>
                <w:p w14:paraId="2DD6602D" w14:textId="77777777" w:rsidR="00B31FA1" w:rsidRPr="00F201AD" w:rsidRDefault="00B31FA1" w:rsidP="00B31FA1">
                  <w:pPr>
                    <w:rPr>
                      <w:rFonts w:eastAsia="Times New Roman"/>
                      <w:color w:val="333333"/>
                      <w:sz w:val="16"/>
                      <w:szCs w:val="16"/>
                      <w:lang w:eastAsia="ro-RO"/>
                    </w:rPr>
                  </w:pPr>
                </w:p>
              </w:tc>
            </w:tr>
          </w:tbl>
          <w:p w14:paraId="26A5BCFD" w14:textId="77777777" w:rsidR="00B31FA1" w:rsidRPr="00F201AD" w:rsidRDefault="00B31FA1" w:rsidP="00B31FA1">
            <w:pPr>
              <w:jc w:val="both"/>
            </w:pPr>
          </w:p>
        </w:tc>
        <w:tc>
          <w:tcPr>
            <w:tcW w:w="1620" w:type="dxa"/>
          </w:tcPr>
          <w:p w14:paraId="3F500197" w14:textId="1CF257ED" w:rsidR="00B31FA1" w:rsidRPr="00EF37BA" w:rsidRDefault="00473190" w:rsidP="00B31FA1">
            <w:pPr>
              <w:rPr>
                <w:rFonts w:cs="Times New Roman"/>
                <w:lang w:val="ro-RO"/>
              </w:rPr>
            </w:pPr>
            <w:r w:rsidRPr="00EF37BA">
              <w:rPr>
                <w:rFonts w:cs="Times New Roman"/>
                <w:lang w:val="ro-RO"/>
              </w:rPr>
              <w:lastRenderedPageBreak/>
              <w:t>Compatibil</w:t>
            </w:r>
          </w:p>
        </w:tc>
        <w:tc>
          <w:tcPr>
            <w:tcW w:w="1704" w:type="dxa"/>
          </w:tcPr>
          <w:p w14:paraId="7B59C2DC" w14:textId="77777777" w:rsidR="00B31FA1" w:rsidRPr="0090532C" w:rsidRDefault="00B31FA1" w:rsidP="00B31FA1">
            <w:pPr>
              <w:rPr>
                <w:rFonts w:cs="Times New Roman"/>
                <w:lang w:val="ro-RO"/>
              </w:rPr>
            </w:pPr>
          </w:p>
        </w:tc>
      </w:tr>
    </w:tbl>
    <w:p w14:paraId="14B347CE" w14:textId="77777777" w:rsidR="00B61A5A" w:rsidRPr="00712034" w:rsidRDefault="00B61A5A" w:rsidP="00B61A5A">
      <w:pPr>
        <w:rPr>
          <w:rFonts w:cs="Times New Roman"/>
          <w:b/>
          <w:bCs/>
          <w:lang w:val="ro-RO"/>
        </w:rPr>
      </w:pPr>
    </w:p>
    <w:sectPr w:rsidR="00B61A5A" w:rsidRPr="00712034" w:rsidSect="000207CF">
      <w:headerReference w:type="default" r:id="rId2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2C8A" w14:textId="77777777" w:rsidR="00E04B5D" w:rsidRDefault="00E04B5D" w:rsidP="00DA6B84">
      <w:r>
        <w:separator/>
      </w:r>
    </w:p>
  </w:endnote>
  <w:endnote w:type="continuationSeparator" w:id="0">
    <w:p w14:paraId="59022CDB" w14:textId="77777777" w:rsidR="00E04B5D" w:rsidRDefault="00E04B5D" w:rsidP="00DA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4409" w14:textId="77777777" w:rsidR="00E04B5D" w:rsidRDefault="00E04B5D" w:rsidP="00DA6B84">
      <w:r>
        <w:separator/>
      </w:r>
    </w:p>
  </w:footnote>
  <w:footnote w:type="continuationSeparator" w:id="0">
    <w:p w14:paraId="0196600D" w14:textId="77777777" w:rsidR="00E04B5D" w:rsidRDefault="00E04B5D" w:rsidP="00DA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8B3" w14:textId="77777777" w:rsidR="00DA6B84" w:rsidRDefault="00DA6B84">
    <w:pPr>
      <w:pStyle w:val="Header"/>
      <w:rPr>
        <w:lang w:val="ro-RO"/>
      </w:rPr>
    </w:pPr>
  </w:p>
  <w:p w14:paraId="263F56DE" w14:textId="77777777" w:rsidR="00DA6B84" w:rsidRPr="00DA6B84" w:rsidRDefault="00DA6B84">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0.5pt;visibility:visible;mso-wrap-style:square" o:bullet="t">
        <v:imagedata r:id="rId1" o:title=""/>
      </v:shape>
    </w:pict>
  </w:numPicBullet>
  <w:numPicBullet w:numPicBulletId="1">
    <w:pict>
      <v:shape id="_x0000_i1026" type="#_x0000_t75" style="width:21pt;height:9pt;visibility:visible;mso-wrap-style:square" o:bullet="t">
        <v:imagedata r:id="rId2" o:title=""/>
      </v:shape>
    </w:pict>
  </w:numPicBullet>
  <w:abstractNum w:abstractNumId="0" w15:restartNumberingAfterBreak="0">
    <w:nsid w:val="00363AED"/>
    <w:multiLevelType w:val="hybridMultilevel"/>
    <w:tmpl w:val="C1A6AD48"/>
    <w:lvl w:ilvl="0" w:tplc="31D4FF3A">
      <w:start w:val="1"/>
      <w:numFmt w:val="bullet"/>
      <w:lvlText w:val=""/>
      <w:lvlJc w:val="left"/>
      <w:pPr>
        <w:ind w:left="720" w:hanging="360"/>
      </w:pPr>
      <w:rPr>
        <w:rFonts w:ascii="Symbol" w:hAnsi="Symbol"/>
      </w:rPr>
    </w:lvl>
    <w:lvl w:ilvl="1" w:tplc="FE546EF8">
      <w:start w:val="1"/>
      <w:numFmt w:val="bullet"/>
      <w:lvlText w:val=""/>
      <w:lvlJc w:val="left"/>
      <w:pPr>
        <w:ind w:left="720" w:hanging="360"/>
      </w:pPr>
      <w:rPr>
        <w:rFonts w:ascii="Symbol" w:hAnsi="Symbol"/>
      </w:rPr>
    </w:lvl>
    <w:lvl w:ilvl="2" w:tplc="9E1881EC">
      <w:start w:val="1"/>
      <w:numFmt w:val="bullet"/>
      <w:lvlText w:val=""/>
      <w:lvlJc w:val="left"/>
      <w:pPr>
        <w:ind w:left="720" w:hanging="360"/>
      </w:pPr>
      <w:rPr>
        <w:rFonts w:ascii="Symbol" w:hAnsi="Symbol"/>
      </w:rPr>
    </w:lvl>
    <w:lvl w:ilvl="3" w:tplc="C0E227C6">
      <w:start w:val="1"/>
      <w:numFmt w:val="bullet"/>
      <w:lvlText w:val=""/>
      <w:lvlJc w:val="left"/>
      <w:pPr>
        <w:ind w:left="720" w:hanging="360"/>
      </w:pPr>
      <w:rPr>
        <w:rFonts w:ascii="Symbol" w:hAnsi="Symbol"/>
      </w:rPr>
    </w:lvl>
    <w:lvl w:ilvl="4" w:tplc="2E642328">
      <w:start w:val="1"/>
      <w:numFmt w:val="bullet"/>
      <w:lvlText w:val=""/>
      <w:lvlJc w:val="left"/>
      <w:pPr>
        <w:ind w:left="720" w:hanging="360"/>
      </w:pPr>
      <w:rPr>
        <w:rFonts w:ascii="Symbol" w:hAnsi="Symbol"/>
      </w:rPr>
    </w:lvl>
    <w:lvl w:ilvl="5" w:tplc="0204AA58">
      <w:start w:val="1"/>
      <w:numFmt w:val="bullet"/>
      <w:lvlText w:val=""/>
      <w:lvlJc w:val="left"/>
      <w:pPr>
        <w:ind w:left="720" w:hanging="360"/>
      </w:pPr>
      <w:rPr>
        <w:rFonts w:ascii="Symbol" w:hAnsi="Symbol"/>
      </w:rPr>
    </w:lvl>
    <w:lvl w:ilvl="6" w:tplc="A68A89BA">
      <w:start w:val="1"/>
      <w:numFmt w:val="bullet"/>
      <w:lvlText w:val=""/>
      <w:lvlJc w:val="left"/>
      <w:pPr>
        <w:ind w:left="720" w:hanging="360"/>
      </w:pPr>
      <w:rPr>
        <w:rFonts w:ascii="Symbol" w:hAnsi="Symbol"/>
      </w:rPr>
    </w:lvl>
    <w:lvl w:ilvl="7" w:tplc="164CD8EA">
      <w:start w:val="1"/>
      <w:numFmt w:val="bullet"/>
      <w:lvlText w:val=""/>
      <w:lvlJc w:val="left"/>
      <w:pPr>
        <w:ind w:left="720" w:hanging="360"/>
      </w:pPr>
      <w:rPr>
        <w:rFonts w:ascii="Symbol" w:hAnsi="Symbol"/>
      </w:rPr>
    </w:lvl>
    <w:lvl w:ilvl="8" w:tplc="09E4CE1A">
      <w:start w:val="1"/>
      <w:numFmt w:val="bullet"/>
      <w:lvlText w:val=""/>
      <w:lvlJc w:val="left"/>
      <w:pPr>
        <w:ind w:left="720" w:hanging="360"/>
      </w:pPr>
      <w:rPr>
        <w:rFonts w:ascii="Symbol" w:hAnsi="Symbol"/>
      </w:rPr>
    </w:lvl>
  </w:abstractNum>
  <w:abstractNum w:abstractNumId="1"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2"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3"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081F49CE"/>
    <w:multiLevelType w:val="hybridMultilevel"/>
    <w:tmpl w:val="56427470"/>
    <w:lvl w:ilvl="0" w:tplc="4890410E">
      <w:start w:val="1"/>
      <w:numFmt w:val="bullet"/>
      <w:lvlText w:val=""/>
      <w:lvlJc w:val="left"/>
      <w:pPr>
        <w:ind w:left="1080" w:hanging="360"/>
      </w:pPr>
      <w:rPr>
        <w:rFonts w:ascii="Symbol" w:hAnsi="Symbol"/>
      </w:rPr>
    </w:lvl>
    <w:lvl w:ilvl="1" w:tplc="0B5E6B48">
      <w:start w:val="1"/>
      <w:numFmt w:val="bullet"/>
      <w:lvlText w:val=""/>
      <w:lvlJc w:val="left"/>
      <w:pPr>
        <w:ind w:left="1080" w:hanging="360"/>
      </w:pPr>
      <w:rPr>
        <w:rFonts w:ascii="Symbol" w:hAnsi="Symbol"/>
      </w:rPr>
    </w:lvl>
    <w:lvl w:ilvl="2" w:tplc="27C04F3A">
      <w:start w:val="1"/>
      <w:numFmt w:val="bullet"/>
      <w:lvlText w:val=""/>
      <w:lvlJc w:val="left"/>
      <w:pPr>
        <w:ind w:left="1080" w:hanging="360"/>
      </w:pPr>
      <w:rPr>
        <w:rFonts w:ascii="Symbol" w:hAnsi="Symbol"/>
      </w:rPr>
    </w:lvl>
    <w:lvl w:ilvl="3" w:tplc="BC3CBB90">
      <w:start w:val="1"/>
      <w:numFmt w:val="bullet"/>
      <w:lvlText w:val=""/>
      <w:lvlJc w:val="left"/>
      <w:pPr>
        <w:ind w:left="1080" w:hanging="360"/>
      </w:pPr>
      <w:rPr>
        <w:rFonts w:ascii="Symbol" w:hAnsi="Symbol"/>
      </w:rPr>
    </w:lvl>
    <w:lvl w:ilvl="4" w:tplc="00D8A446">
      <w:start w:val="1"/>
      <w:numFmt w:val="bullet"/>
      <w:lvlText w:val=""/>
      <w:lvlJc w:val="left"/>
      <w:pPr>
        <w:ind w:left="1080" w:hanging="360"/>
      </w:pPr>
      <w:rPr>
        <w:rFonts w:ascii="Symbol" w:hAnsi="Symbol"/>
      </w:rPr>
    </w:lvl>
    <w:lvl w:ilvl="5" w:tplc="A63863BC">
      <w:start w:val="1"/>
      <w:numFmt w:val="bullet"/>
      <w:lvlText w:val=""/>
      <w:lvlJc w:val="left"/>
      <w:pPr>
        <w:ind w:left="1080" w:hanging="360"/>
      </w:pPr>
      <w:rPr>
        <w:rFonts w:ascii="Symbol" w:hAnsi="Symbol"/>
      </w:rPr>
    </w:lvl>
    <w:lvl w:ilvl="6" w:tplc="BEBA872C">
      <w:start w:val="1"/>
      <w:numFmt w:val="bullet"/>
      <w:lvlText w:val=""/>
      <w:lvlJc w:val="left"/>
      <w:pPr>
        <w:ind w:left="1080" w:hanging="360"/>
      </w:pPr>
      <w:rPr>
        <w:rFonts w:ascii="Symbol" w:hAnsi="Symbol"/>
      </w:rPr>
    </w:lvl>
    <w:lvl w:ilvl="7" w:tplc="0BBED69A">
      <w:start w:val="1"/>
      <w:numFmt w:val="bullet"/>
      <w:lvlText w:val=""/>
      <w:lvlJc w:val="left"/>
      <w:pPr>
        <w:ind w:left="1080" w:hanging="360"/>
      </w:pPr>
      <w:rPr>
        <w:rFonts w:ascii="Symbol" w:hAnsi="Symbol"/>
      </w:rPr>
    </w:lvl>
    <w:lvl w:ilvl="8" w:tplc="8C46C992">
      <w:start w:val="1"/>
      <w:numFmt w:val="bullet"/>
      <w:lvlText w:val=""/>
      <w:lvlJc w:val="left"/>
      <w:pPr>
        <w:ind w:left="1080" w:hanging="360"/>
      </w:pPr>
      <w:rPr>
        <w:rFonts w:ascii="Symbol" w:hAnsi="Symbol"/>
      </w:rPr>
    </w:lvl>
  </w:abstractNum>
  <w:abstractNum w:abstractNumId="18"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1C5D67"/>
    <w:multiLevelType w:val="hybridMultilevel"/>
    <w:tmpl w:val="0C6043E0"/>
    <w:lvl w:ilvl="0" w:tplc="7F80D2AA">
      <w:start w:val="1"/>
      <w:numFmt w:val="bullet"/>
      <w:lvlText w:val=""/>
      <w:lvlJc w:val="left"/>
      <w:pPr>
        <w:ind w:left="720" w:hanging="360"/>
      </w:pPr>
      <w:rPr>
        <w:rFonts w:ascii="Symbol" w:hAnsi="Symbol"/>
      </w:rPr>
    </w:lvl>
    <w:lvl w:ilvl="1" w:tplc="5CB2A718">
      <w:start w:val="1"/>
      <w:numFmt w:val="bullet"/>
      <w:lvlText w:val=""/>
      <w:lvlJc w:val="left"/>
      <w:pPr>
        <w:ind w:left="720" w:hanging="360"/>
      </w:pPr>
      <w:rPr>
        <w:rFonts w:ascii="Symbol" w:hAnsi="Symbol"/>
      </w:rPr>
    </w:lvl>
    <w:lvl w:ilvl="2" w:tplc="DE3E7CFC">
      <w:start w:val="1"/>
      <w:numFmt w:val="bullet"/>
      <w:lvlText w:val=""/>
      <w:lvlJc w:val="left"/>
      <w:pPr>
        <w:ind w:left="720" w:hanging="360"/>
      </w:pPr>
      <w:rPr>
        <w:rFonts w:ascii="Symbol" w:hAnsi="Symbol"/>
      </w:rPr>
    </w:lvl>
    <w:lvl w:ilvl="3" w:tplc="3D5EB522">
      <w:start w:val="1"/>
      <w:numFmt w:val="bullet"/>
      <w:lvlText w:val=""/>
      <w:lvlJc w:val="left"/>
      <w:pPr>
        <w:ind w:left="720" w:hanging="360"/>
      </w:pPr>
      <w:rPr>
        <w:rFonts w:ascii="Symbol" w:hAnsi="Symbol"/>
      </w:rPr>
    </w:lvl>
    <w:lvl w:ilvl="4" w:tplc="52BEB374">
      <w:start w:val="1"/>
      <w:numFmt w:val="bullet"/>
      <w:lvlText w:val=""/>
      <w:lvlJc w:val="left"/>
      <w:pPr>
        <w:ind w:left="720" w:hanging="360"/>
      </w:pPr>
      <w:rPr>
        <w:rFonts w:ascii="Symbol" w:hAnsi="Symbol"/>
      </w:rPr>
    </w:lvl>
    <w:lvl w:ilvl="5" w:tplc="16620C1C">
      <w:start w:val="1"/>
      <w:numFmt w:val="bullet"/>
      <w:lvlText w:val=""/>
      <w:lvlJc w:val="left"/>
      <w:pPr>
        <w:ind w:left="720" w:hanging="360"/>
      </w:pPr>
      <w:rPr>
        <w:rFonts w:ascii="Symbol" w:hAnsi="Symbol"/>
      </w:rPr>
    </w:lvl>
    <w:lvl w:ilvl="6" w:tplc="D9644DA0">
      <w:start w:val="1"/>
      <w:numFmt w:val="bullet"/>
      <w:lvlText w:val=""/>
      <w:lvlJc w:val="left"/>
      <w:pPr>
        <w:ind w:left="720" w:hanging="360"/>
      </w:pPr>
      <w:rPr>
        <w:rFonts w:ascii="Symbol" w:hAnsi="Symbol"/>
      </w:rPr>
    </w:lvl>
    <w:lvl w:ilvl="7" w:tplc="495260CA">
      <w:start w:val="1"/>
      <w:numFmt w:val="bullet"/>
      <w:lvlText w:val=""/>
      <w:lvlJc w:val="left"/>
      <w:pPr>
        <w:ind w:left="720" w:hanging="360"/>
      </w:pPr>
      <w:rPr>
        <w:rFonts w:ascii="Symbol" w:hAnsi="Symbol"/>
      </w:rPr>
    </w:lvl>
    <w:lvl w:ilvl="8" w:tplc="8DDEEB18">
      <w:start w:val="1"/>
      <w:numFmt w:val="bullet"/>
      <w:lvlText w:val=""/>
      <w:lvlJc w:val="left"/>
      <w:pPr>
        <w:ind w:left="720" w:hanging="360"/>
      </w:pPr>
      <w:rPr>
        <w:rFonts w:ascii="Symbol" w:hAnsi="Symbol"/>
      </w:rPr>
    </w:lvl>
  </w:abstractNum>
  <w:abstractNum w:abstractNumId="21"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9F4331"/>
    <w:multiLevelType w:val="hybridMultilevel"/>
    <w:tmpl w:val="F6FE17B0"/>
    <w:lvl w:ilvl="0" w:tplc="F846228A">
      <w:start w:val="1"/>
      <w:numFmt w:val="bullet"/>
      <w:lvlText w:val=""/>
      <w:lvlJc w:val="left"/>
      <w:pPr>
        <w:ind w:left="720" w:hanging="360"/>
      </w:pPr>
      <w:rPr>
        <w:rFonts w:ascii="Symbol" w:hAnsi="Symbol"/>
      </w:rPr>
    </w:lvl>
    <w:lvl w:ilvl="1" w:tplc="820A2D5C">
      <w:start w:val="1"/>
      <w:numFmt w:val="bullet"/>
      <w:lvlText w:val=""/>
      <w:lvlJc w:val="left"/>
      <w:pPr>
        <w:ind w:left="720" w:hanging="360"/>
      </w:pPr>
      <w:rPr>
        <w:rFonts w:ascii="Symbol" w:hAnsi="Symbol"/>
      </w:rPr>
    </w:lvl>
    <w:lvl w:ilvl="2" w:tplc="708C313A">
      <w:start w:val="1"/>
      <w:numFmt w:val="bullet"/>
      <w:lvlText w:val=""/>
      <w:lvlJc w:val="left"/>
      <w:pPr>
        <w:ind w:left="720" w:hanging="360"/>
      </w:pPr>
      <w:rPr>
        <w:rFonts w:ascii="Symbol" w:hAnsi="Symbol"/>
      </w:rPr>
    </w:lvl>
    <w:lvl w:ilvl="3" w:tplc="0A3849F8">
      <w:start w:val="1"/>
      <w:numFmt w:val="bullet"/>
      <w:lvlText w:val=""/>
      <w:lvlJc w:val="left"/>
      <w:pPr>
        <w:ind w:left="720" w:hanging="360"/>
      </w:pPr>
      <w:rPr>
        <w:rFonts w:ascii="Symbol" w:hAnsi="Symbol"/>
      </w:rPr>
    </w:lvl>
    <w:lvl w:ilvl="4" w:tplc="1A9AFC5E">
      <w:start w:val="1"/>
      <w:numFmt w:val="bullet"/>
      <w:lvlText w:val=""/>
      <w:lvlJc w:val="left"/>
      <w:pPr>
        <w:ind w:left="720" w:hanging="360"/>
      </w:pPr>
      <w:rPr>
        <w:rFonts w:ascii="Symbol" w:hAnsi="Symbol"/>
      </w:rPr>
    </w:lvl>
    <w:lvl w:ilvl="5" w:tplc="4C3C0A26">
      <w:start w:val="1"/>
      <w:numFmt w:val="bullet"/>
      <w:lvlText w:val=""/>
      <w:lvlJc w:val="left"/>
      <w:pPr>
        <w:ind w:left="720" w:hanging="360"/>
      </w:pPr>
      <w:rPr>
        <w:rFonts w:ascii="Symbol" w:hAnsi="Symbol"/>
      </w:rPr>
    </w:lvl>
    <w:lvl w:ilvl="6" w:tplc="976EC978">
      <w:start w:val="1"/>
      <w:numFmt w:val="bullet"/>
      <w:lvlText w:val=""/>
      <w:lvlJc w:val="left"/>
      <w:pPr>
        <w:ind w:left="720" w:hanging="360"/>
      </w:pPr>
      <w:rPr>
        <w:rFonts w:ascii="Symbol" w:hAnsi="Symbol"/>
      </w:rPr>
    </w:lvl>
    <w:lvl w:ilvl="7" w:tplc="B7A6098E">
      <w:start w:val="1"/>
      <w:numFmt w:val="bullet"/>
      <w:lvlText w:val=""/>
      <w:lvlJc w:val="left"/>
      <w:pPr>
        <w:ind w:left="720" w:hanging="360"/>
      </w:pPr>
      <w:rPr>
        <w:rFonts w:ascii="Symbol" w:hAnsi="Symbol"/>
      </w:rPr>
    </w:lvl>
    <w:lvl w:ilvl="8" w:tplc="E9866EEA">
      <w:start w:val="1"/>
      <w:numFmt w:val="bullet"/>
      <w:lvlText w:val=""/>
      <w:lvlJc w:val="left"/>
      <w:pPr>
        <w:ind w:left="720" w:hanging="360"/>
      </w:pPr>
      <w:rPr>
        <w:rFonts w:ascii="Symbol" w:hAnsi="Symbol"/>
      </w:rPr>
    </w:lvl>
  </w:abstractNum>
  <w:abstractNum w:abstractNumId="27"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AD69F5"/>
    <w:multiLevelType w:val="hybridMultilevel"/>
    <w:tmpl w:val="423A1F70"/>
    <w:lvl w:ilvl="0" w:tplc="4EE044A8">
      <w:start w:val="1"/>
      <w:numFmt w:val="bullet"/>
      <w:lvlText w:val=""/>
      <w:lvlJc w:val="left"/>
      <w:pPr>
        <w:ind w:left="720" w:hanging="360"/>
      </w:pPr>
      <w:rPr>
        <w:rFonts w:ascii="Symbol" w:hAnsi="Symbol"/>
      </w:rPr>
    </w:lvl>
    <w:lvl w:ilvl="1" w:tplc="725EF512">
      <w:start w:val="1"/>
      <w:numFmt w:val="bullet"/>
      <w:lvlText w:val=""/>
      <w:lvlJc w:val="left"/>
      <w:pPr>
        <w:ind w:left="720" w:hanging="360"/>
      </w:pPr>
      <w:rPr>
        <w:rFonts w:ascii="Symbol" w:hAnsi="Symbol"/>
      </w:rPr>
    </w:lvl>
    <w:lvl w:ilvl="2" w:tplc="4B8EE766">
      <w:start w:val="1"/>
      <w:numFmt w:val="bullet"/>
      <w:lvlText w:val=""/>
      <w:lvlJc w:val="left"/>
      <w:pPr>
        <w:ind w:left="720" w:hanging="360"/>
      </w:pPr>
      <w:rPr>
        <w:rFonts w:ascii="Symbol" w:hAnsi="Symbol"/>
      </w:rPr>
    </w:lvl>
    <w:lvl w:ilvl="3" w:tplc="F0A2FF22">
      <w:start w:val="1"/>
      <w:numFmt w:val="bullet"/>
      <w:lvlText w:val=""/>
      <w:lvlJc w:val="left"/>
      <w:pPr>
        <w:ind w:left="720" w:hanging="360"/>
      </w:pPr>
      <w:rPr>
        <w:rFonts w:ascii="Symbol" w:hAnsi="Symbol"/>
      </w:rPr>
    </w:lvl>
    <w:lvl w:ilvl="4" w:tplc="57AA7684">
      <w:start w:val="1"/>
      <w:numFmt w:val="bullet"/>
      <w:lvlText w:val=""/>
      <w:lvlJc w:val="left"/>
      <w:pPr>
        <w:ind w:left="720" w:hanging="360"/>
      </w:pPr>
      <w:rPr>
        <w:rFonts w:ascii="Symbol" w:hAnsi="Symbol"/>
      </w:rPr>
    </w:lvl>
    <w:lvl w:ilvl="5" w:tplc="23BA2406">
      <w:start w:val="1"/>
      <w:numFmt w:val="bullet"/>
      <w:lvlText w:val=""/>
      <w:lvlJc w:val="left"/>
      <w:pPr>
        <w:ind w:left="720" w:hanging="360"/>
      </w:pPr>
      <w:rPr>
        <w:rFonts w:ascii="Symbol" w:hAnsi="Symbol"/>
      </w:rPr>
    </w:lvl>
    <w:lvl w:ilvl="6" w:tplc="7C5C6F14">
      <w:start w:val="1"/>
      <w:numFmt w:val="bullet"/>
      <w:lvlText w:val=""/>
      <w:lvlJc w:val="left"/>
      <w:pPr>
        <w:ind w:left="720" w:hanging="360"/>
      </w:pPr>
      <w:rPr>
        <w:rFonts w:ascii="Symbol" w:hAnsi="Symbol"/>
      </w:rPr>
    </w:lvl>
    <w:lvl w:ilvl="7" w:tplc="D58846A8">
      <w:start w:val="1"/>
      <w:numFmt w:val="bullet"/>
      <w:lvlText w:val=""/>
      <w:lvlJc w:val="left"/>
      <w:pPr>
        <w:ind w:left="720" w:hanging="360"/>
      </w:pPr>
      <w:rPr>
        <w:rFonts w:ascii="Symbol" w:hAnsi="Symbol"/>
      </w:rPr>
    </w:lvl>
    <w:lvl w:ilvl="8" w:tplc="E9FE4556">
      <w:start w:val="1"/>
      <w:numFmt w:val="bullet"/>
      <w:lvlText w:val=""/>
      <w:lvlJc w:val="left"/>
      <w:pPr>
        <w:ind w:left="720" w:hanging="360"/>
      </w:pPr>
      <w:rPr>
        <w:rFonts w:ascii="Symbol" w:hAnsi="Symbol"/>
      </w:rPr>
    </w:lvl>
  </w:abstractNum>
  <w:abstractNum w:abstractNumId="35" w15:restartNumberingAfterBreak="0">
    <w:nsid w:val="14B529C3"/>
    <w:multiLevelType w:val="hybridMultilevel"/>
    <w:tmpl w:val="BB0A16FC"/>
    <w:lvl w:ilvl="0" w:tplc="238AD36E">
      <w:start w:val="1"/>
      <w:numFmt w:val="upperRoman"/>
      <w:lvlText w:val="%1."/>
      <w:lvlJc w:val="left"/>
      <w:pPr>
        <w:ind w:left="3795" w:hanging="252"/>
        <w:jc w:val="right"/>
      </w:pPr>
      <w:rPr>
        <w:rFonts w:ascii="Cambria" w:eastAsia="Cambria" w:hAnsi="Cambria" w:cs="Cambria" w:hint="default"/>
        <w:b/>
        <w:bCs/>
        <w:i w:val="0"/>
        <w:iCs w:val="0"/>
        <w:spacing w:val="0"/>
        <w:w w:val="126"/>
        <w:sz w:val="24"/>
        <w:szCs w:val="24"/>
        <w:lang w:val="ro-RO" w:eastAsia="en-US" w:bidi="ar-SA"/>
      </w:rPr>
    </w:lvl>
    <w:lvl w:ilvl="1" w:tplc="D26AEC96">
      <w:numFmt w:val="bullet"/>
      <w:lvlText w:val="•"/>
      <w:lvlJc w:val="left"/>
      <w:pPr>
        <w:ind w:left="4454" w:hanging="252"/>
      </w:pPr>
      <w:rPr>
        <w:rFonts w:hint="default"/>
        <w:lang w:val="ro-RO" w:eastAsia="en-US" w:bidi="ar-SA"/>
      </w:rPr>
    </w:lvl>
    <w:lvl w:ilvl="2" w:tplc="CC626D76">
      <w:numFmt w:val="bullet"/>
      <w:lvlText w:val="•"/>
      <w:lvlJc w:val="left"/>
      <w:pPr>
        <w:ind w:left="5109" w:hanging="252"/>
      </w:pPr>
      <w:rPr>
        <w:rFonts w:hint="default"/>
        <w:lang w:val="ro-RO" w:eastAsia="en-US" w:bidi="ar-SA"/>
      </w:rPr>
    </w:lvl>
    <w:lvl w:ilvl="3" w:tplc="D50CD692">
      <w:numFmt w:val="bullet"/>
      <w:lvlText w:val="•"/>
      <w:lvlJc w:val="left"/>
      <w:pPr>
        <w:ind w:left="5764" w:hanging="252"/>
      </w:pPr>
      <w:rPr>
        <w:rFonts w:hint="default"/>
        <w:lang w:val="ro-RO" w:eastAsia="en-US" w:bidi="ar-SA"/>
      </w:rPr>
    </w:lvl>
    <w:lvl w:ilvl="4" w:tplc="318C484E">
      <w:numFmt w:val="bullet"/>
      <w:lvlText w:val="•"/>
      <w:lvlJc w:val="left"/>
      <w:pPr>
        <w:ind w:left="6419" w:hanging="252"/>
      </w:pPr>
      <w:rPr>
        <w:rFonts w:hint="default"/>
        <w:lang w:val="ro-RO" w:eastAsia="en-US" w:bidi="ar-SA"/>
      </w:rPr>
    </w:lvl>
    <w:lvl w:ilvl="5" w:tplc="476C6A9A">
      <w:numFmt w:val="bullet"/>
      <w:lvlText w:val="•"/>
      <w:lvlJc w:val="left"/>
      <w:pPr>
        <w:ind w:left="7073" w:hanging="252"/>
      </w:pPr>
      <w:rPr>
        <w:rFonts w:hint="default"/>
        <w:lang w:val="ro-RO" w:eastAsia="en-US" w:bidi="ar-SA"/>
      </w:rPr>
    </w:lvl>
    <w:lvl w:ilvl="6" w:tplc="F3BAA92A">
      <w:numFmt w:val="bullet"/>
      <w:lvlText w:val="•"/>
      <w:lvlJc w:val="left"/>
      <w:pPr>
        <w:ind w:left="7728" w:hanging="252"/>
      </w:pPr>
      <w:rPr>
        <w:rFonts w:hint="default"/>
        <w:lang w:val="ro-RO" w:eastAsia="en-US" w:bidi="ar-SA"/>
      </w:rPr>
    </w:lvl>
    <w:lvl w:ilvl="7" w:tplc="2E3CFF12">
      <w:numFmt w:val="bullet"/>
      <w:lvlText w:val="•"/>
      <w:lvlJc w:val="left"/>
      <w:pPr>
        <w:ind w:left="8383" w:hanging="252"/>
      </w:pPr>
      <w:rPr>
        <w:rFonts w:hint="default"/>
        <w:lang w:val="ro-RO" w:eastAsia="en-US" w:bidi="ar-SA"/>
      </w:rPr>
    </w:lvl>
    <w:lvl w:ilvl="8" w:tplc="23828508">
      <w:numFmt w:val="bullet"/>
      <w:lvlText w:val="•"/>
      <w:lvlJc w:val="left"/>
      <w:pPr>
        <w:ind w:left="9038" w:hanging="252"/>
      </w:pPr>
      <w:rPr>
        <w:rFonts w:hint="default"/>
        <w:lang w:val="ro-RO" w:eastAsia="en-US" w:bidi="ar-SA"/>
      </w:rPr>
    </w:lvl>
  </w:abstractNum>
  <w:abstractNum w:abstractNumId="36"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753133"/>
    <w:multiLevelType w:val="hybridMultilevel"/>
    <w:tmpl w:val="826E5630"/>
    <w:lvl w:ilvl="0" w:tplc="E3F27A38">
      <w:start w:val="1"/>
      <w:numFmt w:val="bullet"/>
      <w:lvlText w:val=""/>
      <w:lvlJc w:val="left"/>
      <w:pPr>
        <w:ind w:left="1080" w:hanging="360"/>
      </w:pPr>
      <w:rPr>
        <w:rFonts w:ascii="Symbol" w:hAnsi="Symbol"/>
      </w:rPr>
    </w:lvl>
    <w:lvl w:ilvl="1" w:tplc="57E8BCF6">
      <w:start w:val="1"/>
      <w:numFmt w:val="bullet"/>
      <w:lvlText w:val=""/>
      <w:lvlJc w:val="left"/>
      <w:pPr>
        <w:ind w:left="1080" w:hanging="360"/>
      </w:pPr>
      <w:rPr>
        <w:rFonts w:ascii="Symbol" w:hAnsi="Symbol"/>
      </w:rPr>
    </w:lvl>
    <w:lvl w:ilvl="2" w:tplc="CB64715E">
      <w:start w:val="1"/>
      <w:numFmt w:val="bullet"/>
      <w:lvlText w:val=""/>
      <w:lvlJc w:val="left"/>
      <w:pPr>
        <w:ind w:left="1080" w:hanging="360"/>
      </w:pPr>
      <w:rPr>
        <w:rFonts w:ascii="Symbol" w:hAnsi="Symbol"/>
      </w:rPr>
    </w:lvl>
    <w:lvl w:ilvl="3" w:tplc="BFB2BB70">
      <w:start w:val="1"/>
      <w:numFmt w:val="bullet"/>
      <w:lvlText w:val=""/>
      <w:lvlJc w:val="left"/>
      <w:pPr>
        <w:ind w:left="1080" w:hanging="360"/>
      </w:pPr>
      <w:rPr>
        <w:rFonts w:ascii="Symbol" w:hAnsi="Symbol"/>
      </w:rPr>
    </w:lvl>
    <w:lvl w:ilvl="4" w:tplc="4CDA9C96">
      <w:start w:val="1"/>
      <w:numFmt w:val="bullet"/>
      <w:lvlText w:val=""/>
      <w:lvlJc w:val="left"/>
      <w:pPr>
        <w:ind w:left="1080" w:hanging="360"/>
      </w:pPr>
      <w:rPr>
        <w:rFonts w:ascii="Symbol" w:hAnsi="Symbol"/>
      </w:rPr>
    </w:lvl>
    <w:lvl w:ilvl="5" w:tplc="A926924A">
      <w:start w:val="1"/>
      <w:numFmt w:val="bullet"/>
      <w:lvlText w:val=""/>
      <w:lvlJc w:val="left"/>
      <w:pPr>
        <w:ind w:left="1080" w:hanging="360"/>
      </w:pPr>
      <w:rPr>
        <w:rFonts w:ascii="Symbol" w:hAnsi="Symbol"/>
      </w:rPr>
    </w:lvl>
    <w:lvl w:ilvl="6" w:tplc="925A1042">
      <w:start w:val="1"/>
      <w:numFmt w:val="bullet"/>
      <w:lvlText w:val=""/>
      <w:lvlJc w:val="left"/>
      <w:pPr>
        <w:ind w:left="1080" w:hanging="360"/>
      </w:pPr>
      <w:rPr>
        <w:rFonts w:ascii="Symbol" w:hAnsi="Symbol"/>
      </w:rPr>
    </w:lvl>
    <w:lvl w:ilvl="7" w:tplc="08889248">
      <w:start w:val="1"/>
      <w:numFmt w:val="bullet"/>
      <w:lvlText w:val=""/>
      <w:lvlJc w:val="left"/>
      <w:pPr>
        <w:ind w:left="1080" w:hanging="360"/>
      </w:pPr>
      <w:rPr>
        <w:rFonts w:ascii="Symbol" w:hAnsi="Symbol"/>
      </w:rPr>
    </w:lvl>
    <w:lvl w:ilvl="8" w:tplc="7E2612B6">
      <w:start w:val="1"/>
      <w:numFmt w:val="bullet"/>
      <w:lvlText w:val=""/>
      <w:lvlJc w:val="left"/>
      <w:pPr>
        <w:ind w:left="1080" w:hanging="360"/>
      </w:pPr>
      <w:rPr>
        <w:rFonts w:ascii="Symbol" w:hAnsi="Symbol"/>
      </w:rPr>
    </w:lvl>
  </w:abstractNum>
  <w:abstractNum w:abstractNumId="39"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41"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1660FF"/>
    <w:multiLevelType w:val="hybridMultilevel"/>
    <w:tmpl w:val="BC360BDE"/>
    <w:lvl w:ilvl="0" w:tplc="96B06FA8">
      <w:start w:val="1"/>
      <w:numFmt w:val="bullet"/>
      <w:lvlText w:val=""/>
      <w:lvlJc w:val="left"/>
      <w:pPr>
        <w:ind w:left="720" w:hanging="360"/>
      </w:pPr>
      <w:rPr>
        <w:rFonts w:ascii="Symbol" w:hAnsi="Symbol"/>
      </w:rPr>
    </w:lvl>
    <w:lvl w:ilvl="1" w:tplc="F69454DA">
      <w:start w:val="1"/>
      <w:numFmt w:val="bullet"/>
      <w:lvlText w:val=""/>
      <w:lvlJc w:val="left"/>
      <w:pPr>
        <w:ind w:left="720" w:hanging="360"/>
      </w:pPr>
      <w:rPr>
        <w:rFonts w:ascii="Symbol" w:hAnsi="Symbol"/>
      </w:rPr>
    </w:lvl>
    <w:lvl w:ilvl="2" w:tplc="9AB0C458">
      <w:start w:val="1"/>
      <w:numFmt w:val="bullet"/>
      <w:lvlText w:val=""/>
      <w:lvlJc w:val="left"/>
      <w:pPr>
        <w:ind w:left="720" w:hanging="360"/>
      </w:pPr>
      <w:rPr>
        <w:rFonts w:ascii="Symbol" w:hAnsi="Symbol"/>
      </w:rPr>
    </w:lvl>
    <w:lvl w:ilvl="3" w:tplc="114E2E1E">
      <w:start w:val="1"/>
      <w:numFmt w:val="bullet"/>
      <w:lvlText w:val=""/>
      <w:lvlJc w:val="left"/>
      <w:pPr>
        <w:ind w:left="720" w:hanging="360"/>
      </w:pPr>
      <w:rPr>
        <w:rFonts w:ascii="Symbol" w:hAnsi="Symbol"/>
      </w:rPr>
    </w:lvl>
    <w:lvl w:ilvl="4" w:tplc="878C7AFE">
      <w:start w:val="1"/>
      <w:numFmt w:val="bullet"/>
      <w:lvlText w:val=""/>
      <w:lvlJc w:val="left"/>
      <w:pPr>
        <w:ind w:left="720" w:hanging="360"/>
      </w:pPr>
      <w:rPr>
        <w:rFonts w:ascii="Symbol" w:hAnsi="Symbol"/>
      </w:rPr>
    </w:lvl>
    <w:lvl w:ilvl="5" w:tplc="CADA91B4">
      <w:start w:val="1"/>
      <w:numFmt w:val="bullet"/>
      <w:lvlText w:val=""/>
      <w:lvlJc w:val="left"/>
      <w:pPr>
        <w:ind w:left="720" w:hanging="360"/>
      </w:pPr>
      <w:rPr>
        <w:rFonts w:ascii="Symbol" w:hAnsi="Symbol"/>
      </w:rPr>
    </w:lvl>
    <w:lvl w:ilvl="6" w:tplc="38081498">
      <w:start w:val="1"/>
      <w:numFmt w:val="bullet"/>
      <w:lvlText w:val=""/>
      <w:lvlJc w:val="left"/>
      <w:pPr>
        <w:ind w:left="720" w:hanging="360"/>
      </w:pPr>
      <w:rPr>
        <w:rFonts w:ascii="Symbol" w:hAnsi="Symbol"/>
      </w:rPr>
    </w:lvl>
    <w:lvl w:ilvl="7" w:tplc="8DAEC33A">
      <w:start w:val="1"/>
      <w:numFmt w:val="bullet"/>
      <w:lvlText w:val=""/>
      <w:lvlJc w:val="left"/>
      <w:pPr>
        <w:ind w:left="720" w:hanging="360"/>
      </w:pPr>
      <w:rPr>
        <w:rFonts w:ascii="Symbol" w:hAnsi="Symbol"/>
      </w:rPr>
    </w:lvl>
    <w:lvl w:ilvl="8" w:tplc="F992E106">
      <w:start w:val="1"/>
      <w:numFmt w:val="bullet"/>
      <w:lvlText w:val=""/>
      <w:lvlJc w:val="left"/>
      <w:pPr>
        <w:ind w:left="720" w:hanging="360"/>
      </w:pPr>
      <w:rPr>
        <w:rFonts w:ascii="Symbol" w:hAnsi="Symbol"/>
      </w:rPr>
    </w:lvl>
  </w:abstractNum>
  <w:abstractNum w:abstractNumId="47"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A714D1"/>
    <w:multiLevelType w:val="hybridMultilevel"/>
    <w:tmpl w:val="8B4C71EA"/>
    <w:lvl w:ilvl="0" w:tplc="10ECAE0E">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63"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4" w15:restartNumberingAfterBreak="0">
    <w:nsid w:val="29BC4D8F"/>
    <w:multiLevelType w:val="hybridMultilevel"/>
    <w:tmpl w:val="3F0C0B9E"/>
    <w:lvl w:ilvl="0" w:tplc="03A2B8E0">
      <w:start w:val="1"/>
      <w:numFmt w:val="bullet"/>
      <w:lvlText w:val=""/>
      <w:lvlJc w:val="left"/>
      <w:pPr>
        <w:ind w:left="720" w:hanging="360"/>
      </w:pPr>
      <w:rPr>
        <w:rFonts w:ascii="Symbol" w:hAnsi="Symbol"/>
      </w:rPr>
    </w:lvl>
    <w:lvl w:ilvl="1" w:tplc="05FA9AEE">
      <w:start w:val="1"/>
      <w:numFmt w:val="bullet"/>
      <w:lvlText w:val=""/>
      <w:lvlJc w:val="left"/>
      <w:pPr>
        <w:ind w:left="720" w:hanging="360"/>
      </w:pPr>
      <w:rPr>
        <w:rFonts w:ascii="Symbol" w:hAnsi="Symbol"/>
      </w:rPr>
    </w:lvl>
    <w:lvl w:ilvl="2" w:tplc="31D0497A">
      <w:start w:val="1"/>
      <w:numFmt w:val="bullet"/>
      <w:lvlText w:val=""/>
      <w:lvlJc w:val="left"/>
      <w:pPr>
        <w:ind w:left="720" w:hanging="360"/>
      </w:pPr>
      <w:rPr>
        <w:rFonts w:ascii="Symbol" w:hAnsi="Symbol"/>
      </w:rPr>
    </w:lvl>
    <w:lvl w:ilvl="3" w:tplc="47ACE166">
      <w:start w:val="1"/>
      <w:numFmt w:val="bullet"/>
      <w:lvlText w:val=""/>
      <w:lvlJc w:val="left"/>
      <w:pPr>
        <w:ind w:left="720" w:hanging="360"/>
      </w:pPr>
      <w:rPr>
        <w:rFonts w:ascii="Symbol" w:hAnsi="Symbol"/>
      </w:rPr>
    </w:lvl>
    <w:lvl w:ilvl="4" w:tplc="C1685FEC">
      <w:start w:val="1"/>
      <w:numFmt w:val="bullet"/>
      <w:lvlText w:val=""/>
      <w:lvlJc w:val="left"/>
      <w:pPr>
        <w:ind w:left="720" w:hanging="360"/>
      </w:pPr>
      <w:rPr>
        <w:rFonts w:ascii="Symbol" w:hAnsi="Symbol"/>
      </w:rPr>
    </w:lvl>
    <w:lvl w:ilvl="5" w:tplc="6BECBC56">
      <w:start w:val="1"/>
      <w:numFmt w:val="bullet"/>
      <w:lvlText w:val=""/>
      <w:lvlJc w:val="left"/>
      <w:pPr>
        <w:ind w:left="720" w:hanging="360"/>
      </w:pPr>
      <w:rPr>
        <w:rFonts w:ascii="Symbol" w:hAnsi="Symbol"/>
      </w:rPr>
    </w:lvl>
    <w:lvl w:ilvl="6" w:tplc="B38A6CDE">
      <w:start w:val="1"/>
      <w:numFmt w:val="bullet"/>
      <w:lvlText w:val=""/>
      <w:lvlJc w:val="left"/>
      <w:pPr>
        <w:ind w:left="720" w:hanging="360"/>
      </w:pPr>
      <w:rPr>
        <w:rFonts w:ascii="Symbol" w:hAnsi="Symbol"/>
      </w:rPr>
    </w:lvl>
    <w:lvl w:ilvl="7" w:tplc="F6C46508">
      <w:start w:val="1"/>
      <w:numFmt w:val="bullet"/>
      <w:lvlText w:val=""/>
      <w:lvlJc w:val="left"/>
      <w:pPr>
        <w:ind w:left="720" w:hanging="360"/>
      </w:pPr>
      <w:rPr>
        <w:rFonts w:ascii="Symbol" w:hAnsi="Symbol"/>
      </w:rPr>
    </w:lvl>
    <w:lvl w:ilvl="8" w:tplc="49DE3730">
      <w:start w:val="1"/>
      <w:numFmt w:val="bullet"/>
      <w:lvlText w:val=""/>
      <w:lvlJc w:val="left"/>
      <w:pPr>
        <w:ind w:left="720" w:hanging="360"/>
      </w:pPr>
      <w:rPr>
        <w:rFonts w:ascii="Symbol" w:hAnsi="Symbol"/>
      </w:rPr>
    </w:lvl>
  </w:abstractNum>
  <w:abstractNum w:abstractNumId="65"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6"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1070534"/>
    <w:multiLevelType w:val="hybridMultilevel"/>
    <w:tmpl w:val="743A7792"/>
    <w:lvl w:ilvl="0" w:tplc="853E16EA">
      <w:start w:val="1"/>
      <w:numFmt w:val="decimal"/>
      <w:lvlText w:val="%1."/>
      <w:lvlJc w:val="left"/>
      <w:pPr>
        <w:ind w:left="1020" w:hanging="360"/>
      </w:pPr>
    </w:lvl>
    <w:lvl w:ilvl="1" w:tplc="97180CDE">
      <w:start w:val="1"/>
      <w:numFmt w:val="decimal"/>
      <w:lvlText w:val="%2."/>
      <w:lvlJc w:val="left"/>
      <w:pPr>
        <w:ind w:left="1020" w:hanging="360"/>
      </w:pPr>
    </w:lvl>
    <w:lvl w:ilvl="2" w:tplc="ECFC07A8">
      <w:start w:val="1"/>
      <w:numFmt w:val="decimal"/>
      <w:lvlText w:val="%3."/>
      <w:lvlJc w:val="left"/>
      <w:pPr>
        <w:ind w:left="1020" w:hanging="360"/>
      </w:pPr>
    </w:lvl>
    <w:lvl w:ilvl="3" w:tplc="2E38656A">
      <w:start w:val="1"/>
      <w:numFmt w:val="decimal"/>
      <w:lvlText w:val="%4."/>
      <w:lvlJc w:val="left"/>
      <w:pPr>
        <w:ind w:left="1020" w:hanging="360"/>
      </w:pPr>
    </w:lvl>
    <w:lvl w:ilvl="4" w:tplc="071ABC42">
      <w:start w:val="1"/>
      <w:numFmt w:val="decimal"/>
      <w:lvlText w:val="%5."/>
      <w:lvlJc w:val="left"/>
      <w:pPr>
        <w:ind w:left="1020" w:hanging="360"/>
      </w:pPr>
    </w:lvl>
    <w:lvl w:ilvl="5" w:tplc="DE2613D6">
      <w:start w:val="1"/>
      <w:numFmt w:val="decimal"/>
      <w:lvlText w:val="%6."/>
      <w:lvlJc w:val="left"/>
      <w:pPr>
        <w:ind w:left="1020" w:hanging="360"/>
      </w:pPr>
    </w:lvl>
    <w:lvl w:ilvl="6" w:tplc="442CAA0C">
      <w:start w:val="1"/>
      <w:numFmt w:val="decimal"/>
      <w:lvlText w:val="%7."/>
      <w:lvlJc w:val="left"/>
      <w:pPr>
        <w:ind w:left="1020" w:hanging="360"/>
      </w:pPr>
    </w:lvl>
    <w:lvl w:ilvl="7" w:tplc="FDBCBD30">
      <w:start w:val="1"/>
      <w:numFmt w:val="decimal"/>
      <w:lvlText w:val="%8."/>
      <w:lvlJc w:val="left"/>
      <w:pPr>
        <w:ind w:left="1020" w:hanging="360"/>
      </w:pPr>
    </w:lvl>
    <w:lvl w:ilvl="8" w:tplc="8604DB66">
      <w:start w:val="1"/>
      <w:numFmt w:val="decimal"/>
      <w:lvlText w:val="%9."/>
      <w:lvlJc w:val="left"/>
      <w:pPr>
        <w:ind w:left="1020" w:hanging="360"/>
      </w:pPr>
    </w:lvl>
  </w:abstractNum>
  <w:abstractNum w:abstractNumId="78"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E24836"/>
    <w:multiLevelType w:val="hybridMultilevel"/>
    <w:tmpl w:val="1AF463A6"/>
    <w:lvl w:ilvl="0" w:tplc="5A3C435A">
      <w:start w:val="1"/>
      <w:numFmt w:val="bullet"/>
      <w:lvlText w:val=""/>
      <w:lvlJc w:val="left"/>
      <w:pPr>
        <w:ind w:left="720" w:hanging="360"/>
      </w:pPr>
      <w:rPr>
        <w:rFonts w:ascii="Symbol" w:hAnsi="Symbol"/>
      </w:rPr>
    </w:lvl>
    <w:lvl w:ilvl="1" w:tplc="65ACCF58">
      <w:start w:val="1"/>
      <w:numFmt w:val="bullet"/>
      <w:lvlText w:val=""/>
      <w:lvlJc w:val="left"/>
      <w:pPr>
        <w:ind w:left="720" w:hanging="360"/>
      </w:pPr>
      <w:rPr>
        <w:rFonts w:ascii="Symbol" w:hAnsi="Symbol"/>
      </w:rPr>
    </w:lvl>
    <w:lvl w:ilvl="2" w:tplc="E794DA8E">
      <w:start w:val="1"/>
      <w:numFmt w:val="bullet"/>
      <w:lvlText w:val=""/>
      <w:lvlJc w:val="left"/>
      <w:pPr>
        <w:ind w:left="720" w:hanging="360"/>
      </w:pPr>
      <w:rPr>
        <w:rFonts w:ascii="Symbol" w:hAnsi="Symbol"/>
      </w:rPr>
    </w:lvl>
    <w:lvl w:ilvl="3" w:tplc="28049986">
      <w:start w:val="1"/>
      <w:numFmt w:val="bullet"/>
      <w:lvlText w:val=""/>
      <w:lvlJc w:val="left"/>
      <w:pPr>
        <w:ind w:left="720" w:hanging="360"/>
      </w:pPr>
      <w:rPr>
        <w:rFonts w:ascii="Symbol" w:hAnsi="Symbol"/>
      </w:rPr>
    </w:lvl>
    <w:lvl w:ilvl="4" w:tplc="5A76FA96">
      <w:start w:val="1"/>
      <w:numFmt w:val="bullet"/>
      <w:lvlText w:val=""/>
      <w:lvlJc w:val="left"/>
      <w:pPr>
        <w:ind w:left="720" w:hanging="360"/>
      </w:pPr>
      <w:rPr>
        <w:rFonts w:ascii="Symbol" w:hAnsi="Symbol"/>
      </w:rPr>
    </w:lvl>
    <w:lvl w:ilvl="5" w:tplc="F13E7D6E">
      <w:start w:val="1"/>
      <w:numFmt w:val="bullet"/>
      <w:lvlText w:val=""/>
      <w:lvlJc w:val="left"/>
      <w:pPr>
        <w:ind w:left="720" w:hanging="360"/>
      </w:pPr>
      <w:rPr>
        <w:rFonts w:ascii="Symbol" w:hAnsi="Symbol"/>
      </w:rPr>
    </w:lvl>
    <w:lvl w:ilvl="6" w:tplc="64104FF4">
      <w:start w:val="1"/>
      <w:numFmt w:val="bullet"/>
      <w:lvlText w:val=""/>
      <w:lvlJc w:val="left"/>
      <w:pPr>
        <w:ind w:left="720" w:hanging="360"/>
      </w:pPr>
      <w:rPr>
        <w:rFonts w:ascii="Symbol" w:hAnsi="Symbol"/>
      </w:rPr>
    </w:lvl>
    <w:lvl w:ilvl="7" w:tplc="D9CCE386">
      <w:start w:val="1"/>
      <w:numFmt w:val="bullet"/>
      <w:lvlText w:val=""/>
      <w:lvlJc w:val="left"/>
      <w:pPr>
        <w:ind w:left="720" w:hanging="360"/>
      </w:pPr>
      <w:rPr>
        <w:rFonts w:ascii="Symbol" w:hAnsi="Symbol"/>
      </w:rPr>
    </w:lvl>
    <w:lvl w:ilvl="8" w:tplc="1B70F526">
      <w:start w:val="1"/>
      <w:numFmt w:val="bullet"/>
      <w:lvlText w:val=""/>
      <w:lvlJc w:val="left"/>
      <w:pPr>
        <w:ind w:left="720" w:hanging="360"/>
      </w:pPr>
      <w:rPr>
        <w:rFonts w:ascii="Symbol" w:hAnsi="Symbol"/>
      </w:rPr>
    </w:lvl>
  </w:abstractNum>
  <w:abstractNum w:abstractNumId="81"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2"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92"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693B83"/>
    <w:multiLevelType w:val="hybridMultilevel"/>
    <w:tmpl w:val="9790DA00"/>
    <w:lvl w:ilvl="0" w:tplc="B9D497AA">
      <w:start w:val="1"/>
      <w:numFmt w:val="bullet"/>
      <w:lvlText w:val=""/>
      <w:lvlJc w:val="left"/>
      <w:pPr>
        <w:ind w:left="720" w:hanging="360"/>
      </w:pPr>
      <w:rPr>
        <w:rFonts w:ascii="Symbol" w:hAnsi="Symbol"/>
      </w:rPr>
    </w:lvl>
    <w:lvl w:ilvl="1" w:tplc="FF92385E">
      <w:start w:val="1"/>
      <w:numFmt w:val="bullet"/>
      <w:lvlText w:val=""/>
      <w:lvlJc w:val="left"/>
      <w:pPr>
        <w:ind w:left="720" w:hanging="360"/>
      </w:pPr>
      <w:rPr>
        <w:rFonts w:ascii="Symbol" w:hAnsi="Symbol"/>
      </w:rPr>
    </w:lvl>
    <w:lvl w:ilvl="2" w:tplc="DE1C66E4">
      <w:start w:val="1"/>
      <w:numFmt w:val="bullet"/>
      <w:lvlText w:val=""/>
      <w:lvlJc w:val="left"/>
      <w:pPr>
        <w:ind w:left="720" w:hanging="360"/>
      </w:pPr>
      <w:rPr>
        <w:rFonts w:ascii="Symbol" w:hAnsi="Symbol"/>
      </w:rPr>
    </w:lvl>
    <w:lvl w:ilvl="3" w:tplc="C6FEAAA8">
      <w:start w:val="1"/>
      <w:numFmt w:val="bullet"/>
      <w:lvlText w:val=""/>
      <w:lvlJc w:val="left"/>
      <w:pPr>
        <w:ind w:left="720" w:hanging="360"/>
      </w:pPr>
      <w:rPr>
        <w:rFonts w:ascii="Symbol" w:hAnsi="Symbol"/>
      </w:rPr>
    </w:lvl>
    <w:lvl w:ilvl="4" w:tplc="9AB80978">
      <w:start w:val="1"/>
      <w:numFmt w:val="bullet"/>
      <w:lvlText w:val=""/>
      <w:lvlJc w:val="left"/>
      <w:pPr>
        <w:ind w:left="720" w:hanging="360"/>
      </w:pPr>
      <w:rPr>
        <w:rFonts w:ascii="Symbol" w:hAnsi="Symbol"/>
      </w:rPr>
    </w:lvl>
    <w:lvl w:ilvl="5" w:tplc="A7DC1E4A">
      <w:start w:val="1"/>
      <w:numFmt w:val="bullet"/>
      <w:lvlText w:val=""/>
      <w:lvlJc w:val="left"/>
      <w:pPr>
        <w:ind w:left="720" w:hanging="360"/>
      </w:pPr>
      <w:rPr>
        <w:rFonts w:ascii="Symbol" w:hAnsi="Symbol"/>
      </w:rPr>
    </w:lvl>
    <w:lvl w:ilvl="6" w:tplc="756E5EAE">
      <w:start w:val="1"/>
      <w:numFmt w:val="bullet"/>
      <w:lvlText w:val=""/>
      <w:lvlJc w:val="left"/>
      <w:pPr>
        <w:ind w:left="720" w:hanging="360"/>
      </w:pPr>
      <w:rPr>
        <w:rFonts w:ascii="Symbol" w:hAnsi="Symbol"/>
      </w:rPr>
    </w:lvl>
    <w:lvl w:ilvl="7" w:tplc="D2627E82">
      <w:start w:val="1"/>
      <w:numFmt w:val="bullet"/>
      <w:lvlText w:val=""/>
      <w:lvlJc w:val="left"/>
      <w:pPr>
        <w:ind w:left="720" w:hanging="360"/>
      </w:pPr>
      <w:rPr>
        <w:rFonts w:ascii="Symbol" w:hAnsi="Symbol"/>
      </w:rPr>
    </w:lvl>
    <w:lvl w:ilvl="8" w:tplc="E9E47C86">
      <w:start w:val="1"/>
      <w:numFmt w:val="bullet"/>
      <w:lvlText w:val=""/>
      <w:lvlJc w:val="left"/>
      <w:pPr>
        <w:ind w:left="720" w:hanging="360"/>
      </w:pPr>
      <w:rPr>
        <w:rFonts w:ascii="Symbol" w:hAnsi="Symbol"/>
      </w:rPr>
    </w:lvl>
  </w:abstractNum>
  <w:abstractNum w:abstractNumId="94"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B1C542A"/>
    <w:multiLevelType w:val="hybridMultilevel"/>
    <w:tmpl w:val="C3E601E4"/>
    <w:lvl w:ilvl="0" w:tplc="052CC69C">
      <w:numFmt w:val="bullet"/>
      <w:lvlText w:val="-"/>
      <w:lvlJc w:val="left"/>
      <w:pPr>
        <w:ind w:left="791" w:hanging="360"/>
      </w:pPr>
      <w:rPr>
        <w:rFonts w:ascii="Times New Roman" w:eastAsiaTheme="minorEastAsia" w:hAnsi="Times New Roman" w:cs="Times New Roman" w:hint="default"/>
        <w:w w:val="105"/>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99"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CFA748B"/>
    <w:multiLevelType w:val="multilevel"/>
    <w:tmpl w:val="A76A1F96"/>
    <w:lvl w:ilvl="0">
      <w:start w:val="1"/>
      <w:numFmt w:val="decimal"/>
      <w:pStyle w:val="HGpct1"/>
      <w:suff w:val="space"/>
      <w:lvlText w:val="%1."/>
      <w:lvlJc w:val="left"/>
      <w:pPr>
        <w:ind w:left="0" w:firstLine="431"/>
      </w:pPr>
      <w:rPr>
        <w:rFonts w:hint="default"/>
        <w:b/>
        <w:bCs/>
        <w:color w:val="auto"/>
      </w:rPr>
    </w:lvl>
    <w:lvl w:ilvl="1">
      <w:start w:val="1"/>
      <w:numFmt w:val="decimal"/>
      <w:pStyle w:val="HGsubpct11"/>
      <w:suff w:val="space"/>
      <w:lvlText w:val="%1.%2."/>
      <w:lvlJc w:val="left"/>
      <w:pPr>
        <w:ind w:left="1656" w:hanging="432"/>
      </w:pPr>
      <w:rPr>
        <w:rFonts w:hint="default"/>
        <w:b w:val="0"/>
        <w:bCs w:val="0"/>
        <w:i w:val="0"/>
        <w:iCs w:val="0"/>
      </w:rPr>
    </w:lvl>
    <w:lvl w:ilvl="2">
      <w:start w:val="1"/>
      <w:numFmt w:val="decimal"/>
      <w:pStyle w:val="HGsubpct111"/>
      <w:suff w:val="space"/>
      <w:lvlText w:val="%1.%2.%3."/>
      <w:lvlJc w:val="left"/>
      <w:pPr>
        <w:ind w:left="594"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105"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1B50C22"/>
    <w:multiLevelType w:val="hybridMultilevel"/>
    <w:tmpl w:val="34BA2E54"/>
    <w:lvl w:ilvl="0" w:tplc="C874B9B4">
      <w:start w:val="1"/>
      <w:numFmt w:val="bullet"/>
      <w:lvlText w:val=""/>
      <w:lvlJc w:val="left"/>
      <w:pPr>
        <w:ind w:left="720" w:hanging="360"/>
      </w:pPr>
      <w:rPr>
        <w:rFonts w:ascii="Symbol" w:hAnsi="Symbol"/>
      </w:rPr>
    </w:lvl>
    <w:lvl w:ilvl="1" w:tplc="DDF475DE">
      <w:start w:val="1"/>
      <w:numFmt w:val="bullet"/>
      <w:lvlText w:val=""/>
      <w:lvlJc w:val="left"/>
      <w:pPr>
        <w:ind w:left="720" w:hanging="360"/>
      </w:pPr>
      <w:rPr>
        <w:rFonts w:ascii="Symbol" w:hAnsi="Symbol"/>
      </w:rPr>
    </w:lvl>
    <w:lvl w:ilvl="2" w:tplc="667AEC6C">
      <w:start w:val="1"/>
      <w:numFmt w:val="bullet"/>
      <w:lvlText w:val=""/>
      <w:lvlJc w:val="left"/>
      <w:pPr>
        <w:ind w:left="720" w:hanging="360"/>
      </w:pPr>
      <w:rPr>
        <w:rFonts w:ascii="Symbol" w:hAnsi="Symbol"/>
      </w:rPr>
    </w:lvl>
    <w:lvl w:ilvl="3" w:tplc="8B4C44BA">
      <w:start w:val="1"/>
      <w:numFmt w:val="bullet"/>
      <w:lvlText w:val=""/>
      <w:lvlJc w:val="left"/>
      <w:pPr>
        <w:ind w:left="720" w:hanging="360"/>
      </w:pPr>
      <w:rPr>
        <w:rFonts w:ascii="Symbol" w:hAnsi="Symbol"/>
      </w:rPr>
    </w:lvl>
    <w:lvl w:ilvl="4" w:tplc="EC121DF4">
      <w:start w:val="1"/>
      <w:numFmt w:val="bullet"/>
      <w:lvlText w:val=""/>
      <w:lvlJc w:val="left"/>
      <w:pPr>
        <w:ind w:left="720" w:hanging="360"/>
      </w:pPr>
      <w:rPr>
        <w:rFonts w:ascii="Symbol" w:hAnsi="Symbol"/>
      </w:rPr>
    </w:lvl>
    <w:lvl w:ilvl="5" w:tplc="98BABE22">
      <w:start w:val="1"/>
      <w:numFmt w:val="bullet"/>
      <w:lvlText w:val=""/>
      <w:lvlJc w:val="left"/>
      <w:pPr>
        <w:ind w:left="720" w:hanging="360"/>
      </w:pPr>
      <w:rPr>
        <w:rFonts w:ascii="Symbol" w:hAnsi="Symbol"/>
      </w:rPr>
    </w:lvl>
    <w:lvl w:ilvl="6" w:tplc="A7AAA0EC">
      <w:start w:val="1"/>
      <w:numFmt w:val="bullet"/>
      <w:lvlText w:val=""/>
      <w:lvlJc w:val="left"/>
      <w:pPr>
        <w:ind w:left="720" w:hanging="360"/>
      </w:pPr>
      <w:rPr>
        <w:rFonts w:ascii="Symbol" w:hAnsi="Symbol"/>
      </w:rPr>
    </w:lvl>
    <w:lvl w:ilvl="7" w:tplc="23E21740">
      <w:start w:val="1"/>
      <w:numFmt w:val="bullet"/>
      <w:lvlText w:val=""/>
      <w:lvlJc w:val="left"/>
      <w:pPr>
        <w:ind w:left="720" w:hanging="360"/>
      </w:pPr>
      <w:rPr>
        <w:rFonts w:ascii="Symbol" w:hAnsi="Symbol"/>
      </w:rPr>
    </w:lvl>
    <w:lvl w:ilvl="8" w:tplc="4922F30E">
      <w:start w:val="1"/>
      <w:numFmt w:val="bullet"/>
      <w:lvlText w:val=""/>
      <w:lvlJc w:val="left"/>
      <w:pPr>
        <w:ind w:left="720" w:hanging="360"/>
      </w:pPr>
      <w:rPr>
        <w:rFonts w:ascii="Symbol" w:hAnsi="Symbol"/>
      </w:rPr>
    </w:lvl>
  </w:abstractNum>
  <w:abstractNum w:abstractNumId="111"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0403E1"/>
    <w:multiLevelType w:val="hybridMultilevel"/>
    <w:tmpl w:val="ED6CCAF2"/>
    <w:lvl w:ilvl="0" w:tplc="22BE3BEA">
      <w:start w:val="1"/>
      <w:numFmt w:val="bullet"/>
      <w:lvlText w:val=""/>
      <w:lvlJc w:val="left"/>
      <w:pPr>
        <w:ind w:left="720" w:hanging="360"/>
      </w:pPr>
      <w:rPr>
        <w:rFonts w:ascii="Symbol" w:hAnsi="Symbol"/>
      </w:rPr>
    </w:lvl>
    <w:lvl w:ilvl="1" w:tplc="CBF29CD2">
      <w:start w:val="1"/>
      <w:numFmt w:val="bullet"/>
      <w:lvlText w:val=""/>
      <w:lvlJc w:val="left"/>
      <w:pPr>
        <w:ind w:left="720" w:hanging="360"/>
      </w:pPr>
      <w:rPr>
        <w:rFonts w:ascii="Symbol" w:hAnsi="Symbol"/>
      </w:rPr>
    </w:lvl>
    <w:lvl w:ilvl="2" w:tplc="B744595A">
      <w:start w:val="1"/>
      <w:numFmt w:val="bullet"/>
      <w:lvlText w:val=""/>
      <w:lvlJc w:val="left"/>
      <w:pPr>
        <w:ind w:left="720" w:hanging="360"/>
      </w:pPr>
      <w:rPr>
        <w:rFonts w:ascii="Symbol" w:hAnsi="Symbol"/>
      </w:rPr>
    </w:lvl>
    <w:lvl w:ilvl="3" w:tplc="57ACE51C">
      <w:start w:val="1"/>
      <w:numFmt w:val="bullet"/>
      <w:lvlText w:val=""/>
      <w:lvlJc w:val="left"/>
      <w:pPr>
        <w:ind w:left="720" w:hanging="360"/>
      </w:pPr>
      <w:rPr>
        <w:rFonts w:ascii="Symbol" w:hAnsi="Symbol"/>
      </w:rPr>
    </w:lvl>
    <w:lvl w:ilvl="4" w:tplc="22CE9C62">
      <w:start w:val="1"/>
      <w:numFmt w:val="bullet"/>
      <w:lvlText w:val=""/>
      <w:lvlJc w:val="left"/>
      <w:pPr>
        <w:ind w:left="720" w:hanging="360"/>
      </w:pPr>
      <w:rPr>
        <w:rFonts w:ascii="Symbol" w:hAnsi="Symbol"/>
      </w:rPr>
    </w:lvl>
    <w:lvl w:ilvl="5" w:tplc="FE92E726">
      <w:start w:val="1"/>
      <w:numFmt w:val="bullet"/>
      <w:lvlText w:val=""/>
      <w:lvlJc w:val="left"/>
      <w:pPr>
        <w:ind w:left="720" w:hanging="360"/>
      </w:pPr>
      <w:rPr>
        <w:rFonts w:ascii="Symbol" w:hAnsi="Symbol"/>
      </w:rPr>
    </w:lvl>
    <w:lvl w:ilvl="6" w:tplc="2A403130">
      <w:start w:val="1"/>
      <w:numFmt w:val="bullet"/>
      <w:lvlText w:val=""/>
      <w:lvlJc w:val="left"/>
      <w:pPr>
        <w:ind w:left="720" w:hanging="360"/>
      </w:pPr>
      <w:rPr>
        <w:rFonts w:ascii="Symbol" w:hAnsi="Symbol"/>
      </w:rPr>
    </w:lvl>
    <w:lvl w:ilvl="7" w:tplc="45C02E9A">
      <w:start w:val="1"/>
      <w:numFmt w:val="bullet"/>
      <w:lvlText w:val=""/>
      <w:lvlJc w:val="left"/>
      <w:pPr>
        <w:ind w:left="720" w:hanging="360"/>
      </w:pPr>
      <w:rPr>
        <w:rFonts w:ascii="Symbol" w:hAnsi="Symbol"/>
      </w:rPr>
    </w:lvl>
    <w:lvl w:ilvl="8" w:tplc="2EEA2424">
      <w:start w:val="1"/>
      <w:numFmt w:val="bullet"/>
      <w:lvlText w:val=""/>
      <w:lvlJc w:val="left"/>
      <w:pPr>
        <w:ind w:left="720" w:hanging="360"/>
      </w:pPr>
      <w:rPr>
        <w:rFonts w:ascii="Symbol" w:hAnsi="Symbol"/>
      </w:rPr>
    </w:lvl>
  </w:abstractNum>
  <w:abstractNum w:abstractNumId="116"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7"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119"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E0720A2"/>
    <w:multiLevelType w:val="multilevel"/>
    <w:tmpl w:val="65B2C074"/>
    <w:lvl w:ilvl="0">
      <w:start w:val="1"/>
      <w:numFmt w:val="decimal"/>
      <w:pStyle w:val="Anexapct1"/>
      <w:suff w:val="space"/>
      <w:lvlText w:val="%1."/>
      <w:lvlJc w:val="left"/>
      <w:pPr>
        <w:ind w:left="0" w:firstLine="431"/>
      </w:pPr>
      <w:rPr>
        <w:rFonts w:hint="default"/>
        <w:b/>
        <w:i w:val="0"/>
      </w:rPr>
    </w:lvl>
    <w:lvl w:ilvl="1">
      <w:start w:val="1"/>
      <w:numFmt w:val="decimal"/>
      <w:pStyle w:val="Anexapct11"/>
      <w:suff w:val="space"/>
      <w:lvlText w:val="%1.%2."/>
      <w:lvlJc w:val="left"/>
      <w:pPr>
        <w:ind w:left="0" w:firstLine="431"/>
      </w:pPr>
      <w:rPr>
        <w:rFonts w:hint="default"/>
        <w:b w:val="0"/>
        <w:bCs w:val="0"/>
        <w:sz w:val="22"/>
        <w:szCs w:val="20"/>
      </w:rPr>
    </w:lvl>
    <w:lvl w:ilvl="2">
      <w:start w:val="1"/>
      <w:numFmt w:val="decimal"/>
      <w:pStyle w:val="Anexapct111"/>
      <w:suff w:val="space"/>
      <w:lvlText w:val="%1.%2.%3."/>
      <w:lvlJc w:val="left"/>
      <w:pPr>
        <w:ind w:left="0" w:firstLine="431"/>
      </w:pPr>
      <w:rPr>
        <w:rFonts w:hint="default"/>
      </w:rPr>
    </w:lvl>
    <w:lvl w:ilvl="3">
      <w:start w:val="1"/>
      <w:numFmt w:val="decimal"/>
      <w:pStyle w:val="Anexapct1111"/>
      <w:suff w:val="space"/>
      <w:lvlText w:val="%1.%2.%3.%4."/>
      <w:lvlJc w:val="left"/>
      <w:pPr>
        <w:ind w:left="0" w:firstLine="431"/>
      </w:pPr>
      <w:rPr>
        <w:rFonts w:hint="default"/>
      </w:rPr>
    </w:lvl>
    <w:lvl w:ilvl="4">
      <w:start w:val="1"/>
      <w:numFmt w:val="decimal"/>
      <w:lvlText w:val="%1.%2.%3.%4.%5."/>
      <w:lvlJc w:val="left"/>
      <w:pPr>
        <w:ind w:left="0" w:firstLine="431"/>
      </w:pPr>
      <w:rPr>
        <w:rFonts w:hint="default"/>
      </w:rPr>
    </w:lvl>
    <w:lvl w:ilvl="5">
      <w:start w:val="1"/>
      <w:numFmt w:val="decimal"/>
      <w:lvlText w:val="%1.%2.%3.%4.%5.%6."/>
      <w:lvlJc w:val="left"/>
      <w:pPr>
        <w:ind w:left="0" w:firstLine="431"/>
      </w:pPr>
      <w:rPr>
        <w:rFonts w:hint="default"/>
      </w:rPr>
    </w:lvl>
    <w:lvl w:ilvl="6">
      <w:start w:val="1"/>
      <w:numFmt w:val="decimal"/>
      <w:lvlText w:val="%1.%2.%3.%4.%5.%6.%7."/>
      <w:lvlJc w:val="left"/>
      <w:pPr>
        <w:ind w:left="0" w:firstLine="431"/>
      </w:pPr>
      <w:rPr>
        <w:rFonts w:hint="default"/>
      </w:rPr>
    </w:lvl>
    <w:lvl w:ilvl="7">
      <w:start w:val="1"/>
      <w:numFmt w:val="decimal"/>
      <w:lvlText w:val="%1.%2.%3.%4.%5.%6.%7.%8."/>
      <w:lvlJc w:val="left"/>
      <w:pPr>
        <w:ind w:left="0" w:firstLine="431"/>
      </w:pPr>
      <w:rPr>
        <w:rFonts w:hint="default"/>
      </w:rPr>
    </w:lvl>
    <w:lvl w:ilvl="8">
      <w:start w:val="1"/>
      <w:numFmt w:val="decimal"/>
      <w:lvlText w:val="%1.%2.%3.%4.%5.%6.%7.%8.%9."/>
      <w:lvlJc w:val="left"/>
      <w:pPr>
        <w:ind w:left="0" w:firstLine="431"/>
      </w:pPr>
      <w:rPr>
        <w:rFonts w:hint="default"/>
      </w:rPr>
    </w:lvl>
  </w:abstractNum>
  <w:abstractNum w:abstractNumId="125"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27"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515B5A08"/>
    <w:multiLevelType w:val="hybridMultilevel"/>
    <w:tmpl w:val="75801A4C"/>
    <w:lvl w:ilvl="0" w:tplc="56440292">
      <w:start w:val="1"/>
      <w:numFmt w:val="bullet"/>
      <w:lvlText w:val=""/>
      <w:lvlJc w:val="left"/>
      <w:pPr>
        <w:ind w:left="720" w:hanging="360"/>
      </w:pPr>
      <w:rPr>
        <w:rFonts w:ascii="Symbol" w:hAnsi="Symbol"/>
      </w:rPr>
    </w:lvl>
    <w:lvl w:ilvl="1" w:tplc="FDA65316">
      <w:start w:val="1"/>
      <w:numFmt w:val="bullet"/>
      <w:lvlText w:val=""/>
      <w:lvlJc w:val="left"/>
      <w:pPr>
        <w:ind w:left="720" w:hanging="360"/>
      </w:pPr>
      <w:rPr>
        <w:rFonts w:ascii="Symbol" w:hAnsi="Symbol"/>
      </w:rPr>
    </w:lvl>
    <w:lvl w:ilvl="2" w:tplc="E17ACB8A">
      <w:start w:val="1"/>
      <w:numFmt w:val="bullet"/>
      <w:lvlText w:val=""/>
      <w:lvlJc w:val="left"/>
      <w:pPr>
        <w:ind w:left="720" w:hanging="360"/>
      </w:pPr>
      <w:rPr>
        <w:rFonts w:ascii="Symbol" w:hAnsi="Symbol"/>
      </w:rPr>
    </w:lvl>
    <w:lvl w:ilvl="3" w:tplc="0BC4DD48">
      <w:start w:val="1"/>
      <w:numFmt w:val="bullet"/>
      <w:lvlText w:val=""/>
      <w:lvlJc w:val="left"/>
      <w:pPr>
        <w:ind w:left="720" w:hanging="360"/>
      </w:pPr>
      <w:rPr>
        <w:rFonts w:ascii="Symbol" w:hAnsi="Symbol"/>
      </w:rPr>
    </w:lvl>
    <w:lvl w:ilvl="4" w:tplc="A1C69698">
      <w:start w:val="1"/>
      <w:numFmt w:val="bullet"/>
      <w:lvlText w:val=""/>
      <w:lvlJc w:val="left"/>
      <w:pPr>
        <w:ind w:left="720" w:hanging="360"/>
      </w:pPr>
      <w:rPr>
        <w:rFonts w:ascii="Symbol" w:hAnsi="Symbol"/>
      </w:rPr>
    </w:lvl>
    <w:lvl w:ilvl="5" w:tplc="F500C4C8">
      <w:start w:val="1"/>
      <w:numFmt w:val="bullet"/>
      <w:lvlText w:val=""/>
      <w:lvlJc w:val="left"/>
      <w:pPr>
        <w:ind w:left="720" w:hanging="360"/>
      </w:pPr>
      <w:rPr>
        <w:rFonts w:ascii="Symbol" w:hAnsi="Symbol"/>
      </w:rPr>
    </w:lvl>
    <w:lvl w:ilvl="6" w:tplc="A99C4FB6">
      <w:start w:val="1"/>
      <w:numFmt w:val="bullet"/>
      <w:lvlText w:val=""/>
      <w:lvlJc w:val="left"/>
      <w:pPr>
        <w:ind w:left="720" w:hanging="360"/>
      </w:pPr>
      <w:rPr>
        <w:rFonts w:ascii="Symbol" w:hAnsi="Symbol"/>
      </w:rPr>
    </w:lvl>
    <w:lvl w:ilvl="7" w:tplc="89364242">
      <w:start w:val="1"/>
      <w:numFmt w:val="bullet"/>
      <w:lvlText w:val=""/>
      <w:lvlJc w:val="left"/>
      <w:pPr>
        <w:ind w:left="720" w:hanging="360"/>
      </w:pPr>
      <w:rPr>
        <w:rFonts w:ascii="Symbol" w:hAnsi="Symbol"/>
      </w:rPr>
    </w:lvl>
    <w:lvl w:ilvl="8" w:tplc="64E2B40A">
      <w:start w:val="1"/>
      <w:numFmt w:val="bullet"/>
      <w:lvlText w:val=""/>
      <w:lvlJc w:val="left"/>
      <w:pPr>
        <w:ind w:left="720" w:hanging="360"/>
      </w:pPr>
      <w:rPr>
        <w:rFonts w:ascii="Symbol" w:hAnsi="Symbol"/>
      </w:rPr>
    </w:lvl>
  </w:abstractNum>
  <w:abstractNum w:abstractNumId="132"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4"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3FE0A45"/>
    <w:multiLevelType w:val="multilevel"/>
    <w:tmpl w:val="7098FC58"/>
    <w:lvl w:ilvl="0">
      <w:start w:val="1"/>
      <w:numFmt w:val="decimal"/>
      <w:lvlText w:val="%1."/>
      <w:lvlJc w:val="left"/>
      <w:pPr>
        <w:ind w:left="114" w:hanging="33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14" w:hanging="492"/>
      </w:pPr>
      <w:rPr>
        <w:rFonts w:ascii="Times New Roman" w:eastAsia="Times New Roman" w:hAnsi="Times New Roman" w:cs="Times New Roman" w:hint="default"/>
        <w:b w:val="0"/>
        <w:bCs w:val="0"/>
        <w:i w:val="0"/>
        <w:iCs w:val="0"/>
        <w:spacing w:val="0"/>
        <w:w w:val="94"/>
        <w:sz w:val="28"/>
        <w:szCs w:val="28"/>
        <w:lang w:val="ro-RO" w:eastAsia="en-US" w:bidi="ar-SA"/>
      </w:rPr>
    </w:lvl>
    <w:lvl w:ilvl="2">
      <w:start w:val="1"/>
      <w:numFmt w:val="decimal"/>
      <w:lvlText w:val="%1.%2.%3."/>
      <w:lvlJc w:val="left"/>
      <w:pPr>
        <w:ind w:left="114" w:hanging="775"/>
      </w:pPr>
      <w:rPr>
        <w:rFonts w:ascii="Times New Roman" w:eastAsia="Times New Roman" w:hAnsi="Times New Roman" w:cs="Times New Roman" w:hint="default"/>
        <w:b w:val="0"/>
        <w:bCs w:val="0"/>
        <w:i w:val="0"/>
        <w:iCs w:val="0"/>
        <w:spacing w:val="-4"/>
        <w:w w:val="100"/>
        <w:sz w:val="26"/>
        <w:szCs w:val="26"/>
        <w:lang w:val="ro-RO" w:eastAsia="en-US" w:bidi="ar-SA"/>
      </w:rPr>
    </w:lvl>
    <w:lvl w:ilvl="3">
      <w:numFmt w:val="bullet"/>
      <w:lvlText w:val="•"/>
      <w:lvlJc w:val="left"/>
      <w:pPr>
        <w:ind w:left="1700" w:hanging="775"/>
      </w:pPr>
      <w:rPr>
        <w:rFonts w:hint="default"/>
        <w:lang w:val="ro-RO" w:eastAsia="en-US" w:bidi="ar-SA"/>
      </w:rPr>
    </w:lvl>
    <w:lvl w:ilvl="4">
      <w:numFmt w:val="bullet"/>
      <w:lvlText w:val="•"/>
      <w:lvlJc w:val="left"/>
      <w:pPr>
        <w:ind w:left="2814" w:hanging="775"/>
      </w:pPr>
      <w:rPr>
        <w:rFonts w:hint="default"/>
        <w:lang w:val="ro-RO" w:eastAsia="en-US" w:bidi="ar-SA"/>
      </w:rPr>
    </w:lvl>
    <w:lvl w:ilvl="5">
      <w:numFmt w:val="bullet"/>
      <w:lvlText w:val="•"/>
      <w:lvlJc w:val="left"/>
      <w:pPr>
        <w:ind w:left="3928" w:hanging="775"/>
      </w:pPr>
      <w:rPr>
        <w:rFonts w:hint="default"/>
        <w:lang w:val="ro-RO" w:eastAsia="en-US" w:bidi="ar-SA"/>
      </w:rPr>
    </w:lvl>
    <w:lvl w:ilvl="6">
      <w:numFmt w:val="bullet"/>
      <w:lvlText w:val="•"/>
      <w:lvlJc w:val="left"/>
      <w:pPr>
        <w:ind w:left="5042" w:hanging="775"/>
      </w:pPr>
      <w:rPr>
        <w:rFonts w:hint="default"/>
        <w:lang w:val="ro-RO" w:eastAsia="en-US" w:bidi="ar-SA"/>
      </w:rPr>
    </w:lvl>
    <w:lvl w:ilvl="7">
      <w:numFmt w:val="bullet"/>
      <w:lvlText w:val="•"/>
      <w:lvlJc w:val="left"/>
      <w:pPr>
        <w:ind w:left="6156" w:hanging="775"/>
      </w:pPr>
      <w:rPr>
        <w:rFonts w:hint="default"/>
        <w:lang w:val="ro-RO" w:eastAsia="en-US" w:bidi="ar-SA"/>
      </w:rPr>
    </w:lvl>
    <w:lvl w:ilvl="8">
      <w:numFmt w:val="bullet"/>
      <w:lvlText w:val="•"/>
      <w:lvlJc w:val="left"/>
      <w:pPr>
        <w:ind w:left="7270" w:hanging="775"/>
      </w:pPr>
      <w:rPr>
        <w:rFonts w:hint="default"/>
        <w:lang w:val="ro-RO" w:eastAsia="en-US" w:bidi="ar-SA"/>
      </w:rPr>
    </w:lvl>
  </w:abstractNum>
  <w:abstractNum w:abstractNumId="138"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54EA6950"/>
    <w:multiLevelType w:val="multilevel"/>
    <w:tmpl w:val="CE9E26E6"/>
    <w:lvl w:ilvl="0">
      <w:start w:val="1"/>
      <w:numFmt w:val="decimal"/>
      <w:lvlText w:val="%1."/>
      <w:lvlJc w:val="left"/>
      <w:pPr>
        <w:ind w:left="967" w:hanging="288"/>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0" w:hanging="495"/>
      </w:pPr>
      <w:rPr>
        <w:rFonts w:ascii="Cambria" w:eastAsia="Cambria" w:hAnsi="Cambria" w:cs="Cambria" w:hint="default"/>
        <w:b w:val="0"/>
        <w:bCs w:val="0"/>
        <w:i w:val="0"/>
        <w:iCs w:val="0"/>
        <w:spacing w:val="0"/>
        <w:w w:val="113"/>
        <w:sz w:val="24"/>
        <w:szCs w:val="24"/>
        <w:lang w:val="ro-RO" w:eastAsia="en-US" w:bidi="ar-SA"/>
      </w:rPr>
    </w:lvl>
    <w:lvl w:ilvl="2">
      <w:numFmt w:val="bullet"/>
      <w:lvlText w:val="•"/>
      <w:lvlJc w:val="left"/>
      <w:pPr>
        <w:ind w:left="2003" w:hanging="495"/>
      </w:pPr>
      <w:rPr>
        <w:rFonts w:hint="default"/>
        <w:lang w:val="ro-RO" w:eastAsia="en-US" w:bidi="ar-SA"/>
      </w:rPr>
    </w:lvl>
    <w:lvl w:ilvl="3">
      <w:numFmt w:val="bullet"/>
      <w:lvlText w:val="•"/>
      <w:lvlJc w:val="left"/>
      <w:pPr>
        <w:ind w:left="3046" w:hanging="495"/>
      </w:pPr>
      <w:rPr>
        <w:rFonts w:hint="default"/>
        <w:lang w:val="ro-RO" w:eastAsia="en-US" w:bidi="ar-SA"/>
      </w:rPr>
    </w:lvl>
    <w:lvl w:ilvl="4">
      <w:numFmt w:val="bullet"/>
      <w:lvlText w:val="•"/>
      <w:lvlJc w:val="left"/>
      <w:pPr>
        <w:ind w:left="4089" w:hanging="495"/>
      </w:pPr>
      <w:rPr>
        <w:rFonts w:hint="default"/>
        <w:lang w:val="ro-RO" w:eastAsia="en-US" w:bidi="ar-SA"/>
      </w:rPr>
    </w:lvl>
    <w:lvl w:ilvl="5">
      <w:numFmt w:val="bullet"/>
      <w:lvlText w:val="•"/>
      <w:lvlJc w:val="left"/>
      <w:pPr>
        <w:ind w:left="5132" w:hanging="495"/>
      </w:pPr>
      <w:rPr>
        <w:rFonts w:hint="default"/>
        <w:lang w:val="ro-RO" w:eastAsia="en-US" w:bidi="ar-SA"/>
      </w:rPr>
    </w:lvl>
    <w:lvl w:ilvl="6">
      <w:numFmt w:val="bullet"/>
      <w:lvlText w:val="•"/>
      <w:lvlJc w:val="left"/>
      <w:pPr>
        <w:ind w:left="6175" w:hanging="495"/>
      </w:pPr>
      <w:rPr>
        <w:rFonts w:hint="default"/>
        <w:lang w:val="ro-RO" w:eastAsia="en-US" w:bidi="ar-SA"/>
      </w:rPr>
    </w:lvl>
    <w:lvl w:ilvl="7">
      <w:numFmt w:val="bullet"/>
      <w:lvlText w:val="•"/>
      <w:lvlJc w:val="left"/>
      <w:pPr>
        <w:ind w:left="7218" w:hanging="495"/>
      </w:pPr>
      <w:rPr>
        <w:rFonts w:hint="default"/>
        <w:lang w:val="ro-RO" w:eastAsia="en-US" w:bidi="ar-SA"/>
      </w:rPr>
    </w:lvl>
    <w:lvl w:ilvl="8">
      <w:numFmt w:val="bullet"/>
      <w:lvlText w:val="•"/>
      <w:lvlJc w:val="left"/>
      <w:pPr>
        <w:ind w:left="8261" w:hanging="495"/>
      </w:pPr>
      <w:rPr>
        <w:rFonts w:hint="default"/>
        <w:lang w:val="ro-RO" w:eastAsia="en-US" w:bidi="ar-SA"/>
      </w:rPr>
    </w:lvl>
  </w:abstractNum>
  <w:abstractNum w:abstractNumId="141"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B807543"/>
    <w:multiLevelType w:val="multilevel"/>
    <w:tmpl w:val="9EF6EF2E"/>
    <w:lvl w:ilvl="0">
      <w:start w:val="1"/>
      <w:numFmt w:val="decimal"/>
      <w:lvlText w:val="%1."/>
      <w:lvlJc w:val="left"/>
      <w:pPr>
        <w:ind w:left="0" w:hanging="307"/>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1333" w:hanging="481"/>
      </w:pPr>
      <w:rPr>
        <w:rFonts w:ascii="Cambria" w:eastAsia="Cambria" w:hAnsi="Cambria" w:cs="Cambria" w:hint="default"/>
        <w:b/>
        <w:bCs/>
        <w:i w:val="0"/>
        <w:iCs w:val="0"/>
        <w:spacing w:val="0"/>
        <w:w w:val="113"/>
        <w:sz w:val="24"/>
        <w:szCs w:val="24"/>
        <w:lang w:val="ro-RO" w:eastAsia="en-US" w:bidi="ar-SA"/>
      </w:rPr>
    </w:lvl>
    <w:lvl w:ilvl="2">
      <w:start w:val="1"/>
      <w:numFmt w:val="decimal"/>
      <w:lvlText w:val="%1.%2.%3."/>
      <w:lvlJc w:val="left"/>
      <w:pPr>
        <w:ind w:left="0" w:hanging="908"/>
      </w:pPr>
      <w:rPr>
        <w:rFonts w:ascii="Cambria" w:eastAsia="Cambria" w:hAnsi="Cambria" w:cs="Cambria" w:hint="default"/>
        <w:b w:val="0"/>
        <w:bCs w:val="0"/>
        <w:i w:val="0"/>
        <w:iCs w:val="0"/>
        <w:spacing w:val="0"/>
        <w:w w:val="111"/>
        <w:sz w:val="24"/>
        <w:szCs w:val="24"/>
        <w:lang w:val="ro-RO" w:eastAsia="en-US" w:bidi="ar-SA"/>
      </w:rPr>
    </w:lvl>
    <w:lvl w:ilvl="3">
      <w:numFmt w:val="bullet"/>
      <w:lvlText w:val="•"/>
      <w:lvlJc w:val="left"/>
      <w:pPr>
        <w:ind w:left="1500" w:hanging="908"/>
      </w:pPr>
      <w:rPr>
        <w:rFonts w:hint="default"/>
        <w:lang w:val="ro-RO" w:eastAsia="en-US" w:bidi="ar-SA"/>
      </w:rPr>
    </w:lvl>
    <w:lvl w:ilvl="4">
      <w:numFmt w:val="bullet"/>
      <w:lvlText w:val="•"/>
      <w:lvlJc w:val="left"/>
      <w:pPr>
        <w:ind w:left="2763" w:hanging="908"/>
      </w:pPr>
      <w:rPr>
        <w:rFonts w:hint="default"/>
        <w:lang w:val="ro-RO" w:eastAsia="en-US" w:bidi="ar-SA"/>
      </w:rPr>
    </w:lvl>
    <w:lvl w:ilvl="5">
      <w:numFmt w:val="bullet"/>
      <w:lvlText w:val="•"/>
      <w:lvlJc w:val="left"/>
      <w:pPr>
        <w:ind w:left="4027" w:hanging="908"/>
      </w:pPr>
      <w:rPr>
        <w:rFonts w:hint="default"/>
        <w:lang w:val="ro-RO" w:eastAsia="en-US" w:bidi="ar-SA"/>
      </w:rPr>
    </w:lvl>
    <w:lvl w:ilvl="6">
      <w:numFmt w:val="bullet"/>
      <w:lvlText w:val="•"/>
      <w:lvlJc w:val="left"/>
      <w:pPr>
        <w:ind w:left="5291" w:hanging="908"/>
      </w:pPr>
      <w:rPr>
        <w:rFonts w:hint="default"/>
        <w:lang w:val="ro-RO" w:eastAsia="en-US" w:bidi="ar-SA"/>
      </w:rPr>
    </w:lvl>
    <w:lvl w:ilvl="7">
      <w:numFmt w:val="bullet"/>
      <w:lvlText w:val="•"/>
      <w:lvlJc w:val="left"/>
      <w:pPr>
        <w:ind w:left="6555" w:hanging="908"/>
      </w:pPr>
      <w:rPr>
        <w:rFonts w:hint="default"/>
        <w:lang w:val="ro-RO" w:eastAsia="en-US" w:bidi="ar-SA"/>
      </w:rPr>
    </w:lvl>
    <w:lvl w:ilvl="8">
      <w:numFmt w:val="bullet"/>
      <w:lvlText w:val="•"/>
      <w:lvlJc w:val="left"/>
      <w:pPr>
        <w:ind w:left="7819" w:hanging="908"/>
      </w:pPr>
      <w:rPr>
        <w:rFonts w:hint="default"/>
        <w:lang w:val="ro-RO" w:eastAsia="en-US" w:bidi="ar-SA"/>
      </w:rPr>
    </w:lvl>
  </w:abstractNum>
  <w:abstractNum w:abstractNumId="151"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2"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7"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1"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3CD0A82"/>
    <w:multiLevelType w:val="hybridMultilevel"/>
    <w:tmpl w:val="B0983992"/>
    <w:lvl w:ilvl="0" w:tplc="FF12E228">
      <w:start w:val="1"/>
      <w:numFmt w:val="bullet"/>
      <w:lvlText w:val=""/>
      <w:lvlJc w:val="left"/>
      <w:pPr>
        <w:ind w:left="720" w:hanging="360"/>
      </w:pPr>
      <w:rPr>
        <w:rFonts w:ascii="Symbol" w:hAnsi="Symbol"/>
      </w:rPr>
    </w:lvl>
    <w:lvl w:ilvl="1" w:tplc="BA447700">
      <w:start w:val="1"/>
      <w:numFmt w:val="bullet"/>
      <w:lvlText w:val=""/>
      <w:lvlJc w:val="left"/>
      <w:pPr>
        <w:ind w:left="720" w:hanging="360"/>
      </w:pPr>
      <w:rPr>
        <w:rFonts w:ascii="Symbol" w:hAnsi="Symbol"/>
      </w:rPr>
    </w:lvl>
    <w:lvl w:ilvl="2" w:tplc="A9A0D594">
      <w:start w:val="1"/>
      <w:numFmt w:val="bullet"/>
      <w:lvlText w:val=""/>
      <w:lvlJc w:val="left"/>
      <w:pPr>
        <w:ind w:left="720" w:hanging="360"/>
      </w:pPr>
      <w:rPr>
        <w:rFonts w:ascii="Symbol" w:hAnsi="Symbol"/>
      </w:rPr>
    </w:lvl>
    <w:lvl w:ilvl="3" w:tplc="485C6B24">
      <w:start w:val="1"/>
      <w:numFmt w:val="bullet"/>
      <w:lvlText w:val=""/>
      <w:lvlJc w:val="left"/>
      <w:pPr>
        <w:ind w:left="720" w:hanging="360"/>
      </w:pPr>
      <w:rPr>
        <w:rFonts w:ascii="Symbol" w:hAnsi="Symbol"/>
      </w:rPr>
    </w:lvl>
    <w:lvl w:ilvl="4" w:tplc="B2EA3218">
      <w:start w:val="1"/>
      <w:numFmt w:val="bullet"/>
      <w:lvlText w:val=""/>
      <w:lvlJc w:val="left"/>
      <w:pPr>
        <w:ind w:left="720" w:hanging="360"/>
      </w:pPr>
      <w:rPr>
        <w:rFonts w:ascii="Symbol" w:hAnsi="Symbol"/>
      </w:rPr>
    </w:lvl>
    <w:lvl w:ilvl="5" w:tplc="26B2D742">
      <w:start w:val="1"/>
      <w:numFmt w:val="bullet"/>
      <w:lvlText w:val=""/>
      <w:lvlJc w:val="left"/>
      <w:pPr>
        <w:ind w:left="720" w:hanging="360"/>
      </w:pPr>
      <w:rPr>
        <w:rFonts w:ascii="Symbol" w:hAnsi="Symbol"/>
      </w:rPr>
    </w:lvl>
    <w:lvl w:ilvl="6" w:tplc="87BA8274">
      <w:start w:val="1"/>
      <w:numFmt w:val="bullet"/>
      <w:lvlText w:val=""/>
      <w:lvlJc w:val="left"/>
      <w:pPr>
        <w:ind w:left="720" w:hanging="360"/>
      </w:pPr>
      <w:rPr>
        <w:rFonts w:ascii="Symbol" w:hAnsi="Symbol"/>
      </w:rPr>
    </w:lvl>
    <w:lvl w:ilvl="7" w:tplc="30EE978C">
      <w:start w:val="1"/>
      <w:numFmt w:val="bullet"/>
      <w:lvlText w:val=""/>
      <w:lvlJc w:val="left"/>
      <w:pPr>
        <w:ind w:left="720" w:hanging="360"/>
      </w:pPr>
      <w:rPr>
        <w:rFonts w:ascii="Symbol" w:hAnsi="Symbol"/>
      </w:rPr>
    </w:lvl>
    <w:lvl w:ilvl="8" w:tplc="84FE9A04">
      <w:start w:val="1"/>
      <w:numFmt w:val="bullet"/>
      <w:lvlText w:val=""/>
      <w:lvlJc w:val="left"/>
      <w:pPr>
        <w:ind w:left="720" w:hanging="360"/>
      </w:pPr>
      <w:rPr>
        <w:rFonts w:ascii="Symbol" w:hAnsi="Symbol"/>
      </w:rPr>
    </w:lvl>
  </w:abstractNum>
  <w:abstractNum w:abstractNumId="167"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7F73C50"/>
    <w:multiLevelType w:val="hybridMultilevel"/>
    <w:tmpl w:val="F9BAD936"/>
    <w:lvl w:ilvl="0" w:tplc="9AC04C5E">
      <w:start w:val="1"/>
      <w:numFmt w:val="bullet"/>
      <w:lvlText w:val=""/>
      <w:lvlJc w:val="left"/>
      <w:pPr>
        <w:ind w:left="720" w:hanging="360"/>
      </w:pPr>
      <w:rPr>
        <w:rFonts w:ascii="Symbol" w:hAnsi="Symbol"/>
      </w:rPr>
    </w:lvl>
    <w:lvl w:ilvl="1" w:tplc="120EF294">
      <w:start w:val="1"/>
      <w:numFmt w:val="bullet"/>
      <w:lvlText w:val=""/>
      <w:lvlJc w:val="left"/>
      <w:pPr>
        <w:ind w:left="720" w:hanging="360"/>
      </w:pPr>
      <w:rPr>
        <w:rFonts w:ascii="Symbol" w:hAnsi="Symbol"/>
      </w:rPr>
    </w:lvl>
    <w:lvl w:ilvl="2" w:tplc="C9D0A716">
      <w:start w:val="1"/>
      <w:numFmt w:val="bullet"/>
      <w:lvlText w:val=""/>
      <w:lvlJc w:val="left"/>
      <w:pPr>
        <w:ind w:left="720" w:hanging="360"/>
      </w:pPr>
      <w:rPr>
        <w:rFonts w:ascii="Symbol" w:hAnsi="Symbol"/>
      </w:rPr>
    </w:lvl>
    <w:lvl w:ilvl="3" w:tplc="96769786">
      <w:start w:val="1"/>
      <w:numFmt w:val="bullet"/>
      <w:lvlText w:val=""/>
      <w:lvlJc w:val="left"/>
      <w:pPr>
        <w:ind w:left="720" w:hanging="360"/>
      </w:pPr>
      <w:rPr>
        <w:rFonts w:ascii="Symbol" w:hAnsi="Symbol"/>
      </w:rPr>
    </w:lvl>
    <w:lvl w:ilvl="4" w:tplc="9D344F7C">
      <w:start w:val="1"/>
      <w:numFmt w:val="bullet"/>
      <w:lvlText w:val=""/>
      <w:lvlJc w:val="left"/>
      <w:pPr>
        <w:ind w:left="720" w:hanging="360"/>
      </w:pPr>
      <w:rPr>
        <w:rFonts w:ascii="Symbol" w:hAnsi="Symbol"/>
      </w:rPr>
    </w:lvl>
    <w:lvl w:ilvl="5" w:tplc="C0225382">
      <w:start w:val="1"/>
      <w:numFmt w:val="bullet"/>
      <w:lvlText w:val=""/>
      <w:lvlJc w:val="left"/>
      <w:pPr>
        <w:ind w:left="720" w:hanging="360"/>
      </w:pPr>
      <w:rPr>
        <w:rFonts w:ascii="Symbol" w:hAnsi="Symbol"/>
      </w:rPr>
    </w:lvl>
    <w:lvl w:ilvl="6" w:tplc="F928FA50">
      <w:start w:val="1"/>
      <w:numFmt w:val="bullet"/>
      <w:lvlText w:val=""/>
      <w:lvlJc w:val="left"/>
      <w:pPr>
        <w:ind w:left="720" w:hanging="360"/>
      </w:pPr>
      <w:rPr>
        <w:rFonts w:ascii="Symbol" w:hAnsi="Symbol"/>
      </w:rPr>
    </w:lvl>
    <w:lvl w:ilvl="7" w:tplc="54FEEDF2">
      <w:start w:val="1"/>
      <w:numFmt w:val="bullet"/>
      <w:lvlText w:val=""/>
      <w:lvlJc w:val="left"/>
      <w:pPr>
        <w:ind w:left="720" w:hanging="360"/>
      </w:pPr>
      <w:rPr>
        <w:rFonts w:ascii="Symbol" w:hAnsi="Symbol"/>
      </w:rPr>
    </w:lvl>
    <w:lvl w:ilvl="8" w:tplc="E6D88406">
      <w:start w:val="1"/>
      <w:numFmt w:val="bullet"/>
      <w:lvlText w:val=""/>
      <w:lvlJc w:val="left"/>
      <w:pPr>
        <w:ind w:left="720" w:hanging="360"/>
      </w:pPr>
      <w:rPr>
        <w:rFonts w:ascii="Symbol" w:hAnsi="Symbol"/>
      </w:rPr>
    </w:lvl>
  </w:abstractNum>
  <w:abstractNum w:abstractNumId="170"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9B0486D"/>
    <w:multiLevelType w:val="hybridMultilevel"/>
    <w:tmpl w:val="7388C78C"/>
    <w:lvl w:ilvl="0" w:tplc="F98288A4">
      <w:numFmt w:val="bullet"/>
      <w:lvlText w:val="-"/>
      <w:lvlJc w:val="left"/>
      <w:pPr>
        <w:ind w:left="0" w:hanging="143"/>
      </w:pPr>
      <w:rPr>
        <w:rFonts w:ascii="Cambria" w:eastAsia="Cambria" w:hAnsi="Cambria" w:cs="Cambria" w:hint="default"/>
        <w:b w:val="0"/>
        <w:bCs w:val="0"/>
        <w:i w:val="0"/>
        <w:iCs w:val="0"/>
        <w:spacing w:val="0"/>
        <w:w w:val="91"/>
        <w:sz w:val="24"/>
        <w:szCs w:val="24"/>
        <w:lang w:val="ro-RO" w:eastAsia="en-US" w:bidi="ar-SA"/>
      </w:rPr>
    </w:lvl>
    <w:lvl w:ilvl="1" w:tplc="6DA2432A">
      <w:numFmt w:val="bullet"/>
      <w:lvlText w:val="•"/>
      <w:lvlJc w:val="left"/>
      <w:pPr>
        <w:ind w:left="1034" w:hanging="143"/>
      </w:pPr>
      <w:rPr>
        <w:rFonts w:hint="default"/>
        <w:lang w:val="ro-RO" w:eastAsia="en-US" w:bidi="ar-SA"/>
      </w:rPr>
    </w:lvl>
    <w:lvl w:ilvl="2" w:tplc="29808916">
      <w:numFmt w:val="bullet"/>
      <w:lvlText w:val="•"/>
      <w:lvlJc w:val="left"/>
      <w:pPr>
        <w:ind w:left="2069" w:hanging="143"/>
      </w:pPr>
      <w:rPr>
        <w:rFonts w:hint="default"/>
        <w:lang w:val="ro-RO" w:eastAsia="en-US" w:bidi="ar-SA"/>
      </w:rPr>
    </w:lvl>
    <w:lvl w:ilvl="3" w:tplc="B9F47F62">
      <w:numFmt w:val="bullet"/>
      <w:lvlText w:val="•"/>
      <w:lvlJc w:val="left"/>
      <w:pPr>
        <w:ind w:left="3104" w:hanging="143"/>
      </w:pPr>
      <w:rPr>
        <w:rFonts w:hint="default"/>
        <w:lang w:val="ro-RO" w:eastAsia="en-US" w:bidi="ar-SA"/>
      </w:rPr>
    </w:lvl>
    <w:lvl w:ilvl="4" w:tplc="6DD63C44">
      <w:numFmt w:val="bullet"/>
      <w:lvlText w:val="•"/>
      <w:lvlJc w:val="left"/>
      <w:pPr>
        <w:ind w:left="4139" w:hanging="143"/>
      </w:pPr>
      <w:rPr>
        <w:rFonts w:hint="default"/>
        <w:lang w:val="ro-RO" w:eastAsia="en-US" w:bidi="ar-SA"/>
      </w:rPr>
    </w:lvl>
    <w:lvl w:ilvl="5" w:tplc="5CC2EA08">
      <w:numFmt w:val="bullet"/>
      <w:lvlText w:val="•"/>
      <w:lvlJc w:val="left"/>
      <w:pPr>
        <w:ind w:left="5173" w:hanging="143"/>
      </w:pPr>
      <w:rPr>
        <w:rFonts w:hint="default"/>
        <w:lang w:val="ro-RO" w:eastAsia="en-US" w:bidi="ar-SA"/>
      </w:rPr>
    </w:lvl>
    <w:lvl w:ilvl="6" w:tplc="E31AE146">
      <w:numFmt w:val="bullet"/>
      <w:lvlText w:val="•"/>
      <w:lvlJc w:val="left"/>
      <w:pPr>
        <w:ind w:left="6208" w:hanging="143"/>
      </w:pPr>
      <w:rPr>
        <w:rFonts w:hint="default"/>
        <w:lang w:val="ro-RO" w:eastAsia="en-US" w:bidi="ar-SA"/>
      </w:rPr>
    </w:lvl>
    <w:lvl w:ilvl="7" w:tplc="D77C54CC">
      <w:numFmt w:val="bullet"/>
      <w:lvlText w:val="•"/>
      <w:lvlJc w:val="left"/>
      <w:pPr>
        <w:ind w:left="7243" w:hanging="143"/>
      </w:pPr>
      <w:rPr>
        <w:rFonts w:hint="default"/>
        <w:lang w:val="ro-RO" w:eastAsia="en-US" w:bidi="ar-SA"/>
      </w:rPr>
    </w:lvl>
    <w:lvl w:ilvl="8" w:tplc="6F5449EC">
      <w:numFmt w:val="bullet"/>
      <w:lvlText w:val="•"/>
      <w:lvlJc w:val="left"/>
      <w:pPr>
        <w:ind w:left="8278" w:hanging="143"/>
      </w:pPr>
      <w:rPr>
        <w:rFonts w:hint="default"/>
        <w:lang w:val="ro-RO" w:eastAsia="en-US" w:bidi="ar-SA"/>
      </w:rPr>
    </w:lvl>
  </w:abstractNum>
  <w:abstractNum w:abstractNumId="172"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5"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6" w15:restartNumberingAfterBreak="0">
    <w:nsid w:val="6B5A33C8"/>
    <w:multiLevelType w:val="hybridMultilevel"/>
    <w:tmpl w:val="9FB80276"/>
    <w:lvl w:ilvl="0" w:tplc="DE863A5E">
      <w:start w:val="1"/>
      <w:numFmt w:val="bullet"/>
      <w:lvlText w:val=""/>
      <w:lvlJc w:val="left"/>
      <w:pPr>
        <w:ind w:left="720" w:hanging="360"/>
      </w:pPr>
      <w:rPr>
        <w:rFonts w:ascii="Symbol" w:hAnsi="Symbol"/>
      </w:rPr>
    </w:lvl>
    <w:lvl w:ilvl="1" w:tplc="70527ACC">
      <w:start w:val="1"/>
      <w:numFmt w:val="bullet"/>
      <w:lvlText w:val=""/>
      <w:lvlJc w:val="left"/>
      <w:pPr>
        <w:ind w:left="720" w:hanging="360"/>
      </w:pPr>
      <w:rPr>
        <w:rFonts w:ascii="Symbol" w:hAnsi="Symbol"/>
      </w:rPr>
    </w:lvl>
    <w:lvl w:ilvl="2" w:tplc="897E0E14">
      <w:start w:val="1"/>
      <w:numFmt w:val="bullet"/>
      <w:lvlText w:val=""/>
      <w:lvlJc w:val="left"/>
      <w:pPr>
        <w:ind w:left="720" w:hanging="360"/>
      </w:pPr>
      <w:rPr>
        <w:rFonts w:ascii="Symbol" w:hAnsi="Symbol"/>
      </w:rPr>
    </w:lvl>
    <w:lvl w:ilvl="3" w:tplc="929CDF6C">
      <w:start w:val="1"/>
      <w:numFmt w:val="bullet"/>
      <w:lvlText w:val=""/>
      <w:lvlJc w:val="left"/>
      <w:pPr>
        <w:ind w:left="720" w:hanging="360"/>
      </w:pPr>
      <w:rPr>
        <w:rFonts w:ascii="Symbol" w:hAnsi="Symbol"/>
      </w:rPr>
    </w:lvl>
    <w:lvl w:ilvl="4" w:tplc="BCE4EC8A">
      <w:start w:val="1"/>
      <w:numFmt w:val="bullet"/>
      <w:lvlText w:val=""/>
      <w:lvlJc w:val="left"/>
      <w:pPr>
        <w:ind w:left="720" w:hanging="360"/>
      </w:pPr>
      <w:rPr>
        <w:rFonts w:ascii="Symbol" w:hAnsi="Symbol"/>
      </w:rPr>
    </w:lvl>
    <w:lvl w:ilvl="5" w:tplc="2552429A">
      <w:start w:val="1"/>
      <w:numFmt w:val="bullet"/>
      <w:lvlText w:val=""/>
      <w:lvlJc w:val="left"/>
      <w:pPr>
        <w:ind w:left="720" w:hanging="360"/>
      </w:pPr>
      <w:rPr>
        <w:rFonts w:ascii="Symbol" w:hAnsi="Symbol"/>
      </w:rPr>
    </w:lvl>
    <w:lvl w:ilvl="6" w:tplc="6FC8A3D0">
      <w:start w:val="1"/>
      <w:numFmt w:val="bullet"/>
      <w:lvlText w:val=""/>
      <w:lvlJc w:val="left"/>
      <w:pPr>
        <w:ind w:left="720" w:hanging="360"/>
      </w:pPr>
      <w:rPr>
        <w:rFonts w:ascii="Symbol" w:hAnsi="Symbol"/>
      </w:rPr>
    </w:lvl>
    <w:lvl w:ilvl="7" w:tplc="003A075C">
      <w:start w:val="1"/>
      <w:numFmt w:val="bullet"/>
      <w:lvlText w:val=""/>
      <w:lvlJc w:val="left"/>
      <w:pPr>
        <w:ind w:left="720" w:hanging="360"/>
      </w:pPr>
      <w:rPr>
        <w:rFonts w:ascii="Symbol" w:hAnsi="Symbol"/>
      </w:rPr>
    </w:lvl>
    <w:lvl w:ilvl="8" w:tplc="AE905C94">
      <w:start w:val="1"/>
      <w:numFmt w:val="bullet"/>
      <w:lvlText w:val=""/>
      <w:lvlJc w:val="left"/>
      <w:pPr>
        <w:ind w:left="720" w:hanging="360"/>
      </w:pPr>
      <w:rPr>
        <w:rFonts w:ascii="Symbol" w:hAnsi="Symbol"/>
      </w:rPr>
    </w:lvl>
  </w:abstractNum>
  <w:abstractNum w:abstractNumId="177"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3"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5"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89"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5"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6" w15:restartNumberingAfterBreak="0">
    <w:nsid w:val="791E5042"/>
    <w:multiLevelType w:val="hybridMultilevel"/>
    <w:tmpl w:val="869222D0"/>
    <w:lvl w:ilvl="0" w:tplc="C66CB7FA">
      <w:start w:val="1"/>
      <w:numFmt w:val="decimal"/>
      <w:lvlText w:val="%1."/>
      <w:lvlJc w:val="left"/>
      <w:pPr>
        <w:ind w:left="1020" w:hanging="360"/>
      </w:pPr>
    </w:lvl>
    <w:lvl w:ilvl="1" w:tplc="9392E172">
      <w:start w:val="1"/>
      <w:numFmt w:val="decimal"/>
      <w:lvlText w:val="%2."/>
      <w:lvlJc w:val="left"/>
      <w:pPr>
        <w:ind w:left="1020" w:hanging="360"/>
      </w:pPr>
    </w:lvl>
    <w:lvl w:ilvl="2" w:tplc="731A3FA6">
      <w:start w:val="1"/>
      <w:numFmt w:val="decimal"/>
      <w:lvlText w:val="%3."/>
      <w:lvlJc w:val="left"/>
      <w:pPr>
        <w:ind w:left="1020" w:hanging="360"/>
      </w:pPr>
    </w:lvl>
    <w:lvl w:ilvl="3" w:tplc="473E92A2">
      <w:start w:val="1"/>
      <w:numFmt w:val="decimal"/>
      <w:lvlText w:val="%4."/>
      <w:lvlJc w:val="left"/>
      <w:pPr>
        <w:ind w:left="1020" w:hanging="360"/>
      </w:pPr>
    </w:lvl>
    <w:lvl w:ilvl="4" w:tplc="EA9CFC76">
      <w:start w:val="1"/>
      <w:numFmt w:val="decimal"/>
      <w:lvlText w:val="%5."/>
      <w:lvlJc w:val="left"/>
      <w:pPr>
        <w:ind w:left="1020" w:hanging="360"/>
      </w:pPr>
    </w:lvl>
    <w:lvl w:ilvl="5" w:tplc="F34E8BDC">
      <w:start w:val="1"/>
      <w:numFmt w:val="decimal"/>
      <w:lvlText w:val="%6."/>
      <w:lvlJc w:val="left"/>
      <w:pPr>
        <w:ind w:left="1020" w:hanging="360"/>
      </w:pPr>
    </w:lvl>
    <w:lvl w:ilvl="6" w:tplc="1CF6898C">
      <w:start w:val="1"/>
      <w:numFmt w:val="decimal"/>
      <w:lvlText w:val="%7."/>
      <w:lvlJc w:val="left"/>
      <w:pPr>
        <w:ind w:left="1020" w:hanging="360"/>
      </w:pPr>
    </w:lvl>
    <w:lvl w:ilvl="7" w:tplc="26B69734">
      <w:start w:val="1"/>
      <w:numFmt w:val="decimal"/>
      <w:lvlText w:val="%8."/>
      <w:lvlJc w:val="left"/>
      <w:pPr>
        <w:ind w:left="1020" w:hanging="360"/>
      </w:pPr>
    </w:lvl>
    <w:lvl w:ilvl="8" w:tplc="35C410A6">
      <w:start w:val="1"/>
      <w:numFmt w:val="decimal"/>
      <w:lvlText w:val="%9."/>
      <w:lvlJc w:val="left"/>
      <w:pPr>
        <w:ind w:left="1020" w:hanging="360"/>
      </w:pPr>
    </w:lvl>
  </w:abstractNum>
  <w:abstractNum w:abstractNumId="197"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0" w15:restartNumberingAfterBreak="0">
    <w:nsid w:val="7B7B6F89"/>
    <w:multiLevelType w:val="hybridMultilevel"/>
    <w:tmpl w:val="7046A7E4"/>
    <w:lvl w:ilvl="0" w:tplc="86E43FDA">
      <w:start w:val="1"/>
      <w:numFmt w:val="bullet"/>
      <w:lvlText w:val=""/>
      <w:lvlJc w:val="left"/>
      <w:pPr>
        <w:ind w:left="1080" w:hanging="360"/>
      </w:pPr>
      <w:rPr>
        <w:rFonts w:ascii="Symbol" w:hAnsi="Symbol"/>
      </w:rPr>
    </w:lvl>
    <w:lvl w:ilvl="1" w:tplc="0CF21312">
      <w:start w:val="1"/>
      <w:numFmt w:val="bullet"/>
      <w:lvlText w:val=""/>
      <w:lvlJc w:val="left"/>
      <w:pPr>
        <w:ind w:left="1080" w:hanging="360"/>
      </w:pPr>
      <w:rPr>
        <w:rFonts w:ascii="Symbol" w:hAnsi="Symbol"/>
      </w:rPr>
    </w:lvl>
    <w:lvl w:ilvl="2" w:tplc="0F9E6B3A">
      <w:start w:val="1"/>
      <w:numFmt w:val="bullet"/>
      <w:lvlText w:val=""/>
      <w:lvlJc w:val="left"/>
      <w:pPr>
        <w:ind w:left="1080" w:hanging="360"/>
      </w:pPr>
      <w:rPr>
        <w:rFonts w:ascii="Symbol" w:hAnsi="Symbol"/>
      </w:rPr>
    </w:lvl>
    <w:lvl w:ilvl="3" w:tplc="2D6CF5EA">
      <w:start w:val="1"/>
      <w:numFmt w:val="bullet"/>
      <w:lvlText w:val=""/>
      <w:lvlJc w:val="left"/>
      <w:pPr>
        <w:ind w:left="1080" w:hanging="360"/>
      </w:pPr>
      <w:rPr>
        <w:rFonts w:ascii="Symbol" w:hAnsi="Symbol"/>
      </w:rPr>
    </w:lvl>
    <w:lvl w:ilvl="4" w:tplc="CD16529C">
      <w:start w:val="1"/>
      <w:numFmt w:val="bullet"/>
      <w:lvlText w:val=""/>
      <w:lvlJc w:val="left"/>
      <w:pPr>
        <w:ind w:left="1080" w:hanging="360"/>
      </w:pPr>
      <w:rPr>
        <w:rFonts w:ascii="Symbol" w:hAnsi="Symbol"/>
      </w:rPr>
    </w:lvl>
    <w:lvl w:ilvl="5" w:tplc="7BD66296">
      <w:start w:val="1"/>
      <w:numFmt w:val="bullet"/>
      <w:lvlText w:val=""/>
      <w:lvlJc w:val="left"/>
      <w:pPr>
        <w:ind w:left="1080" w:hanging="360"/>
      </w:pPr>
      <w:rPr>
        <w:rFonts w:ascii="Symbol" w:hAnsi="Symbol"/>
      </w:rPr>
    </w:lvl>
    <w:lvl w:ilvl="6" w:tplc="94B8FF8C">
      <w:start w:val="1"/>
      <w:numFmt w:val="bullet"/>
      <w:lvlText w:val=""/>
      <w:lvlJc w:val="left"/>
      <w:pPr>
        <w:ind w:left="1080" w:hanging="360"/>
      </w:pPr>
      <w:rPr>
        <w:rFonts w:ascii="Symbol" w:hAnsi="Symbol"/>
      </w:rPr>
    </w:lvl>
    <w:lvl w:ilvl="7" w:tplc="2D6E2F7E">
      <w:start w:val="1"/>
      <w:numFmt w:val="bullet"/>
      <w:lvlText w:val=""/>
      <w:lvlJc w:val="left"/>
      <w:pPr>
        <w:ind w:left="1080" w:hanging="360"/>
      </w:pPr>
      <w:rPr>
        <w:rFonts w:ascii="Symbol" w:hAnsi="Symbol"/>
      </w:rPr>
    </w:lvl>
    <w:lvl w:ilvl="8" w:tplc="69D216F4">
      <w:start w:val="1"/>
      <w:numFmt w:val="bullet"/>
      <w:lvlText w:val=""/>
      <w:lvlJc w:val="left"/>
      <w:pPr>
        <w:ind w:left="1080" w:hanging="360"/>
      </w:pPr>
      <w:rPr>
        <w:rFonts w:ascii="Symbol" w:hAnsi="Symbol"/>
      </w:rPr>
    </w:lvl>
  </w:abstractNum>
  <w:abstractNum w:abstractNumId="201"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351053"/>
    <w:multiLevelType w:val="hybridMultilevel"/>
    <w:tmpl w:val="E516FAD8"/>
    <w:lvl w:ilvl="0" w:tplc="E732034C">
      <w:start w:val="1"/>
      <w:numFmt w:val="bullet"/>
      <w:lvlText w:val=""/>
      <w:lvlJc w:val="left"/>
      <w:pPr>
        <w:ind w:left="720" w:hanging="360"/>
      </w:pPr>
      <w:rPr>
        <w:rFonts w:ascii="Symbol" w:hAnsi="Symbol"/>
      </w:rPr>
    </w:lvl>
    <w:lvl w:ilvl="1" w:tplc="DCE4BE18">
      <w:start w:val="1"/>
      <w:numFmt w:val="bullet"/>
      <w:lvlText w:val=""/>
      <w:lvlJc w:val="left"/>
      <w:pPr>
        <w:ind w:left="720" w:hanging="360"/>
      </w:pPr>
      <w:rPr>
        <w:rFonts w:ascii="Symbol" w:hAnsi="Symbol"/>
      </w:rPr>
    </w:lvl>
    <w:lvl w:ilvl="2" w:tplc="4CC6A7A2">
      <w:start w:val="1"/>
      <w:numFmt w:val="bullet"/>
      <w:lvlText w:val=""/>
      <w:lvlJc w:val="left"/>
      <w:pPr>
        <w:ind w:left="720" w:hanging="360"/>
      </w:pPr>
      <w:rPr>
        <w:rFonts w:ascii="Symbol" w:hAnsi="Symbol"/>
      </w:rPr>
    </w:lvl>
    <w:lvl w:ilvl="3" w:tplc="8774D636">
      <w:start w:val="1"/>
      <w:numFmt w:val="bullet"/>
      <w:lvlText w:val=""/>
      <w:lvlJc w:val="left"/>
      <w:pPr>
        <w:ind w:left="720" w:hanging="360"/>
      </w:pPr>
      <w:rPr>
        <w:rFonts w:ascii="Symbol" w:hAnsi="Symbol"/>
      </w:rPr>
    </w:lvl>
    <w:lvl w:ilvl="4" w:tplc="63E6F9DC">
      <w:start w:val="1"/>
      <w:numFmt w:val="bullet"/>
      <w:lvlText w:val=""/>
      <w:lvlJc w:val="left"/>
      <w:pPr>
        <w:ind w:left="720" w:hanging="360"/>
      </w:pPr>
      <w:rPr>
        <w:rFonts w:ascii="Symbol" w:hAnsi="Symbol"/>
      </w:rPr>
    </w:lvl>
    <w:lvl w:ilvl="5" w:tplc="0D72524C">
      <w:start w:val="1"/>
      <w:numFmt w:val="bullet"/>
      <w:lvlText w:val=""/>
      <w:lvlJc w:val="left"/>
      <w:pPr>
        <w:ind w:left="720" w:hanging="360"/>
      </w:pPr>
      <w:rPr>
        <w:rFonts w:ascii="Symbol" w:hAnsi="Symbol"/>
      </w:rPr>
    </w:lvl>
    <w:lvl w:ilvl="6" w:tplc="8892BA88">
      <w:start w:val="1"/>
      <w:numFmt w:val="bullet"/>
      <w:lvlText w:val=""/>
      <w:lvlJc w:val="left"/>
      <w:pPr>
        <w:ind w:left="720" w:hanging="360"/>
      </w:pPr>
      <w:rPr>
        <w:rFonts w:ascii="Symbol" w:hAnsi="Symbol"/>
      </w:rPr>
    </w:lvl>
    <w:lvl w:ilvl="7" w:tplc="A88811BC">
      <w:start w:val="1"/>
      <w:numFmt w:val="bullet"/>
      <w:lvlText w:val=""/>
      <w:lvlJc w:val="left"/>
      <w:pPr>
        <w:ind w:left="720" w:hanging="360"/>
      </w:pPr>
      <w:rPr>
        <w:rFonts w:ascii="Symbol" w:hAnsi="Symbol"/>
      </w:rPr>
    </w:lvl>
    <w:lvl w:ilvl="8" w:tplc="B2B69C6C">
      <w:start w:val="1"/>
      <w:numFmt w:val="bullet"/>
      <w:lvlText w:val=""/>
      <w:lvlJc w:val="left"/>
      <w:pPr>
        <w:ind w:left="720" w:hanging="360"/>
      </w:pPr>
      <w:rPr>
        <w:rFonts w:ascii="Symbol" w:hAnsi="Symbol"/>
      </w:rPr>
    </w:lvl>
  </w:abstractNum>
  <w:abstractNum w:abstractNumId="203"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42"/>
  </w:num>
  <w:num w:numId="2" w16cid:durableId="2069104286">
    <w:abstractNumId w:val="178"/>
  </w:num>
  <w:num w:numId="3" w16cid:durableId="1320891055">
    <w:abstractNumId w:val="90"/>
  </w:num>
  <w:num w:numId="4" w16cid:durableId="1810049505">
    <w:abstractNumId w:val="18"/>
  </w:num>
  <w:num w:numId="5" w16cid:durableId="127092390">
    <w:abstractNumId w:val="154"/>
  </w:num>
  <w:num w:numId="6" w16cid:durableId="1237939915">
    <w:abstractNumId w:val="183"/>
  </w:num>
  <w:num w:numId="7" w16cid:durableId="850533291">
    <w:abstractNumId w:val="23"/>
  </w:num>
  <w:num w:numId="8" w16cid:durableId="526530054">
    <w:abstractNumId w:val="39"/>
  </w:num>
  <w:num w:numId="9" w16cid:durableId="1071543351">
    <w:abstractNumId w:val="105"/>
  </w:num>
  <w:num w:numId="10" w16cid:durableId="2146508616">
    <w:abstractNumId w:val="168"/>
  </w:num>
  <w:num w:numId="11" w16cid:durableId="1464616914">
    <w:abstractNumId w:val="60"/>
  </w:num>
  <w:num w:numId="12" w16cid:durableId="1225220319">
    <w:abstractNumId w:val="52"/>
  </w:num>
  <w:num w:numId="13" w16cid:durableId="400107168">
    <w:abstractNumId w:val="132"/>
  </w:num>
  <w:num w:numId="14" w16cid:durableId="174266101">
    <w:abstractNumId w:val="33"/>
  </w:num>
  <w:num w:numId="15" w16cid:durableId="2028365508">
    <w:abstractNumId w:val="88"/>
  </w:num>
  <w:num w:numId="16" w16cid:durableId="964895822">
    <w:abstractNumId w:val="181"/>
  </w:num>
  <w:num w:numId="17" w16cid:durableId="94179442">
    <w:abstractNumId w:val="8"/>
  </w:num>
  <w:num w:numId="18" w16cid:durableId="1929345194">
    <w:abstractNumId w:val="145"/>
  </w:num>
  <w:num w:numId="19" w16cid:durableId="1099910381">
    <w:abstractNumId w:val="107"/>
  </w:num>
  <w:num w:numId="20" w16cid:durableId="1217745321">
    <w:abstractNumId w:val="78"/>
  </w:num>
  <w:num w:numId="21" w16cid:durableId="139466573">
    <w:abstractNumId w:val="47"/>
  </w:num>
  <w:num w:numId="22" w16cid:durableId="1493182436">
    <w:abstractNumId w:val="57"/>
  </w:num>
  <w:num w:numId="23" w16cid:durableId="991372569">
    <w:abstractNumId w:val="32"/>
  </w:num>
  <w:num w:numId="24" w16cid:durableId="215245146">
    <w:abstractNumId w:val="15"/>
  </w:num>
  <w:num w:numId="25" w16cid:durableId="585387037">
    <w:abstractNumId w:val="103"/>
  </w:num>
  <w:num w:numId="26" w16cid:durableId="352267688">
    <w:abstractNumId w:val="143"/>
  </w:num>
  <w:num w:numId="27" w16cid:durableId="1710379535">
    <w:abstractNumId w:val="79"/>
  </w:num>
  <w:num w:numId="28" w16cid:durableId="869954270">
    <w:abstractNumId w:val="25"/>
  </w:num>
  <w:num w:numId="29" w16cid:durableId="1657106384">
    <w:abstractNumId w:val="43"/>
  </w:num>
  <w:num w:numId="30" w16cid:durableId="740297058">
    <w:abstractNumId w:val="109"/>
  </w:num>
  <w:num w:numId="31" w16cid:durableId="758868621">
    <w:abstractNumId w:val="21"/>
  </w:num>
  <w:num w:numId="32" w16cid:durableId="1662464766">
    <w:abstractNumId w:val="190"/>
  </w:num>
  <w:num w:numId="33" w16cid:durableId="984814743">
    <w:abstractNumId w:val="177"/>
  </w:num>
  <w:num w:numId="34" w16cid:durableId="1095058702">
    <w:abstractNumId w:val="27"/>
  </w:num>
  <w:num w:numId="35" w16cid:durableId="1454713457">
    <w:abstractNumId w:val="170"/>
  </w:num>
  <w:num w:numId="36" w16cid:durableId="1200506290">
    <w:abstractNumId w:val="58"/>
  </w:num>
  <w:num w:numId="37" w16cid:durableId="2115129162">
    <w:abstractNumId w:val="87"/>
  </w:num>
  <w:num w:numId="38" w16cid:durableId="1290160981">
    <w:abstractNumId w:val="198"/>
  </w:num>
  <w:num w:numId="39" w16cid:durableId="1698116476">
    <w:abstractNumId w:val="66"/>
  </w:num>
  <w:num w:numId="40" w16cid:durableId="828135372">
    <w:abstractNumId w:val="48"/>
  </w:num>
  <w:num w:numId="41" w16cid:durableId="1027489635">
    <w:abstractNumId w:val="122"/>
  </w:num>
  <w:num w:numId="42" w16cid:durableId="891162259">
    <w:abstractNumId w:val="84"/>
  </w:num>
  <w:num w:numId="43" w16cid:durableId="1067994316">
    <w:abstractNumId w:val="123"/>
  </w:num>
  <w:num w:numId="44" w16cid:durableId="205335299">
    <w:abstractNumId w:val="125"/>
  </w:num>
  <w:num w:numId="45" w16cid:durableId="1435512920">
    <w:abstractNumId w:val="172"/>
  </w:num>
  <w:num w:numId="46" w16cid:durableId="1719552875">
    <w:abstractNumId w:val="53"/>
  </w:num>
  <w:num w:numId="47" w16cid:durableId="229078713">
    <w:abstractNumId w:val="24"/>
  </w:num>
  <w:num w:numId="48" w16cid:durableId="1031494049">
    <w:abstractNumId w:val="135"/>
  </w:num>
  <w:num w:numId="49" w16cid:durableId="1625848904">
    <w:abstractNumId w:val="31"/>
  </w:num>
  <w:num w:numId="50" w16cid:durableId="87966170">
    <w:abstractNumId w:val="2"/>
  </w:num>
  <w:num w:numId="51" w16cid:durableId="122772137">
    <w:abstractNumId w:val="36"/>
  </w:num>
  <w:num w:numId="52" w16cid:durableId="2090273442">
    <w:abstractNumId w:val="149"/>
  </w:num>
  <w:num w:numId="53" w16cid:durableId="1786537132">
    <w:abstractNumId w:val="201"/>
  </w:num>
  <w:num w:numId="54" w16cid:durableId="574633861">
    <w:abstractNumId w:val="167"/>
  </w:num>
  <w:num w:numId="55" w16cid:durableId="1908373529">
    <w:abstractNumId w:val="99"/>
  </w:num>
  <w:num w:numId="56" w16cid:durableId="68812912">
    <w:abstractNumId w:val="111"/>
  </w:num>
  <w:num w:numId="57" w16cid:durableId="415246552">
    <w:abstractNumId w:val="50"/>
  </w:num>
  <w:num w:numId="58" w16cid:durableId="1278218647">
    <w:abstractNumId w:val="144"/>
  </w:num>
  <w:num w:numId="59" w16cid:durableId="1326127819">
    <w:abstractNumId w:val="117"/>
  </w:num>
  <w:num w:numId="60" w16cid:durableId="1440494193">
    <w:abstractNumId w:val="95"/>
  </w:num>
  <w:num w:numId="61" w16cid:durableId="1977448732">
    <w:abstractNumId w:val="186"/>
  </w:num>
  <w:num w:numId="62" w16cid:durableId="464352336">
    <w:abstractNumId w:val="157"/>
  </w:num>
  <w:num w:numId="63" w16cid:durableId="711853067">
    <w:abstractNumId w:val="10"/>
  </w:num>
  <w:num w:numId="64" w16cid:durableId="1902522796">
    <w:abstractNumId w:val="67"/>
  </w:num>
  <w:num w:numId="65" w16cid:durableId="1995644872">
    <w:abstractNumId w:val="134"/>
  </w:num>
  <w:num w:numId="66" w16cid:durableId="1294827370">
    <w:abstractNumId w:val="51"/>
  </w:num>
  <w:num w:numId="67" w16cid:durableId="931671239">
    <w:abstractNumId w:val="28"/>
  </w:num>
  <w:num w:numId="68" w16cid:durableId="2073581304">
    <w:abstractNumId w:val="189"/>
  </w:num>
  <w:num w:numId="69" w16cid:durableId="1287077712">
    <w:abstractNumId w:val="173"/>
  </w:num>
  <w:num w:numId="70" w16cid:durableId="1665663134">
    <w:abstractNumId w:val="127"/>
  </w:num>
  <w:num w:numId="71" w16cid:durableId="1742094636">
    <w:abstractNumId w:val="164"/>
  </w:num>
  <w:num w:numId="72" w16cid:durableId="1287353992">
    <w:abstractNumId w:val="92"/>
  </w:num>
  <w:num w:numId="73" w16cid:durableId="578366217">
    <w:abstractNumId w:val="54"/>
  </w:num>
  <w:num w:numId="74" w16cid:durableId="348147935">
    <w:abstractNumId w:val="148"/>
  </w:num>
  <w:num w:numId="75" w16cid:durableId="881209142">
    <w:abstractNumId w:val="29"/>
  </w:num>
  <w:num w:numId="76" w16cid:durableId="1659070382">
    <w:abstractNumId w:val="155"/>
  </w:num>
  <w:num w:numId="77" w16cid:durableId="901676227">
    <w:abstractNumId w:val="37"/>
  </w:num>
  <w:num w:numId="78" w16cid:durableId="1821539053">
    <w:abstractNumId w:val="161"/>
  </w:num>
  <w:num w:numId="79" w16cid:durableId="2116240916">
    <w:abstractNumId w:val="44"/>
  </w:num>
  <w:num w:numId="80" w16cid:durableId="1368213951">
    <w:abstractNumId w:val="118"/>
  </w:num>
  <w:num w:numId="81" w16cid:durableId="890653437">
    <w:abstractNumId w:val="136"/>
  </w:num>
  <w:num w:numId="82" w16cid:durableId="1860195580">
    <w:abstractNumId w:val="129"/>
  </w:num>
  <w:num w:numId="83" w16cid:durableId="412239957">
    <w:abstractNumId w:val="1"/>
  </w:num>
  <w:num w:numId="84" w16cid:durableId="1973055149">
    <w:abstractNumId w:val="45"/>
  </w:num>
  <w:num w:numId="85" w16cid:durableId="1621646469">
    <w:abstractNumId w:val="152"/>
  </w:num>
  <w:num w:numId="86" w16cid:durableId="2061245378">
    <w:abstractNumId w:val="193"/>
  </w:num>
  <w:num w:numId="87" w16cid:durableId="960913941">
    <w:abstractNumId w:val="126"/>
  </w:num>
  <w:num w:numId="88" w16cid:durableId="223224031">
    <w:abstractNumId w:val="22"/>
  </w:num>
  <w:num w:numId="89" w16cid:durableId="845634135">
    <w:abstractNumId w:val="41"/>
  </w:num>
  <w:num w:numId="90" w16cid:durableId="801846893">
    <w:abstractNumId w:val="180"/>
  </w:num>
  <w:num w:numId="91" w16cid:durableId="2073189199">
    <w:abstractNumId w:val="108"/>
  </w:num>
  <w:num w:numId="92" w16cid:durableId="201795423">
    <w:abstractNumId w:val="147"/>
  </w:num>
  <w:num w:numId="93" w16cid:durableId="351228540">
    <w:abstractNumId w:val="91"/>
  </w:num>
  <w:num w:numId="94" w16cid:durableId="512765750">
    <w:abstractNumId w:val="62"/>
  </w:num>
  <w:num w:numId="95" w16cid:durableId="557938979">
    <w:abstractNumId w:val="14"/>
  </w:num>
  <w:num w:numId="96" w16cid:durableId="1691251475">
    <w:abstractNumId w:val="4"/>
  </w:num>
  <w:num w:numId="97" w16cid:durableId="587618275">
    <w:abstractNumId w:val="68"/>
  </w:num>
  <w:num w:numId="98" w16cid:durableId="285241744">
    <w:abstractNumId w:val="187"/>
  </w:num>
  <w:num w:numId="99" w16cid:durableId="1387921849">
    <w:abstractNumId w:val="119"/>
  </w:num>
  <w:num w:numId="100" w16cid:durableId="1603294843">
    <w:abstractNumId w:val="74"/>
  </w:num>
  <w:num w:numId="101" w16cid:durableId="1543397246">
    <w:abstractNumId w:val="82"/>
  </w:num>
  <w:num w:numId="102" w16cid:durableId="1616407403">
    <w:abstractNumId w:val="121"/>
  </w:num>
  <w:num w:numId="103" w16cid:durableId="477839259">
    <w:abstractNumId w:val="120"/>
  </w:num>
  <w:num w:numId="104" w16cid:durableId="1445155884">
    <w:abstractNumId w:val="85"/>
  </w:num>
  <w:num w:numId="105" w16cid:durableId="1740131014">
    <w:abstractNumId w:val="30"/>
  </w:num>
  <w:num w:numId="106" w16cid:durableId="1342663447">
    <w:abstractNumId w:val="204"/>
  </w:num>
  <w:num w:numId="107" w16cid:durableId="1375890167">
    <w:abstractNumId w:val="49"/>
  </w:num>
  <w:num w:numId="108" w16cid:durableId="576598765">
    <w:abstractNumId w:val="106"/>
  </w:num>
  <w:num w:numId="109" w16cid:durableId="1686513090">
    <w:abstractNumId w:val="113"/>
  </w:num>
  <w:num w:numId="110" w16cid:durableId="87435912">
    <w:abstractNumId w:val="116"/>
  </w:num>
  <w:num w:numId="111" w16cid:durableId="1943149841">
    <w:abstractNumId w:val="65"/>
  </w:num>
  <w:num w:numId="112" w16cid:durableId="978803810">
    <w:abstractNumId w:val="11"/>
  </w:num>
  <w:num w:numId="113" w16cid:durableId="411701212">
    <w:abstractNumId w:val="19"/>
  </w:num>
  <w:num w:numId="114" w16cid:durableId="1615015780">
    <w:abstractNumId w:val="192"/>
  </w:num>
  <w:num w:numId="115" w16cid:durableId="1467314277">
    <w:abstractNumId w:val="153"/>
  </w:num>
  <w:num w:numId="116" w16cid:durableId="2002275552">
    <w:abstractNumId w:val="156"/>
  </w:num>
  <w:num w:numId="117" w16cid:durableId="1867719016">
    <w:abstractNumId w:val="70"/>
  </w:num>
  <w:num w:numId="118" w16cid:durableId="1546336624">
    <w:abstractNumId w:val="199"/>
  </w:num>
  <w:num w:numId="119" w16cid:durableId="571089721">
    <w:abstractNumId w:val="194"/>
  </w:num>
  <w:num w:numId="120" w16cid:durableId="930696018">
    <w:abstractNumId w:val="151"/>
  </w:num>
  <w:num w:numId="121" w16cid:durableId="1880969345">
    <w:abstractNumId w:val="72"/>
  </w:num>
  <w:num w:numId="122" w16cid:durableId="1851791863">
    <w:abstractNumId w:val="69"/>
  </w:num>
  <w:num w:numId="123" w16cid:durableId="997196095">
    <w:abstractNumId w:val="182"/>
  </w:num>
  <w:num w:numId="124" w16cid:durableId="372925130">
    <w:abstractNumId w:val="159"/>
  </w:num>
  <w:num w:numId="125" w16cid:durableId="93209849">
    <w:abstractNumId w:val="184"/>
  </w:num>
  <w:num w:numId="126" w16cid:durableId="692222061">
    <w:abstractNumId w:val="83"/>
  </w:num>
  <w:num w:numId="127" w16cid:durableId="1177302751">
    <w:abstractNumId w:val="16"/>
  </w:num>
  <w:num w:numId="128" w16cid:durableId="1727757210">
    <w:abstractNumId w:val="174"/>
  </w:num>
  <w:num w:numId="129" w16cid:durableId="1636329915">
    <w:abstractNumId w:val="130"/>
  </w:num>
  <w:num w:numId="130" w16cid:durableId="1405033992">
    <w:abstractNumId w:val="195"/>
  </w:num>
  <w:num w:numId="131" w16cid:durableId="1072192699">
    <w:abstractNumId w:val="6"/>
  </w:num>
  <w:num w:numId="132" w16cid:durableId="548031988">
    <w:abstractNumId w:val="141"/>
  </w:num>
  <w:num w:numId="133" w16cid:durableId="630791844">
    <w:abstractNumId w:val="97"/>
  </w:num>
  <w:num w:numId="134" w16cid:durableId="103352595">
    <w:abstractNumId w:val="76"/>
  </w:num>
  <w:num w:numId="135" w16cid:durableId="586690197">
    <w:abstractNumId w:val="96"/>
  </w:num>
  <w:num w:numId="136" w16cid:durableId="1983075574">
    <w:abstractNumId w:val="133"/>
  </w:num>
  <w:num w:numId="137" w16cid:durableId="1841313399">
    <w:abstractNumId w:val="102"/>
  </w:num>
  <w:num w:numId="138" w16cid:durableId="752168379">
    <w:abstractNumId w:val="71"/>
  </w:num>
  <w:num w:numId="139" w16cid:durableId="308942345">
    <w:abstractNumId w:val="7"/>
  </w:num>
  <w:num w:numId="140" w16cid:durableId="1709915355">
    <w:abstractNumId w:val="112"/>
  </w:num>
  <w:num w:numId="141" w16cid:durableId="238057418">
    <w:abstractNumId w:val="138"/>
  </w:num>
  <w:num w:numId="142" w16cid:durableId="216672907">
    <w:abstractNumId w:val="40"/>
  </w:num>
  <w:num w:numId="143" w16cid:durableId="160127854">
    <w:abstractNumId w:val="162"/>
  </w:num>
  <w:num w:numId="144" w16cid:durableId="1678847256">
    <w:abstractNumId w:val="100"/>
  </w:num>
  <w:num w:numId="145" w16cid:durableId="1260217783">
    <w:abstractNumId w:val="179"/>
  </w:num>
  <w:num w:numId="146" w16cid:durableId="191772098">
    <w:abstractNumId w:val="94"/>
  </w:num>
  <w:num w:numId="147" w16cid:durableId="2081370407">
    <w:abstractNumId w:val="75"/>
  </w:num>
  <w:num w:numId="148" w16cid:durableId="38627607">
    <w:abstractNumId w:val="13"/>
  </w:num>
  <w:num w:numId="149" w16cid:durableId="588660666">
    <w:abstractNumId w:val="128"/>
  </w:num>
  <w:num w:numId="150" w16cid:durableId="651060112">
    <w:abstractNumId w:val="114"/>
  </w:num>
  <w:num w:numId="151" w16cid:durableId="403071430">
    <w:abstractNumId w:val="56"/>
  </w:num>
  <w:num w:numId="152" w16cid:durableId="801310041">
    <w:abstractNumId w:val="5"/>
  </w:num>
  <w:num w:numId="153" w16cid:durableId="309867935">
    <w:abstractNumId w:val="9"/>
  </w:num>
  <w:num w:numId="154" w16cid:durableId="300113873">
    <w:abstractNumId w:val="59"/>
  </w:num>
  <w:num w:numId="155" w16cid:durableId="1866360857">
    <w:abstractNumId w:val="191"/>
  </w:num>
  <w:num w:numId="156" w16cid:durableId="1243176250">
    <w:abstractNumId w:val="203"/>
  </w:num>
  <w:num w:numId="157" w16cid:durableId="593785971">
    <w:abstractNumId w:val="61"/>
  </w:num>
  <w:num w:numId="158" w16cid:durableId="1941067668">
    <w:abstractNumId w:val="139"/>
  </w:num>
  <w:num w:numId="159" w16cid:durableId="1398165216">
    <w:abstractNumId w:val="197"/>
  </w:num>
  <w:num w:numId="160" w16cid:durableId="1765343320">
    <w:abstractNumId w:val="175"/>
  </w:num>
  <w:num w:numId="161" w16cid:durableId="955672981">
    <w:abstractNumId w:val="188"/>
  </w:num>
  <w:num w:numId="162" w16cid:durableId="1824195924">
    <w:abstractNumId w:val="63"/>
  </w:num>
  <w:num w:numId="163" w16cid:durableId="250167375">
    <w:abstractNumId w:val="3"/>
  </w:num>
  <w:num w:numId="164" w16cid:durableId="1692218075">
    <w:abstractNumId w:val="81"/>
  </w:num>
  <w:num w:numId="165" w16cid:durableId="1161966158">
    <w:abstractNumId w:val="146"/>
  </w:num>
  <w:num w:numId="166" w16cid:durableId="1308782049">
    <w:abstractNumId w:val="163"/>
  </w:num>
  <w:num w:numId="167" w16cid:durableId="987242156">
    <w:abstractNumId w:val="73"/>
  </w:num>
  <w:num w:numId="168" w16cid:durableId="1421566018">
    <w:abstractNumId w:val="185"/>
  </w:num>
  <w:num w:numId="169" w16cid:durableId="740254088">
    <w:abstractNumId w:val="101"/>
  </w:num>
  <w:num w:numId="170" w16cid:durableId="8993608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81422046">
    <w:abstractNumId w:val="124"/>
  </w:num>
  <w:num w:numId="172" w16cid:durableId="11970371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01198135">
    <w:abstractNumId w:val="104"/>
  </w:num>
  <w:num w:numId="174" w16cid:durableId="19027892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323006589">
    <w:abstractNumId w:val="42"/>
  </w:num>
  <w:num w:numId="176" w16cid:durableId="17257177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2936078">
    <w:abstractNumId w:val="165"/>
  </w:num>
  <w:num w:numId="178" w16cid:durableId="199197707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449927316">
    <w:abstractNumId w:val="86"/>
  </w:num>
  <w:num w:numId="180" w16cid:durableId="773478460">
    <w:abstractNumId w:val="160"/>
  </w:num>
  <w:num w:numId="181" w16cid:durableId="17903948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39949904">
    <w:abstractNumId w:val="89"/>
  </w:num>
  <w:num w:numId="183" w16cid:durableId="14433013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469720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72333437">
    <w:abstractNumId w:val="158"/>
  </w:num>
  <w:num w:numId="186" w16cid:durableId="167253673">
    <w:abstractNumId w:val="12"/>
  </w:num>
  <w:num w:numId="187" w16cid:durableId="507334829">
    <w:abstractNumId w:val="137"/>
  </w:num>
  <w:num w:numId="188" w16cid:durableId="43806584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3509682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96496034">
    <w:abstractNumId w:val="124"/>
    <w:lvlOverride w:ilvl="0">
      <w:lvl w:ilvl="0">
        <w:start w:val="1"/>
        <w:numFmt w:val="decimal"/>
        <w:pStyle w:val="Anexapct1"/>
        <w:suff w:val="space"/>
        <w:lvlText w:val="%1."/>
        <w:lvlJc w:val="left"/>
        <w:pPr>
          <w:ind w:left="1225" w:hanging="1225"/>
        </w:pPr>
        <w:rPr>
          <w:rFonts w:hint="default"/>
          <w:b/>
          <w:i w:val="0"/>
        </w:rPr>
      </w:lvl>
    </w:lvlOverride>
    <w:lvlOverride w:ilvl="1">
      <w:lvl w:ilvl="1">
        <w:start w:val="1"/>
        <w:numFmt w:val="decimal"/>
        <w:pStyle w:val="Anexapct11"/>
        <w:suff w:val="space"/>
        <w:lvlText w:val="%1.%2."/>
        <w:lvlJc w:val="left"/>
        <w:pPr>
          <w:ind w:left="431" w:hanging="71"/>
        </w:pPr>
        <w:rPr>
          <w:rFonts w:hint="default"/>
        </w:rPr>
      </w:lvl>
    </w:lvlOverride>
    <w:lvlOverride w:ilvl="2">
      <w:lvl w:ilvl="2">
        <w:start w:val="1"/>
        <w:numFmt w:val="decimal"/>
        <w:pStyle w:val="Anexapct111"/>
        <w:suff w:val="space"/>
        <w:lvlText w:val="%1.%2.%3."/>
        <w:lvlJc w:val="left"/>
        <w:pPr>
          <w:ind w:left="431" w:firstLine="289"/>
        </w:pPr>
        <w:rPr>
          <w:rFonts w:hint="default"/>
        </w:rPr>
      </w:lvl>
    </w:lvlOverride>
    <w:lvlOverride w:ilvl="3">
      <w:lvl w:ilvl="3">
        <w:start w:val="1"/>
        <w:numFmt w:val="decimal"/>
        <w:pStyle w:val="Anexapct111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1" w16cid:durableId="125986931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4760970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84189862">
    <w:abstractNumId w:val="110"/>
  </w:num>
  <w:num w:numId="194" w16cid:durableId="1417628971">
    <w:abstractNumId w:val="64"/>
  </w:num>
  <w:num w:numId="195" w16cid:durableId="1703700966">
    <w:abstractNumId w:val="115"/>
  </w:num>
  <w:num w:numId="196" w16cid:durableId="819073551">
    <w:abstractNumId w:val="131"/>
  </w:num>
  <w:num w:numId="197" w16cid:durableId="582028623">
    <w:abstractNumId w:val="80"/>
  </w:num>
  <w:num w:numId="198" w16cid:durableId="454520322">
    <w:abstractNumId w:val="46"/>
  </w:num>
  <w:num w:numId="199" w16cid:durableId="855002474">
    <w:abstractNumId w:val="169"/>
  </w:num>
  <w:num w:numId="200" w16cid:durableId="2084983829">
    <w:abstractNumId w:val="166"/>
  </w:num>
  <w:num w:numId="201" w16cid:durableId="49501211">
    <w:abstractNumId w:val="176"/>
  </w:num>
  <w:num w:numId="202" w16cid:durableId="1178232590">
    <w:abstractNumId w:val="93"/>
  </w:num>
  <w:num w:numId="203" w16cid:durableId="1461613611">
    <w:abstractNumId w:val="20"/>
  </w:num>
  <w:num w:numId="204" w16cid:durableId="430276531">
    <w:abstractNumId w:val="0"/>
  </w:num>
  <w:num w:numId="205" w16cid:durableId="1162158808">
    <w:abstractNumId w:val="202"/>
  </w:num>
  <w:num w:numId="206" w16cid:durableId="805582332">
    <w:abstractNumId w:val="26"/>
  </w:num>
  <w:num w:numId="207" w16cid:durableId="651063968">
    <w:abstractNumId w:val="38"/>
  </w:num>
  <w:num w:numId="208" w16cid:durableId="1890875061">
    <w:abstractNumId w:val="200"/>
  </w:num>
  <w:num w:numId="209" w16cid:durableId="146022529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0951884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0014943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010191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452242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3954734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2236579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23793356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74525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9153430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897518158">
    <w:abstractNumId w:val="77"/>
  </w:num>
  <w:num w:numId="220" w16cid:durableId="57038497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21661624">
    <w:abstractNumId w:val="196"/>
  </w:num>
  <w:num w:numId="222" w16cid:durableId="150944115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92596485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056329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868279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1504770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4272013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607878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28650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185111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6235532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1197152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23250811">
    <w:abstractNumId w:val="55"/>
  </w:num>
  <w:num w:numId="234" w16cid:durableId="213927978">
    <w:abstractNumId w:val="150"/>
  </w:num>
  <w:num w:numId="235" w16cid:durableId="909541284">
    <w:abstractNumId w:val="35"/>
  </w:num>
  <w:num w:numId="236" w16cid:durableId="426582770">
    <w:abstractNumId w:val="171"/>
  </w:num>
  <w:num w:numId="237" w16cid:durableId="166333609">
    <w:abstractNumId w:val="140"/>
  </w:num>
  <w:num w:numId="238" w16cid:durableId="855190007">
    <w:abstractNumId w:val="17"/>
  </w:num>
  <w:num w:numId="239" w16cid:durableId="1141579021">
    <w:abstractNumId w:val="34"/>
  </w:num>
  <w:num w:numId="240" w16cid:durableId="1535272469">
    <w:abstractNumId w:val="98"/>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1E0"/>
    <w:rsid w:val="00002882"/>
    <w:rsid w:val="00004679"/>
    <w:rsid w:val="00004825"/>
    <w:rsid w:val="0000489A"/>
    <w:rsid w:val="00011213"/>
    <w:rsid w:val="00012C8C"/>
    <w:rsid w:val="000168E4"/>
    <w:rsid w:val="00016F62"/>
    <w:rsid w:val="0001787E"/>
    <w:rsid w:val="00017EF0"/>
    <w:rsid w:val="000207CF"/>
    <w:rsid w:val="000231E0"/>
    <w:rsid w:val="00023D60"/>
    <w:rsid w:val="00024F87"/>
    <w:rsid w:val="00025F9E"/>
    <w:rsid w:val="000273D1"/>
    <w:rsid w:val="000315F1"/>
    <w:rsid w:val="00032980"/>
    <w:rsid w:val="00033F0B"/>
    <w:rsid w:val="00036C6B"/>
    <w:rsid w:val="00037DE3"/>
    <w:rsid w:val="000401FE"/>
    <w:rsid w:val="000403D5"/>
    <w:rsid w:val="000434A8"/>
    <w:rsid w:val="00043956"/>
    <w:rsid w:val="00043CFF"/>
    <w:rsid w:val="00043DAD"/>
    <w:rsid w:val="000449A2"/>
    <w:rsid w:val="000451C7"/>
    <w:rsid w:val="0005323C"/>
    <w:rsid w:val="0005495A"/>
    <w:rsid w:val="000549EA"/>
    <w:rsid w:val="000560B0"/>
    <w:rsid w:val="00056E71"/>
    <w:rsid w:val="00060AE0"/>
    <w:rsid w:val="00061339"/>
    <w:rsid w:val="00061D48"/>
    <w:rsid w:val="00062EF7"/>
    <w:rsid w:val="0006388A"/>
    <w:rsid w:val="000657F5"/>
    <w:rsid w:val="00065892"/>
    <w:rsid w:val="00065C31"/>
    <w:rsid w:val="0006652F"/>
    <w:rsid w:val="00067FFD"/>
    <w:rsid w:val="000700C2"/>
    <w:rsid w:val="00071300"/>
    <w:rsid w:val="000737D1"/>
    <w:rsid w:val="00073EB2"/>
    <w:rsid w:val="000746DA"/>
    <w:rsid w:val="00076F31"/>
    <w:rsid w:val="0008192C"/>
    <w:rsid w:val="000830A7"/>
    <w:rsid w:val="000857E7"/>
    <w:rsid w:val="00091738"/>
    <w:rsid w:val="00094A9D"/>
    <w:rsid w:val="000952CD"/>
    <w:rsid w:val="00096CBE"/>
    <w:rsid w:val="00096CC1"/>
    <w:rsid w:val="00096F4B"/>
    <w:rsid w:val="0009726B"/>
    <w:rsid w:val="0009741C"/>
    <w:rsid w:val="000A1447"/>
    <w:rsid w:val="000A32C5"/>
    <w:rsid w:val="000A5217"/>
    <w:rsid w:val="000A63D0"/>
    <w:rsid w:val="000B064E"/>
    <w:rsid w:val="000B0FD4"/>
    <w:rsid w:val="000B2770"/>
    <w:rsid w:val="000B32C9"/>
    <w:rsid w:val="000B3939"/>
    <w:rsid w:val="000B3AD6"/>
    <w:rsid w:val="000B44D2"/>
    <w:rsid w:val="000B66DA"/>
    <w:rsid w:val="000B742A"/>
    <w:rsid w:val="000C299B"/>
    <w:rsid w:val="000C29C5"/>
    <w:rsid w:val="000C3C55"/>
    <w:rsid w:val="000C5343"/>
    <w:rsid w:val="000C5BAC"/>
    <w:rsid w:val="000C6BA5"/>
    <w:rsid w:val="000C7546"/>
    <w:rsid w:val="000D03F4"/>
    <w:rsid w:val="000D0E51"/>
    <w:rsid w:val="000D222B"/>
    <w:rsid w:val="000D254D"/>
    <w:rsid w:val="000D3A62"/>
    <w:rsid w:val="000D4B68"/>
    <w:rsid w:val="000D4DC0"/>
    <w:rsid w:val="000D5BF7"/>
    <w:rsid w:val="000D65B5"/>
    <w:rsid w:val="000D663F"/>
    <w:rsid w:val="000E0794"/>
    <w:rsid w:val="000E1980"/>
    <w:rsid w:val="000E1C6D"/>
    <w:rsid w:val="000E3243"/>
    <w:rsid w:val="000E412A"/>
    <w:rsid w:val="000E5624"/>
    <w:rsid w:val="000E57A0"/>
    <w:rsid w:val="000E6506"/>
    <w:rsid w:val="000E7C14"/>
    <w:rsid w:val="000E7F85"/>
    <w:rsid w:val="000F027A"/>
    <w:rsid w:val="000F4046"/>
    <w:rsid w:val="000F6AB7"/>
    <w:rsid w:val="000F6D81"/>
    <w:rsid w:val="00100E4B"/>
    <w:rsid w:val="0010198B"/>
    <w:rsid w:val="0010225E"/>
    <w:rsid w:val="001026A9"/>
    <w:rsid w:val="0010450B"/>
    <w:rsid w:val="00106208"/>
    <w:rsid w:val="001062EA"/>
    <w:rsid w:val="00107338"/>
    <w:rsid w:val="00107E1B"/>
    <w:rsid w:val="00110C50"/>
    <w:rsid w:val="0011759A"/>
    <w:rsid w:val="00117909"/>
    <w:rsid w:val="00121566"/>
    <w:rsid w:val="00121A12"/>
    <w:rsid w:val="00121C12"/>
    <w:rsid w:val="001226E2"/>
    <w:rsid w:val="001256B8"/>
    <w:rsid w:val="00125B2A"/>
    <w:rsid w:val="0013049F"/>
    <w:rsid w:val="00131641"/>
    <w:rsid w:val="00131BA3"/>
    <w:rsid w:val="00132B8B"/>
    <w:rsid w:val="001338C5"/>
    <w:rsid w:val="00134D03"/>
    <w:rsid w:val="001359F7"/>
    <w:rsid w:val="00136A71"/>
    <w:rsid w:val="00137A71"/>
    <w:rsid w:val="00137F51"/>
    <w:rsid w:val="00142C7F"/>
    <w:rsid w:val="00143890"/>
    <w:rsid w:val="00145E13"/>
    <w:rsid w:val="00147909"/>
    <w:rsid w:val="00150DBA"/>
    <w:rsid w:val="00151830"/>
    <w:rsid w:val="00153010"/>
    <w:rsid w:val="001532DD"/>
    <w:rsid w:val="00153D4B"/>
    <w:rsid w:val="00160F19"/>
    <w:rsid w:val="0016137C"/>
    <w:rsid w:val="00161722"/>
    <w:rsid w:val="00161E52"/>
    <w:rsid w:val="00165F90"/>
    <w:rsid w:val="00166818"/>
    <w:rsid w:val="00166C95"/>
    <w:rsid w:val="00172326"/>
    <w:rsid w:val="00172E91"/>
    <w:rsid w:val="0017353E"/>
    <w:rsid w:val="00174808"/>
    <w:rsid w:val="00174E92"/>
    <w:rsid w:val="00180302"/>
    <w:rsid w:val="00181526"/>
    <w:rsid w:val="00181D0C"/>
    <w:rsid w:val="00182E6B"/>
    <w:rsid w:val="00183D42"/>
    <w:rsid w:val="00187BBA"/>
    <w:rsid w:val="00190505"/>
    <w:rsid w:val="001906BA"/>
    <w:rsid w:val="00192043"/>
    <w:rsid w:val="001924E9"/>
    <w:rsid w:val="00192FA8"/>
    <w:rsid w:val="001935AE"/>
    <w:rsid w:val="00195244"/>
    <w:rsid w:val="00196A57"/>
    <w:rsid w:val="00196E1D"/>
    <w:rsid w:val="001977DB"/>
    <w:rsid w:val="00197F65"/>
    <w:rsid w:val="001A062B"/>
    <w:rsid w:val="001A09D0"/>
    <w:rsid w:val="001A22DB"/>
    <w:rsid w:val="001A2B35"/>
    <w:rsid w:val="001A67AD"/>
    <w:rsid w:val="001B1541"/>
    <w:rsid w:val="001B1ECE"/>
    <w:rsid w:val="001B366F"/>
    <w:rsid w:val="001B3C25"/>
    <w:rsid w:val="001B3D58"/>
    <w:rsid w:val="001B4751"/>
    <w:rsid w:val="001B488C"/>
    <w:rsid w:val="001B56D0"/>
    <w:rsid w:val="001C1EC8"/>
    <w:rsid w:val="001C23FE"/>
    <w:rsid w:val="001C3337"/>
    <w:rsid w:val="001C4308"/>
    <w:rsid w:val="001C4C64"/>
    <w:rsid w:val="001C4F1B"/>
    <w:rsid w:val="001C6035"/>
    <w:rsid w:val="001C6284"/>
    <w:rsid w:val="001D19F8"/>
    <w:rsid w:val="001D1E3B"/>
    <w:rsid w:val="001D2CC1"/>
    <w:rsid w:val="001D3BBE"/>
    <w:rsid w:val="001D70BB"/>
    <w:rsid w:val="001D733A"/>
    <w:rsid w:val="001E0450"/>
    <w:rsid w:val="001E32EA"/>
    <w:rsid w:val="001E344E"/>
    <w:rsid w:val="001E35B0"/>
    <w:rsid w:val="001E3AF3"/>
    <w:rsid w:val="001E6442"/>
    <w:rsid w:val="001E65A3"/>
    <w:rsid w:val="001E6BCE"/>
    <w:rsid w:val="001E6CCF"/>
    <w:rsid w:val="001E7471"/>
    <w:rsid w:val="001F10B7"/>
    <w:rsid w:val="001F33EC"/>
    <w:rsid w:val="001F4640"/>
    <w:rsid w:val="001F4B5C"/>
    <w:rsid w:val="001F4BC5"/>
    <w:rsid w:val="001F515E"/>
    <w:rsid w:val="001F67A7"/>
    <w:rsid w:val="002007BA"/>
    <w:rsid w:val="00201091"/>
    <w:rsid w:val="00201A8E"/>
    <w:rsid w:val="00202831"/>
    <w:rsid w:val="0020465B"/>
    <w:rsid w:val="00204978"/>
    <w:rsid w:val="00205E7A"/>
    <w:rsid w:val="00210134"/>
    <w:rsid w:val="00210176"/>
    <w:rsid w:val="00212676"/>
    <w:rsid w:val="002131ED"/>
    <w:rsid w:val="002147B7"/>
    <w:rsid w:val="002212D7"/>
    <w:rsid w:val="00222392"/>
    <w:rsid w:val="00222AA0"/>
    <w:rsid w:val="00223FD6"/>
    <w:rsid w:val="00226233"/>
    <w:rsid w:val="00226EAD"/>
    <w:rsid w:val="00227650"/>
    <w:rsid w:val="002302E5"/>
    <w:rsid w:val="002316FD"/>
    <w:rsid w:val="002331C0"/>
    <w:rsid w:val="00233888"/>
    <w:rsid w:val="00235435"/>
    <w:rsid w:val="00235ABE"/>
    <w:rsid w:val="00236EF2"/>
    <w:rsid w:val="00236F8E"/>
    <w:rsid w:val="00243529"/>
    <w:rsid w:val="00244CE8"/>
    <w:rsid w:val="00245650"/>
    <w:rsid w:val="00246245"/>
    <w:rsid w:val="00252371"/>
    <w:rsid w:val="00260355"/>
    <w:rsid w:val="00261016"/>
    <w:rsid w:val="002612FF"/>
    <w:rsid w:val="0026135B"/>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77544"/>
    <w:rsid w:val="00281756"/>
    <w:rsid w:val="00282D19"/>
    <w:rsid w:val="00282EDA"/>
    <w:rsid w:val="0028526D"/>
    <w:rsid w:val="002864FD"/>
    <w:rsid w:val="0028781A"/>
    <w:rsid w:val="00290B8C"/>
    <w:rsid w:val="0029152E"/>
    <w:rsid w:val="00292E38"/>
    <w:rsid w:val="0029305D"/>
    <w:rsid w:val="00294114"/>
    <w:rsid w:val="0029550D"/>
    <w:rsid w:val="002A0CBB"/>
    <w:rsid w:val="002A26E5"/>
    <w:rsid w:val="002A6826"/>
    <w:rsid w:val="002A7787"/>
    <w:rsid w:val="002A779D"/>
    <w:rsid w:val="002B0500"/>
    <w:rsid w:val="002B066D"/>
    <w:rsid w:val="002B1579"/>
    <w:rsid w:val="002B40B6"/>
    <w:rsid w:val="002B4496"/>
    <w:rsid w:val="002B5766"/>
    <w:rsid w:val="002B7329"/>
    <w:rsid w:val="002C1DEF"/>
    <w:rsid w:val="002C2060"/>
    <w:rsid w:val="002C21BE"/>
    <w:rsid w:val="002C4496"/>
    <w:rsid w:val="002C4E93"/>
    <w:rsid w:val="002C4F20"/>
    <w:rsid w:val="002C4FC3"/>
    <w:rsid w:val="002C7D6B"/>
    <w:rsid w:val="002C7FFC"/>
    <w:rsid w:val="002D0290"/>
    <w:rsid w:val="002D2591"/>
    <w:rsid w:val="002D32E0"/>
    <w:rsid w:val="002D3982"/>
    <w:rsid w:val="002D47A6"/>
    <w:rsid w:val="002D4827"/>
    <w:rsid w:val="002D4F5B"/>
    <w:rsid w:val="002D552B"/>
    <w:rsid w:val="002D61C6"/>
    <w:rsid w:val="002D7D09"/>
    <w:rsid w:val="002E0FE4"/>
    <w:rsid w:val="002E1C56"/>
    <w:rsid w:val="002E4AC4"/>
    <w:rsid w:val="002E5CFA"/>
    <w:rsid w:val="002E669C"/>
    <w:rsid w:val="002E698D"/>
    <w:rsid w:val="002E7D6E"/>
    <w:rsid w:val="002E7E1C"/>
    <w:rsid w:val="002F19F5"/>
    <w:rsid w:val="002F2F33"/>
    <w:rsid w:val="002F3583"/>
    <w:rsid w:val="002F367D"/>
    <w:rsid w:val="002F41E1"/>
    <w:rsid w:val="002F4EE0"/>
    <w:rsid w:val="002F4F1E"/>
    <w:rsid w:val="002F6DD5"/>
    <w:rsid w:val="002F712C"/>
    <w:rsid w:val="002F74B8"/>
    <w:rsid w:val="0030002A"/>
    <w:rsid w:val="00300EC2"/>
    <w:rsid w:val="00302E41"/>
    <w:rsid w:val="00302F62"/>
    <w:rsid w:val="003032C0"/>
    <w:rsid w:val="003034EE"/>
    <w:rsid w:val="003041C3"/>
    <w:rsid w:val="003047E6"/>
    <w:rsid w:val="00304CCE"/>
    <w:rsid w:val="00306CD9"/>
    <w:rsid w:val="00307BD1"/>
    <w:rsid w:val="00307F34"/>
    <w:rsid w:val="00312367"/>
    <w:rsid w:val="003139C3"/>
    <w:rsid w:val="003146A5"/>
    <w:rsid w:val="00315850"/>
    <w:rsid w:val="00315D0D"/>
    <w:rsid w:val="00315ED5"/>
    <w:rsid w:val="00315EF3"/>
    <w:rsid w:val="003160F4"/>
    <w:rsid w:val="00320AF2"/>
    <w:rsid w:val="0032177B"/>
    <w:rsid w:val="00321A17"/>
    <w:rsid w:val="00324311"/>
    <w:rsid w:val="003318AB"/>
    <w:rsid w:val="003328B8"/>
    <w:rsid w:val="00333137"/>
    <w:rsid w:val="00333FA4"/>
    <w:rsid w:val="00334B56"/>
    <w:rsid w:val="0033595B"/>
    <w:rsid w:val="003370A3"/>
    <w:rsid w:val="0034258A"/>
    <w:rsid w:val="00343119"/>
    <w:rsid w:val="0034379F"/>
    <w:rsid w:val="00343F98"/>
    <w:rsid w:val="003445ED"/>
    <w:rsid w:val="0034662D"/>
    <w:rsid w:val="003468F0"/>
    <w:rsid w:val="00347401"/>
    <w:rsid w:val="003475B2"/>
    <w:rsid w:val="00350702"/>
    <w:rsid w:val="00351A31"/>
    <w:rsid w:val="00351BD5"/>
    <w:rsid w:val="003532A6"/>
    <w:rsid w:val="00353939"/>
    <w:rsid w:val="00353C0E"/>
    <w:rsid w:val="00355672"/>
    <w:rsid w:val="003571A9"/>
    <w:rsid w:val="00360D2B"/>
    <w:rsid w:val="003619BD"/>
    <w:rsid w:val="0036279C"/>
    <w:rsid w:val="00363B4A"/>
    <w:rsid w:val="0036525F"/>
    <w:rsid w:val="003655D2"/>
    <w:rsid w:val="00365C27"/>
    <w:rsid w:val="00370F52"/>
    <w:rsid w:val="0037225F"/>
    <w:rsid w:val="00374018"/>
    <w:rsid w:val="00375C78"/>
    <w:rsid w:val="00376F66"/>
    <w:rsid w:val="00377E8C"/>
    <w:rsid w:val="003813AC"/>
    <w:rsid w:val="00381DD2"/>
    <w:rsid w:val="00385757"/>
    <w:rsid w:val="00386731"/>
    <w:rsid w:val="00386AA9"/>
    <w:rsid w:val="00386B73"/>
    <w:rsid w:val="00387A4F"/>
    <w:rsid w:val="00387B34"/>
    <w:rsid w:val="003901F3"/>
    <w:rsid w:val="00391826"/>
    <w:rsid w:val="00392563"/>
    <w:rsid w:val="00392731"/>
    <w:rsid w:val="003929D9"/>
    <w:rsid w:val="003934BC"/>
    <w:rsid w:val="0039463F"/>
    <w:rsid w:val="0039477F"/>
    <w:rsid w:val="00396002"/>
    <w:rsid w:val="00396057"/>
    <w:rsid w:val="003A0258"/>
    <w:rsid w:val="003A0EC4"/>
    <w:rsid w:val="003A1EA4"/>
    <w:rsid w:val="003A4405"/>
    <w:rsid w:val="003A5005"/>
    <w:rsid w:val="003A5D78"/>
    <w:rsid w:val="003A6BAC"/>
    <w:rsid w:val="003A6F26"/>
    <w:rsid w:val="003A79EA"/>
    <w:rsid w:val="003B06C7"/>
    <w:rsid w:val="003B3F9F"/>
    <w:rsid w:val="003B6114"/>
    <w:rsid w:val="003B7064"/>
    <w:rsid w:val="003C084D"/>
    <w:rsid w:val="003C4874"/>
    <w:rsid w:val="003C4B4A"/>
    <w:rsid w:val="003C70B3"/>
    <w:rsid w:val="003C755E"/>
    <w:rsid w:val="003C7D5B"/>
    <w:rsid w:val="003D0D37"/>
    <w:rsid w:val="003D0DCC"/>
    <w:rsid w:val="003D1128"/>
    <w:rsid w:val="003D1581"/>
    <w:rsid w:val="003D2F61"/>
    <w:rsid w:val="003D352E"/>
    <w:rsid w:val="003D3C08"/>
    <w:rsid w:val="003D4349"/>
    <w:rsid w:val="003D4B4F"/>
    <w:rsid w:val="003D4C00"/>
    <w:rsid w:val="003D6AD2"/>
    <w:rsid w:val="003D7FB2"/>
    <w:rsid w:val="003E0860"/>
    <w:rsid w:val="003E0FE9"/>
    <w:rsid w:val="003E1744"/>
    <w:rsid w:val="003E18A1"/>
    <w:rsid w:val="003E19D9"/>
    <w:rsid w:val="003E1A86"/>
    <w:rsid w:val="003E2213"/>
    <w:rsid w:val="003E3B66"/>
    <w:rsid w:val="003E6358"/>
    <w:rsid w:val="003E6CB6"/>
    <w:rsid w:val="003E7B15"/>
    <w:rsid w:val="003E7C7C"/>
    <w:rsid w:val="003F07D5"/>
    <w:rsid w:val="003F19C1"/>
    <w:rsid w:val="003F1C9F"/>
    <w:rsid w:val="003F247C"/>
    <w:rsid w:val="003F3457"/>
    <w:rsid w:val="003F5453"/>
    <w:rsid w:val="003F58C5"/>
    <w:rsid w:val="003F703A"/>
    <w:rsid w:val="00400EBF"/>
    <w:rsid w:val="00402265"/>
    <w:rsid w:val="004022B8"/>
    <w:rsid w:val="004028B0"/>
    <w:rsid w:val="0040351E"/>
    <w:rsid w:val="00403910"/>
    <w:rsid w:val="0040631F"/>
    <w:rsid w:val="00407DBD"/>
    <w:rsid w:val="004109C6"/>
    <w:rsid w:val="004112EA"/>
    <w:rsid w:val="004133AF"/>
    <w:rsid w:val="00413535"/>
    <w:rsid w:val="004139F5"/>
    <w:rsid w:val="004152A8"/>
    <w:rsid w:val="00415A15"/>
    <w:rsid w:val="00415CD4"/>
    <w:rsid w:val="0041768C"/>
    <w:rsid w:val="004203AE"/>
    <w:rsid w:val="004205CA"/>
    <w:rsid w:val="0042144E"/>
    <w:rsid w:val="004234B3"/>
    <w:rsid w:val="00424379"/>
    <w:rsid w:val="004263B1"/>
    <w:rsid w:val="00427C70"/>
    <w:rsid w:val="00430144"/>
    <w:rsid w:val="00430E8E"/>
    <w:rsid w:val="004311A2"/>
    <w:rsid w:val="00435B56"/>
    <w:rsid w:val="00436222"/>
    <w:rsid w:val="00436566"/>
    <w:rsid w:val="00436681"/>
    <w:rsid w:val="00436C84"/>
    <w:rsid w:val="004438E5"/>
    <w:rsid w:val="00444953"/>
    <w:rsid w:val="00444E04"/>
    <w:rsid w:val="00445593"/>
    <w:rsid w:val="00446DB3"/>
    <w:rsid w:val="00447841"/>
    <w:rsid w:val="00447930"/>
    <w:rsid w:val="0045057C"/>
    <w:rsid w:val="00452492"/>
    <w:rsid w:val="00461C35"/>
    <w:rsid w:val="0046263B"/>
    <w:rsid w:val="00463234"/>
    <w:rsid w:val="00463CA7"/>
    <w:rsid w:val="00463DAC"/>
    <w:rsid w:val="00464AE9"/>
    <w:rsid w:val="00465350"/>
    <w:rsid w:val="00465DED"/>
    <w:rsid w:val="00467A53"/>
    <w:rsid w:val="00471E2E"/>
    <w:rsid w:val="00473190"/>
    <w:rsid w:val="004732EC"/>
    <w:rsid w:val="00474A45"/>
    <w:rsid w:val="00474EB8"/>
    <w:rsid w:val="0047637A"/>
    <w:rsid w:val="00484034"/>
    <w:rsid w:val="00484487"/>
    <w:rsid w:val="0048546E"/>
    <w:rsid w:val="00485A73"/>
    <w:rsid w:val="0048616B"/>
    <w:rsid w:val="0048631E"/>
    <w:rsid w:val="0048752C"/>
    <w:rsid w:val="00491965"/>
    <w:rsid w:val="0049414C"/>
    <w:rsid w:val="00495E69"/>
    <w:rsid w:val="004A32B4"/>
    <w:rsid w:val="004A3F81"/>
    <w:rsid w:val="004A4D28"/>
    <w:rsid w:val="004A7A50"/>
    <w:rsid w:val="004A7CCC"/>
    <w:rsid w:val="004B1771"/>
    <w:rsid w:val="004B1AFE"/>
    <w:rsid w:val="004B2CA2"/>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14F"/>
    <w:rsid w:val="004E25C0"/>
    <w:rsid w:val="004E3076"/>
    <w:rsid w:val="004E4C14"/>
    <w:rsid w:val="004E60F6"/>
    <w:rsid w:val="004E6237"/>
    <w:rsid w:val="004E6B7C"/>
    <w:rsid w:val="004E78CE"/>
    <w:rsid w:val="004F0E51"/>
    <w:rsid w:val="004F5056"/>
    <w:rsid w:val="004F51A2"/>
    <w:rsid w:val="00500B33"/>
    <w:rsid w:val="0050223A"/>
    <w:rsid w:val="00502BFC"/>
    <w:rsid w:val="00502E9C"/>
    <w:rsid w:val="00503B9C"/>
    <w:rsid w:val="00505858"/>
    <w:rsid w:val="00505E7A"/>
    <w:rsid w:val="00506F14"/>
    <w:rsid w:val="00507C19"/>
    <w:rsid w:val="00507D9F"/>
    <w:rsid w:val="00510473"/>
    <w:rsid w:val="0051176E"/>
    <w:rsid w:val="00512A1B"/>
    <w:rsid w:val="00513D08"/>
    <w:rsid w:val="00513E4A"/>
    <w:rsid w:val="005140D4"/>
    <w:rsid w:val="00514B7A"/>
    <w:rsid w:val="00514F35"/>
    <w:rsid w:val="00517420"/>
    <w:rsid w:val="005175CD"/>
    <w:rsid w:val="00520035"/>
    <w:rsid w:val="00521402"/>
    <w:rsid w:val="005223B6"/>
    <w:rsid w:val="005224EF"/>
    <w:rsid w:val="005239AF"/>
    <w:rsid w:val="00524590"/>
    <w:rsid w:val="005246AF"/>
    <w:rsid w:val="00524CBF"/>
    <w:rsid w:val="00525E42"/>
    <w:rsid w:val="00532FB9"/>
    <w:rsid w:val="005344B5"/>
    <w:rsid w:val="00535F5E"/>
    <w:rsid w:val="005363AA"/>
    <w:rsid w:val="005366AE"/>
    <w:rsid w:val="00540513"/>
    <w:rsid w:val="00541516"/>
    <w:rsid w:val="005424B0"/>
    <w:rsid w:val="005450A3"/>
    <w:rsid w:val="0054512B"/>
    <w:rsid w:val="0054518A"/>
    <w:rsid w:val="005458F0"/>
    <w:rsid w:val="00547554"/>
    <w:rsid w:val="00547816"/>
    <w:rsid w:val="00550825"/>
    <w:rsid w:val="005545FE"/>
    <w:rsid w:val="00556619"/>
    <w:rsid w:val="00557051"/>
    <w:rsid w:val="005575B3"/>
    <w:rsid w:val="005575E4"/>
    <w:rsid w:val="00560502"/>
    <w:rsid w:val="00562257"/>
    <w:rsid w:val="00564F07"/>
    <w:rsid w:val="00564F96"/>
    <w:rsid w:val="00565F9F"/>
    <w:rsid w:val="005668BC"/>
    <w:rsid w:val="00567B41"/>
    <w:rsid w:val="00571ED3"/>
    <w:rsid w:val="0057204E"/>
    <w:rsid w:val="0057224E"/>
    <w:rsid w:val="0057231A"/>
    <w:rsid w:val="0057277E"/>
    <w:rsid w:val="005728F2"/>
    <w:rsid w:val="00573505"/>
    <w:rsid w:val="00573DB0"/>
    <w:rsid w:val="005758CB"/>
    <w:rsid w:val="0058327D"/>
    <w:rsid w:val="00583BC2"/>
    <w:rsid w:val="00584B06"/>
    <w:rsid w:val="00584F1B"/>
    <w:rsid w:val="00584F1C"/>
    <w:rsid w:val="005879F9"/>
    <w:rsid w:val="00590F7C"/>
    <w:rsid w:val="00592B81"/>
    <w:rsid w:val="00596052"/>
    <w:rsid w:val="005960D6"/>
    <w:rsid w:val="005A0745"/>
    <w:rsid w:val="005A1493"/>
    <w:rsid w:val="005A2349"/>
    <w:rsid w:val="005A3DFD"/>
    <w:rsid w:val="005A49D7"/>
    <w:rsid w:val="005A4ED0"/>
    <w:rsid w:val="005A5707"/>
    <w:rsid w:val="005A5DD7"/>
    <w:rsid w:val="005B1150"/>
    <w:rsid w:val="005B190C"/>
    <w:rsid w:val="005B2617"/>
    <w:rsid w:val="005B41A7"/>
    <w:rsid w:val="005B4E40"/>
    <w:rsid w:val="005B5D9C"/>
    <w:rsid w:val="005B64AE"/>
    <w:rsid w:val="005B6873"/>
    <w:rsid w:val="005C1098"/>
    <w:rsid w:val="005C25EC"/>
    <w:rsid w:val="005C2BAF"/>
    <w:rsid w:val="005C3EC9"/>
    <w:rsid w:val="005C562F"/>
    <w:rsid w:val="005C6039"/>
    <w:rsid w:val="005C6AC8"/>
    <w:rsid w:val="005C7D22"/>
    <w:rsid w:val="005D2430"/>
    <w:rsid w:val="005D2700"/>
    <w:rsid w:val="005D3D6B"/>
    <w:rsid w:val="005D49E5"/>
    <w:rsid w:val="005D4BC1"/>
    <w:rsid w:val="005D6BB7"/>
    <w:rsid w:val="005E0384"/>
    <w:rsid w:val="005E1754"/>
    <w:rsid w:val="005E1A13"/>
    <w:rsid w:val="005E1D0D"/>
    <w:rsid w:val="005E4099"/>
    <w:rsid w:val="005E447C"/>
    <w:rsid w:val="005E4743"/>
    <w:rsid w:val="005E4988"/>
    <w:rsid w:val="005E52F4"/>
    <w:rsid w:val="005E5BDF"/>
    <w:rsid w:val="005F005C"/>
    <w:rsid w:val="005F1060"/>
    <w:rsid w:val="005F1FDA"/>
    <w:rsid w:val="005F2420"/>
    <w:rsid w:val="005F37F1"/>
    <w:rsid w:val="005F4F71"/>
    <w:rsid w:val="005F6022"/>
    <w:rsid w:val="005F7211"/>
    <w:rsid w:val="006013C8"/>
    <w:rsid w:val="00601415"/>
    <w:rsid w:val="00604F88"/>
    <w:rsid w:val="006050E0"/>
    <w:rsid w:val="006050EE"/>
    <w:rsid w:val="006053D6"/>
    <w:rsid w:val="006055AF"/>
    <w:rsid w:val="00607398"/>
    <w:rsid w:val="0060762A"/>
    <w:rsid w:val="00611894"/>
    <w:rsid w:val="006134CF"/>
    <w:rsid w:val="00614221"/>
    <w:rsid w:val="0061464B"/>
    <w:rsid w:val="0061488D"/>
    <w:rsid w:val="00614BC4"/>
    <w:rsid w:val="00614E78"/>
    <w:rsid w:val="00615AE9"/>
    <w:rsid w:val="0062051D"/>
    <w:rsid w:val="00620FF7"/>
    <w:rsid w:val="00622663"/>
    <w:rsid w:val="00623CD6"/>
    <w:rsid w:val="0062409A"/>
    <w:rsid w:val="00624BA8"/>
    <w:rsid w:val="00625392"/>
    <w:rsid w:val="00625968"/>
    <w:rsid w:val="00625EED"/>
    <w:rsid w:val="0062698B"/>
    <w:rsid w:val="0062765E"/>
    <w:rsid w:val="00627A40"/>
    <w:rsid w:val="006324A8"/>
    <w:rsid w:val="006343B4"/>
    <w:rsid w:val="00634F4D"/>
    <w:rsid w:val="006355E4"/>
    <w:rsid w:val="00636AD6"/>
    <w:rsid w:val="00636D29"/>
    <w:rsid w:val="00643824"/>
    <w:rsid w:val="00645BF4"/>
    <w:rsid w:val="006468EB"/>
    <w:rsid w:val="0064694D"/>
    <w:rsid w:val="00650683"/>
    <w:rsid w:val="00650F52"/>
    <w:rsid w:val="0065487D"/>
    <w:rsid w:val="00657570"/>
    <w:rsid w:val="006604BD"/>
    <w:rsid w:val="00661747"/>
    <w:rsid w:val="00661FB5"/>
    <w:rsid w:val="0066213F"/>
    <w:rsid w:val="00663B30"/>
    <w:rsid w:val="00665ED9"/>
    <w:rsid w:val="00670322"/>
    <w:rsid w:val="00670572"/>
    <w:rsid w:val="00671A4F"/>
    <w:rsid w:val="006745E6"/>
    <w:rsid w:val="00677117"/>
    <w:rsid w:val="00680DAA"/>
    <w:rsid w:val="00683B43"/>
    <w:rsid w:val="0068495A"/>
    <w:rsid w:val="00685456"/>
    <w:rsid w:val="00686882"/>
    <w:rsid w:val="00690FA8"/>
    <w:rsid w:val="00692052"/>
    <w:rsid w:val="00692827"/>
    <w:rsid w:val="00693B2B"/>
    <w:rsid w:val="00694226"/>
    <w:rsid w:val="0069440C"/>
    <w:rsid w:val="00696E36"/>
    <w:rsid w:val="006971B3"/>
    <w:rsid w:val="00697B9E"/>
    <w:rsid w:val="00697E4D"/>
    <w:rsid w:val="006A0DE4"/>
    <w:rsid w:val="006A1079"/>
    <w:rsid w:val="006A298D"/>
    <w:rsid w:val="006A61F2"/>
    <w:rsid w:val="006A63B4"/>
    <w:rsid w:val="006A64C3"/>
    <w:rsid w:val="006A7152"/>
    <w:rsid w:val="006B07B1"/>
    <w:rsid w:val="006B1CC5"/>
    <w:rsid w:val="006B399A"/>
    <w:rsid w:val="006B3C3D"/>
    <w:rsid w:val="006B58E6"/>
    <w:rsid w:val="006B664E"/>
    <w:rsid w:val="006C0FC6"/>
    <w:rsid w:val="006C6372"/>
    <w:rsid w:val="006C782D"/>
    <w:rsid w:val="006D12A9"/>
    <w:rsid w:val="006D1BF8"/>
    <w:rsid w:val="006D22BB"/>
    <w:rsid w:val="006D270B"/>
    <w:rsid w:val="006D473E"/>
    <w:rsid w:val="006D4760"/>
    <w:rsid w:val="006D5946"/>
    <w:rsid w:val="006D6EBE"/>
    <w:rsid w:val="006D7CBF"/>
    <w:rsid w:val="006E0086"/>
    <w:rsid w:val="006E04F1"/>
    <w:rsid w:val="006E34D6"/>
    <w:rsid w:val="006E4B8F"/>
    <w:rsid w:val="006F225A"/>
    <w:rsid w:val="006F2470"/>
    <w:rsid w:val="006F2773"/>
    <w:rsid w:val="006F2BC8"/>
    <w:rsid w:val="006F43FA"/>
    <w:rsid w:val="006F4B37"/>
    <w:rsid w:val="006F4E96"/>
    <w:rsid w:val="006F56C0"/>
    <w:rsid w:val="006F5861"/>
    <w:rsid w:val="006F7010"/>
    <w:rsid w:val="007004AF"/>
    <w:rsid w:val="00701DB6"/>
    <w:rsid w:val="00703154"/>
    <w:rsid w:val="007033C0"/>
    <w:rsid w:val="00706973"/>
    <w:rsid w:val="007077B4"/>
    <w:rsid w:val="007116DF"/>
    <w:rsid w:val="00712034"/>
    <w:rsid w:val="007140EF"/>
    <w:rsid w:val="0071429C"/>
    <w:rsid w:val="007216A0"/>
    <w:rsid w:val="00721700"/>
    <w:rsid w:val="00722811"/>
    <w:rsid w:val="00723080"/>
    <w:rsid w:val="0072383D"/>
    <w:rsid w:val="00723AE5"/>
    <w:rsid w:val="00724A91"/>
    <w:rsid w:val="00724F98"/>
    <w:rsid w:val="007263BE"/>
    <w:rsid w:val="0072690D"/>
    <w:rsid w:val="007277FA"/>
    <w:rsid w:val="00727E22"/>
    <w:rsid w:val="0073036A"/>
    <w:rsid w:val="00731799"/>
    <w:rsid w:val="00732F7B"/>
    <w:rsid w:val="00733DDA"/>
    <w:rsid w:val="00735A21"/>
    <w:rsid w:val="007361EB"/>
    <w:rsid w:val="007369E2"/>
    <w:rsid w:val="00737712"/>
    <w:rsid w:val="0073786B"/>
    <w:rsid w:val="00740081"/>
    <w:rsid w:val="0074016C"/>
    <w:rsid w:val="00741F9A"/>
    <w:rsid w:val="007422B3"/>
    <w:rsid w:val="00742CC6"/>
    <w:rsid w:val="00744C6C"/>
    <w:rsid w:val="0074648B"/>
    <w:rsid w:val="007472C3"/>
    <w:rsid w:val="0074740B"/>
    <w:rsid w:val="00747C34"/>
    <w:rsid w:val="0075287F"/>
    <w:rsid w:val="00754620"/>
    <w:rsid w:val="00755130"/>
    <w:rsid w:val="00756164"/>
    <w:rsid w:val="007572AE"/>
    <w:rsid w:val="00760866"/>
    <w:rsid w:val="00764CFF"/>
    <w:rsid w:val="00765A5C"/>
    <w:rsid w:val="00765B57"/>
    <w:rsid w:val="0076631A"/>
    <w:rsid w:val="00766931"/>
    <w:rsid w:val="007677C5"/>
    <w:rsid w:val="00770076"/>
    <w:rsid w:val="0077498E"/>
    <w:rsid w:val="00776C41"/>
    <w:rsid w:val="00780F74"/>
    <w:rsid w:val="0078176F"/>
    <w:rsid w:val="0078653B"/>
    <w:rsid w:val="0078728B"/>
    <w:rsid w:val="00787CA2"/>
    <w:rsid w:val="00791DA3"/>
    <w:rsid w:val="00792ADE"/>
    <w:rsid w:val="0079697D"/>
    <w:rsid w:val="00797187"/>
    <w:rsid w:val="007A1127"/>
    <w:rsid w:val="007A1547"/>
    <w:rsid w:val="007A2E2C"/>
    <w:rsid w:val="007A47CA"/>
    <w:rsid w:val="007A707C"/>
    <w:rsid w:val="007A7B66"/>
    <w:rsid w:val="007B007F"/>
    <w:rsid w:val="007B1AD8"/>
    <w:rsid w:val="007B2254"/>
    <w:rsid w:val="007B496E"/>
    <w:rsid w:val="007B658C"/>
    <w:rsid w:val="007B7549"/>
    <w:rsid w:val="007C0302"/>
    <w:rsid w:val="007C0A63"/>
    <w:rsid w:val="007C14E9"/>
    <w:rsid w:val="007C33DE"/>
    <w:rsid w:val="007C34C2"/>
    <w:rsid w:val="007C487C"/>
    <w:rsid w:val="007C4AB8"/>
    <w:rsid w:val="007C4E27"/>
    <w:rsid w:val="007C57AB"/>
    <w:rsid w:val="007C7BA9"/>
    <w:rsid w:val="007C7C62"/>
    <w:rsid w:val="007D0033"/>
    <w:rsid w:val="007D0840"/>
    <w:rsid w:val="007D0DD8"/>
    <w:rsid w:val="007D16B9"/>
    <w:rsid w:val="007D406E"/>
    <w:rsid w:val="007D6B38"/>
    <w:rsid w:val="007D7AC8"/>
    <w:rsid w:val="007D7FCE"/>
    <w:rsid w:val="007E190A"/>
    <w:rsid w:val="007E1BEE"/>
    <w:rsid w:val="007E1DCC"/>
    <w:rsid w:val="007E339D"/>
    <w:rsid w:val="007E360F"/>
    <w:rsid w:val="007E3FB7"/>
    <w:rsid w:val="007E4180"/>
    <w:rsid w:val="007E6753"/>
    <w:rsid w:val="007E69DA"/>
    <w:rsid w:val="007F34F6"/>
    <w:rsid w:val="007F43CC"/>
    <w:rsid w:val="007F46EE"/>
    <w:rsid w:val="007F49DB"/>
    <w:rsid w:val="007F4AC4"/>
    <w:rsid w:val="007F5797"/>
    <w:rsid w:val="007F6786"/>
    <w:rsid w:val="00800328"/>
    <w:rsid w:val="008011CF"/>
    <w:rsid w:val="00801B66"/>
    <w:rsid w:val="00803A5F"/>
    <w:rsid w:val="00803ED2"/>
    <w:rsid w:val="00805D63"/>
    <w:rsid w:val="008064F9"/>
    <w:rsid w:val="00807545"/>
    <w:rsid w:val="00807F18"/>
    <w:rsid w:val="00811AB1"/>
    <w:rsid w:val="00812744"/>
    <w:rsid w:val="008129C0"/>
    <w:rsid w:val="008131AE"/>
    <w:rsid w:val="008139F1"/>
    <w:rsid w:val="00814848"/>
    <w:rsid w:val="0081492E"/>
    <w:rsid w:val="00814BE1"/>
    <w:rsid w:val="008150C7"/>
    <w:rsid w:val="008169C0"/>
    <w:rsid w:val="00816AD4"/>
    <w:rsid w:val="00816CDA"/>
    <w:rsid w:val="008172D9"/>
    <w:rsid w:val="0081795C"/>
    <w:rsid w:val="008179C6"/>
    <w:rsid w:val="00822081"/>
    <w:rsid w:val="0082220E"/>
    <w:rsid w:val="00823802"/>
    <w:rsid w:val="008246D6"/>
    <w:rsid w:val="00824A41"/>
    <w:rsid w:val="00824E77"/>
    <w:rsid w:val="00825C24"/>
    <w:rsid w:val="00827687"/>
    <w:rsid w:val="0082772F"/>
    <w:rsid w:val="008330E9"/>
    <w:rsid w:val="008352E4"/>
    <w:rsid w:val="0083549D"/>
    <w:rsid w:val="0083590E"/>
    <w:rsid w:val="00835E29"/>
    <w:rsid w:val="008366F0"/>
    <w:rsid w:val="00840D30"/>
    <w:rsid w:val="00844DAB"/>
    <w:rsid w:val="00844E33"/>
    <w:rsid w:val="008472F6"/>
    <w:rsid w:val="008515AC"/>
    <w:rsid w:val="00851ABD"/>
    <w:rsid w:val="00853497"/>
    <w:rsid w:val="00853F8C"/>
    <w:rsid w:val="00853F9B"/>
    <w:rsid w:val="008578EE"/>
    <w:rsid w:val="00857939"/>
    <w:rsid w:val="008605F7"/>
    <w:rsid w:val="008608FE"/>
    <w:rsid w:val="00860EE0"/>
    <w:rsid w:val="008610D1"/>
    <w:rsid w:val="00865233"/>
    <w:rsid w:val="008667F3"/>
    <w:rsid w:val="00866C7D"/>
    <w:rsid w:val="008743D4"/>
    <w:rsid w:val="008745F3"/>
    <w:rsid w:val="00875EB6"/>
    <w:rsid w:val="00876C80"/>
    <w:rsid w:val="00876F98"/>
    <w:rsid w:val="00877461"/>
    <w:rsid w:val="0088300E"/>
    <w:rsid w:val="00883266"/>
    <w:rsid w:val="00883947"/>
    <w:rsid w:val="00885A09"/>
    <w:rsid w:val="008900FB"/>
    <w:rsid w:val="00890725"/>
    <w:rsid w:val="00890B58"/>
    <w:rsid w:val="0089176B"/>
    <w:rsid w:val="0089257B"/>
    <w:rsid w:val="00893789"/>
    <w:rsid w:val="008938F0"/>
    <w:rsid w:val="00893BDC"/>
    <w:rsid w:val="008966CC"/>
    <w:rsid w:val="00897AC9"/>
    <w:rsid w:val="008A09FD"/>
    <w:rsid w:val="008A247D"/>
    <w:rsid w:val="008A2E57"/>
    <w:rsid w:val="008A35DB"/>
    <w:rsid w:val="008A490D"/>
    <w:rsid w:val="008A4E09"/>
    <w:rsid w:val="008A5AFF"/>
    <w:rsid w:val="008A7A8F"/>
    <w:rsid w:val="008B0B97"/>
    <w:rsid w:val="008B0BCE"/>
    <w:rsid w:val="008B2B7A"/>
    <w:rsid w:val="008B30DA"/>
    <w:rsid w:val="008B60D1"/>
    <w:rsid w:val="008B7461"/>
    <w:rsid w:val="008B7834"/>
    <w:rsid w:val="008C4B31"/>
    <w:rsid w:val="008C5904"/>
    <w:rsid w:val="008C5E19"/>
    <w:rsid w:val="008C6898"/>
    <w:rsid w:val="008D14F3"/>
    <w:rsid w:val="008D1DF5"/>
    <w:rsid w:val="008D237C"/>
    <w:rsid w:val="008D49D5"/>
    <w:rsid w:val="008D5998"/>
    <w:rsid w:val="008D6A6F"/>
    <w:rsid w:val="008D7439"/>
    <w:rsid w:val="008E11E6"/>
    <w:rsid w:val="008E15E8"/>
    <w:rsid w:val="008E2BA4"/>
    <w:rsid w:val="008E3F04"/>
    <w:rsid w:val="008E7291"/>
    <w:rsid w:val="008E783E"/>
    <w:rsid w:val="008F3FD3"/>
    <w:rsid w:val="00901A5A"/>
    <w:rsid w:val="00903807"/>
    <w:rsid w:val="009046E4"/>
    <w:rsid w:val="009051B9"/>
    <w:rsid w:val="0090532C"/>
    <w:rsid w:val="00906F64"/>
    <w:rsid w:val="00907493"/>
    <w:rsid w:val="00912169"/>
    <w:rsid w:val="00915248"/>
    <w:rsid w:val="00915A34"/>
    <w:rsid w:val="009210AD"/>
    <w:rsid w:val="00921AFC"/>
    <w:rsid w:val="009221FA"/>
    <w:rsid w:val="0092235D"/>
    <w:rsid w:val="00923271"/>
    <w:rsid w:val="00924D39"/>
    <w:rsid w:val="0092733E"/>
    <w:rsid w:val="009308FA"/>
    <w:rsid w:val="00934AB2"/>
    <w:rsid w:val="00935088"/>
    <w:rsid w:val="00935DC3"/>
    <w:rsid w:val="00940A4F"/>
    <w:rsid w:val="00940F06"/>
    <w:rsid w:val="0094459C"/>
    <w:rsid w:val="0094609F"/>
    <w:rsid w:val="0094787F"/>
    <w:rsid w:val="00947B60"/>
    <w:rsid w:val="009526DB"/>
    <w:rsid w:val="00952F67"/>
    <w:rsid w:val="009530EE"/>
    <w:rsid w:val="00953F46"/>
    <w:rsid w:val="0095613B"/>
    <w:rsid w:val="00956A82"/>
    <w:rsid w:val="00960266"/>
    <w:rsid w:val="00962B4C"/>
    <w:rsid w:val="009638A2"/>
    <w:rsid w:val="00963E45"/>
    <w:rsid w:val="0096605A"/>
    <w:rsid w:val="009706F6"/>
    <w:rsid w:val="009729A1"/>
    <w:rsid w:val="00973369"/>
    <w:rsid w:val="00973861"/>
    <w:rsid w:val="009738D8"/>
    <w:rsid w:val="00973A99"/>
    <w:rsid w:val="00974AFD"/>
    <w:rsid w:val="00976821"/>
    <w:rsid w:val="00976BDE"/>
    <w:rsid w:val="00977EE8"/>
    <w:rsid w:val="0098684F"/>
    <w:rsid w:val="00986AB1"/>
    <w:rsid w:val="00987C2D"/>
    <w:rsid w:val="009908A3"/>
    <w:rsid w:val="009916B0"/>
    <w:rsid w:val="00991D9F"/>
    <w:rsid w:val="00992E33"/>
    <w:rsid w:val="00993818"/>
    <w:rsid w:val="00994704"/>
    <w:rsid w:val="00995820"/>
    <w:rsid w:val="00995C6C"/>
    <w:rsid w:val="009A08D8"/>
    <w:rsid w:val="009A109A"/>
    <w:rsid w:val="009A1801"/>
    <w:rsid w:val="009A1B3E"/>
    <w:rsid w:val="009A2080"/>
    <w:rsid w:val="009A2779"/>
    <w:rsid w:val="009A386A"/>
    <w:rsid w:val="009A5611"/>
    <w:rsid w:val="009A6297"/>
    <w:rsid w:val="009A6C0E"/>
    <w:rsid w:val="009A7AE9"/>
    <w:rsid w:val="009B171D"/>
    <w:rsid w:val="009B3482"/>
    <w:rsid w:val="009B51BD"/>
    <w:rsid w:val="009B541B"/>
    <w:rsid w:val="009B5755"/>
    <w:rsid w:val="009B684D"/>
    <w:rsid w:val="009B748C"/>
    <w:rsid w:val="009C00E0"/>
    <w:rsid w:val="009C096F"/>
    <w:rsid w:val="009C1369"/>
    <w:rsid w:val="009C2D50"/>
    <w:rsid w:val="009C36DB"/>
    <w:rsid w:val="009C443C"/>
    <w:rsid w:val="009C5333"/>
    <w:rsid w:val="009C5BFC"/>
    <w:rsid w:val="009C657A"/>
    <w:rsid w:val="009C7287"/>
    <w:rsid w:val="009C7C9A"/>
    <w:rsid w:val="009C7FE0"/>
    <w:rsid w:val="009D1654"/>
    <w:rsid w:val="009D2B2E"/>
    <w:rsid w:val="009D4AC6"/>
    <w:rsid w:val="009D5DCB"/>
    <w:rsid w:val="009D5F2A"/>
    <w:rsid w:val="009D60FF"/>
    <w:rsid w:val="009D7CEA"/>
    <w:rsid w:val="009E3362"/>
    <w:rsid w:val="009E3BA6"/>
    <w:rsid w:val="009E3C73"/>
    <w:rsid w:val="009E4CE8"/>
    <w:rsid w:val="009E5236"/>
    <w:rsid w:val="009E5E5C"/>
    <w:rsid w:val="009E72E8"/>
    <w:rsid w:val="009F257B"/>
    <w:rsid w:val="009F3C0B"/>
    <w:rsid w:val="009F3C78"/>
    <w:rsid w:val="009F58B2"/>
    <w:rsid w:val="009F6338"/>
    <w:rsid w:val="009F7391"/>
    <w:rsid w:val="00A0053F"/>
    <w:rsid w:val="00A006D0"/>
    <w:rsid w:val="00A022AA"/>
    <w:rsid w:val="00A030AB"/>
    <w:rsid w:val="00A0664A"/>
    <w:rsid w:val="00A0722F"/>
    <w:rsid w:val="00A07A14"/>
    <w:rsid w:val="00A07B18"/>
    <w:rsid w:val="00A07CFE"/>
    <w:rsid w:val="00A10FA7"/>
    <w:rsid w:val="00A13523"/>
    <w:rsid w:val="00A16FBA"/>
    <w:rsid w:val="00A171ED"/>
    <w:rsid w:val="00A20966"/>
    <w:rsid w:val="00A218D9"/>
    <w:rsid w:val="00A219B2"/>
    <w:rsid w:val="00A2229B"/>
    <w:rsid w:val="00A2292A"/>
    <w:rsid w:val="00A23C92"/>
    <w:rsid w:val="00A2404D"/>
    <w:rsid w:val="00A256A2"/>
    <w:rsid w:val="00A259E9"/>
    <w:rsid w:val="00A2721E"/>
    <w:rsid w:val="00A27DB2"/>
    <w:rsid w:val="00A30E80"/>
    <w:rsid w:val="00A3401A"/>
    <w:rsid w:val="00A377AD"/>
    <w:rsid w:val="00A37C9D"/>
    <w:rsid w:val="00A42EC1"/>
    <w:rsid w:val="00A4539B"/>
    <w:rsid w:val="00A463FE"/>
    <w:rsid w:val="00A470BE"/>
    <w:rsid w:val="00A471AA"/>
    <w:rsid w:val="00A53198"/>
    <w:rsid w:val="00A53708"/>
    <w:rsid w:val="00A555B6"/>
    <w:rsid w:val="00A56EBF"/>
    <w:rsid w:val="00A602D4"/>
    <w:rsid w:val="00A65892"/>
    <w:rsid w:val="00A658DB"/>
    <w:rsid w:val="00A65BF9"/>
    <w:rsid w:val="00A67602"/>
    <w:rsid w:val="00A67776"/>
    <w:rsid w:val="00A74349"/>
    <w:rsid w:val="00A76324"/>
    <w:rsid w:val="00A764DE"/>
    <w:rsid w:val="00A77164"/>
    <w:rsid w:val="00A772D5"/>
    <w:rsid w:val="00A773EA"/>
    <w:rsid w:val="00A77464"/>
    <w:rsid w:val="00A81520"/>
    <w:rsid w:val="00A81C65"/>
    <w:rsid w:val="00A82344"/>
    <w:rsid w:val="00A82398"/>
    <w:rsid w:val="00A833C8"/>
    <w:rsid w:val="00A8370D"/>
    <w:rsid w:val="00A875AB"/>
    <w:rsid w:val="00A91B2A"/>
    <w:rsid w:val="00A92183"/>
    <w:rsid w:val="00A92873"/>
    <w:rsid w:val="00A9308C"/>
    <w:rsid w:val="00A93814"/>
    <w:rsid w:val="00A9395F"/>
    <w:rsid w:val="00A95C4A"/>
    <w:rsid w:val="00A96595"/>
    <w:rsid w:val="00AA0191"/>
    <w:rsid w:val="00AA0A01"/>
    <w:rsid w:val="00AA0D8B"/>
    <w:rsid w:val="00AA21E0"/>
    <w:rsid w:val="00AA471A"/>
    <w:rsid w:val="00AA5C10"/>
    <w:rsid w:val="00AA5E29"/>
    <w:rsid w:val="00AB0028"/>
    <w:rsid w:val="00AB1196"/>
    <w:rsid w:val="00AB3D4A"/>
    <w:rsid w:val="00AB54D1"/>
    <w:rsid w:val="00AB6491"/>
    <w:rsid w:val="00AB7C28"/>
    <w:rsid w:val="00AC01F7"/>
    <w:rsid w:val="00AC2862"/>
    <w:rsid w:val="00AC334F"/>
    <w:rsid w:val="00AC36A2"/>
    <w:rsid w:val="00AC39F6"/>
    <w:rsid w:val="00AC74AB"/>
    <w:rsid w:val="00AC7C9C"/>
    <w:rsid w:val="00AD069E"/>
    <w:rsid w:val="00AD2073"/>
    <w:rsid w:val="00AD25F4"/>
    <w:rsid w:val="00AD388D"/>
    <w:rsid w:val="00AD47EB"/>
    <w:rsid w:val="00AD5A33"/>
    <w:rsid w:val="00AD61A6"/>
    <w:rsid w:val="00AD771F"/>
    <w:rsid w:val="00AE052A"/>
    <w:rsid w:val="00AE0971"/>
    <w:rsid w:val="00AE1889"/>
    <w:rsid w:val="00AE2697"/>
    <w:rsid w:val="00AE44D2"/>
    <w:rsid w:val="00AE74C1"/>
    <w:rsid w:val="00AE7A25"/>
    <w:rsid w:val="00AF011F"/>
    <w:rsid w:val="00AF0FB9"/>
    <w:rsid w:val="00AF1FFF"/>
    <w:rsid w:val="00AF2440"/>
    <w:rsid w:val="00B011F8"/>
    <w:rsid w:val="00B01B23"/>
    <w:rsid w:val="00B0485F"/>
    <w:rsid w:val="00B07D39"/>
    <w:rsid w:val="00B10C03"/>
    <w:rsid w:val="00B11108"/>
    <w:rsid w:val="00B1252F"/>
    <w:rsid w:val="00B133C2"/>
    <w:rsid w:val="00B13BFA"/>
    <w:rsid w:val="00B13EA7"/>
    <w:rsid w:val="00B14293"/>
    <w:rsid w:val="00B160EB"/>
    <w:rsid w:val="00B1620B"/>
    <w:rsid w:val="00B17D74"/>
    <w:rsid w:val="00B20C8D"/>
    <w:rsid w:val="00B21E78"/>
    <w:rsid w:val="00B220C3"/>
    <w:rsid w:val="00B22D4B"/>
    <w:rsid w:val="00B23073"/>
    <w:rsid w:val="00B24FE4"/>
    <w:rsid w:val="00B250F0"/>
    <w:rsid w:val="00B30252"/>
    <w:rsid w:val="00B31604"/>
    <w:rsid w:val="00B31FA1"/>
    <w:rsid w:val="00B31FEC"/>
    <w:rsid w:val="00B322DB"/>
    <w:rsid w:val="00B32625"/>
    <w:rsid w:val="00B326A1"/>
    <w:rsid w:val="00B33601"/>
    <w:rsid w:val="00B33699"/>
    <w:rsid w:val="00B336CC"/>
    <w:rsid w:val="00B353E8"/>
    <w:rsid w:val="00B36E38"/>
    <w:rsid w:val="00B41671"/>
    <w:rsid w:val="00B45D42"/>
    <w:rsid w:val="00B46D24"/>
    <w:rsid w:val="00B50CF7"/>
    <w:rsid w:val="00B5155B"/>
    <w:rsid w:val="00B5180B"/>
    <w:rsid w:val="00B52358"/>
    <w:rsid w:val="00B52BD7"/>
    <w:rsid w:val="00B5499F"/>
    <w:rsid w:val="00B5759A"/>
    <w:rsid w:val="00B6010B"/>
    <w:rsid w:val="00B601B6"/>
    <w:rsid w:val="00B6031F"/>
    <w:rsid w:val="00B60BE9"/>
    <w:rsid w:val="00B61A5A"/>
    <w:rsid w:val="00B64AB7"/>
    <w:rsid w:val="00B665DE"/>
    <w:rsid w:val="00B6676A"/>
    <w:rsid w:val="00B677F7"/>
    <w:rsid w:val="00B70004"/>
    <w:rsid w:val="00B7161A"/>
    <w:rsid w:val="00B74817"/>
    <w:rsid w:val="00B74DE0"/>
    <w:rsid w:val="00B75083"/>
    <w:rsid w:val="00B7580D"/>
    <w:rsid w:val="00B758B3"/>
    <w:rsid w:val="00B77E2C"/>
    <w:rsid w:val="00B82EDE"/>
    <w:rsid w:val="00B83A4E"/>
    <w:rsid w:val="00B847A5"/>
    <w:rsid w:val="00B86515"/>
    <w:rsid w:val="00B871BA"/>
    <w:rsid w:val="00B91E12"/>
    <w:rsid w:val="00B93ED4"/>
    <w:rsid w:val="00BA1BEB"/>
    <w:rsid w:val="00BA1DDD"/>
    <w:rsid w:val="00BA224C"/>
    <w:rsid w:val="00BA24AB"/>
    <w:rsid w:val="00BA39FE"/>
    <w:rsid w:val="00BA3FA2"/>
    <w:rsid w:val="00BA4695"/>
    <w:rsid w:val="00BA4B5C"/>
    <w:rsid w:val="00BA5541"/>
    <w:rsid w:val="00BA612F"/>
    <w:rsid w:val="00BA64FD"/>
    <w:rsid w:val="00BA6986"/>
    <w:rsid w:val="00BA708E"/>
    <w:rsid w:val="00BB1056"/>
    <w:rsid w:val="00BB31B6"/>
    <w:rsid w:val="00BB51E5"/>
    <w:rsid w:val="00BB6165"/>
    <w:rsid w:val="00BB769F"/>
    <w:rsid w:val="00BC0CCC"/>
    <w:rsid w:val="00BC1440"/>
    <w:rsid w:val="00BC1BF4"/>
    <w:rsid w:val="00BC2674"/>
    <w:rsid w:val="00BC404D"/>
    <w:rsid w:val="00BC53C4"/>
    <w:rsid w:val="00BD0D67"/>
    <w:rsid w:val="00BD3D6C"/>
    <w:rsid w:val="00BD4373"/>
    <w:rsid w:val="00BD4425"/>
    <w:rsid w:val="00BD4B74"/>
    <w:rsid w:val="00BD5B3F"/>
    <w:rsid w:val="00BD5FDF"/>
    <w:rsid w:val="00BD66CB"/>
    <w:rsid w:val="00BE0A2C"/>
    <w:rsid w:val="00BE0FD2"/>
    <w:rsid w:val="00BE26F4"/>
    <w:rsid w:val="00BE349B"/>
    <w:rsid w:val="00BE5D4F"/>
    <w:rsid w:val="00BE60E2"/>
    <w:rsid w:val="00BF0F26"/>
    <w:rsid w:val="00BF0FE7"/>
    <w:rsid w:val="00BF2FB7"/>
    <w:rsid w:val="00BF2FC0"/>
    <w:rsid w:val="00BF5532"/>
    <w:rsid w:val="00BF570D"/>
    <w:rsid w:val="00BF644F"/>
    <w:rsid w:val="00C01558"/>
    <w:rsid w:val="00C01E4B"/>
    <w:rsid w:val="00C051B0"/>
    <w:rsid w:val="00C0666C"/>
    <w:rsid w:val="00C067BD"/>
    <w:rsid w:val="00C074CD"/>
    <w:rsid w:val="00C12422"/>
    <w:rsid w:val="00C13F8B"/>
    <w:rsid w:val="00C17318"/>
    <w:rsid w:val="00C1772D"/>
    <w:rsid w:val="00C2305C"/>
    <w:rsid w:val="00C236C8"/>
    <w:rsid w:val="00C25316"/>
    <w:rsid w:val="00C25959"/>
    <w:rsid w:val="00C2631E"/>
    <w:rsid w:val="00C27410"/>
    <w:rsid w:val="00C27755"/>
    <w:rsid w:val="00C303ED"/>
    <w:rsid w:val="00C31948"/>
    <w:rsid w:val="00C34AD7"/>
    <w:rsid w:val="00C3645B"/>
    <w:rsid w:val="00C37C3D"/>
    <w:rsid w:val="00C40027"/>
    <w:rsid w:val="00C405A4"/>
    <w:rsid w:val="00C407A5"/>
    <w:rsid w:val="00C44DDB"/>
    <w:rsid w:val="00C45183"/>
    <w:rsid w:val="00C46104"/>
    <w:rsid w:val="00C4625C"/>
    <w:rsid w:val="00C4648F"/>
    <w:rsid w:val="00C50596"/>
    <w:rsid w:val="00C50687"/>
    <w:rsid w:val="00C51ADB"/>
    <w:rsid w:val="00C52BAE"/>
    <w:rsid w:val="00C535EC"/>
    <w:rsid w:val="00C56278"/>
    <w:rsid w:val="00C57A3B"/>
    <w:rsid w:val="00C609A0"/>
    <w:rsid w:val="00C609A8"/>
    <w:rsid w:val="00C60B13"/>
    <w:rsid w:val="00C62D01"/>
    <w:rsid w:val="00C62FD5"/>
    <w:rsid w:val="00C641FC"/>
    <w:rsid w:val="00C65AAA"/>
    <w:rsid w:val="00C66DF8"/>
    <w:rsid w:val="00C67FEC"/>
    <w:rsid w:val="00C704F6"/>
    <w:rsid w:val="00C72FAF"/>
    <w:rsid w:val="00C73FD6"/>
    <w:rsid w:val="00C75394"/>
    <w:rsid w:val="00C75681"/>
    <w:rsid w:val="00C7765A"/>
    <w:rsid w:val="00C804CD"/>
    <w:rsid w:val="00C80D51"/>
    <w:rsid w:val="00C80F92"/>
    <w:rsid w:val="00C811FC"/>
    <w:rsid w:val="00C8384E"/>
    <w:rsid w:val="00C859A0"/>
    <w:rsid w:val="00C85C96"/>
    <w:rsid w:val="00C9052B"/>
    <w:rsid w:val="00C9094A"/>
    <w:rsid w:val="00C90AE2"/>
    <w:rsid w:val="00C919B7"/>
    <w:rsid w:val="00C939CB"/>
    <w:rsid w:val="00C95C76"/>
    <w:rsid w:val="00C95D6E"/>
    <w:rsid w:val="00C95D70"/>
    <w:rsid w:val="00C97556"/>
    <w:rsid w:val="00C97CCC"/>
    <w:rsid w:val="00CA0DE6"/>
    <w:rsid w:val="00CA43DB"/>
    <w:rsid w:val="00CA45D3"/>
    <w:rsid w:val="00CA5E28"/>
    <w:rsid w:val="00CA60C3"/>
    <w:rsid w:val="00CA6CB9"/>
    <w:rsid w:val="00CB18ED"/>
    <w:rsid w:val="00CB20FF"/>
    <w:rsid w:val="00CB23D7"/>
    <w:rsid w:val="00CB300E"/>
    <w:rsid w:val="00CB3011"/>
    <w:rsid w:val="00CB449D"/>
    <w:rsid w:val="00CB5160"/>
    <w:rsid w:val="00CB7517"/>
    <w:rsid w:val="00CB7BD4"/>
    <w:rsid w:val="00CC1082"/>
    <w:rsid w:val="00CC69EC"/>
    <w:rsid w:val="00CC78AE"/>
    <w:rsid w:val="00CD084B"/>
    <w:rsid w:val="00CD1183"/>
    <w:rsid w:val="00CD283E"/>
    <w:rsid w:val="00CD4209"/>
    <w:rsid w:val="00CD4AD7"/>
    <w:rsid w:val="00CD5D26"/>
    <w:rsid w:val="00CD6921"/>
    <w:rsid w:val="00CD7237"/>
    <w:rsid w:val="00CE2246"/>
    <w:rsid w:val="00CE28DD"/>
    <w:rsid w:val="00CE4C1D"/>
    <w:rsid w:val="00CE511A"/>
    <w:rsid w:val="00CE53F2"/>
    <w:rsid w:val="00CE562D"/>
    <w:rsid w:val="00CF0C2C"/>
    <w:rsid w:val="00CF2EDC"/>
    <w:rsid w:val="00CF3298"/>
    <w:rsid w:val="00CF3402"/>
    <w:rsid w:val="00CF6ADD"/>
    <w:rsid w:val="00CF6CA6"/>
    <w:rsid w:val="00CF6F26"/>
    <w:rsid w:val="00D02FC9"/>
    <w:rsid w:val="00D03E96"/>
    <w:rsid w:val="00D04988"/>
    <w:rsid w:val="00D06778"/>
    <w:rsid w:val="00D06F4C"/>
    <w:rsid w:val="00D14623"/>
    <w:rsid w:val="00D14D68"/>
    <w:rsid w:val="00D168F7"/>
    <w:rsid w:val="00D17874"/>
    <w:rsid w:val="00D178CB"/>
    <w:rsid w:val="00D20884"/>
    <w:rsid w:val="00D227C6"/>
    <w:rsid w:val="00D231EE"/>
    <w:rsid w:val="00D238B8"/>
    <w:rsid w:val="00D25142"/>
    <w:rsid w:val="00D33455"/>
    <w:rsid w:val="00D33FE7"/>
    <w:rsid w:val="00D346C6"/>
    <w:rsid w:val="00D34A6A"/>
    <w:rsid w:val="00D34A8D"/>
    <w:rsid w:val="00D34E3F"/>
    <w:rsid w:val="00D34EA4"/>
    <w:rsid w:val="00D37973"/>
    <w:rsid w:val="00D43028"/>
    <w:rsid w:val="00D43550"/>
    <w:rsid w:val="00D43EC1"/>
    <w:rsid w:val="00D4490A"/>
    <w:rsid w:val="00D44DF5"/>
    <w:rsid w:val="00D50664"/>
    <w:rsid w:val="00D5083E"/>
    <w:rsid w:val="00D50F29"/>
    <w:rsid w:val="00D52222"/>
    <w:rsid w:val="00D52443"/>
    <w:rsid w:val="00D524CF"/>
    <w:rsid w:val="00D536F9"/>
    <w:rsid w:val="00D57DB2"/>
    <w:rsid w:val="00D60FB7"/>
    <w:rsid w:val="00D613ED"/>
    <w:rsid w:val="00D61756"/>
    <w:rsid w:val="00D6178C"/>
    <w:rsid w:val="00D626DC"/>
    <w:rsid w:val="00D70AB5"/>
    <w:rsid w:val="00D717B3"/>
    <w:rsid w:val="00D720C7"/>
    <w:rsid w:val="00D7383B"/>
    <w:rsid w:val="00D75154"/>
    <w:rsid w:val="00D76396"/>
    <w:rsid w:val="00D8019C"/>
    <w:rsid w:val="00D8091B"/>
    <w:rsid w:val="00D80B57"/>
    <w:rsid w:val="00D8221D"/>
    <w:rsid w:val="00D82EF8"/>
    <w:rsid w:val="00D832FA"/>
    <w:rsid w:val="00D84183"/>
    <w:rsid w:val="00D847E4"/>
    <w:rsid w:val="00D8622A"/>
    <w:rsid w:val="00D878B6"/>
    <w:rsid w:val="00D87F8D"/>
    <w:rsid w:val="00D90CD1"/>
    <w:rsid w:val="00D90DEC"/>
    <w:rsid w:val="00D9335C"/>
    <w:rsid w:val="00D93431"/>
    <w:rsid w:val="00D9351C"/>
    <w:rsid w:val="00D97E14"/>
    <w:rsid w:val="00DA13D3"/>
    <w:rsid w:val="00DA26F2"/>
    <w:rsid w:val="00DA2AD7"/>
    <w:rsid w:val="00DA6136"/>
    <w:rsid w:val="00DA6250"/>
    <w:rsid w:val="00DA6B84"/>
    <w:rsid w:val="00DA7554"/>
    <w:rsid w:val="00DB48E4"/>
    <w:rsid w:val="00DB6379"/>
    <w:rsid w:val="00DB69CB"/>
    <w:rsid w:val="00DC2A80"/>
    <w:rsid w:val="00DC3B74"/>
    <w:rsid w:val="00DC4C0F"/>
    <w:rsid w:val="00DC4C89"/>
    <w:rsid w:val="00DC6247"/>
    <w:rsid w:val="00DC6290"/>
    <w:rsid w:val="00DC6792"/>
    <w:rsid w:val="00DC717B"/>
    <w:rsid w:val="00DD13E8"/>
    <w:rsid w:val="00DD3508"/>
    <w:rsid w:val="00DD455F"/>
    <w:rsid w:val="00DD7F14"/>
    <w:rsid w:val="00DE0570"/>
    <w:rsid w:val="00DE0AC8"/>
    <w:rsid w:val="00DE0C50"/>
    <w:rsid w:val="00DE0E09"/>
    <w:rsid w:val="00DE14AB"/>
    <w:rsid w:val="00DE28AF"/>
    <w:rsid w:val="00DE37EA"/>
    <w:rsid w:val="00DF0410"/>
    <w:rsid w:val="00DF0D5A"/>
    <w:rsid w:val="00DF16D8"/>
    <w:rsid w:val="00DF20E3"/>
    <w:rsid w:val="00DF2171"/>
    <w:rsid w:val="00DF2C3D"/>
    <w:rsid w:val="00DF30AF"/>
    <w:rsid w:val="00DF4164"/>
    <w:rsid w:val="00DF578D"/>
    <w:rsid w:val="00DF5CC5"/>
    <w:rsid w:val="00DF5EE9"/>
    <w:rsid w:val="00DF67FA"/>
    <w:rsid w:val="00E000E6"/>
    <w:rsid w:val="00E00A80"/>
    <w:rsid w:val="00E00DA6"/>
    <w:rsid w:val="00E03D06"/>
    <w:rsid w:val="00E04B5D"/>
    <w:rsid w:val="00E078FE"/>
    <w:rsid w:val="00E14AA8"/>
    <w:rsid w:val="00E154EF"/>
    <w:rsid w:val="00E15EB2"/>
    <w:rsid w:val="00E16A20"/>
    <w:rsid w:val="00E17864"/>
    <w:rsid w:val="00E1796D"/>
    <w:rsid w:val="00E20A06"/>
    <w:rsid w:val="00E21E0D"/>
    <w:rsid w:val="00E22510"/>
    <w:rsid w:val="00E27FEF"/>
    <w:rsid w:val="00E30394"/>
    <w:rsid w:val="00E30BB4"/>
    <w:rsid w:val="00E329C7"/>
    <w:rsid w:val="00E33433"/>
    <w:rsid w:val="00E35AEE"/>
    <w:rsid w:val="00E407AE"/>
    <w:rsid w:val="00E40F54"/>
    <w:rsid w:val="00E41222"/>
    <w:rsid w:val="00E42715"/>
    <w:rsid w:val="00E43249"/>
    <w:rsid w:val="00E44053"/>
    <w:rsid w:val="00E45C2D"/>
    <w:rsid w:val="00E47480"/>
    <w:rsid w:val="00E47E6F"/>
    <w:rsid w:val="00E51964"/>
    <w:rsid w:val="00E532A8"/>
    <w:rsid w:val="00E54521"/>
    <w:rsid w:val="00E553D2"/>
    <w:rsid w:val="00E55E6C"/>
    <w:rsid w:val="00E61047"/>
    <w:rsid w:val="00E61CD0"/>
    <w:rsid w:val="00E659CE"/>
    <w:rsid w:val="00E673B0"/>
    <w:rsid w:val="00E701CB"/>
    <w:rsid w:val="00E71705"/>
    <w:rsid w:val="00E71A59"/>
    <w:rsid w:val="00E73EF3"/>
    <w:rsid w:val="00E74131"/>
    <w:rsid w:val="00E75385"/>
    <w:rsid w:val="00E75642"/>
    <w:rsid w:val="00E75CB7"/>
    <w:rsid w:val="00E77117"/>
    <w:rsid w:val="00E776D0"/>
    <w:rsid w:val="00E778D9"/>
    <w:rsid w:val="00E800CC"/>
    <w:rsid w:val="00E8034B"/>
    <w:rsid w:val="00E821A9"/>
    <w:rsid w:val="00E8325C"/>
    <w:rsid w:val="00E84EC8"/>
    <w:rsid w:val="00E85641"/>
    <w:rsid w:val="00E859F6"/>
    <w:rsid w:val="00E87259"/>
    <w:rsid w:val="00E8745D"/>
    <w:rsid w:val="00E91BC7"/>
    <w:rsid w:val="00E924D6"/>
    <w:rsid w:val="00E92610"/>
    <w:rsid w:val="00E94487"/>
    <w:rsid w:val="00E94513"/>
    <w:rsid w:val="00E96BD0"/>
    <w:rsid w:val="00EA0ABF"/>
    <w:rsid w:val="00EA1DEE"/>
    <w:rsid w:val="00EA1E45"/>
    <w:rsid w:val="00EA34E7"/>
    <w:rsid w:val="00EA397B"/>
    <w:rsid w:val="00EA6A5E"/>
    <w:rsid w:val="00EB08C3"/>
    <w:rsid w:val="00EB1570"/>
    <w:rsid w:val="00EB2385"/>
    <w:rsid w:val="00EB4107"/>
    <w:rsid w:val="00EB4549"/>
    <w:rsid w:val="00EB4AA0"/>
    <w:rsid w:val="00EB5EA3"/>
    <w:rsid w:val="00EC442C"/>
    <w:rsid w:val="00EC5742"/>
    <w:rsid w:val="00EC7222"/>
    <w:rsid w:val="00ED1524"/>
    <w:rsid w:val="00ED1D9C"/>
    <w:rsid w:val="00ED2DB8"/>
    <w:rsid w:val="00ED3251"/>
    <w:rsid w:val="00ED3791"/>
    <w:rsid w:val="00ED5206"/>
    <w:rsid w:val="00ED6C24"/>
    <w:rsid w:val="00ED6DA6"/>
    <w:rsid w:val="00EE081B"/>
    <w:rsid w:val="00EE3779"/>
    <w:rsid w:val="00EE3C3E"/>
    <w:rsid w:val="00EE4AE1"/>
    <w:rsid w:val="00EE57B5"/>
    <w:rsid w:val="00EE62CB"/>
    <w:rsid w:val="00EF02D0"/>
    <w:rsid w:val="00EF25E8"/>
    <w:rsid w:val="00EF2938"/>
    <w:rsid w:val="00EF3660"/>
    <w:rsid w:val="00EF37BA"/>
    <w:rsid w:val="00EF3F6B"/>
    <w:rsid w:val="00EF548D"/>
    <w:rsid w:val="00EF5999"/>
    <w:rsid w:val="00EF74A6"/>
    <w:rsid w:val="00EF7988"/>
    <w:rsid w:val="00EF7EC2"/>
    <w:rsid w:val="00F01158"/>
    <w:rsid w:val="00F01890"/>
    <w:rsid w:val="00F04D3D"/>
    <w:rsid w:val="00F0584E"/>
    <w:rsid w:val="00F05B8F"/>
    <w:rsid w:val="00F0673C"/>
    <w:rsid w:val="00F110A6"/>
    <w:rsid w:val="00F115A4"/>
    <w:rsid w:val="00F1237B"/>
    <w:rsid w:val="00F14C98"/>
    <w:rsid w:val="00F159C1"/>
    <w:rsid w:val="00F17624"/>
    <w:rsid w:val="00F200C8"/>
    <w:rsid w:val="00F201AD"/>
    <w:rsid w:val="00F21004"/>
    <w:rsid w:val="00F21ABB"/>
    <w:rsid w:val="00F2295F"/>
    <w:rsid w:val="00F25377"/>
    <w:rsid w:val="00F25A11"/>
    <w:rsid w:val="00F31842"/>
    <w:rsid w:val="00F32604"/>
    <w:rsid w:val="00F346A6"/>
    <w:rsid w:val="00F35DA2"/>
    <w:rsid w:val="00F36B5B"/>
    <w:rsid w:val="00F371AF"/>
    <w:rsid w:val="00F40751"/>
    <w:rsid w:val="00F40753"/>
    <w:rsid w:val="00F41153"/>
    <w:rsid w:val="00F4143F"/>
    <w:rsid w:val="00F41B20"/>
    <w:rsid w:val="00F428FA"/>
    <w:rsid w:val="00F43D67"/>
    <w:rsid w:val="00F47C24"/>
    <w:rsid w:val="00F53034"/>
    <w:rsid w:val="00F53EFD"/>
    <w:rsid w:val="00F55FE7"/>
    <w:rsid w:val="00F56456"/>
    <w:rsid w:val="00F565CE"/>
    <w:rsid w:val="00F5670F"/>
    <w:rsid w:val="00F57175"/>
    <w:rsid w:val="00F602FF"/>
    <w:rsid w:val="00F64367"/>
    <w:rsid w:val="00F7273D"/>
    <w:rsid w:val="00F72D2A"/>
    <w:rsid w:val="00F7350C"/>
    <w:rsid w:val="00F748A8"/>
    <w:rsid w:val="00F76349"/>
    <w:rsid w:val="00F77049"/>
    <w:rsid w:val="00F7751E"/>
    <w:rsid w:val="00F80BA3"/>
    <w:rsid w:val="00F81A25"/>
    <w:rsid w:val="00F81BDB"/>
    <w:rsid w:val="00F83619"/>
    <w:rsid w:val="00F836B5"/>
    <w:rsid w:val="00F8556B"/>
    <w:rsid w:val="00F87580"/>
    <w:rsid w:val="00F87612"/>
    <w:rsid w:val="00F92731"/>
    <w:rsid w:val="00F929F2"/>
    <w:rsid w:val="00F93B61"/>
    <w:rsid w:val="00F93ECF"/>
    <w:rsid w:val="00F94CFC"/>
    <w:rsid w:val="00F950FC"/>
    <w:rsid w:val="00F97A92"/>
    <w:rsid w:val="00F97C7A"/>
    <w:rsid w:val="00FA0397"/>
    <w:rsid w:val="00FA0ED4"/>
    <w:rsid w:val="00FA15A7"/>
    <w:rsid w:val="00FA25B0"/>
    <w:rsid w:val="00FA3181"/>
    <w:rsid w:val="00FA4B7F"/>
    <w:rsid w:val="00FA5517"/>
    <w:rsid w:val="00FA674E"/>
    <w:rsid w:val="00FA67ED"/>
    <w:rsid w:val="00FA6DCB"/>
    <w:rsid w:val="00FA78E3"/>
    <w:rsid w:val="00FB1241"/>
    <w:rsid w:val="00FB221B"/>
    <w:rsid w:val="00FB2664"/>
    <w:rsid w:val="00FB286C"/>
    <w:rsid w:val="00FB3105"/>
    <w:rsid w:val="00FB5CEF"/>
    <w:rsid w:val="00FC10F2"/>
    <w:rsid w:val="00FC1876"/>
    <w:rsid w:val="00FC1D1D"/>
    <w:rsid w:val="00FC24B0"/>
    <w:rsid w:val="00FC2DDE"/>
    <w:rsid w:val="00FC4E81"/>
    <w:rsid w:val="00FC52AD"/>
    <w:rsid w:val="00FD0CDE"/>
    <w:rsid w:val="00FD0EDE"/>
    <w:rsid w:val="00FD1D50"/>
    <w:rsid w:val="00FD360D"/>
    <w:rsid w:val="00FD4179"/>
    <w:rsid w:val="00FD4EB8"/>
    <w:rsid w:val="00FD506A"/>
    <w:rsid w:val="00FD71A9"/>
    <w:rsid w:val="00FD7C49"/>
    <w:rsid w:val="00FE01D3"/>
    <w:rsid w:val="00FE0354"/>
    <w:rsid w:val="00FE121B"/>
    <w:rsid w:val="00FE3577"/>
    <w:rsid w:val="00FE5E23"/>
    <w:rsid w:val="00FE6AEF"/>
    <w:rsid w:val="00FE6DC3"/>
    <w:rsid w:val="00FE7BEE"/>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C8"/>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9"/>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1"/>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9"/>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 w:type="paragraph" w:styleId="Header">
    <w:name w:val="header"/>
    <w:basedOn w:val="Normal"/>
    <w:link w:val="HeaderChar"/>
    <w:uiPriority w:val="99"/>
    <w:unhideWhenUsed/>
    <w:rsid w:val="00DA6B84"/>
    <w:pPr>
      <w:tabs>
        <w:tab w:val="center" w:pos="4513"/>
        <w:tab w:val="right" w:pos="9026"/>
      </w:tabs>
    </w:pPr>
  </w:style>
  <w:style w:type="character" w:customStyle="1" w:styleId="HeaderChar">
    <w:name w:val="Header Char"/>
    <w:basedOn w:val="DefaultParagraphFont"/>
    <w:link w:val="Header"/>
    <w:uiPriority w:val="99"/>
    <w:rsid w:val="00DA6B84"/>
    <w:rPr>
      <w:rFonts w:ascii="Times New Roman" w:hAnsi="Times New Roman"/>
    </w:rPr>
  </w:style>
  <w:style w:type="paragraph" w:styleId="Footer">
    <w:name w:val="footer"/>
    <w:basedOn w:val="Normal"/>
    <w:link w:val="FooterChar"/>
    <w:uiPriority w:val="99"/>
    <w:unhideWhenUsed/>
    <w:rsid w:val="00DA6B84"/>
    <w:pPr>
      <w:tabs>
        <w:tab w:val="center" w:pos="4513"/>
        <w:tab w:val="right" w:pos="9026"/>
      </w:tabs>
    </w:pPr>
  </w:style>
  <w:style w:type="character" w:customStyle="1" w:styleId="FooterChar">
    <w:name w:val="Footer Char"/>
    <w:basedOn w:val="DefaultParagraphFont"/>
    <w:link w:val="Footer"/>
    <w:uiPriority w:val="99"/>
    <w:rsid w:val="00DA6B84"/>
    <w:rPr>
      <w:rFonts w:ascii="Times New Roman" w:hAnsi="Times New Roman"/>
    </w:rPr>
  </w:style>
  <w:style w:type="paragraph" w:customStyle="1" w:styleId="title-annex-1">
    <w:name w:val="title-annex-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annex-2">
    <w:name w:val="title-annex-2"/>
    <w:basedOn w:val="Normal"/>
    <w:rsid w:val="00E14AA8"/>
    <w:pPr>
      <w:spacing w:before="100" w:beforeAutospacing="1" w:after="100" w:afterAutospacing="1"/>
    </w:pPr>
    <w:rPr>
      <w:rFonts w:eastAsia="Times New Roman" w:cs="Times New Roman"/>
      <w:sz w:val="24"/>
      <w:szCs w:val="24"/>
      <w:lang w:val="ro-RO" w:eastAsia="ro-RO"/>
    </w:rPr>
  </w:style>
  <w:style w:type="paragraph" w:styleId="NormalWeb">
    <w:name w:val="Normal (Web)"/>
    <w:basedOn w:val="Normal"/>
    <w:link w:val="NormalWebChar"/>
    <w:uiPriority w:val="99"/>
    <w:unhideWhenUsed/>
    <w:rsid w:val="00E14AA8"/>
    <w:pPr>
      <w:spacing w:before="100" w:beforeAutospacing="1" w:after="100" w:afterAutospacing="1"/>
    </w:pPr>
    <w:rPr>
      <w:rFonts w:eastAsia="Times New Roman" w:cs="Times New Roman"/>
      <w:sz w:val="24"/>
      <w:szCs w:val="24"/>
      <w:lang w:val="ro-RO" w:eastAsia="ro-RO"/>
    </w:rPr>
  </w:style>
  <w:style w:type="paragraph" w:customStyle="1" w:styleId="Normal2">
    <w:name w:val="Norma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norm">
    <w:name w:val="tbl-norm"/>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left">
    <w:name w:val="tbl-lef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hd-column">
    <w:name w:val="hd-column"/>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1">
    <w:name w:val="title-gr-seq-level-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2">
    <w:name w:val="title-gr-seq-leve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right">
    <w:name w:val="tbl-righ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Anexapct1">
    <w:name w:val="Anexa pct. 1"/>
    <w:basedOn w:val="Normal"/>
    <w:qFormat/>
    <w:rsid w:val="00147909"/>
    <w:pPr>
      <w:numPr>
        <w:numId w:val="170"/>
      </w:numPr>
      <w:spacing w:line="276" w:lineRule="auto"/>
      <w:jc w:val="both"/>
    </w:pPr>
    <w:rPr>
      <w:rFonts w:eastAsiaTheme="minorEastAsia" w:cs="Times New Roman"/>
      <w:sz w:val="28"/>
      <w:szCs w:val="24"/>
      <w:lang w:val="ro-RO"/>
    </w:rPr>
  </w:style>
  <w:style w:type="paragraph" w:customStyle="1" w:styleId="Anexapct11">
    <w:name w:val="Anexa pct 1.1"/>
    <w:basedOn w:val="Normal"/>
    <w:qFormat/>
    <w:rsid w:val="00147909"/>
    <w:pPr>
      <w:numPr>
        <w:ilvl w:val="1"/>
        <w:numId w:val="170"/>
      </w:numPr>
      <w:spacing w:line="276" w:lineRule="auto"/>
      <w:jc w:val="both"/>
    </w:pPr>
    <w:rPr>
      <w:rFonts w:eastAsiaTheme="minorEastAsia" w:cs="Times New Roman"/>
      <w:sz w:val="28"/>
      <w:szCs w:val="24"/>
      <w:lang w:val="ro-RO"/>
    </w:rPr>
  </w:style>
  <w:style w:type="paragraph" w:customStyle="1" w:styleId="Anexapct111">
    <w:name w:val="Anexa pct. 1.1.1"/>
    <w:basedOn w:val="Normal"/>
    <w:qFormat/>
    <w:rsid w:val="00147909"/>
    <w:pPr>
      <w:numPr>
        <w:ilvl w:val="2"/>
        <w:numId w:val="170"/>
      </w:numPr>
      <w:spacing w:line="276" w:lineRule="auto"/>
      <w:jc w:val="both"/>
    </w:pPr>
    <w:rPr>
      <w:rFonts w:eastAsiaTheme="minorEastAsia" w:cs="Times New Roman"/>
      <w:sz w:val="28"/>
      <w:szCs w:val="24"/>
      <w:lang w:val="ro-RO"/>
    </w:rPr>
  </w:style>
  <w:style w:type="paragraph" w:customStyle="1" w:styleId="Anexapct1111">
    <w:name w:val="Anexa pct. 1.1.1.1"/>
    <w:basedOn w:val="Normal"/>
    <w:qFormat/>
    <w:rsid w:val="00147909"/>
    <w:pPr>
      <w:numPr>
        <w:ilvl w:val="3"/>
        <w:numId w:val="170"/>
      </w:numPr>
      <w:spacing w:line="276" w:lineRule="auto"/>
      <w:jc w:val="both"/>
    </w:pPr>
    <w:rPr>
      <w:rFonts w:eastAsia="Times New Roman" w:cs="Times New Roman"/>
      <w:sz w:val="28"/>
      <w:szCs w:val="24"/>
      <w:lang w:val="ro-RO" w:eastAsia="ro-RO"/>
    </w:rPr>
  </w:style>
  <w:style w:type="paragraph" w:customStyle="1" w:styleId="Sectiune">
    <w:name w:val="Sectiune"/>
    <w:basedOn w:val="Normal"/>
    <w:qFormat/>
    <w:rsid w:val="00F80BA3"/>
    <w:pPr>
      <w:spacing w:before="120" w:line="276" w:lineRule="auto"/>
      <w:ind w:left="431"/>
      <w:contextualSpacing/>
      <w:jc w:val="center"/>
    </w:pPr>
    <w:rPr>
      <w:rFonts w:eastAsiaTheme="minorEastAsia" w:cs="Times New Roman"/>
      <w:b/>
      <w:bCs/>
      <w:sz w:val="28"/>
      <w:szCs w:val="24"/>
      <w:lang w:val="ro-RO"/>
    </w:rPr>
  </w:style>
  <w:style w:type="paragraph" w:customStyle="1" w:styleId="Capitol">
    <w:name w:val="Capitol"/>
    <w:basedOn w:val="Normal"/>
    <w:qFormat/>
    <w:rsid w:val="00E701CB"/>
    <w:pPr>
      <w:spacing w:before="240" w:after="120" w:line="276" w:lineRule="auto"/>
      <w:ind w:left="431"/>
      <w:contextualSpacing/>
      <w:jc w:val="center"/>
    </w:pPr>
    <w:rPr>
      <w:rFonts w:eastAsiaTheme="minorEastAsia" w:cs="Times New Roman"/>
      <w:b/>
      <w:bCs/>
      <w:caps/>
      <w:sz w:val="28"/>
      <w:szCs w:val="24"/>
      <w:lang w:val="ro-RO"/>
    </w:rPr>
  </w:style>
  <w:style w:type="character" w:customStyle="1" w:styleId="cf01">
    <w:name w:val="cf01"/>
    <w:basedOn w:val="DefaultParagraphFont"/>
    <w:rsid w:val="001C4F1B"/>
    <w:rPr>
      <w:rFonts w:ascii="Segoe UI" w:hAnsi="Segoe UI" w:cs="Segoe UI" w:hint="default"/>
      <w:sz w:val="18"/>
      <w:szCs w:val="18"/>
    </w:rPr>
  </w:style>
  <w:style w:type="paragraph" w:customStyle="1" w:styleId="HGpct1">
    <w:name w:val="HG pct 1."/>
    <w:basedOn w:val="NormalWeb"/>
    <w:link w:val="HGpct1Char"/>
    <w:uiPriority w:val="99"/>
    <w:qFormat/>
    <w:rsid w:val="00514B7A"/>
    <w:pPr>
      <w:numPr>
        <w:numId w:val="173"/>
      </w:numPr>
      <w:spacing w:before="0" w:beforeAutospacing="0" w:after="0" w:afterAutospacing="0" w:line="276" w:lineRule="auto"/>
      <w:jc w:val="both"/>
    </w:pPr>
    <w:rPr>
      <w:rFonts w:eastAsiaTheme="minorEastAsia"/>
      <w:sz w:val="28"/>
      <w:lang w:eastAsia="en-US"/>
    </w:rPr>
  </w:style>
  <w:style w:type="paragraph" w:customStyle="1" w:styleId="HGsubpct11">
    <w:name w:val="HG subpct 1.1"/>
    <w:basedOn w:val="Normal"/>
    <w:link w:val="HGsubpct11Char"/>
    <w:uiPriority w:val="99"/>
    <w:qFormat/>
    <w:rsid w:val="00514B7A"/>
    <w:pPr>
      <w:numPr>
        <w:ilvl w:val="1"/>
        <w:numId w:val="173"/>
      </w:numPr>
      <w:spacing w:line="276" w:lineRule="auto"/>
      <w:ind w:left="0" w:firstLine="426"/>
      <w:jc w:val="both"/>
    </w:pPr>
    <w:rPr>
      <w:rFonts w:eastAsiaTheme="minorEastAsia" w:cs="Times New Roman"/>
      <w:iCs/>
      <w:sz w:val="28"/>
      <w:szCs w:val="24"/>
      <w:lang w:val="ro-RO"/>
    </w:rPr>
  </w:style>
  <w:style w:type="paragraph" w:customStyle="1" w:styleId="HGsubpct111">
    <w:name w:val="HG subpct 1.1.1"/>
    <w:basedOn w:val="Normal"/>
    <w:link w:val="HGsubpct111Char"/>
    <w:uiPriority w:val="99"/>
    <w:qFormat/>
    <w:rsid w:val="00514B7A"/>
    <w:pPr>
      <w:numPr>
        <w:ilvl w:val="2"/>
        <w:numId w:val="173"/>
      </w:numPr>
      <w:spacing w:line="276" w:lineRule="auto"/>
      <w:jc w:val="both"/>
    </w:pPr>
    <w:rPr>
      <w:rFonts w:eastAsiaTheme="minorEastAsia" w:cs="Times New Roman"/>
      <w:sz w:val="28"/>
      <w:szCs w:val="24"/>
      <w:lang w:val="ro-RO"/>
    </w:rPr>
  </w:style>
  <w:style w:type="character" w:customStyle="1" w:styleId="NormalWebChar">
    <w:name w:val="Normal (Web) Char"/>
    <w:basedOn w:val="DefaultParagraphFont"/>
    <w:link w:val="NormalWeb"/>
    <w:uiPriority w:val="99"/>
    <w:locked/>
    <w:rsid w:val="009C36DB"/>
    <w:rPr>
      <w:rFonts w:ascii="Times New Roman" w:eastAsia="Times New Roman" w:hAnsi="Times New Roman" w:cs="Times New Roman"/>
      <w:sz w:val="24"/>
      <w:szCs w:val="24"/>
      <w:lang w:val="ro-RO" w:eastAsia="ro-RO"/>
    </w:rPr>
  </w:style>
  <w:style w:type="character" w:customStyle="1" w:styleId="HGpct1Char">
    <w:name w:val="HG pct 1. Char"/>
    <w:basedOn w:val="NormalWebChar"/>
    <w:link w:val="HGpct1"/>
    <w:uiPriority w:val="99"/>
    <w:locked/>
    <w:rsid w:val="009C36DB"/>
    <w:rPr>
      <w:rFonts w:ascii="Times New Roman" w:eastAsiaTheme="minorEastAsia" w:hAnsi="Times New Roman" w:cs="Times New Roman"/>
      <w:sz w:val="28"/>
      <w:szCs w:val="24"/>
      <w:lang w:val="ro-RO" w:eastAsia="ro-RO"/>
    </w:rPr>
  </w:style>
  <w:style w:type="character" w:customStyle="1" w:styleId="HGsubpct11Char">
    <w:name w:val="HG subpct 1.1 Char"/>
    <w:basedOn w:val="HGpct1Char"/>
    <w:link w:val="HGsubpct11"/>
    <w:uiPriority w:val="99"/>
    <w:locked/>
    <w:rsid w:val="009C36DB"/>
    <w:rPr>
      <w:rFonts w:ascii="Times New Roman" w:eastAsiaTheme="minorEastAsia" w:hAnsi="Times New Roman" w:cs="Times New Roman"/>
      <w:iCs/>
      <w:sz w:val="28"/>
      <w:szCs w:val="24"/>
      <w:lang w:val="ro-RO" w:eastAsia="ro-RO"/>
    </w:rPr>
  </w:style>
  <w:style w:type="character" w:customStyle="1" w:styleId="HGsubpct111Char">
    <w:name w:val="HG subpct 1.1.1 Char"/>
    <w:basedOn w:val="HGsubpct11Char"/>
    <w:link w:val="HGsubpct111"/>
    <w:uiPriority w:val="99"/>
    <w:locked/>
    <w:rsid w:val="009C36DB"/>
    <w:rPr>
      <w:rFonts w:ascii="Times New Roman" w:eastAsiaTheme="minorEastAsia" w:hAnsi="Times New Roman" w:cs="Times New Roman"/>
      <w:iCs w:val="0"/>
      <w:sz w:val="28"/>
      <w:szCs w:val="24"/>
      <w:lang w:val="ro-RO" w:eastAsia="ro-RO"/>
    </w:rPr>
  </w:style>
  <w:style w:type="paragraph" w:customStyle="1" w:styleId="tt">
    <w:name w:val="tt"/>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pb">
    <w:name w:val="pb"/>
    <w:basedOn w:val="Normal"/>
    <w:uiPriority w:val="99"/>
    <w:semiHidden/>
    <w:rsid w:val="009C36DB"/>
    <w:pPr>
      <w:spacing w:before="100" w:beforeAutospacing="1" w:after="100" w:afterAutospacing="1" w:line="276" w:lineRule="auto"/>
      <w:ind w:firstLine="431"/>
      <w:jc w:val="center"/>
    </w:pPr>
    <w:rPr>
      <w:rFonts w:eastAsiaTheme="minorEastAsia" w:cs="Times New Roman"/>
      <w:i/>
      <w:iCs/>
      <w:color w:val="663300"/>
      <w:sz w:val="20"/>
      <w:szCs w:val="20"/>
      <w:lang w:val="ro-RO"/>
    </w:rPr>
  </w:style>
  <w:style w:type="paragraph" w:customStyle="1" w:styleId="cu">
    <w:name w:val="cu"/>
    <w:basedOn w:val="Normal"/>
    <w:uiPriority w:val="99"/>
    <w:semiHidden/>
    <w:rsid w:val="009C36DB"/>
    <w:pPr>
      <w:spacing w:before="45" w:after="100" w:afterAutospacing="1" w:line="276" w:lineRule="auto"/>
      <w:ind w:left="1134" w:right="567" w:hanging="567"/>
      <w:jc w:val="both"/>
    </w:pPr>
    <w:rPr>
      <w:rFonts w:eastAsiaTheme="minorEastAsia" w:cs="Times New Roman"/>
      <w:sz w:val="20"/>
      <w:szCs w:val="20"/>
      <w:lang w:val="ro-RO"/>
    </w:rPr>
  </w:style>
  <w:style w:type="paragraph" w:customStyle="1" w:styleId="cut">
    <w:name w:val="cut"/>
    <w:basedOn w:val="Normal"/>
    <w:uiPriority w:val="99"/>
    <w:semiHidden/>
    <w:rsid w:val="009C36DB"/>
    <w:pPr>
      <w:spacing w:before="100" w:beforeAutospacing="1" w:after="100" w:afterAutospacing="1" w:line="276" w:lineRule="auto"/>
      <w:ind w:left="567" w:right="567" w:firstLine="431"/>
      <w:jc w:val="center"/>
    </w:pPr>
    <w:rPr>
      <w:rFonts w:eastAsiaTheme="minorEastAsia" w:cs="Times New Roman"/>
      <w:b/>
      <w:bCs/>
      <w:sz w:val="20"/>
      <w:szCs w:val="20"/>
      <w:lang w:val="ro-RO"/>
    </w:rPr>
  </w:style>
  <w:style w:type="paragraph" w:customStyle="1" w:styleId="cp">
    <w:name w:val="cp"/>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nt">
    <w:name w:val="nt"/>
    <w:basedOn w:val="Normal"/>
    <w:uiPriority w:val="99"/>
    <w:semiHidden/>
    <w:rsid w:val="009C36DB"/>
    <w:pPr>
      <w:spacing w:before="100" w:beforeAutospacing="1" w:after="100" w:afterAutospacing="1" w:line="276" w:lineRule="auto"/>
      <w:ind w:left="567" w:right="567" w:hanging="567"/>
      <w:jc w:val="both"/>
    </w:pPr>
    <w:rPr>
      <w:rFonts w:eastAsiaTheme="minorEastAsia" w:cs="Times New Roman"/>
      <w:i/>
      <w:iCs/>
      <w:color w:val="663300"/>
      <w:sz w:val="20"/>
      <w:szCs w:val="20"/>
      <w:lang w:val="ro-RO"/>
    </w:rPr>
  </w:style>
  <w:style w:type="paragraph" w:customStyle="1" w:styleId="md">
    <w:name w:val="md"/>
    <w:basedOn w:val="Normal"/>
    <w:uiPriority w:val="99"/>
    <w:semiHidden/>
    <w:rsid w:val="009C36DB"/>
    <w:pPr>
      <w:spacing w:before="100" w:beforeAutospacing="1" w:after="100" w:afterAutospacing="1" w:line="276" w:lineRule="auto"/>
      <w:ind w:firstLine="431"/>
      <w:jc w:val="both"/>
    </w:pPr>
    <w:rPr>
      <w:rFonts w:eastAsiaTheme="minorEastAsia" w:cs="Times New Roman"/>
      <w:i/>
      <w:iCs/>
      <w:color w:val="663300"/>
      <w:sz w:val="20"/>
      <w:szCs w:val="20"/>
      <w:lang w:val="ro-RO"/>
    </w:rPr>
  </w:style>
  <w:style w:type="paragraph" w:customStyle="1" w:styleId="cn">
    <w:name w:val="cn"/>
    <w:basedOn w:val="Normal"/>
    <w:uiPriority w:val="99"/>
    <w:semiHidden/>
    <w:rsid w:val="009C36DB"/>
    <w:pPr>
      <w:spacing w:before="100" w:beforeAutospacing="1" w:after="100" w:afterAutospacing="1" w:line="276" w:lineRule="auto"/>
      <w:ind w:firstLine="431"/>
      <w:jc w:val="center"/>
    </w:pPr>
    <w:rPr>
      <w:rFonts w:eastAsiaTheme="minorEastAsia" w:cs="Times New Roman"/>
      <w:sz w:val="28"/>
      <w:szCs w:val="24"/>
      <w:lang w:val="ro-RO"/>
    </w:rPr>
  </w:style>
  <w:style w:type="paragraph" w:customStyle="1" w:styleId="cb">
    <w:name w:val="cb"/>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rg">
    <w:name w:val="rg"/>
    <w:basedOn w:val="Normal"/>
    <w:uiPriority w:val="99"/>
    <w:semiHidden/>
    <w:rsid w:val="009C36DB"/>
    <w:pPr>
      <w:spacing w:before="100" w:beforeAutospacing="1" w:after="100" w:afterAutospacing="1" w:line="276" w:lineRule="auto"/>
      <w:ind w:firstLine="431"/>
      <w:jc w:val="right"/>
    </w:pPr>
    <w:rPr>
      <w:rFonts w:eastAsiaTheme="minorEastAsia" w:cs="Times New Roman"/>
      <w:sz w:val="28"/>
      <w:szCs w:val="24"/>
      <w:lang w:val="ro-RO"/>
    </w:rPr>
  </w:style>
  <w:style w:type="paragraph" w:customStyle="1" w:styleId="js">
    <w:name w:val="js"/>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lf">
    <w:name w:val="lf"/>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forma">
    <w:name w:val="forma"/>
    <w:basedOn w:val="Normal"/>
    <w:uiPriority w:val="99"/>
    <w:semiHidden/>
    <w:rsid w:val="009C36DB"/>
    <w:pPr>
      <w:spacing w:before="100" w:beforeAutospacing="1" w:after="100" w:afterAutospacing="1" w:line="276" w:lineRule="auto"/>
      <w:ind w:firstLine="431"/>
      <w:jc w:val="both"/>
    </w:pPr>
    <w:rPr>
      <w:rFonts w:ascii="Arial" w:eastAsiaTheme="minorEastAsia" w:hAnsi="Arial" w:cs="Arial"/>
      <w:sz w:val="20"/>
      <w:szCs w:val="20"/>
      <w:lang w:val="ro-RO"/>
    </w:rPr>
  </w:style>
  <w:style w:type="paragraph" w:customStyle="1" w:styleId="sm">
    <w:name w:val="sm"/>
    <w:basedOn w:val="Normal"/>
    <w:uiPriority w:val="99"/>
    <w:semiHidden/>
    <w:rsid w:val="009C36DB"/>
    <w:pPr>
      <w:spacing w:before="240" w:after="100" w:afterAutospacing="1" w:line="276" w:lineRule="auto"/>
      <w:ind w:left="567" w:firstLine="431"/>
      <w:jc w:val="both"/>
    </w:pPr>
    <w:rPr>
      <w:rFonts w:eastAsiaTheme="minorEastAsia" w:cs="Times New Roman"/>
      <w:b/>
      <w:bCs/>
      <w:sz w:val="28"/>
      <w:szCs w:val="24"/>
      <w:lang w:val="ro-RO"/>
    </w:rPr>
  </w:style>
  <w:style w:type="paragraph" w:customStyle="1" w:styleId="smfunctia">
    <w:name w:val="sm_functi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smdata">
    <w:name w:val="sm_dat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styleId="Title">
    <w:name w:val="Title"/>
    <w:basedOn w:val="Normal"/>
    <w:link w:val="TitleChar"/>
    <w:uiPriority w:val="10"/>
    <w:qFormat/>
    <w:rsid w:val="009C36DB"/>
    <w:pPr>
      <w:widowControl w:val="0"/>
      <w:autoSpaceDE w:val="0"/>
      <w:autoSpaceDN w:val="0"/>
      <w:spacing w:before="84"/>
      <w:ind w:left="809" w:firstLine="431"/>
    </w:pPr>
    <w:rPr>
      <w:rFonts w:eastAsia="Times New Roman" w:cs="Times New Roman"/>
      <w:b/>
      <w:bCs/>
      <w:sz w:val="40"/>
      <w:szCs w:val="40"/>
      <w:lang w:val="ro-RO"/>
    </w:rPr>
  </w:style>
  <w:style w:type="character" w:customStyle="1" w:styleId="TitleChar">
    <w:name w:val="Title Char"/>
    <w:basedOn w:val="DefaultParagraphFont"/>
    <w:link w:val="Title"/>
    <w:uiPriority w:val="10"/>
    <w:rsid w:val="009C36DB"/>
    <w:rPr>
      <w:rFonts w:ascii="Times New Roman" w:eastAsia="Times New Roman" w:hAnsi="Times New Roman" w:cs="Times New Roman"/>
      <w:b/>
      <w:bCs/>
      <w:sz w:val="40"/>
      <w:szCs w:val="40"/>
      <w:lang w:val="ro-RO"/>
    </w:rPr>
  </w:style>
  <w:style w:type="paragraph" w:customStyle="1" w:styleId="oj-ti-section-1">
    <w:name w:val="oj-ti-section-1"/>
    <w:basedOn w:val="Normal"/>
    <w:rsid w:val="009C36DB"/>
    <w:pPr>
      <w:spacing w:before="100" w:beforeAutospacing="1" w:after="100" w:afterAutospacing="1"/>
    </w:pPr>
    <w:rPr>
      <w:rFonts w:eastAsia="Times New Roman" w:cs="Times New Roman"/>
      <w:sz w:val="24"/>
      <w:szCs w:val="24"/>
    </w:rPr>
  </w:style>
  <w:style w:type="paragraph" w:customStyle="1" w:styleId="oj-ti-section-2">
    <w:name w:val="oj-ti-section-2"/>
    <w:basedOn w:val="Normal"/>
    <w:rsid w:val="009C36DB"/>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9C36DB"/>
    <w:rPr>
      <w:color w:val="666666"/>
    </w:rPr>
  </w:style>
  <w:style w:type="paragraph" w:customStyle="1" w:styleId="TEST">
    <w:name w:val="TEST"/>
    <w:basedOn w:val="Normal"/>
    <w:rsid w:val="009C36DB"/>
    <w:pPr>
      <w:spacing w:line="276" w:lineRule="auto"/>
      <w:ind w:firstLine="431"/>
      <w:jc w:val="both"/>
    </w:pPr>
    <w:rPr>
      <w:rFonts w:eastAsiaTheme="minorEastAsia" w:cs="Times New Roman"/>
      <w:sz w:val="28"/>
      <w:szCs w:val="24"/>
      <w:lang w:val="ro-RO"/>
    </w:rPr>
  </w:style>
  <w:style w:type="paragraph" w:styleId="FootnoteText">
    <w:name w:val="footnote text"/>
    <w:basedOn w:val="Normal"/>
    <w:link w:val="FootnoteTextChar"/>
    <w:uiPriority w:val="99"/>
    <w:semiHidden/>
    <w:unhideWhenUsed/>
    <w:rsid w:val="009C36DB"/>
    <w:pPr>
      <w:ind w:firstLine="431"/>
      <w:jc w:val="both"/>
    </w:pPr>
    <w:rPr>
      <w:rFonts w:eastAsiaTheme="minorEastAsia" w:cs="Times New Roman"/>
      <w:sz w:val="20"/>
      <w:szCs w:val="20"/>
      <w:lang w:val="ro-RO"/>
    </w:rPr>
  </w:style>
  <w:style w:type="character" w:customStyle="1" w:styleId="FootnoteTextChar">
    <w:name w:val="Footnote Text Char"/>
    <w:basedOn w:val="DefaultParagraphFont"/>
    <w:link w:val="FootnoteText"/>
    <w:uiPriority w:val="99"/>
    <w:semiHidden/>
    <w:rsid w:val="009C36DB"/>
    <w:rPr>
      <w:rFonts w:ascii="Times New Roman" w:eastAsiaTheme="minorEastAsia" w:hAnsi="Times New Roman" w:cs="Times New Roman"/>
      <w:sz w:val="20"/>
      <w:szCs w:val="20"/>
      <w:lang w:val="ro-RO"/>
    </w:rPr>
  </w:style>
  <w:style w:type="character" w:styleId="FootnoteReference">
    <w:name w:val="footnote reference"/>
    <w:basedOn w:val="DefaultParagraphFont"/>
    <w:uiPriority w:val="99"/>
    <w:semiHidden/>
    <w:unhideWhenUsed/>
    <w:rsid w:val="009C36DB"/>
    <w:rPr>
      <w:vertAlign w:val="superscript"/>
    </w:rPr>
  </w:style>
  <w:style w:type="paragraph" w:styleId="EndnoteText">
    <w:name w:val="endnote text"/>
    <w:basedOn w:val="Normal"/>
    <w:link w:val="EndnoteTextChar"/>
    <w:uiPriority w:val="99"/>
    <w:semiHidden/>
    <w:unhideWhenUsed/>
    <w:rsid w:val="009C36DB"/>
    <w:pPr>
      <w:ind w:firstLine="431"/>
      <w:jc w:val="both"/>
    </w:pPr>
    <w:rPr>
      <w:rFonts w:eastAsiaTheme="minorEastAsia" w:cs="Times New Roman"/>
      <w:sz w:val="20"/>
      <w:szCs w:val="20"/>
      <w:lang w:val="ro-RO"/>
    </w:rPr>
  </w:style>
  <w:style w:type="character" w:customStyle="1" w:styleId="EndnoteTextChar">
    <w:name w:val="Endnote Text Char"/>
    <w:basedOn w:val="DefaultParagraphFont"/>
    <w:link w:val="EndnoteText"/>
    <w:uiPriority w:val="99"/>
    <w:semiHidden/>
    <w:rsid w:val="009C36DB"/>
    <w:rPr>
      <w:rFonts w:ascii="Times New Roman" w:eastAsiaTheme="minorEastAsia" w:hAnsi="Times New Roman" w:cs="Times New Roman"/>
      <w:sz w:val="20"/>
      <w:szCs w:val="20"/>
      <w:lang w:val="ro-RO"/>
    </w:rPr>
  </w:style>
  <w:style w:type="character" w:styleId="EndnoteReference">
    <w:name w:val="endnote reference"/>
    <w:basedOn w:val="DefaultParagraphFont"/>
    <w:uiPriority w:val="99"/>
    <w:semiHidden/>
    <w:unhideWhenUsed/>
    <w:rsid w:val="009C36DB"/>
    <w:rPr>
      <w:vertAlign w:val="superscript"/>
    </w:rPr>
  </w:style>
  <w:style w:type="numbering" w:customStyle="1" w:styleId="NoList1">
    <w:name w:val="No List1"/>
    <w:next w:val="NoList"/>
    <w:uiPriority w:val="99"/>
    <w:semiHidden/>
    <w:unhideWhenUsed/>
    <w:rsid w:val="009C36DB"/>
  </w:style>
  <w:style w:type="paragraph" w:customStyle="1" w:styleId="pf0">
    <w:name w:val="pf0"/>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bold">
    <w:name w:val="oj-bold"/>
    <w:basedOn w:val="DefaultParagraphFont"/>
    <w:rsid w:val="009C36DB"/>
  </w:style>
  <w:style w:type="paragraph" w:customStyle="1" w:styleId="oj-ti-art">
    <w:name w:val="oj-ti-ar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sti-art">
    <w:name w:val="oj-sti-art"/>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super">
    <w:name w:val="oj-super"/>
    <w:basedOn w:val="DefaultParagraphFont"/>
    <w:rsid w:val="009C36DB"/>
  </w:style>
  <w:style w:type="paragraph" w:customStyle="1" w:styleId="oj-normal">
    <w:name w:val="oj-normal"/>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inline-element">
    <w:name w:val="inline-elemen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doc-ti">
    <w:name w:val="oj-doc-ti"/>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i-grseq-1">
    <w:name w:val="oj-ti-grseq-1"/>
    <w:basedOn w:val="Normal"/>
    <w:rsid w:val="003A1EA4"/>
    <w:pPr>
      <w:spacing w:before="100" w:beforeAutospacing="1" w:after="100" w:afterAutospacing="1"/>
    </w:pPr>
    <w:rPr>
      <w:rFonts w:eastAsia="Times New Roman" w:cs="Times New Roman"/>
      <w:sz w:val="24"/>
      <w:szCs w:val="24"/>
      <w:lang w:val="ro-RO" w:eastAsia="ro-RO"/>
    </w:rPr>
  </w:style>
  <w:style w:type="character" w:customStyle="1" w:styleId="oj-sub">
    <w:name w:val="oj-sub"/>
    <w:basedOn w:val="DefaultParagraphFont"/>
    <w:rsid w:val="003A1EA4"/>
  </w:style>
  <w:style w:type="paragraph" w:customStyle="1" w:styleId="oj-center">
    <w:name w:val="oj-center"/>
    <w:basedOn w:val="Normal"/>
    <w:rsid w:val="003A1EA4"/>
    <w:pPr>
      <w:spacing w:before="100" w:beforeAutospacing="1" w:after="100" w:afterAutospacing="1"/>
    </w:pPr>
    <w:rPr>
      <w:rFonts w:eastAsia="Times New Roman" w:cs="Times New Roman"/>
      <w:sz w:val="24"/>
      <w:szCs w:val="24"/>
      <w:lang w:val="ro-RO" w:eastAsia="ro-RO"/>
    </w:rPr>
  </w:style>
  <w:style w:type="character" w:customStyle="1" w:styleId="oj-italic">
    <w:name w:val="oj-italic"/>
    <w:basedOn w:val="DefaultParagraphFont"/>
    <w:rsid w:val="003A1EA4"/>
  </w:style>
  <w:style w:type="paragraph" w:customStyle="1" w:styleId="oj-tbl-hdr">
    <w:name w:val="oj-tbl-hdr"/>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txt">
    <w:name w:val="oj-tbl-txt"/>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num">
    <w:name w:val="oj-tbl-num"/>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i-tbl">
    <w:name w:val="oj-ti-tbl"/>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notcol">
    <w:name w:val="oj-tbl-notcol"/>
    <w:basedOn w:val="Normal"/>
    <w:rsid w:val="007A7B66"/>
    <w:pPr>
      <w:spacing w:before="100" w:beforeAutospacing="1" w:after="100" w:afterAutospacing="1"/>
    </w:pPr>
    <w:rPr>
      <w:rFonts w:eastAsia="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RO/ALL/?uri=CELEX:32023R1185" TargetMode="External"/><Relationship Id="rId18" Type="http://schemas.openxmlformats.org/officeDocument/2006/relationships/image" Target="media/image5.jpeg"/><Relationship Id="rId26" Type="http://schemas.openxmlformats.org/officeDocument/2006/relationships/hyperlink" Target="https://eur-lex.europa.eu/legal-content/RO/ALL/?uri=CELEX:32023R1185"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eur-lex.europa.eu/legal-content/RO/ALL/?uri=CELEX:32023R1185" TargetMode="External"/><Relationship Id="rId17" Type="http://schemas.openxmlformats.org/officeDocument/2006/relationships/image" Target="media/image4.jpeg"/><Relationship Id="rId25" Type="http://schemas.openxmlformats.org/officeDocument/2006/relationships/hyperlink" Target="https://eur-lex.europa.eu/legal-content/RO/ALL/?uri=CELEX:32023R1185"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ALL/?uri=CELEX:32023R1185" TargetMode="External"/><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hyperlink" Target="https://eur-lex.europa.eu/legal-content/RO/ALL/?uri=CELEX:32023R1185" TargetMode="External"/><Relationship Id="rId23" Type="http://schemas.openxmlformats.org/officeDocument/2006/relationships/image" Target="media/image10.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ALL/?uri=CELEX:32023R1185" TargetMode="External"/><Relationship Id="rId22" Type="http://schemas.openxmlformats.org/officeDocument/2006/relationships/image" Target="media/image9.jpeg"/><Relationship Id="rId27" Type="http://schemas.openxmlformats.org/officeDocument/2006/relationships/image" Target="media/image12.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3.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customXml/itemProps4.xml><?xml version="1.0" encoding="utf-8"?>
<ds:datastoreItem xmlns:ds="http://schemas.openxmlformats.org/officeDocument/2006/customXml" ds:itemID="{166C331B-08BA-446B-892D-7C8297BA6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25</Pages>
  <Words>11384</Words>
  <Characters>66030</Characters>
  <Application>Microsoft Office Word</Application>
  <DocSecurity>0</DocSecurity>
  <Lines>550</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77260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463</cp:revision>
  <dcterms:created xsi:type="dcterms:W3CDTF">2025-11-06T15:08:00Z</dcterms:created>
  <dcterms:modified xsi:type="dcterms:W3CDTF">2026-03-20T10:23:00Z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